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小标宋简体" w:cs="Times New Roman"/>
          <w:color w:val="000000"/>
          <w:sz w:val="72"/>
          <w:szCs w:val="72"/>
        </w:rPr>
      </w:pPr>
      <w:bookmarkStart w:id="0" w:name="_Toc15378441"/>
      <w:bookmarkStart w:id="1" w:name="_Toc15396475"/>
      <w:bookmarkStart w:id="2" w:name="_Toc15377193"/>
      <w:bookmarkStart w:id="3" w:name="_Toc15306267"/>
      <w:bookmarkStart w:id="4" w:name="_Toc15377425"/>
      <w:bookmarkStart w:id="5" w:name="_Toc15396597"/>
    </w:p>
    <w:p>
      <w:pPr>
        <w:rPr>
          <w:rFonts w:hint="default" w:ascii="Times New Roman" w:hAnsi="Times New Roman" w:eastAsia="方正小标宋简体" w:cs="Times New Roman"/>
          <w:color w:val="000000"/>
          <w:sz w:val="72"/>
          <w:szCs w:val="72"/>
        </w:rPr>
      </w:pPr>
    </w:p>
    <w:p>
      <w:pPr>
        <w:ind w:left="360" w:hanging="260" w:hangingChars="50"/>
        <w:jc w:val="center"/>
        <w:rPr>
          <w:rFonts w:hint="default" w:ascii="Times New Roman" w:hAnsi="Times New Roman" w:eastAsia="黑体" w:cs="Times New Roman"/>
          <w:sz w:val="52"/>
          <w:szCs w:val="52"/>
          <w:lang w:eastAsia="zh-CN"/>
        </w:rPr>
      </w:pPr>
      <w:r>
        <w:rPr>
          <w:rFonts w:hint="default" w:ascii="Times New Roman" w:hAnsi="Times New Roman" w:eastAsia="黑体" w:cs="Times New Roman"/>
          <w:sz w:val="52"/>
          <w:szCs w:val="52"/>
        </w:rPr>
        <w:t>202</w:t>
      </w:r>
      <w:r>
        <w:rPr>
          <w:rFonts w:hint="default" w:ascii="Times New Roman" w:hAnsi="Times New Roman" w:eastAsia="黑体" w:cs="Times New Roman"/>
          <w:sz w:val="52"/>
          <w:szCs w:val="52"/>
          <w:lang w:val="en-US" w:eastAsia="zh-CN"/>
        </w:rPr>
        <w:t>2</w:t>
      </w:r>
      <w:r>
        <w:rPr>
          <w:rFonts w:hint="default" w:ascii="Times New Roman" w:hAnsi="Times New Roman" w:eastAsia="黑体" w:cs="Times New Roman"/>
          <w:sz w:val="52"/>
          <w:szCs w:val="52"/>
        </w:rPr>
        <w:t>年</w:t>
      </w:r>
      <w:bookmarkEnd w:id="0"/>
      <w:bookmarkEnd w:id="1"/>
      <w:bookmarkEnd w:id="2"/>
      <w:bookmarkEnd w:id="3"/>
      <w:bookmarkEnd w:id="4"/>
      <w:bookmarkEnd w:id="5"/>
      <w:bookmarkStart w:id="6" w:name="_Toc15306268"/>
      <w:bookmarkStart w:id="7" w:name="_Toc15377426"/>
      <w:bookmarkStart w:id="8" w:name="_Toc15377194"/>
      <w:bookmarkStart w:id="9" w:name="_Toc15378442"/>
      <w:bookmarkStart w:id="10" w:name="_Toc15396598"/>
      <w:bookmarkStart w:id="11" w:name="_Toc15396476"/>
      <w:r>
        <w:rPr>
          <w:rFonts w:hint="default" w:ascii="Times New Roman" w:hAnsi="Times New Roman" w:eastAsia="黑体" w:cs="Times New Roman"/>
          <w:sz w:val="52"/>
          <w:szCs w:val="52"/>
          <w:lang w:eastAsia="zh-CN"/>
        </w:rPr>
        <w:t>度阿坝州</w:t>
      </w:r>
      <w:r>
        <w:rPr>
          <w:rFonts w:hint="default" w:ascii="Times New Roman" w:hAnsi="Times New Roman" w:eastAsia="黑体" w:cs="Times New Roman"/>
          <w:sz w:val="52"/>
          <w:szCs w:val="52"/>
        </w:rPr>
        <w:t>理县</w:t>
      </w:r>
      <w:r>
        <w:rPr>
          <w:rFonts w:hint="default" w:ascii="Times New Roman" w:hAnsi="Times New Roman" w:eastAsia="黑体" w:cs="Times New Roman"/>
          <w:sz w:val="52"/>
          <w:szCs w:val="52"/>
          <w:lang w:eastAsia="zh-CN"/>
        </w:rPr>
        <w:t>环境监测站</w:t>
      </w:r>
    </w:p>
    <w:p>
      <w:pPr>
        <w:ind w:left="360" w:hanging="260" w:hangingChars="50"/>
        <w:jc w:val="center"/>
        <w:rPr>
          <w:rFonts w:hint="default" w:ascii="Times New Roman" w:hAnsi="Times New Roman" w:eastAsia="黑体" w:cs="Times New Roman"/>
          <w:sz w:val="52"/>
          <w:szCs w:val="52"/>
          <w:lang w:eastAsia="zh-CN"/>
        </w:rPr>
      </w:pPr>
      <w:r>
        <w:rPr>
          <w:rFonts w:hint="default" w:ascii="Times New Roman" w:hAnsi="Times New Roman" w:eastAsia="黑体" w:cs="Times New Roman"/>
          <w:sz w:val="52"/>
          <w:szCs w:val="52"/>
          <w:lang w:eastAsia="zh-CN"/>
        </w:rPr>
        <w:t>决算公开</w:t>
      </w:r>
      <w:bookmarkEnd w:id="6"/>
      <w:bookmarkEnd w:id="7"/>
      <w:bookmarkEnd w:id="8"/>
      <w:bookmarkEnd w:id="9"/>
      <w:bookmarkEnd w:id="10"/>
      <w:bookmarkEnd w:id="11"/>
    </w:p>
    <w:p>
      <w:pPr>
        <w:ind w:left="360" w:hanging="260" w:hangingChars="50"/>
        <w:jc w:val="center"/>
        <w:rPr>
          <w:rFonts w:hint="default" w:ascii="Times New Roman" w:hAnsi="Times New Roman" w:eastAsia="黑体" w:cs="Times New Roman"/>
          <w:sz w:val="52"/>
          <w:szCs w:val="52"/>
          <w:lang w:eastAsia="zh-CN"/>
        </w:rPr>
      </w:pPr>
    </w:p>
    <w:p>
      <w:pPr>
        <w:rPr>
          <w:rFonts w:hint="default" w:ascii="Times New Roman" w:hAnsi="Times New Roman" w:eastAsia="方正小标宋简体" w:cs="Times New Roman"/>
          <w:sz w:val="36"/>
          <w:szCs w:val="36"/>
        </w:rPr>
      </w:pPr>
    </w:p>
    <w:p>
      <w:pPr>
        <w:rPr>
          <w:rFonts w:hint="default" w:ascii="Times New Roman" w:hAnsi="Times New Roman" w:eastAsia="方正小标宋简体" w:cs="Times New Roman"/>
          <w:sz w:val="36"/>
          <w:szCs w:val="36"/>
        </w:rPr>
      </w:pPr>
    </w:p>
    <w:p>
      <w:pPr>
        <w:rPr>
          <w:rFonts w:hint="default" w:ascii="Times New Roman" w:hAnsi="Times New Roman" w:eastAsia="方正小标宋简体" w:cs="Times New Roman"/>
          <w:sz w:val="36"/>
          <w:szCs w:val="36"/>
        </w:rPr>
      </w:pPr>
    </w:p>
    <w:p>
      <w:pPr>
        <w:rPr>
          <w:rFonts w:hint="default" w:ascii="Times New Roman" w:hAnsi="Times New Roman" w:eastAsia="方正小标宋简体" w:cs="Times New Roman"/>
          <w:sz w:val="36"/>
          <w:szCs w:val="36"/>
        </w:rPr>
      </w:pPr>
    </w:p>
    <w:p>
      <w:pPr>
        <w:pStyle w:val="11"/>
        <w:spacing w:before="93"/>
        <w:jc w:val="center"/>
        <w:rPr>
          <w:rFonts w:hint="default" w:ascii="Times New Roman" w:hAnsi="Times New Roman" w:cs="Times New Roman"/>
        </w:rPr>
      </w:pPr>
      <w:r>
        <w:rPr>
          <w:rFonts w:hint="default" w:ascii="Times New Roman" w:hAnsi="Times New Roman" w:cs="Times New Roman"/>
          <w:sz w:val="32"/>
          <w:szCs w:val="32"/>
        </w:rPr>
        <w:t>保密审查情况：</w:t>
      </w:r>
      <w:bookmarkStart w:id="12" w:name="_Hlk113547609"/>
      <w:r>
        <w:rPr>
          <w:rFonts w:hint="default" w:ascii="Times New Roman" w:hAnsi="Times New Roman" w:cs="Times New Roman"/>
          <w:sz w:val="32"/>
          <w:szCs w:val="32"/>
        </w:rPr>
        <w:t>已经保密审查、内容审定，同意对外公开</w:t>
      </w:r>
      <w:bookmarkEnd w:id="12"/>
    </w:p>
    <w:p>
      <w:pPr>
        <w:autoSpaceDE w:val="0"/>
        <w:autoSpaceDN w:val="0"/>
        <w:adjustRightInd w:val="0"/>
        <w:ind w:left="420" w:leftChars="200"/>
        <w:jc w:val="left"/>
        <w:rPr>
          <w:rFonts w:hint="default" w:ascii="Times New Roman" w:hAnsi="Times New Roman" w:cs="Times New Roman"/>
          <w:sz w:val="32"/>
          <w:szCs w:val="32"/>
        </w:rPr>
      </w:pPr>
    </w:p>
    <w:p>
      <w:pPr>
        <w:autoSpaceDE w:val="0"/>
        <w:autoSpaceDN w:val="0"/>
        <w:adjustRightInd w:val="0"/>
        <w:ind w:left="420" w:leftChars="200"/>
        <w:jc w:val="left"/>
        <w:rPr>
          <w:rFonts w:hint="default" w:ascii="Times New Roman" w:hAnsi="Times New Roman" w:eastAsia="宋体" w:cs="Times New Roman"/>
          <w:sz w:val="32"/>
          <w:szCs w:val="32"/>
          <w:lang w:val="en-US" w:eastAsia="zh-CN"/>
        </w:rPr>
      </w:pPr>
      <w:r>
        <w:rPr>
          <w:rFonts w:hint="default" w:ascii="Times New Roman" w:hAnsi="Times New Roman" w:cs="Times New Roman"/>
          <w:sz w:val="32"/>
          <w:szCs w:val="32"/>
        </w:rPr>
        <w:t>部门主要负责人审签情况：</w:t>
      </w:r>
      <w:r>
        <w:rPr>
          <w:rFonts w:hint="default" w:ascii="Times New Roman" w:hAnsi="Times New Roman" w:cs="Times New Roman"/>
          <w:sz w:val="32"/>
          <w:szCs w:val="32"/>
          <w:lang w:eastAsia="zh-CN"/>
        </w:rPr>
        <w:t>邓运毅</w:t>
      </w:r>
    </w:p>
    <w:p>
      <w:pPr>
        <w:widowControl/>
        <w:jc w:val="center"/>
        <w:rPr>
          <w:rFonts w:hint="default" w:ascii="Times New Roman" w:hAnsi="Times New Roman" w:eastAsia="方正小标宋简体" w:cs="Times New Roman"/>
          <w:color w:val="000000"/>
          <w:sz w:val="36"/>
          <w:szCs w:val="36"/>
        </w:rPr>
      </w:pPr>
    </w:p>
    <w:p>
      <w:pPr>
        <w:widowControl/>
        <w:jc w:val="center"/>
        <w:rPr>
          <w:rFonts w:hint="default" w:ascii="Times New Roman" w:hAnsi="Times New Roman" w:eastAsia="黑体" w:cs="Times New Roman"/>
          <w:color w:val="000000"/>
          <w:sz w:val="48"/>
          <w:szCs w:val="48"/>
        </w:rPr>
      </w:pPr>
      <w:r>
        <w:rPr>
          <w:rFonts w:hint="default" w:ascii="Times New Roman" w:hAnsi="Times New Roman" w:eastAsia="方正小标宋简体" w:cs="Times New Roman"/>
          <w:sz w:val="36"/>
          <w:szCs w:val="36"/>
        </w:rPr>
        <w:br w:type="page"/>
      </w:r>
      <w:r>
        <w:rPr>
          <w:rFonts w:hint="default" w:ascii="Times New Roman" w:hAnsi="Times New Roman" w:eastAsia="黑体" w:cs="Times New Roman"/>
          <w:color w:val="000000"/>
          <w:sz w:val="48"/>
          <w:szCs w:val="48"/>
        </w:rPr>
        <w:t>目录</w:t>
      </w:r>
    </w:p>
    <w:p>
      <w:pPr>
        <w:pStyle w:val="17"/>
        <w:jc w:val="cente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公开时间：202</w:t>
      </w:r>
      <w:r>
        <w:rPr>
          <w:rFonts w:hint="default" w:ascii="Times New Roman" w:hAnsi="Times New Roman" w:cs="Times New Roman"/>
          <w:b w:val="0"/>
          <w:bCs w:val="0"/>
          <w:sz w:val="24"/>
          <w:szCs w:val="24"/>
          <w:lang w:val="en-US" w:eastAsia="zh-CN"/>
        </w:rPr>
        <w:t>3</w:t>
      </w:r>
      <w:r>
        <w:rPr>
          <w:rFonts w:hint="default" w:ascii="Times New Roman" w:hAnsi="Times New Roman" w:cs="Times New Roman"/>
          <w:b w:val="0"/>
          <w:bCs w:val="0"/>
          <w:sz w:val="24"/>
          <w:szCs w:val="24"/>
        </w:rPr>
        <w:t xml:space="preserve">年 </w:t>
      </w:r>
      <w:r>
        <w:rPr>
          <w:rFonts w:hint="default" w:ascii="Times New Roman" w:hAnsi="Times New Roman" w:cs="Times New Roman"/>
          <w:b w:val="0"/>
          <w:bCs w:val="0"/>
          <w:sz w:val="24"/>
          <w:szCs w:val="24"/>
          <w:lang w:val="en-US" w:eastAsia="zh-CN"/>
        </w:rPr>
        <w:t>9</w:t>
      </w:r>
      <w:r>
        <w:rPr>
          <w:rFonts w:hint="default" w:ascii="Times New Roman" w:hAnsi="Times New Roman" w:cs="Times New Roman"/>
          <w:b w:val="0"/>
          <w:bCs w:val="0"/>
          <w:sz w:val="24"/>
          <w:szCs w:val="24"/>
        </w:rPr>
        <w:t>月</w:t>
      </w:r>
      <w:r>
        <w:rPr>
          <w:rFonts w:hint="default" w:ascii="Times New Roman" w:hAnsi="Times New Roman" w:cs="Times New Roman"/>
          <w:b w:val="0"/>
          <w:bCs w:val="0"/>
          <w:sz w:val="24"/>
          <w:szCs w:val="24"/>
          <w:lang w:val="en-US" w:eastAsia="zh-CN"/>
        </w:rPr>
        <w:t>15</w:t>
      </w:r>
      <w:r>
        <w:rPr>
          <w:rFonts w:hint="default" w:ascii="Times New Roman" w:hAnsi="Times New Roman" w:cs="Times New Roman"/>
          <w:b w:val="0"/>
          <w:bCs w:val="0"/>
          <w:sz w:val="24"/>
          <w:szCs w:val="24"/>
        </w:rPr>
        <w:t>日</w:t>
      </w:r>
    </w:p>
    <w:p>
      <w:pPr>
        <w:pStyle w:val="17"/>
        <w:tabs>
          <w:tab w:val="right" w:leader="dot" w:pos="8296"/>
        </w:tabs>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fldChar w:fldCharType="begin"/>
      </w:r>
      <w:r>
        <w:rPr>
          <w:rFonts w:hint="default" w:ascii="Times New Roman" w:hAnsi="Times New Roman" w:eastAsia="仿宋_GB2312" w:cs="Times New Roman"/>
          <w:b w:val="0"/>
          <w:bCs w:val="0"/>
          <w:caps w:val="0"/>
          <w:smallCaps w:val="0"/>
          <w:kern w:val="2"/>
          <w:sz w:val="32"/>
          <w:szCs w:val="32"/>
          <w:lang w:val="en-US" w:eastAsia="zh-CN" w:bidi="ar-SA"/>
        </w:rPr>
        <w:instrText xml:space="preserve"> TOC \o \u </w:instrText>
      </w:r>
      <w:r>
        <w:rPr>
          <w:rFonts w:hint="default" w:ascii="Times New Roman" w:hAnsi="Times New Roman" w:eastAsia="仿宋_GB2312" w:cs="Times New Roman"/>
          <w:b w:val="0"/>
          <w:bCs w:val="0"/>
          <w:caps w:val="0"/>
          <w:smallCaps w:val="0"/>
          <w:kern w:val="2"/>
          <w:sz w:val="32"/>
          <w:szCs w:val="32"/>
          <w:lang w:val="en-US" w:eastAsia="zh-CN" w:bidi="ar-SA"/>
        </w:rPr>
        <w:fldChar w:fldCharType="separate"/>
      </w:r>
      <w:r>
        <w:rPr>
          <w:rFonts w:hint="default" w:ascii="Times New Roman" w:hAnsi="Times New Roman" w:eastAsia="仿宋_GB2312" w:cs="Times New Roman"/>
          <w:b w:val="0"/>
          <w:bCs w:val="0"/>
          <w:caps w:val="0"/>
          <w:smallCaps w:val="0"/>
          <w:kern w:val="2"/>
          <w:sz w:val="32"/>
          <w:szCs w:val="32"/>
          <w:lang w:val="en-US" w:eastAsia="zh-CN" w:bidi="ar-SA"/>
        </w:rPr>
        <w:t>第一部分 部门概况</w:t>
      </w:r>
      <w:r>
        <w:rPr>
          <w:rFonts w:hint="default" w:ascii="Times New Roman" w:hAnsi="Times New Roman" w:eastAsia="仿宋_GB2312" w:cs="Times New Roman"/>
          <w:b w:val="0"/>
          <w:bCs w:val="0"/>
          <w:caps w:val="0"/>
          <w:smallCaps w:val="0"/>
          <w:kern w:val="2"/>
          <w:sz w:val="32"/>
          <w:szCs w:val="32"/>
          <w:lang w:val="en-US" w:eastAsia="zh-CN" w:bidi="ar-SA"/>
        </w:rPr>
        <w:tab/>
      </w:r>
      <w:r>
        <w:rPr>
          <w:rFonts w:hint="default" w:ascii="Times New Roman" w:hAnsi="Times New Roman" w:eastAsia="仿宋_GB2312" w:cs="Times New Roman"/>
          <w:b w:val="0"/>
          <w:bCs w:val="0"/>
          <w:caps w:val="0"/>
          <w:smallCaps w:val="0"/>
          <w:kern w:val="2"/>
          <w:sz w:val="32"/>
          <w:szCs w:val="32"/>
          <w:lang w:val="en-US" w:eastAsia="zh-CN" w:bidi="ar-SA"/>
        </w:rPr>
        <w:t>4</w:t>
      </w:r>
    </w:p>
    <w:p>
      <w:pPr>
        <w:pStyle w:val="20"/>
        <w:tabs>
          <w:tab w:val="left" w:pos="840"/>
          <w:tab w:val="right" w:leader="dot" w:pos="8296"/>
        </w:tabs>
        <w:ind w:left="0" w:leftChars="0" w:firstLine="0" w:firstLineChars="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一、基本职能及主要工作</w:t>
      </w:r>
      <w:r>
        <w:rPr>
          <w:rFonts w:hint="default" w:ascii="Times New Roman" w:hAnsi="Times New Roman" w:eastAsia="仿宋_GB2312" w:cs="Times New Roman"/>
          <w:b w:val="0"/>
          <w:bCs w:val="0"/>
          <w:caps w:val="0"/>
          <w:smallCaps w:val="0"/>
          <w:kern w:val="2"/>
          <w:sz w:val="32"/>
          <w:szCs w:val="32"/>
          <w:lang w:val="en-US" w:eastAsia="zh-CN" w:bidi="ar-SA"/>
        </w:rPr>
        <w:tab/>
      </w:r>
      <w:r>
        <w:rPr>
          <w:rFonts w:hint="default" w:ascii="Times New Roman" w:hAnsi="Times New Roman" w:eastAsia="仿宋_GB2312" w:cs="Times New Roman"/>
          <w:b w:val="0"/>
          <w:bCs w:val="0"/>
          <w:caps w:val="0"/>
          <w:smallCaps w:val="0"/>
          <w:kern w:val="2"/>
          <w:sz w:val="32"/>
          <w:szCs w:val="32"/>
          <w:lang w:val="en-US" w:eastAsia="zh-CN" w:bidi="ar-SA"/>
        </w:rPr>
        <w:t>4</w:t>
      </w:r>
    </w:p>
    <w:p>
      <w:pPr>
        <w:pStyle w:val="20"/>
        <w:tabs>
          <w:tab w:val="left" w:pos="840"/>
          <w:tab w:val="right" w:leader="dot" w:pos="8296"/>
        </w:tabs>
        <w:ind w:left="0" w:leftChars="0" w:firstLine="0" w:firstLineChars="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二、机构设置</w:t>
      </w:r>
      <w:r>
        <w:rPr>
          <w:rFonts w:hint="default" w:ascii="Times New Roman" w:hAnsi="Times New Roman" w:eastAsia="仿宋_GB2312" w:cs="Times New Roman"/>
          <w:b w:val="0"/>
          <w:bCs w:val="0"/>
          <w:caps w:val="0"/>
          <w:smallCaps w:val="0"/>
          <w:kern w:val="2"/>
          <w:sz w:val="32"/>
          <w:szCs w:val="32"/>
          <w:lang w:val="en-US" w:eastAsia="zh-CN" w:bidi="ar-SA"/>
        </w:rPr>
        <w:tab/>
      </w:r>
      <w:r>
        <w:rPr>
          <w:rFonts w:hint="default" w:ascii="Times New Roman" w:hAnsi="Times New Roman" w:eastAsia="仿宋_GB2312" w:cs="Times New Roman"/>
          <w:b w:val="0"/>
          <w:bCs w:val="0"/>
          <w:caps w:val="0"/>
          <w:smallCaps w:val="0"/>
          <w:kern w:val="2"/>
          <w:sz w:val="32"/>
          <w:szCs w:val="32"/>
          <w:lang w:val="en-US" w:eastAsia="zh-CN" w:bidi="ar-SA"/>
        </w:rPr>
        <w:t>5</w:t>
      </w:r>
    </w:p>
    <w:p>
      <w:pPr>
        <w:pStyle w:val="20"/>
        <w:tabs>
          <w:tab w:val="left" w:pos="840"/>
          <w:tab w:val="right" w:leader="dot" w:pos="8296"/>
        </w:tabs>
        <w:ind w:left="0" w:leftChars="0" w:firstLine="0" w:firstLineChars="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第二部分 2022年度部门决算情况说明</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6</w:t>
      </w:r>
    </w:p>
    <w:p>
      <w:pPr>
        <w:pStyle w:val="20"/>
        <w:tabs>
          <w:tab w:val="left" w:pos="840"/>
          <w:tab w:val="right" w:leader="dot" w:pos="8296"/>
        </w:tabs>
        <w:ind w:left="0" w:leftChars="0" w:firstLine="0" w:firstLineChars="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一、</w:t>
      </w:r>
      <w:r>
        <w:rPr>
          <w:rFonts w:hint="default" w:ascii="Times New Roman" w:hAnsi="Times New Roman" w:eastAsia="仿宋_GB2312" w:cs="Times New Roman"/>
          <w:b w:val="0"/>
          <w:bCs w:val="0"/>
          <w:caps w:val="0"/>
          <w:smallCaps w:val="0"/>
          <w:kern w:val="2"/>
          <w:sz w:val="32"/>
          <w:szCs w:val="32"/>
          <w:lang w:val="en-US" w:eastAsia="zh-CN" w:bidi="ar-SA"/>
        </w:rPr>
        <w:tab/>
      </w:r>
      <w:r>
        <w:rPr>
          <w:rFonts w:hint="default" w:ascii="Times New Roman" w:hAnsi="Times New Roman" w:eastAsia="仿宋_GB2312" w:cs="Times New Roman"/>
          <w:b w:val="0"/>
          <w:bCs w:val="0"/>
          <w:caps w:val="0"/>
          <w:smallCaps w:val="0"/>
          <w:kern w:val="2"/>
          <w:sz w:val="32"/>
          <w:szCs w:val="32"/>
          <w:lang w:val="en-US" w:eastAsia="zh-CN" w:bidi="ar-SA"/>
        </w:rPr>
        <w:t>收入支出决算总体情况说明</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6</w:t>
      </w:r>
    </w:p>
    <w:p>
      <w:pPr>
        <w:pStyle w:val="20"/>
        <w:tabs>
          <w:tab w:val="left" w:pos="840"/>
          <w:tab w:val="right" w:leader="dot" w:pos="8296"/>
        </w:tabs>
        <w:ind w:left="0" w:leftChars="0" w:firstLine="0" w:firstLineChars="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二、</w:t>
      </w:r>
      <w:r>
        <w:rPr>
          <w:rFonts w:hint="default" w:ascii="Times New Roman" w:hAnsi="Times New Roman" w:eastAsia="仿宋_GB2312" w:cs="Times New Roman"/>
          <w:b w:val="0"/>
          <w:bCs w:val="0"/>
          <w:caps w:val="0"/>
          <w:smallCaps w:val="0"/>
          <w:kern w:val="2"/>
          <w:sz w:val="32"/>
          <w:szCs w:val="32"/>
          <w:lang w:val="en-US" w:eastAsia="zh-CN" w:bidi="ar-SA"/>
        </w:rPr>
        <w:tab/>
      </w:r>
      <w:r>
        <w:rPr>
          <w:rFonts w:hint="default" w:ascii="Times New Roman" w:hAnsi="Times New Roman" w:eastAsia="仿宋_GB2312" w:cs="Times New Roman"/>
          <w:b w:val="0"/>
          <w:bCs w:val="0"/>
          <w:caps w:val="0"/>
          <w:smallCaps w:val="0"/>
          <w:kern w:val="2"/>
          <w:sz w:val="32"/>
          <w:szCs w:val="32"/>
          <w:lang w:val="en-US" w:eastAsia="zh-CN" w:bidi="ar-SA"/>
        </w:rPr>
        <w:t>收入决算情况说明</w:t>
      </w:r>
      <w:r>
        <w:rPr>
          <w:rFonts w:hint="default" w:ascii="Times New Roman" w:hAnsi="Times New Roman" w:eastAsia="仿宋_GB2312" w:cs="Times New Roman"/>
          <w:b w:val="0"/>
          <w:bCs w:val="0"/>
          <w:caps w:val="0"/>
          <w:smallCaps w:val="0"/>
          <w:kern w:val="2"/>
          <w:sz w:val="32"/>
          <w:szCs w:val="32"/>
          <w:lang w:val="en-US" w:eastAsia="zh-CN" w:bidi="ar-SA"/>
        </w:rPr>
        <w:tab/>
      </w:r>
      <w:r>
        <w:rPr>
          <w:rFonts w:hint="default" w:ascii="Times New Roman" w:hAnsi="Times New Roman" w:eastAsia="仿宋_GB2312" w:cs="Times New Roman"/>
          <w:b w:val="0"/>
          <w:bCs w:val="0"/>
          <w:caps w:val="0"/>
          <w:smallCaps w:val="0"/>
          <w:kern w:val="2"/>
          <w:sz w:val="32"/>
          <w:szCs w:val="32"/>
          <w:lang w:val="en-US" w:eastAsia="zh-CN" w:bidi="ar-SA"/>
        </w:rPr>
        <w:t>6</w:t>
      </w:r>
    </w:p>
    <w:p>
      <w:pPr>
        <w:pStyle w:val="20"/>
        <w:tabs>
          <w:tab w:val="left" w:pos="840"/>
          <w:tab w:val="right" w:leader="dot" w:pos="8296"/>
        </w:tabs>
        <w:ind w:left="0" w:leftChars="0" w:firstLine="0" w:firstLineChars="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三、</w:t>
      </w:r>
      <w:r>
        <w:rPr>
          <w:rFonts w:hint="default" w:ascii="Times New Roman" w:hAnsi="Times New Roman" w:eastAsia="仿宋_GB2312" w:cs="Times New Roman"/>
          <w:b w:val="0"/>
          <w:bCs w:val="0"/>
          <w:caps w:val="0"/>
          <w:smallCaps w:val="0"/>
          <w:kern w:val="2"/>
          <w:sz w:val="32"/>
          <w:szCs w:val="32"/>
          <w:lang w:val="en-US" w:eastAsia="zh-CN" w:bidi="ar-SA"/>
        </w:rPr>
        <w:tab/>
      </w:r>
      <w:r>
        <w:rPr>
          <w:rFonts w:hint="default" w:ascii="Times New Roman" w:hAnsi="Times New Roman" w:eastAsia="仿宋_GB2312" w:cs="Times New Roman"/>
          <w:b w:val="0"/>
          <w:bCs w:val="0"/>
          <w:caps w:val="0"/>
          <w:smallCaps w:val="0"/>
          <w:kern w:val="2"/>
          <w:sz w:val="32"/>
          <w:szCs w:val="32"/>
          <w:lang w:val="en-US" w:eastAsia="zh-CN" w:bidi="ar-SA"/>
        </w:rPr>
        <w:t>支出决算情况说明</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7</w:t>
      </w:r>
    </w:p>
    <w:p>
      <w:pPr>
        <w:pStyle w:val="20"/>
        <w:tabs>
          <w:tab w:val="left" w:pos="840"/>
          <w:tab w:val="right" w:leader="dot" w:pos="8296"/>
        </w:tabs>
        <w:ind w:left="0" w:leftChars="0" w:firstLine="0" w:firstLineChars="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四、财政拨款收入支出决算总体情况说明</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8</w:t>
      </w:r>
    </w:p>
    <w:p>
      <w:pPr>
        <w:pStyle w:val="20"/>
        <w:tabs>
          <w:tab w:val="left" w:pos="840"/>
          <w:tab w:val="right" w:leader="dot" w:pos="8296"/>
        </w:tabs>
        <w:ind w:left="0" w:leftChars="0" w:firstLine="0" w:firstLineChars="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五、一般公共预算财政拨款支出决算情况说明</w:t>
      </w:r>
      <w:r>
        <w:rPr>
          <w:rFonts w:hint="default" w:ascii="Times New Roman" w:hAnsi="Times New Roman" w:eastAsia="仿宋_GB2312" w:cs="Times New Roman"/>
          <w:b w:val="0"/>
          <w:bCs w:val="0"/>
          <w:caps w:val="0"/>
          <w:smallCaps w:val="0"/>
          <w:kern w:val="2"/>
          <w:sz w:val="32"/>
          <w:szCs w:val="32"/>
          <w:lang w:val="en-US" w:eastAsia="zh-CN" w:bidi="ar-SA"/>
        </w:rPr>
        <w:tab/>
      </w:r>
      <w:r>
        <w:rPr>
          <w:rFonts w:hint="default" w:ascii="Times New Roman" w:hAnsi="Times New Roman" w:eastAsia="仿宋_GB2312" w:cs="Times New Roman"/>
          <w:b w:val="0"/>
          <w:bCs w:val="0"/>
          <w:caps w:val="0"/>
          <w:smallCaps w:val="0"/>
          <w:kern w:val="2"/>
          <w:sz w:val="32"/>
          <w:szCs w:val="32"/>
          <w:lang w:val="en-US" w:eastAsia="zh-CN" w:bidi="ar-SA"/>
        </w:rPr>
        <w:fldChar w:fldCharType="begin"/>
      </w:r>
      <w:r>
        <w:rPr>
          <w:rFonts w:hint="default" w:ascii="Times New Roman" w:hAnsi="Times New Roman" w:eastAsia="仿宋_GB2312" w:cs="Times New Roman"/>
          <w:b w:val="0"/>
          <w:bCs w:val="0"/>
          <w:caps w:val="0"/>
          <w:smallCaps w:val="0"/>
          <w:kern w:val="2"/>
          <w:sz w:val="32"/>
          <w:szCs w:val="32"/>
          <w:lang w:val="en-US" w:eastAsia="zh-CN" w:bidi="ar-SA"/>
        </w:rPr>
        <w:instrText xml:space="preserve"> PAGEREF _Toc79163864 \h </w:instrText>
      </w:r>
      <w:r>
        <w:rPr>
          <w:rFonts w:hint="default" w:ascii="Times New Roman" w:hAnsi="Times New Roman" w:eastAsia="仿宋_GB2312" w:cs="Times New Roman"/>
          <w:b w:val="0"/>
          <w:bCs w:val="0"/>
          <w:caps w:val="0"/>
          <w:smallCaps w:val="0"/>
          <w:kern w:val="2"/>
          <w:sz w:val="32"/>
          <w:szCs w:val="32"/>
          <w:lang w:val="en-US" w:eastAsia="zh-CN" w:bidi="ar-SA"/>
        </w:rPr>
        <w:fldChar w:fldCharType="separate"/>
      </w:r>
      <w:r>
        <w:rPr>
          <w:rFonts w:hint="default" w:ascii="Times New Roman" w:hAnsi="Times New Roman" w:eastAsia="仿宋_GB2312" w:cs="Times New Roman"/>
          <w:b w:val="0"/>
          <w:bCs w:val="0"/>
          <w:caps w:val="0"/>
          <w:smallCaps w:val="0"/>
          <w:kern w:val="2"/>
          <w:sz w:val="32"/>
          <w:szCs w:val="32"/>
          <w:lang w:val="en-US" w:eastAsia="zh-CN" w:bidi="ar-SA"/>
        </w:rPr>
        <w:t>8</w:t>
      </w:r>
      <w:r>
        <w:rPr>
          <w:rFonts w:hint="default" w:ascii="Times New Roman" w:hAnsi="Times New Roman" w:eastAsia="仿宋_GB2312" w:cs="Times New Roman"/>
          <w:b w:val="0"/>
          <w:bCs w:val="0"/>
          <w:caps w:val="0"/>
          <w:smallCaps w:val="0"/>
          <w:kern w:val="2"/>
          <w:sz w:val="32"/>
          <w:szCs w:val="32"/>
          <w:lang w:val="en-US" w:eastAsia="zh-CN" w:bidi="ar-SA"/>
        </w:rPr>
        <w:fldChar w:fldCharType="end"/>
      </w:r>
    </w:p>
    <w:p>
      <w:pPr>
        <w:pStyle w:val="20"/>
        <w:tabs>
          <w:tab w:val="left" w:pos="840"/>
          <w:tab w:val="right" w:leader="dot" w:pos="8296"/>
        </w:tabs>
        <w:ind w:left="0" w:leftChars="0" w:firstLine="0" w:firstLineChars="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六、一般公共预算财政拨款基本支出决算情况说明</w:t>
      </w:r>
      <w:r>
        <w:rPr>
          <w:rFonts w:hint="default" w:ascii="Times New Roman" w:hAnsi="Times New Roman" w:eastAsia="仿宋_GB2312" w:cs="Times New Roman"/>
          <w:b w:val="0"/>
          <w:bCs w:val="0"/>
          <w:caps w:val="0"/>
          <w:smallCaps w:val="0"/>
          <w:kern w:val="2"/>
          <w:sz w:val="32"/>
          <w:szCs w:val="32"/>
          <w:lang w:val="en-US" w:eastAsia="zh-CN" w:bidi="ar-SA"/>
        </w:rPr>
        <w:tab/>
      </w:r>
      <w:r>
        <w:rPr>
          <w:rFonts w:hint="default" w:ascii="Times New Roman" w:hAnsi="Times New Roman" w:eastAsia="仿宋_GB2312" w:cs="Times New Roman"/>
          <w:b w:val="0"/>
          <w:bCs w:val="0"/>
          <w:caps w:val="0"/>
          <w:smallCaps w:val="0"/>
          <w:kern w:val="2"/>
          <w:sz w:val="32"/>
          <w:szCs w:val="32"/>
          <w:lang w:val="en-US" w:eastAsia="zh-CN" w:bidi="ar-SA"/>
        </w:rPr>
        <w:t>9</w:t>
      </w:r>
    </w:p>
    <w:p>
      <w:pPr>
        <w:pStyle w:val="20"/>
        <w:tabs>
          <w:tab w:val="left" w:pos="840"/>
          <w:tab w:val="right" w:leader="dot" w:pos="8296"/>
        </w:tabs>
        <w:ind w:left="0" w:leftChars="0" w:firstLine="0" w:firstLineChars="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七、“三公”经费财政拨款支出决算情况说明</w:t>
      </w:r>
      <w:r>
        <w:rPr>
          <w:rFonts w:hint="default" w:ascii="Times New Roman" w:hAnsi="Times New Roman" w:eastAsia="仿宋_GB2312" w:cs="Times New Roman"/>
          <w:b w:val="0"/>
          <w:bCs w:val="0"/>
          <w:caps w:val="0"/>
          <w:smallCaps w:val="0"/>
          <w:kern w:val="2"/>
          <w:sz w:val="32"/>
          <w:szCs w:val="32"/>
          <w:lang w:val="en-US" w:eastAsia="zh-CN" w:bidi="ar-SA"/>
        </w:rPr>
        <w:tab/>
      </w:r>
      <w:r>
        <w:rPr>
          <w:rFonts w:hint="default" w:ascii="Times New Roman" w:hAnsi="Times New Roman" w:eastAsia="仿宋_GB2312" w:cs="Times New Roman"/>
          <w:b w:val="0"/>
          <w:bCs w:val="0"/>
          <w:caps w:val="0"/>
          <w:smallCaps w:val="0"/>
          <w:kern w:val="2"/>
          <w:sz w:val="32"/>
          <w:szCs w:val="32"/>
          <w:lang w:val="en-US" w:eastAsia="zh-CN" w:bidi="ar-SA"/>
        </w:rPr>
        <w:t>10</w:t>
      </w:r>
    </w:p>
    <w:p>
      <w:pPr>
        <w:pStyle w:val="20"/>
        <w:tabs>
          <w:tab w:val="left" w:pos="840"/>
          <w:tab w:val="right" w:leader="dot" w:pos="8296"/>
        </w:tabs>
        <w:ind w:left="0" w:leftChars="0" w:firstLine="0" w:firstLineChars="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八、政府性基金预算支出决算情况说明</w:t>
      </w:r>
      <w:r>
        <w:rPr>
          <w:rFonts w:hint="default" w:ascii="Times New Roman" w:hAnsi="Times New Roman" w:eastAsia="仿宋_GB2312" w:cs="Times New Roman"/>
          <w:b w:val="0"/>
          <w:bCs w:val="0"/>
          <w:caps w:val="0"/>
          <w:smallCaps w:val="0"/>
          <w:kern w:val="2"/>
          <w:sz w:val="32"/>
          <w:szCs w:val="32"/>
          <w:lang w:val="en-US" w:eastAsia="zh-CN" w:bidi="ar-SA"/>
        </w:rPr>
        <w:tab/>
      </w:r>
      <w:r>
        <w:rPr>
          <w:rFonts w:hint="default" w:ascii="Times New Roman" w:hAnsi="Times New Roman" w:eastAsia="仿宋_GB2312" w:cs="Times New Roman"/>
          <w:b w:val="0"/>
          <w:bCs w:val="0"/>
          <w:caps w:val="0"/>
          <w:smallCaps w:val="0"/>
          <w:kern w:val="2"/>
          <w:sz w:val="32"/>
          <w:szCs w:val="32"/>
          <w:lang w:val="en-US" w:eastAsia="zh-CN" w:bidi="ar-SA"/>
        </w:rPr>
        <w:t>1</w:t>
      </w:r>
      <w:r>
        <w:rPr>
          <w:rFonts w:hint="eastAsia" w:ascii="Times New Roman" w:eastAsia="仿宋_GB2312" w:cs="Times New Roman"/>
          <w:b w:val="0"/>
          <w:bCs w:val="0"/>
          <w:caps w:val="0"/>
          <w:smallCaps w:val="0"/>
          <w:kern w:val="2"/>
          <w:sz w:val="32"/>
          <w:szCs w:val="32"/>
          <w:lang w:val="en-US" w:eastAsia="zh-CN" w:bidi="ar-SA"/>
        </w:rPr>
        <w:t>1</w:t>
      </w:r>
    </w:p>
    <w:p>
      <w:pPr>
        <w:pStyle w:val="20"/>
        <w:tabs>
          <w:tab w:val="left" w:pos="840"/>
          <w:tab w:val="right" w:leader="dot" w:pos="8296"/>
        </w:tabs>
        <w:ind w:left="0" w:leftChars="0" w:firstLine="0" w:firstLineChars="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九、 国有资本经营预算支出决算情况说明</w:t>
      </w:r>
      <w:r>
        <w:rPr>
          <w:rFonts w:hint="default" w:ascii="Times New Roman" w:hAnsi="Times New Roman" w:eastAsia="仿宋_GB2312" w:cs="Times New Roman"/>
          <w:b w:val="0"/>
          <w:bCs w:val="0"/>
          <w:caps w:val="0"/>
          <w:smallCaps w:val="0"/>
          <w:kern w:val="2"/>
          <w:sz w:val="32"/>
          <w:szCs w:val="32"/>
          <w:lang w:val="en-US" w:eastAsia="zh-CN" w:bidi="ar-SA"/>
        </w:rPr>
        <w:tab/>
      </w:r>
      <w:r>
        <w:rPr>
          <w:rFonts w:hint="default" w:ascii="Times New Roman" w:hAnsi="Times New Roman" w:eastAsia="仿宋_GB2312" w:cs="Times New Roman"/>
          <w:b w:val="0"/>
          <w:bCs w:val="0"/>
          <w:caps w:val="0"/>
          <w:smallCaps w:val="0"/>
          <w:kern w:val="2"/>
          <w:sz w:val="32"/>
          <w:szCs w:val="32"/>
          <w:lang w:val="en-US" w:eastAsia="zh-CN" w:bidi="ar-SA"/>
        </w:rPr>
        <w:t>1</w:t>
      </w:r>
      <w:r>
        <w:rPr>
          <w:rFonts w:hint="eastAsia" w:ascii="Times New Roman" w:eastAsia="仿宋_GB2312" w:cs="Times New Roman"/>
          <w:b w:val="0"/>
          <w:bCs w:val="0"/>
          <w:caps w:val="0"/>
          <w:smallCaps w:val="0"/>
          <w:kern w:val="2"/>
          <w:sz w:val="32"/>
          <w:szCs w:val="32"/>
          <w:lang w:val="en-US" w:eastAsia="zh-CN" w:bidi="ar-SA"/>
        </w:rPr>
        <w:t>1</w:t>
      </w:r>
    </w:p>
    <w:p>
      <w:pPr>
        <w:pStyle w:val="20"/>
        <w:tabs>
          <w:tab w:val="left" w:pos="840"/>
          <w:tab w:val="right" w:leader="dot" w:pos="8296"/>
        </w:tabs>
        <w:ind w:left="0" w:leftChars="0" w:firstLine="0" w:firstLineChars="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十、其他重要事项的情况说明</w:t>
      </w:r>
      <w:r>
        <w:rPr>
          <w:rFonts w:hint="default" w:ascii="Times New Roman" w:hAnsi="Times New Roman" w:eastAsia="仿宋_GB2312" w:cs="Times New Roman"/>
          <w:b w:val="0"/>
          <w:bCs w:val="0"/>
          <w:caps w:val="0"/>
          <w:smallCaps w:val="0"/>
          <w:kern w:val="2"/>
          <w:sz w:val="32"/>
          <w:szCs w:val="32"/>
          <w:lang w:val="en-US" w:eastAsia="zh-CN" w:bidi="ar-SA"/>
        </w:rPr>
        <w:tab/>
      </w:r>
      <w:r>
        <w:rPr>
          <w:rFonts w:hint="default" w:ascii="Times New Roman" w:hAnsi="Times New Roman" w:eastAsia="仿宋_GB2312" w:cs="Times New Roman"/>
          <w:b w:val="0"/>
          <w:bCs w:val="0"/>
          <w:caps w:val="0"/>
          <w:smallCaps w:val="0"/>
          <w:kern w:val="2"/>
          <w:sz w:val="32"/>
          <w:szCs w:val="32"/>
          <w:lang w:val="en-US" w:eastAsia="zh-CN" w:bidi="ar-SA"/>
        </w:rPr>
        <w:t>1</w:t>
      </w:r>
      <w:r>
        <w:rPr>
          <w:rFonts w:hint="eastAsia" w:ascii="Times New Roman" w:eastAsia="仿宋_GB2312" w:cs="Times New Roman"/>
          <w:b w:val="0"/>
          <w:bCs w:val="0"/>
          <w:caps w:val="0"/>
          <w:smallCaps w:val="0"/>
          <w:kern w:val="2"/>
          <w:sz w:val="32"/>
          <w:szCs w:val="32"/>
          <w:lang w:val="en-US" w:eastAsia="zh-CN" w:bidi="ar-SA"/>
        </w:rPr>
        <w:t>1</w:t>
      </w:r>
    </w:p>
    <w:p>
      <w:pPr>
        <w:pStyle w:val="17"/>
        <w:tabs>
          <w:tab w:val="right" w:leader="dot" w:pos="8296"/>
        </w:tabs>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第三部分 名词解释</w:t>
      </w:r>
      <w:r>
        <w:rPr>
          <w:rFonts w:hint="default" w:ascii="Times New Roman" w:hAnsi="Times New Roman" w:eastAsia="仿宋_GB2312" w:cs="Times New Roman"/>
          <w:b w:val="0"/>
          <w:bCs w:val="0"/>
          <w:caps w:val="0"/>
          <w:smallCaps w:val="0"/>
          <w:kern w:val="2"/>
          <w:sz w:val="32"/>
          <w:szCs w:val="32"/>
          <w:lang w:val="en-US" w:eastAsia="zh-CN" w:bidi="ar-SA"/>
        </w:rPr>
        <w:tab/>
      </w:r>
      <w:r>
        <w:rPr>
          <w:rFonts w:hint="default" w:ascii="Times New Roman" w:hAnsi="Times New Roman" w:eastAsia="仿宋_GB2312" w:cs="Times New Roman"/>
          <w:b w:val="0"/>
          <w:bCs w:val="0"/>
          <w:caps w:val="0"/>
          <w:smallCaps w:val="0"/>
          <w:kern w:val="2"/>
          <w:sz w:val="32"/>
          <w:szCs w:val="32"/>
          <w:lang w:val="en-US" w:eastAsia="zh-CN" w:bidi="ar-SA"/>
        </w:rPr>
        <w:t>1</w:t>
      </w:r>
      <w:r>
        <w:rPr>
          <w:rFonts w:hint="eastAsia" w:ascii="Times New Roman" w:eastAsia="仿宋_GB2312" w:cs="Times New Roman"/>
          <w:b w:val="0"/>
          <w:bCs w:val="0"/>
          <w:caps w:val="0"/>
          <w:smallCaps w:val="0"/>
          <w:kern w:val="2"/>
          <w:sz w:val="32"/>
          <w:szCs w:val="32"/>
          <w:lang w:val="en-US" w:eastAsia="zh-CN" w:bidi="ar-SA"/>
        </w:rPr>
        <w:t>3</w:t>
      </w:r>
    </w:p>
    <w:p>
      <w:pPr>
        <w:pStyle w:val="17"/>
        <w:tabs>
          <w:tab w:val="right" w:leader="dot" w:pos="8296"/>
        </w:tabs>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第四部分 附表</w:t>
      </w:r>
      <w:r>
        <w:rPr>
          <w:rFonts w:hint="default" w:ascii="Times New Roman" w:hAnsi="Times New Roman" w:eastAsia="仿宋_GB2312" w:cs="Times New Roman"/>
          <w:b w:val="0"/>
          <w:bCs w:val="0"/>
          <w:caps w:val="0"/>
          <w:smallCaps w:val="0"/>
          <w:kern w:val="2"/>
          <w:sz w:val="32"/>
          <w:szCs w:val="32"/>
          <w:lang w:val="en-US" w:eastAsia="zh-CN" w:bidi="ar-SA"/>
        </w:rPr>
        <w:tab/>
      </w:r>
      <w:r>
        <w:rPr>
          <w:rFonts w:hint="default" w:ascii="Times New Roman" w:hAnsi="Times New Roman" w:eastAsia="仿宋_GB2312" w:cs="Times New Roman"/>
          <w:b w:val="0"/>
          <w:bCs w:val="0"/>
          <w:caps w:val="0"/>
          <w:smallCaps w:val="0"/>
          <w:kern w:val="2"/>
          <w:sz w:val="32"/>
          <w:szCs w:val="32"/>
          <w:lang w:val="en-US" w:eastAsia="zh-CN" w:bidi="ar-SA"/>
        </w:rPr>
        <w:t>1</w:t>
      </w:r>
      <w:r>
        <w:rPr>
          <w:rFonts w:hint="eastAsia" w:ascii="Times New Roman" w:eastAsia="仿宋_GB2312" w:cs="Times New Roman"/>
          <w:b w:val="0"/>
          <w:bCs w:val="0"/>
          <w:caps w:val="0"/>
          <w:smallCaps w:val="0"/>
          <w:kern w:val="2"/>
          <w:sz w:val="32"/>
          <w:szCs w:val="32"/>
          <w:lang w:val="en-US" w:eastAsia="zh-CN" w:bidi="ar-SA"/>
        </w:rPr>
        <w:t>7</w:t>
      </w:r>
    </w:p>
    <w:p>
      <w:pPr>
        <w:pStyle w:val="20"/>
        <w:tabs>
          <w:tab w:val="right" w:leader="dot" w:pos="8296"/>
        </w:tabs>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一、收入支出决算总表</w:t>
      </w:r>
      <w:r>
        <w:rPr>
          <w:rFonts w:hint="default" w:ascii="Times New Roman" w:hAnsi="Times New Roman" w:eastAsia="仿宋_GB2312" w:cs="Times New Roman"/>
          <w:b w:val="0"/>
          <w:bCs w:val="0"/>
          <w:caps w:val="0"/>
          <w:smallCaps w:val="0"/>
          <w:kern w:val="2"/>
          <w:sz w:val="32"/>
          <w:szCs w:val="32"/>
          <w:lang w:val="en-US" w:eastAsia="zh-CN" w:bidi="ar-SA"/>
        </w:rPr>
        <w:tab/>
      </w:r>
      <w:r>
        <w:rPr>
          <w:rFonts w:hint="default" w:ascii="Times New Roman" w:hAnsi="Times New Roman" w:eastAsia="仿宋_GB2312" w:cs="Times New Roman"/>
          <w:b w:val="0"/>
          <w:bCs w:val="0"/>
          <w:caps w:val="0"/>
          <w:smallCaps w:val="0"/>
          <w:kern w:val="2"/>
          <w:sz w:val="32"/>
          <w:szCs w:val="32"/>
          <w:lang w:val="en-US" w:eastAsia="zh-CN" w:bidi="ar-SA"/>
        </w:rPr>
        <w:t>1</w:t>
      </w:r>
      <w:r>
        <w:rPr>
          <w:rFonts w:hint="eastAsia" w:ascii="Times New Roman" w:eastAsia="仿宋_GB2312" w:cs="Times New Roman"/>
          <w:b w:val="0"/>
          <w:bCs w:val="0"/>
          <w:caps w:val="0"/>
          <w:smallCaps w:val="0"/>
          <w:kern w:val="2"/>
          <w:sz w:val="32"/>
          <w:szCs w:val="32"/>
          <w:lang w:val="en-US" w:eastAsia="zh-CN" w:bidi="ar-SA"/>
        </w:rPr>
        <w:t>7</w:t>
      </w:r>
    </w:p>
    <w:p>
      <w:pPr>
        <w:pStyle w:val="20"/>
        <w:tabs>
          <w:tab w:val="right" w:leader="dot" w:pos="8296"/>
        </w:tabs>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二、收入决算表</w:t>
      </w:r>
      <w:r>
        <w:rPr>
          <w:rFonts w:hint="default" w:ascii="Times New Roman" w:hAnsi="Times New Roman" w:eastAsia="仿宋_GB2312" w:cs="Times New Roman"/>
          <w:b w:val="0"/>
          <w:bCs w:val="0"/>
          <w:caps w:val="0"/>
          <w:smallCaps w:val="0"/>
          <w:kern w:val="2"/>
          <w:sz w:val="32"/>
          <w:szCs w:val="32"/>
          <w:lang w:val="en-US" w:eastAsia="zh-CN" w:bidi="ar-SA"/>
        </w:rPr>
        <w:tab/>
      </w:r>
      <w:r>
        <w:rPr>
          <w:rFonts w:hint="default" w:ascii="Times New Roman" w:hAnsi="Times New Roman" w:eastAsia="仿宋_GB2312" w:cs="Times New Roman"/>
          <w:b w:val="0"/>
          <w:bCs w:val="0"/>
          <w:caps w:val="0"/>
          <w:smallCaps w:val="0"/>
          <w:kern w:val="2"/>
          <w:sz w:val="32"/>
          <w:szCs w:val="32"/>
          <w:lang w:val="en-US" w:eastAsia="zh-CN" w:bidi="ar-SA"/>
        </w:rPr>
        <w:t>1</w:t>
      </w:r>
      <w:r>
        <w:rPr>
          <w:rFonts w:hint="eastAsia" w:ascii="Times New Roman" w:eastAsia="仿宋_GB2312" w:cs="Times New Roman"/>
          <w:b w:val="0"/>
          <w:bCs w:val="0"/>
          <w:caps w:val="0"/>
          <w:smallCaps w:val="0"/>
          <w:kern w:val="2"/>
          <w:sz w:val="32"/>
          <w:szCs w:val="32"/>
          <w:lang w:val="en-US" w:eastAsia="zh-CN" w:bidi="ar-SA"/>
        </w:rPr>
        <w:t>7</w:t>
      </w:r>
    </w:p>
    <w:p>
      <w:pPr>
        <w:pStyle w:val="20"/>
        <w:tabs>
          <w:tab w:val="right" w:leader="dot" w:pos="8296"/>
        </w:tabs>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三、支出决算表</w:t>
      </w:r>
      <w:r>
        <w:rPr>
          <w:rFonts w:hint="default" w:ascii="Times New Roman" w:hAnsi="Times New Roman" w:eastAsia="仿宋_GB2312" w:cs="Times New Roman"/>
          <w:b w:val="0"/>
          <w:bCs w:val="0"/>
          <w:caps w:val="0"/>
          <w:smallCaps w:val="0"/>
          <w:kern w:val="2"/>
          <w:sz w:val="32"/>
          <w:szCs w:val="32"/>
          <w:lang w:val="en-US" w:eastAsia="zh-CN" w:bidi="ar-SA"/>
        </w:rPr>
        <w:tab/>
      </w:r>
      <w:r>
        <w:rPr>
          <w:rFonts w:hint="default" w:ascii="Times New Roman" w:hAnsi="Times New Roman" w:eastAsia="仿宋_GB2312" w:cs="Times New Roman"/>
          <w:b w:val="0"/>
          <w:bCs w:val="0"/>
          <w:caps w:val="0"/>
          <w:smallCaps w:val="0"/>
          <w:kern w:val="2"/>
          <w:sz w:val="32"/>
          <w:szCs w:val="32"/>
          <w:lang w:val="en-US" w:eastAsia="zh-CN" w:bidi="ar-SA"/>
        </w:rPr>
        <w:t>1</w:t>
      </w:r>
      <w:r>
        <w:rPr>
          <w:rFonts w:hint="eastAsia" w:ascii="Times New Roman" w:eastAsia="仿宋_GB2312" w:cs="Times New Roman"/>
          <w:b w:val="0"/>
          <w:bCs w:val="0"/>
          <w:caps w:val="0"/>
          <w:smallCaps w:val="0"/>
          <w:kern w:val="2"/>
          <w:sz w:val="32"/>
          <w:szCs w:val="32"/>
          <w:lang w:val="en-US" w:eastAsia="zh-CN" w:bidi="ar-SA"/>
        </w:rPr>
        <w:t>7</w:t>
      </w:r>
    </w:p>
    <w:p>
      <w:pPr>
        <w:pStyle w:val="20"/>
        <w:tabs>
          <w:tab w:val="right" w:leader="dot" w:pos="8296"/>
        </w:tabs>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四、财政拨款收入支出决算总表</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17</w:t>
      </w:r>
    </w:p>
    <w:p>
      <w:pPr>
        <w:pStyle w:val="20"/>
        <w:tabs>
          <w:tab w:val="right" w:leader="dot" w:pos="8296"/>
        </w:tabs>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五、财政拨款支出决算明细表</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17</w:t>
      </w:r>
    </w:p>
    <w:p>
      <w:pPr>
        <w:pStyle w:val="20"/>
        <w:tabs>
          <w:tab w:val="right" w:leader="dot" w:pos="8296"/>
        </w:tabs>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六、一般公共预算财政拨款支出决算表</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17</w:t>
      </w:r>
    </w:p>
    <w:p>
      <w:pPr>
        <w:pStyle w:val="20"/>
        <w:tabs>
          <w:tab w:val="right" w:leader="dot" w:pos="8296"/>
        </w:tabs>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七、一般公共预算财政拨款支出决算明细表</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17</w:t>
      </w:r>
    </w:p>
    <w:p>
      <w:pPr>
        <w:pStyle w:val="20"/>
        <w:tabs>
          <w:tab w:val="right" w:leader="dot" w:pos="8296"/>
        </w:tabs>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八、一般公共预算财政拨款基本支出决算表</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17</w:t>
      </w:r>
    </w:p>
    <w:p>
      <w:pPr>
        <w:pStyle w:val="20"/>
        <w:tabs>
          <w:tab w:val="right" w:leader="dot" w:pos="8296"/>
        </w:tabs>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九、一般公共预算财政拨款项目支出决算表</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17</w:t>
      </w:r>
    </w:p>
    <w:p>
      <w:pPr>
        <w:pStyle w:val="20"/>
        <w:tabs>
          <w:tab w:val="right" w:leader="dot" w:pos="8296"/>
        </w:tabs>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十、一般公共预算财政拨款“三公”经费支出决算表</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17</w:t>
      </w:r>
    </w:p>
    <w:p>
      <w:pPr>
        <w:pStyle w:val="20"/>
        <w:tabs>
          <w:tab w:val="right" w:leader="dot" w:pos="8296"/>
        </w:tabs>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十一、政府性基金预算财政拨款收入支出决算表</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17</w:t>
      </w:r>
    </w:p>
    <w:p>
      <w:pPr>
        <w:pStyle w:val="20"/>
        <w:tabs>
          <w:tab w:val="right" w:leader="dot" w:pos="8296"/>
        </w:tabs>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十二、政府性基金预算财政拨款“三公”经费支出决算表</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17</w:t>
      </w:r>
      <w:bookmarkStart w:id="138" w:name="_GoBack"/>
      <w:bookmarkEnd w:id="138"/>
    </w:p>
    <w:p>
      <w:pPr>
        <w:pStyle w:val="20"/>
        <w:tabs>
          <w:tab w:val="right" w:leader="dot" w:pos="8296"/>
        </w:tabs>
        <w:rPr>
          <w:rFonts w:hint="default" w:ascii="Times New Roman" w:hAnsi="Times New Roman" w:eastAsia="仿宋_GB2312" w:cs="Times New Roman"/>
          <w:b w:val="0"/>
          <w:bCs w:val="0"/>
          <w:caps w:val="0"/>
          <w:smallCaps w:val="0"/>
          <w:kern w:val="2"/>
          <w:sz w:val="32"/>
          <w:szCs w:val="32"/>
          <w:lang w:val="en-US" w:eastAsia="zh-CN" w:bidi="ar-SA"/>
        </w:rPr>
      </w:pPr>
    </w:p>
    <w:p>
      <w:pPr>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fldChar w:fldCharType="end"/>
      </w:r>
      <w:bookmarkStart w:id="13" w:name="_Toc15396599"/>
      <w:bookmarkStart w:id="14" w:name="_Toc15377196"/>
      <w:bookmarkStart w:id="15" w:name="_Toc79163601"/>
      <w:bookmarkStart w:id="16" w:name="_Toc79163851"/>
    </w:p>
    <w:p>
      <w:pPr>
        <w:pStyle w:val="2"/>
        <w:rPr>
          <w:rFonts w:hint="default" w:ascii="Times New Roman" w:hAnsi="Times New Roman" w:eastAsia="仿宋" w:cs="Times New Roman"/>
          <w:b w:val="0"/>
          <w:bCs w:val="0"/>
          <w:caps w:val="0"/>
          <w:smallCaps/>
          <w:color w:val="000000"/>
          <w:kern w:val="2"/>
          <w:sz w:val="30"/>
          <w:szCs w:val="30"/>
          <w:lang w:val="en-US" w:eastAsia="zh-CN" w:bidi="ar-SA"/>
        </w:rPr>
      </w:pPr>
    </w:p>
    <w:p>
      <w:pPr>
        <w:pStyle w:val="5"/>
        <w:rPr>
          <w:rFonts w:hint="default" w:ascii="Times New Roman" w:hAnsi="Times New Roman" w:eastAsia="仿宋" w:cs="Times New Roman"/>
          <w:b w:val="0"/>
          <w:bCs w:val="0"/>
          <w:caps w:val="0"/>
          <w:smallCaps/>
          <w:color w:val="000000"/>
          <w:kern w:val="2"/>
          <w:sz w:val="30"/>
          <w:szCs w:val="30"/>
          <w:lang w:val="en-US" w:eastAsia="zh-CN" w:bidi="ar-SA"/>
        </w:rPr>
      </w:pPr>
    </w:p>
    <w:p>
      <w:pPr>
        <w:pStyle w:val="5"/>
        <w:rPr>
          <w:rFonts w:hint="default" w:ascii="Times New Roman" w:hAnsi="Times New Roman" w:eastAsia="仿宋" w:cs="Times New Roman"/>
          <w:b w:val="0"/>
          <w:bCs w:val="0"/>
          <w:caps w:val="0"/>
          <w:smallCaps/>
          <w:color w:val="000000"/>
          <w:kern w:val="2"/>
          <w:sz w:val="30"/>
          <w:szCs w:val="30"/>
          <w:lang w:val="en-US" w:eastAsia="zh-CN" w:bidi="ar-SA"/>
        </w:rPr>
      </w:pPr>
    </w:p>
    <w:p>
      <w:pPr>
        <w:pStyle w:val="5"/>
        <w:rPr>
          <w:rFonts w:hint="default" w:ascii="Times New Roman" w:hAnsi="Times New Roman" w:eastAsia="仿宋" w:cs="Times New Roman"/>
          <w:b w:val="0"/>
          <w:bCs w:val="0"/>
          <w:caps w:val="0"/>
          <w:smallCaps/>
          <w:color w:val="000000"/>
          <w:kern w:val="2"/>
          <w:sz w:val="30"/>
          <w:szCs w:val="30"/>
          <w:lang w:val="en-US" w:eastAsia="zh-CN" w:bidi="ar-SA"/>
        </w:rPr>
      </w:pPr>
    </w:p>
    <w:p>
      <w:pPr>
        <w:pStyle w:val="5"/>
        <w:rPr>
          <w:rFonts w:hint="default" w:ascii="Times New Roman" w:hAnsi="Times New Roman" w:eastAsia="仿宋" w:cs="Times New Roman"/>
          <w:b w:val="0"/>
          <w:bCs w:val="0"/>
          <w:caps w:val="0"/>
          <w:smallCaps/>
          <w:color w:val="000000"/>
          <w:kern w:val="2"/>
          <w:sz w:val="30"/>
          <w:szCs w:val="30"/>
          <w:lang w:val="en-US" w:eastAsia="zh-CN" w:bidi="ar-SA"/>
        </w:rPr>
      </w:pPr>
    </w:p>
    <w:p>
      <w:pPr>
        <w:pStyle w:val="5"/>
        <w:rPr>
          <w:rFonts w:hint="default" w:ascii="Times New Roman" w:hAnsi="Times New Roman" w:eastAsia="仿宋" w:cs="Times New Roman"/>
          <w:b w:val="0"/>
          <w:bCs w:val="0"/>
          <w:caps w:val="0"/>
          <w:smallCaps/>
          <w:color w:val="000000"/>
          <w:kern w:val="2"/>
          <w:sz w:val="30"/>
          <w:szCs w:val="30"/>
          <w:lang w:val="en-US" w:eastAsia="zh-CN" w:bidi="ar-SA"/>
        </w:rPr>
      </w:pPr>
    </w:p>
    <w:p>
      <w:pPr>
        <w:pStyle w:val="5"/>
        <w:rPr>
          <w:rFonts w:hint="default" w:ascii="Times New Roman" w:hAnsi="Times New Roman" w:eastAsia="仿宋" w:cs="Times New Roman"/>
          <w:b w:val="0"/>
          <w:bCs w:val="0"/>
          <w:caps w:val="0"/>
          <w:smallCaps/>
          <w:color w:val="000000"/>
          <w:kern w:val="2"/>
          <w:sz w:val="30"/>
          <w:szCs w:val="30"/>
          <w:lang w:val="en-US" w:eastAsia="zh-CN" w:bidi="ar-SA"/>
        </w:rPr>
      </w:pPr>
    </w:p>
    <w:p>
      <w:pPr>
        <w:pStyle w:val="6"/>
        <w:jc w:val="center"/>
        <w:rPr>
          <w:rFonts w:hint="default" w:ascii="Times New Roman" w:hAnsi="Times New Roman" w:eastAsia="黑体" w:cs="Times New Roman"/>
          <w:color w:val="000000"/>
          <w:sz w:val="32"/>
          <w:szCs w:val="32"/>
        </w:rPr>
      </w:pPr>
      <w:r>
        <w:rPr>
          <w:rFonts w:hint="default" w:ascii="Times New Roman" w:hAnsi="Times New Roman" w:eastAsia="黑体" w:cs="Times New Roman"/>
          <w:b w:val="0"/>
        </w:rPr>
        <w:t xml:space="preserve">第一部分 </w:t>
      </w:r>
      <w:r>
        <w:rPr>
          <w:rStyle w:val="28"/>
          <w:rFonts w:hint="default" w:ascii="Times New Roman" w:hAnsi="Times New Roman" w:eastAsia="黑体" w:cs="Times New Roman"/>
          <w:b w:val="0"/>
          <w:bCs w:val="0"/>
        </w:rPr>
        <w:t>部门概况</w:t>
      </w:r>
      <w:bookmarkEnd w:id="13"/>
      <w:bookmarkEnd w:id="14"/>
      <w:bookmarkEnd w:id="15"/>
      <w:bookmarkEnd w:id="16"/>
    </w:p>
    <w:p>
      <w:pPr>
        <w:pStyle w:val="7"/>
        <w:numPr>
          <w:ilvl w:val="0"/>
          <w:numId w:val="0"/>
        </w:numPr>
        <w:ind w:leftChars="0" w:firstLine="640" w:firstLineChars="200"/>
        <w:rPr>
          <w:rStyle w:val="29"/>
          <w:rFonts w:hint="default" w:ascii="Times New Roman" w:hAnsi="Times New Roman" w:eastAsia="黑体" w:cs="Times New Roman"/>
          <w:b w:val="0"/>
          <w:bCs w:val="0"/>
        </w:rPr>
      </w:pPr>
      <w:bookmarkStart w:id="17" w:name="_Toc15377197"/>
      <w:bookmarkStart w:id="18" w:name="_Toc15396600"/>
      <w:bookmarkStart w:id="19" w:name="_Toc79163852"/>
      <w:bookmarkStart w:id="20" w:name="_Toc79163602"/>
      <w:r>
        <w:rPr>
          <w:rFonts w:hint="default" w:ascii="Times New Roman" w:hAnsi="Times New Roman" w:eastAsia="黑体" w:cs="Times New Roman"/>
          <w:b w:val="0"/>
          <w:color w:val="000000"/>
          <w:lang w:eastAsia="zh-CN"/>
        </w:rPr>
        <w:t>一、</w:t>
      </w:r>
      <w:r>
        <w:rPr>
          <w:rFonts w:hint="default" w:ascii="Times New Roman" w:hAnsi="Times New Roman" w:eastAsia="黑体" w:cs="Times New Roman"/>
          <w:b w:val="0"/>
          <w:color w:val="000000"/>
        </w:rPr>
        <w:t>基</w:t>
      </w:r>
      <w:r>
        <w:rPr>
          <w:rStyle w:val="29"/>
          <w:rFonts w:hint="default" w:ascii="Times New Roman" w:hAnsi="Times New Roman" w:eastAsia="黑体" w:cs="Times New Roman"/>
          <w:b w:val="0"/>
          <w:bCs w:val="0"/>
        </w:rPr>
        <w:t>本职能及主要工作</w:t>
      </w:r>
      <w:bookmarkEnd w:id="17"/>
      <w:bookmarkEnd w:id="18"/>
      <w:bookmarkEnd w:id="19"/>
      <w:bookmarkEnd w:id="20"/>
    </w:p>
    <w:p>
      <w:pPr>
        <w:ind w:firstLine="482" w:firstLineChars="15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(一)主要职能</w:t>
      </w:r>
    </w:p>
    <w:p>
      <w:pPr>
        <w:spacing w:line="580" w:lineRule="exact"/>
        <w:ind w:firstLine="640" w:firstLineChars="200"/>
        <w:rPr>
          <w:rFonts w:hint="default" w:ascii="Times New Roman" w:hAnsi="Times New Roman" w:eastAsia="仿宋_GB2312" w:cs="Times New Roman"/>
          <w:sz w:val="32"/>
          <w:szCs w:val="32"/>
        </w:rPr>
      </w:pPr>
      <w:bookmarkStart w:id="21" w:name="_Toc15377199"/>
      <w:bookmarkStart w:id="22" w:name="_Toc15378446"/>
      <w:bookmarkStart w:id="23" w:name="_Toc79163854"/>
      <w:bookmarkStart w:id="24" w:name="_Toc79163604"/>
      <w:r>
        <w:rPr>
          <w:rFonts w:hint="default" w:ascii="Times New Roman" w:hAnsi="Times New Roman" w:eastAsia="仿宋_GB2312" w:cs="Times New Roman"/>
          <w:sz w:val="32"/>
          <w:szCs w:val="32"/>
        </w:rPr>
        <w:t>1.负责建立健全生态环境保护监督管理制度。贯彻落实生态环境保护方面的法律法规和国家、省、州标准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贯彻执行生态环境监测制度、规范和有关标准。会同有关部门统一规划生态环境质量监测站点设置。组织实施生态环境质量监测、污染源监督性监测、温室气体减排监测、应急监测。组织开展生态环境质量状况的调查评价、预警预测。依法公开环境质量、环境监测等环境信息。</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.完成州生态环境监测中心站交办的</w:t>
      </w:r>
      <w:r>
        <w:rPr>
          <w:rFonts w:hint="default" w:ascii="Times New Roman" w:hAnsi="Times New Roman" w:eastAsia="仿宋_GB2312" w:cs="Times New Roman"/>
          <w:sz w:val="32"/>
          <w:szCs w:val="32"/>
          <w:lang w:eastAsia="zh-CN"/>
        </w:rPr>
        <w:t>各项工作</w:t>
      </w:r>
      <w:r>
        <w:rPr>
          <w:rFonts w:hint="default" w:ascii="Times New Roman" w:hAnsi="Times New Roman" w:eastAsia="仿宋_GB2312" w:cs="Times New Roman"/>
          <w:sz w:val="32"/>
          <w:szCs w:val="32"/>
        </w:rPr>
        <w:t>任务</w:t>
      </w:r>
      <w:r>
        <w:rPr>
          <w:rFonts w:hint="default" w:ascii="Times New Roman" w:hAnsi="Times New Roman" w:eastAsia="仿宋_GB2312" w:cs="Times New Roman"/>
          <w:sz w:val="32"/>
          <w:szCs w:val="32"/>
          <w:lang w:eastAsia="zh-CN"/>
        </w:rPr>
        <w:t>，同时积极配合县生态环境局完成其他环境监测工作</w:t>
      </w:r>
      <w:r>
        <w:rPr>
          <w:rFonts w:hint="default" w:ascii="Times New Roman" w:hAnsi="Times New Roman" w:eastAsia="仿宋_GB2312" w:cs="Times New Roman"/>
          <w:sz w:val="32"/>
          <w:szCs w:val="32"/>
        </w:rPr>
        <w:t>。</w:t>
      </w:r>
    </w:p>
    <w:p>
      <w:pPr>
        <w:spacing w:line="580" w:lineRule="exact"/>
        <w:ind w:firstLine="640" w:firstLineChars="200"/>
        <w:rPr>
          <w:rFonts w:hint="default" w:ascii="Times New Roman" w:hAnsi="Times New Roman" w:cs="Times New Roman"/>
          <w:kern w:val="2"/>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配合</w:t>
      </w:r>
      <w:r>
        <w:rPr>
          <w:rFonts w:hint="default" w:ascii="Times New Roman" w:hAnsi="Times New Roman" w:eastAsia="仿宋_GB2312" w:cs="Times New Roman"/>
          <w:sz w:val="32"/>
          <w:szCs w:val="32"/>
          <w:lang w:eastAsia="zh-CN"/>
        </w:rPr>
        <w:t>相关</w:t>
      </w:r>
      <w:r>
        <w:rPr>
          <w:rFonts w:hint="default" w:ascii="Times New Roman" w:hAnsi="Times New Roman" w:eastAsia="仿宋_GB2312" w:cs="Times New Roman"/>
          <w:sz w:val="32"/>
          <w:szCs w:val="32"/>
        </w:rPr>
        <w:t>部门做好组织实施和监督工作</w:t>
      </w:r>
      <w:r>
        <w:rPr>
          <w:rFonts w:hint="default" w:ascii="Times New Roman" w:hAnsi="Times New Roman" w:eastAsia="仿宋_GB2312" w:cs="Times New Roman"/>
          <w:sz w:val="32"/>
          <w:szCs w:val="32"/>
          <w:lang w:eastAsia="zh-CN"/>
        </w:rPr>
        <w:t>，积极</w:t>
      </w:r>
      <w:r>
        <w:rPr>
          <w:rFonts w:hint="default" w:ascii="Times New Roman" w:hAnsi="Times New Roman" w:eastAsia="仿宋_GB2312" w:cs="Times New Roman"/>
          <w:sz w:val="32"/>
          <w:szCs w:val="32"/>
        </w:rPr>
        <w:t>参与指导推动循环经济和生态环保产业发展。</w:t>
      </w:r>
    </w:p>
    <w:p>
      <w:pPr>
        <w:widowControl/>
        <w:adjustRightInd w:val="0"/>
        <w:snapToGrid w:val="0"/>
        <w:spacing w:line="60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4.完成生态环境局交办的其他各项工作任务。</w:t>
      </w:r>
    </w:p>
    <w:p>
      <w:pPr>
        <w:pStyle w:val="11"/>
        <w:adjustRightInd w:val="0"/>
        <w:snapToGrid w:val="0"/>
        <w:spacing w:before="93" w:line="600" w:lineRule="exact"/>
        <w:ind w:firstLine="675" w:firstLineChars="210"/>
        <w:outlineLvl w:val="2"/>
        <w:rPr>
          <w:rFonts w:hint="default" w:ascii="Times New Roman" w:hAnsi="Times New Roman" w:eastAsia="仿宋" w:cs="Times New Roman"/>
          <w:b/>
          <w:bCs/>
          <w:color w:val="000000"/>
          <w:sz w:val="32"/>
          <w:szCs w:val="32"/>
        </w:rPr>
      </w:pPr>
      <w:r>
        <w:rPr>
          <w:rFonts w:hint="default" w:ascii="Times New Roman" w:hAnsi="Times New Roman" w:eastAsia="仿宋" w:cs="Times New Roman"/>
          <w:b/>
          <w:bCs/>
          <w:color w:val="000000"/>
          <w:sz w:val="32"/>
          <w:szCs w:val="32"/>
        </w:rPr>
        <w:t>（二）202</w:t>
      </w:r>
      <w:r>
        <w:rPr>
          <w:rFonts w:hint="default" w:ascii="Times New Roman" w:hAnsi="Times New Roman" w:eastAsia="仿宋" w:cs="Times New Roman"/>
          <w:b/>
          <w:bCs/>
          <w:color w:val="000000"/>
          <w:sz w:val="32"/>
          <w:szCs w:val="32"/>
          <w:lang w:val="en-US" w:eastAsia="zh-CN"/>
        </w:rPr>
        <w:t>2</w:t>
      </w:r>
      <w:r>
        <w:rPr>
          <w:rFonts w:hint="default" w:ascii="Times New Roman" w:hAnsi="Times New Roman" w:eastAsia="仿宋" w:cs="Times New Roman"/>
          <w:b/>
          <w:bCs/>
          <w:color w:val="000000"/>
          <w:sz w:val="32"/>
          <w:szCs w:val="32"/>
        </w:rPr>
        <w:t>年重点工作完成情况。</w:t>
      </w:r>
      <w:bookmarkEnd w:id="21"/>
      <w:bookmarkEnd w:id="22"/>
      <w:bookmarkEnd w:id="23"/>
      <w:bookmarkEnd w:id="24"/>
    </w:p>
    <w:p>
      <w:pPr>
        <w:pStyle w:val="2"/>
        <w:numPr>
          <w:ilvl w:val="0"/>
          <w:numId w:val="0"/>
        </w:numPr>
        <w:spacing w:line="580" w:lineRule="exact"/>
        <w:ind w:firstLine="640" w:firstLineChars="200"/>
        <w:rPr>
          <w:rFonts w:hint="default" w:ascii="Times New Roman" w:hAnsi="Times New Roman" w:eastAsia="仿宋_GB2312" w:cs="Times New Roman"/>
          <w:b w:val="0"/>
          <w:bCs w:val="0"/>
          <w:kern w:val="2"/>
          <w:sz w:val="32"/>
          <w:szCs w:val="32"/>
          <w:lang w:val="en-US" w:eastAsia="zh-CN" w:bidi="ar-SA"/>
        </w:rPr>
      </w:pPr>
      <w:bookmarkStart w:id="25" w:name="_Toc79163605"/>
      <w:bookmarkStart w:id="26" w:name="_Toc15396601"/>
      <w:bookmarkStart w:id="27" w:name="_Toc79163855"/>
      <w:bookmarkStart w:id="28" w:name="_Toc15377200"/>
      <w:r>
        <w:rPr>
          <w:rFonts w:hint="default" w:ascii="Times New Roman" w:hAnsi="Times New Roman" w:eastAsia="仿宋_GB2312" w:cs="Times New Roman"/>
          <w:b w:val="0"/>
          <w:bCs w:val="0"/>
          <w:kern w:val="2"/>
          <w:sz w:val="32"/>
          <w:szCs w:val="32"/>
          <w:lang w:val="en-US" w:eastAsia="zh-CN" w:bidi="ar-SA"/>
        </w:rPr>
        <w:t>1.积极参加省、州环境监测站组织的实验室分析人员监测项目扩项考试，不断提升环境监测技术人员实验操作及理论水平。</w:t>
      </w:r>
    </w:p>
    <w:p>
      <w:pPr>
        <w:pStyle w:val="2"/>
        <w:numPr>
          <w:ilvl w:val="0"/>
          <w:numId w:val="0"/>
        </w:numPr>
        <w:spacing w:line="580" w:lineRule="exact"/>
        <w:ind w:firstLine="640" w:firstLineChars="20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2.完善质量管理体系的建设，形成一整套行之有效的质量管理文件及程序，做到每一台仪器都建立一个档案，提高监测报告的科学性、准确性、及时性，为环境管理提供快速高质量的数据。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kern w:val="2"/>
          <w:sz w:val="32"/>
          <w:szCs w:val="32"/>
          <w:lang w:val="en-US" w:eastAsia="zh-CN" w:bidi="ar-SA"/>
        </w:rPr>
        <w:t>3.</w:t>
      </w:r>
      <w:r>
        <w:rPr>
          <w:rFonts w:hint="default" w:ascii="Times New Roman" w:hAnsi="Times New Roman" w:eastAsia="仿宋_GB2312" w:cs="Times New Roman"/>
          <w:sz w:val="32"/>
          <w:szCs w:val="32"/>
        </w:rPr>
        <w:t>生态环境质量持续优良，理县县城空气质量优良率100%，其中</w:t>
      </w:r>
      <w:r>
        <w:rPr>
          <w:rFonts w:hint="default" w:ascii="Times New Roman" w:hAnsi="Times New Roman" w:eastAsia="仿宋_GB2312" w:cs="Times New Roman"/>
          <w:sz w:val="32"/>
          <w:szCs w:val="32"/>
          <w:lang w:val="en-US" w:eastAsia="zh-CN"/>
        </w:rPr>
        <w:t>优208天</w:t>
      </w:r>
      <w:r>
        <w:rPr>
          <w:rFonts w:hint="default" w:ascii="Times New Roman" w:hAnsi="Times New Roman" w:eastAsia="仿宋_GB2312" w:cs="Times New Roman"/>
          <w:sz w:val="32"/>
          <w:szCs w:val="32"/>
        </w:rPr>
        <w:t>，良</w:t>
      </w:r>
      <w:r>
        <w:rPr>
          <w:rFonts w:hint="default" w:ascii="Times New Roman" w:hAnsi="Times New Roman" w:eastAsia="仿宋_GB2312" w:cs="Times New Roman"/>
          <w:sz w:val="32"/>
          <w:szCs w:val="32"/>
          <w:lang w:val="en-US" w:eastAsia="zh-CN"/>
        </w:rPr>
        <w:t>84</w:t>
      </w:r>
      <w:r>
        <w:rPr>
          <w:rFonts w:hint="default" w:ascii="Times New Roman" w:hAnsi="Times New Roman" w:eastAsia="仿宋_GB2312" w:cs="Times New Roman"/>
          <w:sz w:val="32"/>
          <w:szCs w:val="32"/>
        </w:rPr>
        <w:t>天，</w:t>
      </w:r>
      <w:r>
        <w:rPr>
          <w:rFonts w:hint="default" w:ascii="Times New Roman" w:hAnsi="Times New Roman" w:eastAsia="仿宋_GB2312" w:cs="Times New Roman"/>
          <w:sz w:val="32"/>
          <w:szCs w:val="32"/>
          <w:lang w:val="en-US" w:eastAsia="zh-CN"/>
        </w:rPr>
        <w:t>根据省、州污染防治攻坚战工作通报，我县PM2.5（细颗粒物）平均浓度为14.3微克每立方米，同比去年下降5.3%，空气质量综合指数全省排名第22位。</w:t>
      </w:r>
      <w:r>
        <w:rPr>
          <w:rFonts w:hint="default" w:ascii="Times New Roman" w:hAnsi="Times New Roman" w:eastAsia="仿宋_GB2312" w:cs="Times New Roman"/>
          <w:sz w:val="32"/>
          <w:szCs w:val="32"/>
        </w:rPr>
        <w:t>主要河流杂谷脑河五里界牌</w:t>
      </w:r>
      <w:r>
        <w:rPr>
          <w:rFonts w:hint="default" w:ascii="Times New Roman" w:hAnsi="Times New Roman" w:eastAsia="仿宋_GB2312" w:cs="Times New Roman"/>
          <w:sz w:val="32"/>
          <w:szCs w:val="32"/>
          <w:lang w:val="en-US" w:eastAsia="zh-CN"/>
        </w:rPr>
        <w:t>监测</w:t>
      </w:r>
      <w:r>
        <w:rPr>
          <w:rFonts w:hint="default" w:ascii="Times New Roman" w:hAnsi="Times New Roman" w:eastAsia="仿宋_GB2312" w:cs="Times New Roman"/>
          <w:sz w:val="32"/>
          <w:szCs w:val="32"/>
        </w:rPr>
        <w:t>断面水质均达到或优于</w:t>
      </w:r>
      <w:r>
        <w:rPr>
          <w:rFonts w:hint="default" w:ascii="Times New Roman" w:hAnsi="Times New Roman" w:eastAsia="仿宋_GB2312" w:cs="Times New Roman"/>
          <w:sz w:val="32"/>
          <w:szCs w:val="32"/>
          <w:lang w:val="en-US" w:eastAsia="zh-CN"/>
        </w:rPr>
        <w:t>II</w:t>
      </w:r>
      <w:r>
        <w:rPr>
          <w:rFonts w:hint="default" w:ascii="Times New Roman" w:hAnsi="Times New Roman" w:eastAsia="仿宋_GB2312" w:cs="Times New Roman"/>
          <w:sz w:val="32"/>
          <w:szCs w:val="32"/>
        </w:rPr>
        <w:t>类标准，</w:t>
      </w:r>
      <w:r>
        <w:rPr>
          <w:rFonts w:hint="default" w:ascii="Times New Roman" w:hAnsi="Times New Roman" w:eastAsia="仿宋_GB2312" w:cs="Times New Roman"/>
          <w:sz w:val="32"/>
          <w:szCs w:val="32"/>
          <w:lang w:val="en-US" w:eastAsia="zh-CN"/>
        </w:rPr>
        <w:t>水质达标</w:t>
      </w:r>
      <w:r>
        <w:rPr>
          <w:rFonts w:hint="default" w:ascii="Times New Roman" w:hAnsi="Times New Roman" w:eastAsia="仿宋_GB2312" w:cs="Times New Roman"/>
          <w:sz w:val="32"/>
          <w:szCs w:val="32"/>
        </w:rPr>
        <w:t>率100%；城市集中式饮用水水源保护区水质达到或优于Ⅲ类标准，优良率100%，水环境质量持续稳定；</w:t>
      </w:r>
      <w:r>
        <w:rPr>
          <w:rFonts w:hint="default" w:ascii="Times New Roman" w:hAnsi="Times New Roman" w:eastAsia="仿宋_GB2312" w:cs="Times New Roman"/>
          <w:sz w:val="32"/>
          <w:szCs w:val="32"/>
          <w:lang w:val="en-US" w:eastAsia="zh-CN"/>
        </w:rPr>
        <w:t>城市声环境质量达标率100%；</w:t>
      </w:r>
      <w:r>
        <w:rPr>
          <w:rFonts w:hint="default" w:ascii="Times New Roman" w:hAnsi="Times New Roman" w:eastAsia="仿宋_GB2312" w:cs="Times New Roman"/>
          <w:sz w:val="32"/>
          <w:szCs w:val="32"/>
        </w:rPr>
        <w:t>生态环境风险得到有效管控，土壤环境持续保持稳定。</w:t>
      </w:r>
    </w:p>
    <w:p>
      <w:pPr>
        <w:pStyle w:val="2"/>
        <w:numPr>
          <w:ilvl w:val="0"/>
          <w:numId w:val="0"/>
        </w:numPr>
        <w:spacing w:line="580" w:lineRule="exact"/>
        <w:ind w:firstLine="640" w:firstLineChars="20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4.强化空气自动站建设。继续加强空气自动站的运行维护工作，为了更好的评估理县县城区域环境空气质量，快速、准确地对突发环境空气事件进行监测，采购理县政务中心环境空气自动监测子站仪器设备一套。</w:t>
      </w:r>
    </w:p>
    <w:p>
      <w:pPr>
        <w:spacing w:line="52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二、机构设置</w:t>
      </w:r>
      <w:bookmarkEnd w:id="25"/>
      <w:bookmarkEnd w:id="26"/>
      <w:bookmarkEnd w:id="27"/>
      <w:bookmarkEnd w:id="28"/>
      <w:bookmarkStart w:id="29" w:name="_Toc79163609"/>
      <w:bookmarkStart w:id="30" w:name="_Toc15377204"/>
      <w:bookmarkStart w:id="31" w:name="_Toc79163859"/>
      <w:bookmarkStart w:id="32" w:name="_Toc15396602"/>
    </w:p>
    <w:p>
      <w:pPr>
        <w:pStyle w:val="46"/>
        <w:spacing w:before="0" w:line="360" w:lineRule="auto"/>
        <w:ind w:firstLine="627" w:firstLineChars="196"/>
        <w:rPr>
          <w:rFonts w:hint="default" w:ascii="Times New Roman" w:hAnsi="Times New Roman" w:eastAsia="黑体" w:cs="Times New Roman"/>
          <w:b w:val="0"/>
          <w:color w:val="000000"/>
        </w:rPr>
      </w:pPr>
      <w:r>
        <w:rPr>
          <w:rFonts w:hint="default" w:ascii="Times New Roman" w:hAnsi="Times New Roman" w:cs="Times New Roman"/>
          <w:kern w:val="2"/>
          <w:sz w:val="32"/>
          <w:szCs w:val="32"/>
        </w:rPr>
        <w:t>理县环境监测站属于二级预算单位。本部门内设机构1个。总编制13名，均属于事业编制。在职人员总数10</w:t>
      </w:r>
      <w:r>
        <w:rPr>
          <w:rFonts w:hint="default" w:ascii="Times New Roman" w:hAnsi="Times New Roman" w:cs="Times New Roman"/>
          <w:kern w:val="2"/>
          <w:sz w:val="32"/>
          <w:szCs w:val="32"/>
          <w:lang w:eastAsia="zh-CN"/>
        </w:rPr>
        <w:t>人（</w:t>
      </w:r>
      <w:r>
        <w:rPr>
          <w:rFonts w:hint="default" w:ascii="Times New Roman" w:hAnsi="Times New Roman" w:cs="Times New Roman"/>
          <w:kern w:val="2"/>
          <w:sz w:val="32"/>
          <w:szCs w:val="32"/>
          <w:lang w:val="en-US" w:eastAsia="zh-CN"/>
        </w:rPr>
        <w:t>其中：管理人员1人。专业技术人员9人</w:t>
      </w:r>
      <w:r>
        <w:rPr>
          <w:rFonts w:hint="default" w:ascii="Times New Roman" w:hAnsi="Times New Roman" w:cs="Times New Roman"/>
          <w:kern w:val="2"/>
          <w:sz w:val="32"/>
          <w:szCs w:val="32"/>
          <w:lang w:eastAsia="zh-CN"/>
        </w:rPr>
        <w:t>）</w:t>
      </w:r>
      <w:r>
        <w:rPr>
          <w:rFonts w:hint="default" w:ascii="Times New Roman" w:hAnsi="Times New Roman" w:cs="Times New Roman"/>
          <w:kern w:val="2"/>
          <w:sz w:val="32"/>
          <w:szCs w:val="32"/>
        </w:rPr>
        <w:t>；离休人员0人，退休人员0人；编外长期聘用的人员0名。</w:t>
      </w:r>
    </w:p>
    <w:p>
      <w:pPr>
        <w:pStyle w:val="6"/>
        <w:spacing w:before="0" w:after="0" w:line="240" w:lineRule="auto"/>
        <w:ind w:right="0"/>
        <w:jc w:val="both"/>
        <w:rPr>
          <w:rFonts w:hint="default" w:ascii="Times New Roman" w:hAnsi="Times New Roman" w:eastAsia="黑体" w:cs="Times New Roman"/>
          <w:b w:val="0"/>
          <w:color w:val="000000"/>
        </w:rPr>
      </w:pPr>
    </w:p>
    <w:p>
      <w:pPr>
        <w:pStyle w:val="5"/>
        <w:rPr>
          <w:rFonts w:hint="default" w:ascii="Times New Roman" w:hAnsi="Times New Roman" w:eastAsia="黑体" w:cs="Times New Roman"/>
          <w:b w:val="0"/>
          <w:color w:val="000000"/>
        </w:rPr>
      </w:pPr>
    </w:p>
    <w:p>
      <w:pPr>
        <w:pStyle w:val="6"/>
        <w:spacing w:before="0" w:after="0" w:line="240" w:lineRule="auto"/>
        <w:ind w:right="0"/>
        <w:jc w:val="both"/>
        <w:rPr>
          <w:rFonts w:hint="default" w:ascii="Times New Roman" w:hAnsi="Times New Roman" w:eastAsia="黑体" w:cs="Times New Roman"/>
          <w:b w:val="0"/>
          <w:color w:val="000000"/>
        </w:rPr>
      </w:pPr>
    </w:p>
    <w:p>
      <w:pPr>
        <w:rPr>
          <w:rFonts w:hint="default"/>
        </w:rPr>
      </w:pPr>
    </w:p>
    <w:p>
      <w:pPr>
        <w:pStyle w:val="6"/>
        <w:spacing w:before="0" w:after="0" w:line="240" w:lineRule="auto"/>
        <w:ind w:right="0"/>
        <w:jc w:val="center"/>
        <w:rPr>
          <w:rFonts w:hint="default" w:ascii="Times New Roman" w:hAnsi="Times New Roman" w:cs="Times New Roman"/>
        </w:rPr>
      </w:pPr>
      <w:r>
        <w:rPr>
          <w:rFonts w:hint="default" w:ascii="Times New Roman" w:hAnsi="Times New Roman" w:eastAsia="黑体" w:cs="Times New Roman"/>
          <w:b w:val="0"/>
          <w:color w:val="000000"/>
        </w:rPr>
        <w:t>第二部分</w:t>
      </w:r>
      <w:r>
        <w:rPr>
          <w:rFonts w:hint="default" w:ascii="Times New Roman" w:hAnsi="Times New Roman" w:eastAsia="黑体" w:cs="Times New Roman"/>
          <w:color w:val="000000"/>
        </w:rPr>
        <w:t xml:space="preserve"> </w:t>
      </w:r>
      <w:r>
        <w:rPr>
          <w:rStyle w:val="28"/>
          <w:rFonts w:hint="default" w:ascii="Times New Roman" w:hAnsi="Times New Roman" w:eastAsia="黑体" w:cs="Times New Roman"/>
          <w:b w:val="0"/>
          <w:bCs w:val="0"/>
        </w:rPr>
        <w:t>202</w:t>
      </w:r>
      <w:r>
        <w:rPr>
          <w:rStyle w:val="28"/>
          <w:rFonts w:hint="default" w:ascii="Times New Roman" w:hAnsi="Times New Roman" w:eastAsia="黑体" w:cs="Times New Roman"/>
          <w:b w:val="0"/>
          <w:bCs w:val="0"/>
          <w:lang w:val="en-US" w:eastAsia="zh-CN"/>
        </w:rPr>
        <w:t>2</w:t>
      </w:r>
      <w:r>
        <w:rPr>
          <w:rStyle w:val="28"/>
          <w:rFonts w:hint="default" w:ascii="Times New Roman" w:hAnsi="Times New Roman" w:eastAsia="黑体" w:cs="Times New Roman"/>
          <w:b w:val="0"/>
          <w:bCs w:val="0"/>
        </w:rPr>
        <w:t>年度部门决算情况说明</w:t>
      </w:r>
      <w:bookmarkEnd w:id="29"/>
      <w:bookmarkEnd w:id="30"/>
      <w:bookmarkEnd w:id="31"/>
      <w:bookmarkEnd w:id="32"/>
    </w:p>
    <w:p>
      <w:pPr>
        <w:pStyle w:val="39"/>
        <w:numPr>
          <w:ilvl w:val="0"/>
          <w:numId w:val="1"/>
        </w:numPr>
        <w:spacing w:line="600" w:lineRule="exact"/>
        <w:ind w:firstLineChars="0"/>
        <w:outlineLvl w:val="1"/>
        <w:rPr>
          <w:rStyle w:val="29"/>
          <w:rFonts w:hint="default" w:ascii="Times New Roman" w:hAnsi="Times New Roman" w:eastAsia="黑体" w:cs="Times New Roman"/>
          <w:b w:val="0"/>
        </w:rPr>
      </w:pPr>
      <w:bookmarkStart w:id="33" w:name="_Toc79163610"/>
      <w:bookmarkStart w:id="34" w:name="_Toc15377205"/>
      <w:bookmarkStart w:id="35" w:name="_Toc79163860"/>
      <w:bookmarkStart w:id="36" w:name="_Toc15396603"/>
      <w:r>
        <w:rPr>
          <w:rFonts w:hint="default" w:ascii="Times New Roman" w:hAnsi="Times New Roman" w:eastAsia="黑体" w:cs="Times New Roman"/>
          <w:color w:val="000000"/>
          <w:sz w:val="32"/>
          <w:szCs w:val="32"/>
        </w:rPr>
        <w:t>收</w:t>
      </w:r>
      <w:r>
        <w:rPr>
          <w:rStyle w:val="29"/>
          <w:rFonts w:hint="default" w:ascii="Times New Roman" w:hAnsi="Times New Roman" w:eastAsia="黑体" w:cs="Times New Roman"/>
          <w:b w:val="0"/>
        </w:rPr>
        <w:t>入支出决算总体情况说明</w:t>
      </w:r>
      <w:bookmarkEnd w:id="33"/>
      <w:bookmarkEnd w:id="34"/>
      <w:bookmarkEnd w:id="35"/>
      <w:bookmarkEnd w:id="36"/>
    </w:p>
    <w:p>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年度收入</w:t>
      </w:r>
      <w:r>
        <w:rPr>
          <w:rFonts w:hint="default" w:ascii="Times New Roman" w:hAnsi="Times New Roman" w:eastAsia="仿宋" w:cs="Times New Roman"/>
          <w:color w:val="000000"/>
          <w:sz w:val="32"/>
          <w:szCs w:val="32"/>
          <w:lang w:val="en-US" w:eastAsia="zh-CN"/>
        </w:rPr>
        <w:t>134.47</w:t>
      </w:r>
      <w:r>
        <w:rPr>
          <w:rFonts w:hint="default" w:ascii="Times New Roman" w:hAnsi="Times New Roman" w:eastAsia="仿宋" w:cs="Times New Roman"/>
          <w:color w:val="000000"/>
          <w:sz w:val="32"/>
          <w:szCs w:val="32"/>
        </w:rPr>
        <w:t>万元、支总计</w:t>
      </w:r>
      <w:r>
        <w:rPr>
          <w:rFonts w:hint="default" w:ascii="Times New Roman" w:hAnsi="Times New Roman" w:eastAsia="仿宋" w:cs="Times New Roman"/>
          <w:color w:val="000000"/>
          <w:sz w:val="32"/>
          <w:szCs w:val="32"/>
          <w:lang w:val="en-US" w:eastAsia="zh-CN"/>
        </w:rPr>
        <w:t>134.47</w:t>
      </w:r>
      <w:r>
        <w:rPr>
          <w:rFonts w:hint="default" w:ascii="Times New Roman" w:hAnsi="Times New Roman" w:eastAsia="仿宋" w:cs="Times New Roman"/>
          <w:color w:val="000000"/>
          <w:sz w:val="32"/>
          <w:szCs w:val="32"/>
        </w:rPr>
        <w:t>万元。</w:t>
      </w:r>
    </w:p>
    <w:p>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（图1：收、支决算总计变动情况图）（柱状图）</w:t>
      </w:r>
    </w:p>
    <w:p>
      <w:pPr>
        <w:widowControl/>
        <w:shd w:val="clear" w:color="auto" w:fill="FFFFFF"/>
        <w:rPr>
          <w:rFonts w:hint="default" w:ascii="Times New Roman" w:hAnsi="Times New Roman" w:eastAsia="微软雅黑" w:cs="Times New Roman"/>
          <w:color w:val="333333"/>
          <w:kern w:val="0"/>
          <w:szCs w:val="21"/>
        </w:rPr>
      </w:pPr>
      <w:r>
        <w:rPr>
          <w:rFonts w:hint="default" w:ascii="Times New Roman" w:hAnsi="Times New Roman" w:eastAsia="微软雅黑" w:cs="Times New Roman"/>
          <w:color w:val="333333"/>
          <w:kern w:val="0"/>
          <w:szCs w:val="21"/>
        </w:rPr>
        <w:drawing>
          <wp:inline distT="0" distB="0" distL="114300" distR="114300">
            <wp:extent cx="5194300" cy="2970530"/>
            <wp:effectExtent l="4445" t="4445" r="20955" b="1587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widowControl/>
        <w:shd w:val="clear" w:color="auto" w:fill="FFFFFF"/>
        <w:outlineLvl w:val="1"/>
        <w:rPr>
          <w:rFonts w:hint="default" w:ascii="Times New Roman" w:hAnsi="Times New Roman" w:eastAsia="微软雅黑" w:cs="Times New Roman"/>
          <w:b/>
          <w:bCs/>
          <w:color w:val="333333"/>
          <w:kern w:val="36"/>
          <w:sz w:val="54"/>
          <w:szCs w:val="54"/>
        </w:rPr>
      </w:pPr>
      <w:r>
        <w:rPr>
          <w:rFonts w:hint="default" w:ascii="Times New Roman" w:hAnsi="Times New Roman" w:eastAsia="微软雅黑" w:cs="Times New Roman"/>
          <w:color w:val="333333"/>
          <w:kern w:val="0"/>
          <w:szCs w:val="21"/>
        </w:rPr>
        <w:t> </w:t>
      </w:r>
    </w:p>
    <w:p>
      <w:pPr>
        <w:pStyle w:val="39"/>
        <w:numPr>
          <w:ilvl w:val="0"/>
          <w:numId w:val="1"/>
        </w:numPr>
        <w:spacing w:line="600" w:lineRule="exact"/>
        <w:ind w:firstLineChars="0"/>
        <w:outlineLvl w:val="1"/>
        <w:rPr>
          <w:rStyle w:val="29"/>
          <w:rFonts w:hint="default" w:ascii="Times New Roman" w:hAnsi="Times New Roman" w:eastAsia="黑体" w:cs="Times New Roman"/>
          <w:b w:val="0"/>
        </w:rPr>
      </w:pPr>
      <w:bookmarkStart w:id="37" w:name="_Toc79163611"/>
      <w:bookmarkStart w:id="38" w:name="_Toc15396604"/>
      <w:bookmarkStart w:id="39" w:name="_Toc15377206"/>
      <w:bookmarkStart w:id="40" w:name="_Toc79163861"/>
      <w:r>
        <w:rPr>
          <w:rFonts w:hint="default" w:ascii="Times New Roman" w:hAnsi="Times New Roman" w:eastAsia="黑体" w:cs="Times New Roman"/>
          <w:color w:val="000000"/>
          <w:sz w:val="32"/>
          <w:szCs w:val="32"/>
        </w:rPr>
        <w:t>收</w:t>
      </w:r>
      <w:r>
        <w:rPr>
          <w:rStyle w:val="29"/>
          <w:rFonts w:hint="default" w:ascii="Times New Roman" w:hAnsi="Times New Roman" w:eastAsia="黑体" w:cs="Times New Roman"/>
          <w:b w:val="0"/>
        </w:rPr>
        <w:t>入决算情况说明</w:t>
      </w:r>
      <w:bookmarkEnd w:id="37"/>
      <w:bookmarkEnd w:id="38"/>
      <w:bookmarkEnd w:id="39"/>
      <w:bookmarkEnd w:id="40"/>
    </w:p>
    <w:p>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年本年收入合计</w:t>
      </w:r>
      <w:r>
        <w:rPr>
          <w:rFonts w:hint="default" w:ascii="Times New Roman" w:hAnsi="Times New Roman" w:eastAsia="仿宋" w:cs="Times New Roman"/>
          <w:color w:val="000000"/>
          <w:sz w:val="32"/>
          <w:szCs w:val="32"/>
          <w:lang w:val="en-US" w:eastAsia="zh-CN"/>
        </w:rPr>
        <w:t>134.47</w:t>
      </w:r>
      <w:r>
        <w:rPr>
          <w:rFonts w:hint="default" w:ascii="Times New Roman" w:hAnsi="Times New Roman" w:eastAsia="仿宋" w:cs="Times New Roman"/>
          <w:color w:val="000000"/>
          <w:sz w:val="32"/>
          <w:szCs w:val="32"/>
        </w:rPr>
        <w:t>万元，一般公共预算财政拨款收入</w:t>
      </w:r>
      <w:r>
        <w:rPr>
          <w:rFonts w:hint="default" w:ascii="Times New Roman" w:hAnsi="Times New Roman" w:eastAsia="仿宋" w:cs="Times New Roman"/>
          <w:color w:val="000000"/>
          <w:sz w:val="32"/>
          <w:szCs w:val="32"/>
          <w:lang w:val="en-US" w:eastAsia="zh-CN"/>
        </w:rPr>
        <w:t>134.47</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%；政府性基金预算财政拨款收入</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%；上级补助收入0万元，占0%；事业收入0万元，占0%；经营收入0万元，占0%；附属单位上缴收入0万元，占0%；其他收入0万元，占0%。</w:t>
      </w:r>
    </w:p>
    <w:p>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（图2：收入决算结构图）（饼状图）</w:t>
      </w:r>
    </w:p>
    <w:p>
      <w:pPr>
        <w:spacing w:line="600" w:lineRule="exact"/>
        <w:ind w:firstLine="640" w:firstLineChars="200"/>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FF0000"/>
          <w:sz w:val="32"/>
          <w:szCs w:val="32"/>
        </w:rPr>
        <w:drawing>
          <wp:anchor distT="0" distB="0" distL="114300" distR="114300" simplePos="0" relativeHeight="251660288" behindDoc="0" locked="0" layoutInCell="1" allowOverlap="1">
            <wp:simplePos x="0" y="0"/>
            <wp:positionH relativeFrom="column">
              <wp:posOffset>161290</wp:posOffset>
            </wp:positionH>
            <wp:positionV relativeFrom="paragraph">
              <wp:posOffset>243205</wp:posOffset>
            </wp:positionV>
            <wp:extent cx="5015230" cy="2468245"/>
            <wp:effectExtent l="4445" t="4445" r="9525" b="22860"/>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39"/>
        <w:numPr>
          <w:ilvl w:val="0"/>
          <w:numId w:val="1"/>
        </w:numPr>
        <w:spacing w:line="600" w:lineRule="exact"/>
        <w:ind w:firstLineChars="0"/>
        <w:outlineLvl w:val="1"/>
        <w:rPr>
          <w:rStyle w:val="29"/>
          <w:rFonts w:hint="default" w:ascii="Times New Roman" w:hAnsi="Times New Roman" w:eastAsia="黑体" w:cs="Times New Roman"/>
          <w:b w:val="0"/>
        </w:rPr>
      </w:pPr>
      <w:bookmarkStart w:id="41" w:name="_Toc15377207"/>
      <w:bookmarkStart w:id="42" w:name="_Toc15396605"/>
      <w:bookmarkStart w:id="43" w:name="_Toc79163862"/>
      <w:bookmarkStart w:id="44" w:name="_Toc79163612"/>
      <w:r>
        <w:rPr>
          <w:rFonts w:hint="default" w:ascii="Times New Roman" w:hAnsi="Times New Roman" w:eastAsia="黑体" w:cs="Times New Roman"/>
          <w:color w:val="000000"/>
          <w:sz w:val="32"/>
          <w:szCs w:val="32"/>
        </w:rPr>
        <w:t>支</w:t>
      </w:r>
      <w:r>
        <w:rPr>
          <w:rStyle w:val="29"/>
          <w:rFonts w:hint="default" w:ascii="Times New Roman" w:hAnsi="Times New Roman" w:eastAsia="黑体" w:cs="Times New Roman"/>
          <w:b w:val="0"/>
        </w:rPr>
        <w:t>出决算情况说明</w:t>
      </w:r>
      <w:bookmarkEnd w:id="41"/>
      <w:bookmarkEnd w:id="42"/>
      <w:bookmarkEnd w:id="43"/>
      <w:bookmarkEnd w:id="44"/>
    </w:p>
    <w:p>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年本年支出合计</w:t>
      </w:r>
      <w:r>
        <w:rPr>
          <w:rFonts w:hint="default" w:ascii="Times New Roman" w:hAnsi="Times New Roman" w:eastAsia="仿宋_GB2312" w:cs="Times New Roman"/>
          <w:sz w:val="32"/>
          <w:szCs w:val="32"/>
          <w:lang w:val="en-US" w:eastAsia="zh-CN"/>
        </w:rPr>
        <w:t>134.47</w:t>
      </w:r>
      <w:r>
        <w:rPr>
          <w:rFonts w:hint="default" w:ascii="Times New Roman" w:hAnsi="Times New Roman" w:eastAsia="仿宋_GB2312" w:cs="Times New Roman"/>
          <w:sz w:val="32"/>
          <w:szCs w:val="32"/>
        </w:rPr>
        <w:t>万元，其中：基本支出</w:t>
      </w:r>
      <w:r>
        <w:rPr>
          <w:rFonts w:hint="default" w:ascii="Times New Roman" w:hAnsi="Times New Roman" w:eastAsia="仿宋_GB2312" w:cs="Times New Roman"/>
          <w:sz w:val="32"/>
          <w:szCs w:val="32"/>
          <w:lang w:val="en-US" w:eastAsia="zh-CN"/>
        </w:rPr>
        <w:t>134.47</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%；项目支出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%；上缴上级支出0万元，占0%；经营支出0万元，占0%；对附属单位补助支出0万元，占0%。</w:t>
      </w:r>
    </w:p>
    <w:p>
      <w:pPr>
        <w:spacing w:line="600" w:lineRule="exact"/>
        <w:ind w:firstLine="320" w:firstLineChars="1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（图3：支出决算结构图）（饼状图）</w:t>
      </w:r>
    </w:p>
    <w:p>
      <w:pPr>
        <w:pStyle w:val="5"/>
        <w:rPr>
          <w:rFonts w:hint="default" w:ascii="Times New Roman" w:hAnsi="Times New Roman" w:eastAsia="黑体" w:cs="Times New Roman"/>
          <w:color w:val="000000"/>
          <w:sz w:val="32"/>
          <w:szCs w:val="32"/>
        </w:rPr>
      </w:pPr>
      <w:bookmarkStart w:id="45" w:name="_Toc15377208"/>
      <w:bookmarkStart w:id="46" w:name="_Toc79163863"/>
      <w:bookmarkStart w:id="47" w:name="_Toc79163613"/>
      <w:bookmarkStart w:id="48" w:name="_Toc15396606"/>
      <w:r>
        <w:rPr>
          <w:rFonts w:hint="default" w:ascii="Times New Roman" w:hAnsi="Times New Roman" w:eastAsia="仿宋" w:cs="Times New Roman"/>
          <w:color w:val="000000"/>
          <w:sz w:val="32"/>
          <w:szCs w:val="32"/>
          <w:lang w:eastAsia="zh-CN"/>
        </w:rPr>
        <w:drawing>
          <wp:inline distT="0" distB="0" distL="114300" distR="114300">
            <wp:extent cx="4965700" cy="2877185"/>
            <wp:effectExtent l="4445" t="4445" r="20955" b="1397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5"/>
        <w:rPr>
          <w:rFonts w:hint="default" w:ascii="Times New Roman" w:hAnsi="Times New Roman" w:eastAsia="黑体" w:cs="Times New Roman"/>
          <w:color w:val="000000"/>
          <w:sz w:val="32"/>
          <w:szCs w:val="32"/>
        </w:rPr>
      </w:pPr>
    </w:p>
    <w:p>
      <w:pPr>
        <w:spacing w:line="600" w:lineRule="exact"/>
        <w:ind w:firstLine="640" w:firstLineChars="200"/>
        <w:rPr>
          <w:rStyle w:val="29"/>
          <w:rFonts w:hint="default" w:ascii="Times New Roman" w:hAnsi="Times New Roman" w:eastAsia="黑体" w:cs="Times New Roman"/>
          <w:b w:val="0"/>
        </w:rPr>
      </w:pPr>
      <w:r>
        <w:rPr>
          <w:rFonts w:hint="default" w:ascii="Times New Roman" w:hAnsi="Times New Roman" w:eastAsia="黑体" w:cs="Times New Roman"/>
          <w:color w:val="000000"/>
          <w:sz w:val="32"/>
          <w:szCs w:val="32"/>
        </w:rPr>
        <w:t>四、财政</w:t>
      </w:r>
      <w:r>
        <w:rPr>
          <w:rStyle w:val="29"/>
          <w:rFonts w:hint="default" w:ascii="Times New Roman" w:hAnsi="Times New Roman" w:eastAsia="黑体" w:cs="Times New Roman"/>
          <w:b w:val="0"/>
        </w:rPr>
        <w:t>拨款收入支出决算总体情况说明</w:t>
      </w:r>
      <w:bookmarkEnd w:id="45"/>
      <w:bookmarkEnd w:id="46"/>
      <w:bookmarkEnd w:id="47"/>
      <w:bookmarkEnd w:id="48"/>
    </w:p>
    <w:p>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年度收入</w:t>
      </w:r>
      <w:r>
        <w:rPr>
          <w:rFonts w:hint="default" w:ascii="Times New Roman" w:hAnsi="Times New Roman" w:eastAsia="仿宋" w:cs="Times New Roman"/>
          <w:color w:val="000000"/>
          <w:sz w:val="32"/>
          <w:szCs w:val="32"/>
          <w:lang w:val="en-US" w:eastAsia="zh-CN"/>
        </w:rPr>
        <w:t>134.47</w:t>
      </w:r>
      <w:r>
        <w:rPr>
          <w:rFonts w:hint="default" w:ascii="Times New Roman" w:hAnsi="Times New Roman" w:eastAsia="仿宋" w:cs="Times New Roman"/>
          <w:color w:val="000000"/>
          <w:sz w:val="32"/>
          <w:szCs w:val="32"/>
        </w:rPr>
        <w:t>万元</w:t>
      </w:r>
      <w:r>
        <w:rPr>
          <w:rFonts w:hint="default" w:ascii="Times New Roman" w:hAnsi="Times New Roman" w:eastAsia="仿宋" w:cs="Times New Roman"/>
          <w:color w:val="000000"/>
          <w:sz w:val="32"/>
          <w:szCs w:val="32"/>
          <w:lang w:val="en-US" w:eastAsia="zh-CN"/>
        </w:rPr>
        <w:t>，支出总计134.47</w:t>
      </w:r>
      <w:r>
        <w:rPr>
          <w:rFonts w:hint="default" w:ascii="Times New Roman" w:hAnsi="Times New Roman" w:eastAsia="仿宋" w:cs="Times New Roman"/>
          <w:color w:val="000000"/>
          <w:sz w:val="32"/>
          <w:szCs w:val="32"/>
        </w:rPr>
        <w:t>万元。</w:t>
      </w:r>
    </w:p>
    <w:p>
      <w:pPr>
        <w:spacing w:line="600" w:lineRule="exact"/>
        <w:ind w:firstLine="640" w:firstLineChars="200"/>
        <w:rPr>
          <w:rFonts w:hint="default" w:ascii="Times New Roman" w:hAnsi="Times New Roman" w:eastAsia="黑体" w:cs="Times New Roman"/>
          <w:b/>
          <w:color w:val="000000"/>
          <w:sz w:val="32"/>
          <w:szCs w:val="32"/>
          <w:lang w:eastAsia="zh-CN"/>
        </w:rPr>
      </w:pPr>
      <w:r>
        <w:rPr>
          <w:rFonts w:hint="default" w:ascii="Times New Roman" w:hAnsi="Times New Roman" w:eastAsia="仿宋" w:cs="Times New Roman"/>
          <w:color w:val="000000"/>
          <w:sz w:val="32"/>
          <w:szCs w:val="32"/>
        </w:rPr>
        <w:t>（图4：财政拨款收、支决算总计变动情况）（柱状图）</w:t>
      </w:r>
      <w:r>
        <w:rPr>
          <w:rFonts w:hint="default" w:ascii="Times New Roman" w:hAnsi="Times New Roman" w:eastAsia="仿宋" w:cs="Times New Roman"/>
          <w:b/>
          <w:color w:val="00B050"/>
          <w:sz w:val="32"/>
          <w:szCs w:val="32"/>
        </w:rPr>
        <w:drawing>
          <wp:anchor distT="0" distB="0" distL="114300" distR="114300" simplePos="0" relativeHeight="251659264" behindDoc="0" locked="0" layoutInCell="1" allowOverlap="1">
            <wp:simplePos x="0" y="0"/>
            <wp:positionH relativeFrom="column">
              <wp:posOffset>85090</wp:posOffset>
            </wp:positionH>
            <wp:positionV relativeFrom="paragraph">
              <wp:posOffset>25400</wp:posOffset>
            </wp:positionV>
            <wp:extent cx="5137785" cy="2867025"/>
            <wp:effectExtent l="4445" t="4445" r="20320" b="508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bookmarkStart w:id="49" w:name="_Toc79163864"/>
      <w:bookmarkStart w:id="50" w:name="_Toc15396607"/>
      <w:bookmarkStart w:id="51" w:name="_Toc79163614"/>
      <w:bookmarkStart w:id="52" w:name="_Toc15377209"/>
    </w:p>
    <w:p>
      <w:pPr>
        <w:spacing w:line="600" w:lineRule="exact"/>
        <w:ind w:left="638" w:leftChars="304" w:firstLine="0" w:firstLineChars="0"/>
        <w:outlineLvl w:val="1"/>
        <w:rPr>
          <w:rStyle w:val="29"/>
          <w:rFonts w:hint="default" w:ascii="Times New Roman" w:hAnsi="Times New Roman" w:eastAsia="黑体" w:cs="Times New Roman"/>
          <w:b w:val="0"/>
        </w:rPr>
      </w:pPr>
      <w:r>
        <w:rPr>
          <w:rFonts w:hint="eastAsia" w:eastAsia="黑体" w:cs="Times New Roman"/>
          <w:b/>
          <w:color w:val="000000"/>
          <w:sz w:val="32"/>
          <w:szCs w:val="32"/>
          <w:lang w:eastAsia="zh-CN"/>
        </w:rPr>
        <w:t>五</w:t>
      </w:r>
      <w:r>
        <w:rPr>
          <w:rFonts w:hint="default" w:ascii="Times New Roman" w:hAnsi="Times New Roman" w:eastAsia="黑体" w:cs="Times New Roman"/>
          <w:b/>
          <w:color w:val="000000"/>
          <w:sz w:val="32"/>
          <w:szCs w:val="32"/>
          <w:lang w:eastAsia="zh-CN"/>
        </w:rPr>
        <w:t>、</w:t>
      </w:r>
      <w:r>
        <w:rPr>
          <w:rFonts w:hint="default" w:ascii="Times New Roman" w:hAnsi="Times New Roman" w:eastAsia="黑体" w:cs="Times New Roman"/>
          <w:b/>
          <w:color w:val="000000"/>
          <w:sz w:val="32"/>
          <w:szCs w:val="32"/>
        </w:rPr>
        <w:t>一</w:t>
      </w:r>
      <w:r>
        <w:rPr>
          <w:rStyle w:val="29"/>
          <w:rFonts w:hint="default" w:ascii="Times New Roman" w:hAnsi="Times New Roman" w:eastAsia="黑体" w:cs="Times New Roman"/>
          <w:b w:val="0"/>
        </w:rPr>
        <w:t>般公共预算财政拨款支出决算情况说</w:t>
      </w:r>
      <w:bookmarkEnd w:id="49"/>
      <w:bookmarkEnd w:id="50"/>
      <w:bookmarkEnd w:id="51"/>
      <w:bookmarkEnd w:id="52"/>
    </w:p>
    <w:p>
      <w:pPr>
        <w:spacing w:line="600" w:lineRule="exact"/>
        <w:ind w:firstLine="643" w:firstLineChars="200"/>
        <w:outlineLvl w:val="2"/>
        <w:rPr>
          <w:rFonts w:hint="default" w:ascii="Times New Roman" w:hAnsi="Times New Roman" w:eastAsia="仿宋" w:cs="Times New Roman"/>
          <w:b/>
          <w:color w:val="000000"/>
          <w:sz w:val="32"/>
          <w:szCs w:val="32"/>
        </w:rPr>
      </w:pPr>
      <w:bookmarkStart w:id="53" w:name="_Toc79163865"/>
      <w:bookmarkStart w:id="54" w:name="_Toc15377210"/>
      <w:bookmarkStart w:id="55" w:name="_Toc79163615"/>
      <w:r>
        <w:rPr>
          <w:rFonts w:hint="default" w:ascii="Times New Roman" w:hAnsi="Times New Roman" w:eastAsia="仿宋" w:cs="Times New Roman"/>
          <w:b/>
          <w:color w:val="000000"/>
          <w:sz w:val="32"/>
          <w:szCs w:val="32"/>
        </w:rPr>
        <w:t>（一）一般公共预算财政拨款支出决算总体情况</w:t>
      </w:r>
      <w:bookmarkEnd w:id="53"/>
      <w:bookmarkEnd w:id="54"/>
      <w:bookmarkEnd w:id="55"/>
    </w:p>
    <w:p>
      <w:pPr>
        <w:spacing w:line="600" w:lineRule="exact"/>
        <w:ind w:firstLine="640" w:firstLineChars="200"/>
        <w:rPr>
          <w:rFonts w:hint="default" w:ascii="Times New Roman" w:hAnsi="Times New Roman" w:eastAsia="仿宋" w:cs="Times New Roman"/>
          <w:b/>
          <w:color w:val="000000"/>
          <w:sz w:val="32"/>
          <w:szCs w:val="32"/>
          <w:lang w:val="en-US" w:eastAsia="zh-CN"/>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年一般公共预算财政拨款支出</w:t>
      </w:r>
      <w:r>
        <w:rPr>
          <w:rFonts w:hint="default" w:ascii="Times New Roman" w:hAnsi="Times New Roman" w:eastAsia="仿宋" w:cs="Times New Roman"/>
          <w:color w:val="000000"/>
          <w:sz w:val="32"/>
          <w:szCs w:val="32"/>
          <w:lang w:val="en-US" w:eastAsia="zh-CN"/>
        </w:rPr>
        <w:t>134.47</w:t>
      </w:r>
      <w:r>
        <w:rPr>
          <w:rFonts w:hint="default" w:ascii="Times New Roman" w:hAnsi="Times New Roman" w:eastAsia="仿宋" w:cs="Times New Roman"/>
          <w:color w:val="000000"/>
          <w:sz w:val="32"/>
          <w:szCs w:val="32"/>
        </w:rPr>
        <w:t>万元，占本年支出合计的</w:t>
      </w:r>
      <w:r>
        <w:rPr>
          <w:rFonts w:hint="default" w:ascii="Times New Roman" w:hAnsi="Times New Roman"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w:t>
      </w:r>
      <w:bookmarkStart w:id="56" w:name="_Toc79163616"/>
      <w:bookmarkStart w:id="57" w:name="_Toc15377211"/>
      <w:bookmarkStart w:id="58" w:name="_Toc79163866"/>
      <w:r>
        <w:rPr>
          <w:rFonts w:hint="default" w:ascii="Times New Roman" w:hAnsi="Times New Roman" w:eastAsia="仿宋" w:cs="Times New Roman"/>
          <w:color w:val="000000"/>
          <w:sz w:val="32"/>
          <w:szCs w:val="32"/>
          <w:lang w:eastAsia="zh-CN"/>
        </w:rPr>
        <w:t>。政府性基金预算财政拨款支出</w:t>
      </w:r>
      <w:r>
        <w:rPr>
          <w:rFonts w:hint="default" w:ascii="Times New Roman" w:hAnsi="Times New Roman"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占本年支出合计的</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val="en-US" w:eastAsia="zh-CN"/>
        </w:rPr>
        <w:t>.</w:t>
      </w:r>
    </w:p>
    <w:p>
      <w:pPr>
        <w:spacing w:line="600" w:lineRule="exact"/>
        <w:ind w:firstLine="643" w:firstLineChars="200"/>
        <w:outlineLvl w:val="2"/>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（二）一般公共预算财政拨款支出决算结构情况</w:t>
      </w:r>
      <w:bookmarkEnd w:id="56"/>
      <w:bookmarkEnd w:id="57"/>
      <w:bookmarkEnd w:id="58"/>
    </w:p>
    <w:p>
      <w:pPr>
        <w:spacing w:line="60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年一般公共预算财政拨款支出</w:t>
      </w:r>
      <w:r>
        <w:rPr>
          <w:rFonts w:hint="default" w:ascii="Times New Roman" w:hAnsi="Times New Roman" w:eastAsia="仿宋" w:cs="Times New Roman"/>
          <w:color w:val="000000"/>
          <w:sz w:val="32"/>
          <w:szCs w:val="32"/>
          <w:lang w:val="en-US" w:eastAsia="zh-CN"/>
        </w:rPr>
        <w:t>134.47</w:t>
      </w:r>
      <w:r>
        <w:rPr>
          <w:rFonts w:hint="default" w:ascii="Times New Roman" w:hAnsi="Times New Roman" w:eastAsia="仿宋" w:cs="Times New Roman"/>
          <w:color w:val="000000"/>
          <w:sz w:val="32"/>
          <w:szCs w:val="32"/>
        </w:rPr>
        <w:t>万元，主要用于以下方面:</w:t>
      </w:r>
      <w:r>
        <w:rPr>
          <w:rFonts w:hint="default" w:ascii="Times New Roman" w:hAnsi="Times New Roman" w:eastAsia="仿宋" w:cs="Times New Roman"/>
          <w:b/>
          <w:color w:val="000000"/>
          <w:sz w:val="32"/>
          <w:szCs w:val="32"/>
        </w:rPr>
        <w:t>社会保障和就业（类）</w:t>
      </w:r>
      <w:r>
        <w:rPr>
          <w:rFonts w:hint="default" w:ascii="Times New Roman" w:hAnsi="Times New Roman" w:eastAsia="仿宋" w:cs="Times New Roman"/>
          <w:color w:val="000000"/>
          <w:sz w:val="32"/>
          <w:szCs w:val="32"/>
        </w:rPr>
        <w:t>支出</w:t>
      </w:r>
      <w:r>
        <w:rPr>
          <w:rFonts w:hint="default" w:ascii="Times New Roman" w:hAnsi="Times New Roman" w:eastAsia="仿宋" w:cs="Times New Roman"/>
          <w:color w:val="000000"/>
          <w:sz w:val="32"/>
          <w:szCs w:val="32"/>
          <w:lang w:val="en-US" w:eastAsia="zh-CN"/>
        </w:rPr>
        <w:t>27.40</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20.38</w:t>
      </w:r>
      <w:r>
        <w:rPr>
          <w:rFonts w:hint="default" w:ascii="Times New Roman" w:hAnsi="Times New Roman" w:eastAsia="仿宋" w:cs="Times New Roman"/>
          <w:color w:val="000000"/>
          <w:sz w:val="32"/>
          <w:szCs w:val="32"/>
        </w:rPr>
        <w:t>%；</w:t>
      </w:r>
      <w:r>
        <w:rPr>
          <w:rFonts w:hint="default" w:ascii="Times New Roman" w:hAnsi="Times New Roman" w:eastAsia="仿宋" w:cs="Times New Roman"/>
          <w:b/>
          <w:bCs/>
          <w:color w:val="000000"/>
          <w:sz w:val="32"/>
          <w:szCs w:val="32"/>
        </w:rPr>
        <w:t>卫生健康支出</w:t>
      </w:r>
      <w:r>
        <w:rPr>
          <w:rFonts w:hint="default" w:ascii="Times New Roman" w:hAnsi="Times New Roman" w:eastAsia="仿宋" w:cs="Times New Roman"/>
          <w:b/>
          <w:bCs/>
          <w:color w:val="000000"/>
          <w:sz w:val="32"/>
          <w:szCs w:val="32"/>
          <w:lang w:val="en-US" w:eastAsia="zh-CN"/>
        </w:rPr>
        <w:t>5.70</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4.23</w:t>
      </w:r>
      <w:r>
        <w:rPr>
          <w:rFonts w:hint="default" w:ascii="Times New Roman" w:hAnsi="Times New Roman" w:eastAsia="仿宋" w:cs="Times New Roman"/>
          <w:color w:val="000000"/>
          <w:sz w:val="32"/>
          <w:szCs w:val="32"/>
        </w:rPr>
        <w:t>%；</w:t>
      </w:r>
      <w:r>
        <w:rPr>
          <w:rFonts w:hint="default" w:ascii="Times New Roman" w:hAnsi="Times New Roman" w:eastAsia="仿宋" w:cs="Times New Roman"/>
          <w:b/>
          <w:bCs/>
          <w:color w:val="000000"/>
          <w:sz w:val="32"/>
          <w:szCs w:val="32"/>
        </w:rPr>
        <w:t>住房保障支出</w:t>
      </w:r>
      <w:r>
        <w:rPr>
          <w:rFonts w:hint="default" w:ascii="Times New Roman" w:hAnsi="Times New Roman" w:eastAsia="仿宋" w:cs="Times New Roman"/>
          <w:b/>
          <w:bCs/>
          <w:color w:val="000000"/>
          <w:sz w:val="32"/>
          <w:szCs w:val="32"/>
          <w:lang w:val="en-US" w:eastAsia="zh-CN"/>
        </w:rPr>
        <w:t>10.49</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7.80</w:t>
      </w:r>
      <w:r>
        <w:rPr>
          <w:rFonts w:hint="default" w:ascii="Times New Roman" w:hAnsi="Times New Roman" w:eastAsia="仿宋" w:cs="Times New Roman"/>
          <w:color w:val="000000"/>
          <w:sz w:val="32"/>
          <w:szCs w:val="32"/>
        </w:rPr>
        <w:t>%；</w:t>
      </w:r>
      <w:r>
        <w:rPr>
          <w:rFonts w:hint="default" w:ascii="Times New Roman" w:hAnsi="Times New Roman" w:eastAsia="仿宋" w:cs="Times New Roman"/>
          <w:b/>
          <w:bCs/>
          <w:color w:val="000000"/>
          <w:sz w:val="32"/>
          <w:szCs w:val="32"/>
        </w:rPr>
        <w:t>节能环保支出</w:t>
      </w:r>
      <w:r>
        <w:rPr>
          <w:rFonts w:hint="default" w:ascii="Times New Roman" w:hAnsi="Times New Roman" w:eastAsia="仿宋" w:cs="Times New Roman"/>
          <w:b/>
          <w:bCs/>
          <w:color w:val="000000"/>
          <w:sz w:val="32"/>
          <w:szCs w:val="32"/>
          <w:lang w:val="en-US" w:eastAsia="zh-CN"/>
        </w:rPr>
        <w:t>90.89</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67.59</w:t>
      </w:r>
      <w:r>
        <w:rPr>
          <w:rFonts w:hint="default" w:ascii="Times New Roman" w:hAnsi="Times New Roman" w:eastAsia="仿宋" w:cs="Times New Roman"/>
          <w:color w:val="000000"/>
          <w:sz w:val="32"/>
          <w:szCs w:val="32"/>
        </w:rPr>
        <w:t>%。</w:t>
      </w:r>
    </w:p>
    <w:p>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（图</w:t>
      </w:r>
      <w:r>
        <w:rPr>
          <w:rFonts w:hint="default" w:ascii="Times New Roman" w:hAnsi="Times New Roman" w:eastAsia="仿宋" w:cs="Times New Roman"/>
          <w:color w:val="000000"/>
          <w:sz w:val="32"/>
          <w:szCs w:val="32"/>
          <w:lang w:val="en-US" w:eastAsia="zh-CN"/>
        </w:rPr>
        <w:t>5</w:t>
      </w:r>
      <w:r>
        <w:rPr>
          <w:rFonts w:hint="default" w:ascii="Times New Roman" w:hAnsi="Times New Roman" w:eastAsia="仿宋" w:cs="Times New Roman"/>
          <w:color w:val="000000"/>
          <w:sz w:val="32"/>
          <w:szCs w:val="32"/>
        </w:rPr>
        <w:t>：一般公共预算财政拨款支出决算结构）（饼状图）</w:t>
      </w:r>
    </w:p>
    <w:p>
      <w:pPr>
        <w:pStyle w:val="5"/>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lang w:eastAsia="zh-CN"/>
        </w:rPr>
        <w:drawing>
          <wp:inline distT="0" distB="0" distL="114300" distR="114300">
            <wp:extent cx="5080000" cy="2915285"/>
            <wp:effectExtent l="4445" t="4445" r="20955" b="1397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rPr>
          <w:rFonts w:hint="default" w:ascii="Times New Roman" w:hAnsi="Times New Roman" w:eastAsia="仿宋" w:cs="Times New Roman"/>
          <w:color w:val="000000"/>
          <w:sz w:val="32"/>
          <w:szCs w:val="32"/>
        </w:rPr>
      </w:pPr>
    </w:p>
    <w:p>
      <w:pPr>
        <w:spacing w:line="600" w:lineRule="exact"/>
        <w:ind w:firstLine="643" w:firstLineChars="200"/>
        <w:rPr>
          <w:rFonts w:hint="default" w:ascii="Times New Roman" w:hAnsi="Times New Roman" w:eastAsia="仿宋" w:cs="Times New Roman"/>
          <w:b/>
          <w:color w:val="000000"/>
          <w:sz w:val="32"/>
          <w:szCs w:val="32"/>
        </w:rPr>
      </w:pPr>
      <w:bookmarkStart w:id="59" w:name="_Toc79163867"/>
      <w:bookmarkStart w:id="60" w:name="_Toc79163617"/>
      <w:bookmarkStart w:id="61" w:name="_Toc15377212"/>
      <w:r>
        <w:rPr>
          <w:rFonts w:hint="default" w:ascii="Times New Roman" w:hAnsi="Times New Roman" w:eastAsia="仿宋" w:cs="Times New Roman"/>
          <w:b/>
          <w:color w:val="000000"/>
          <w:sz w:val="32"/>
          <w:szCs w:val="32"/>
        </w:rPr>
        <w:t>（三）一般公共预算财政拨款支出决算具体情况</w:t>
      </w:r>
      <w:bookmarkEnd w:id="59"/>
      <w:bookmarkEnd w:id="60"/>
      <w:bookmarkEnd w:id="61"/>
    </w:p>
    <w:p>
      <w:pPr>
        <w:spacing w:line="600" w:lineRule="exact"/>
        <w:ind w:firstLine="640" w:firstLineChars="200"/>
        <w:rPr>
          <w:rFonts w:hint="default" w:ascii="Times New Roman" w:hAnsi="Times New Roman" w:eastAsia="仿宋" w:cs="Times New Roman"/>
          <w:color w:val="000000"/>
          <w:sz w:val="32"/>
          <w:szCs w:val="32"/>
        </w:rPr>
      </w:pPr>
      <w:bookmarkStart w:id="62" w:name="_Toc15378460"/>
      <w:bookmarkStart w:id="63" w:name="_Toc15377444"/>
      <w:bookmarkStart w:id="64" w:name="_Toc15377213"/>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年一般公共预算支出决算数为</w:t>
      </w:r>
      <w:r>
        <w:rPr>
          <w:rFonts w:hint="default" w:ascii="Times New Roman" w:hAnsi="Times New Roman" w:eastAsia="仿宋" w:cs="Times New Roman"/>
          <w:color w:val="000000"/>
          <w:sz w:val="32"/>
          <w:szCs w:val="32"/>
          <w:lang w:val="en-US" w:eastAsia="zh-CN"/>
        </w:rPr>
        <w:t>134.47</w:t>
      </w:r>
      <w:r>
        <w:rPr>
          <w:rFonts w:hint="default" w:ascii="Times New Roman" w:hAnsi="Times New Roman" w:eastAsia="仿宋" w:cs="Times New Roman"/>
          <w:color w:val="000000"/>
          <w:sz w:val="32"/>
          <w:szCs w:val="32"/>
        </w:rPr>
        <w:t>万元，完成预算100%。其中：</w:t>
      </w:r>
      <w:bookmarkEnd w:id="62"/>
      <w:bookmarkEnd w:id="63"/>
      <w:bookmarkEnd w:id="64"/>
    </w:p>
    <w:p>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1.社会保障和就业（类）208（款）05（项）: 支出决算为</w:t>
      </w:r>
      <w:r>
        <w:rPr>
          <w:rFonts w:hint="default" w:ascii="Times New Roman" w:hAnsi="Times New Roman" w:eastAsia="仿宋" w:cs="Times New Roman"/>
          <w:color w:val="000000"/>
          <w:sz w:val="32"/>
          <w:szCs w:val="32"/>
          <w:lang w:val="en-US" w:eastAsia="zh-CN"/>
        </w:rPr>
        <w:t>27.40</w:t>
      </w:r>
      <w:r>
        <w:rPr>
          <w:rFonts w:hint="default" w:ascii="Times New Roman" w:hAnsi="Times New Roman" w:eastAsia="仿宋" w:cs="Times New Roman"/>
          <w:color w:val="000000"/>
          <w:sz w:val="32"/>
          <w:szCs w:val="32"/>
        </w:rPr>
        <w:t>万元，完成预算</w:t>
      </w:r>
      <w:r>
        <w:rPr>
          <w:rFonts w:hint="default" w:ascii="Times New Roman" w:hAnsi="Times New Roman" w:eastAsia="仿宋" w:cs="Times New Roman"/>
          <w:color w:val="000000"/>
          <w:sz w:val="32"/>
          <w:szCs w:val="32"/>
          <w:lang w:val="en-US" w:eastAsia="zh-CN"/>
        </w:rPr>
        <w:t>20.38</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 </w:t>
      </w:r>
    </w:p>
    <w:p>
      <w:pPr>
        <w:spacing w:line="600" w:lineRule="exact"/>
        <w:ind w:firstLine="640" w:firstLineChars="200"/>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.卫生健康（类）210（款）11（项）支出决算为</w:t>
      </w:r>
      <w:r>
        <w:rPr>
          <w:rFonts w:hint="default" w:ascii="Times New Roman" w:hAnsi="Times New Roman" w:eastAsia="仿宋" w:cs="Times New Roman"/>
          <w:color w:val="000000"/>
          <w:sz w:val="32"/>
          <w:szCs w:val="32"/>
          <w:lang w:val="en-US" w:eastAsia="zh-CN"/>
        </w:rPr>
        <w:t>5.70</w:t>
      </w:r>
      <w:r>
        <w:rPr>
          <w:rFonts w:hint="default" w:ascii="Times New Roman" w:hAnsi="Times New Roman" w:eastAsia="仿宋" w:cs="Times New Roman"/>
          <w:color w:val="000000"/>
          <w:sz w:val="32"/>
          <w:szCs w:val="32"/>
        </w:rPr>
        <w:t>万元，完成预算</w:t>
      </w:r>
      <w:r>
        <w:rPr>
          <w:rFonts w:hint="default" w:ascii="Times New Roman" w:hAnsi="Times New Roman" w:eastAsia="仿宋" w:cs="Times New Roman"/>
          <w:color w:val="000000"/>
          <w:sz w:val="32"/>
          <w:szCs w:val="32"/>
          <w:lang w:val="en-US" w:eastAsia="zh-CN"/>
        </w:rPr>
        <w:t>4.23</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w:t>
      </w:r>
    </w:p>
    <w:p>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val="en-US" w:eastAsia="zh-CN"/>
        </w:rPr>
        <w:t>3</w:t>
      </w:r>
      <w:r>
        <w:rPr>
          <w:rFonts w:hint="default" w:ascii="Times New Roman" w:hAnsi="Times New Roman" w:eastAsia="仿宋" w:cs="Times New Roman"/>
          <w:color w:val="000000"/>
          <w:sz w:val="32"/>
          <w:szCs w:val="32"/>
        </w:rPr>
        <w:t>.节能环保支出（类）211（款）：支出决算为</w:t>
      </w:r>
      <w:r>
        <w:rPr>
          <w:rFonts w:hint="default" w:ascii="Times New Roman" w:hAnsi="Times New Roman" w:eastAsia="仿宋" w:cs="Times New Roman"/>
          <w:color w:val="000000"/>
          <w:sz w:val="32"/>
          <w:szCs w:val="32"/>
          <w:lang w:val="en-US" w:eastAsia="zh-CN"/>
        </w:rPr>
        <w:t>90.89</w:t>
      </w:r>
      <w:r>
        <w:rPr>
          <w:rFonts w:hint="default" w:ascii="Times New Roman" w:hAnsi="Times New Roman" w:eastAsia="仿宋" w:cs="Times New Roman"/>
          <w:color w:val="000000"/>
          <w:sz w:val="32"/>
          <w:szCs w:val="32"/>
        </w:rPr>
        <w:t>万元</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完成预算</w:t>
      </w:r>
      <w:r>
        <w:rPr>
          <w:rFonts w:hint="default" w:ascii="Times New Roman" w:hAnsi="Times New Roman" w:eastAsia="仿宋" w:cs="Times New Roman"/>
          <w:color w:val="000000"/>
          <w:sz w:val="32"/>
          <w:szCs w:val="32"/>
          <w:lang w:val="en-US" w:eastAsia="zh-CN"/>
        </w:rPr>
        <w:t>67.59</w:t>
      </w:r>
      <w:r>
        <w:rPr>
          <w:rFonts w:hint="default" w:ascii="Times New Roman" w:hAnsi="Times New Roman" w:eastAsia="仿宋" w:cs="Times New Roman"/>
          <w:color w:val="000000"/>
          <w:sz w:val="32"/>
          <w:szCs w:val="32"/>
        </w:rPr>
        <w:t>%，</w:t>
      </w:r>
    </w:p>
    <w:p>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val="en-US" w:eastAsia="zh-CN"/>
        </w:rPr>
        <w:t>4</w:t>
      </w:r>
      <w:r>
        <w:rPr>
          <w:rFonts w:hint="default" w:ascii="Times New Roman" w:hAnsi="Times New Roman" w:eastAsia="仿宋" w:cs="Times New Roman"/>
          <w:color w:val="000000"/>
          <w:sz w:val="32"/>
          <w:szCs w:val="32"/>
        </w:rPr>
        <w:t>.住房保障支</w:t>
      </w:r>
      <w:r>
        <w:rPr>
          <w:rFonts w:hint="default" w:ascii="Times New Roman" w:hAnsi="Times New Roman" w:eastAsia="仿宋" w:cs="Times New Roman"/>
          <w:color w:val="000000"/>
          <w:sz w:val="32"/>
          <w:szCs w:val="32"/>
          <w:lang w:eastAsia="zh-CN"/>
        </w:rPr>
        <w:t>出</w:t>
      </w:r>
      <w:r>
        <w:rPr>
          <w:rFonts w:hint="default" w:ascii="Times New Roman" w:hAnsi="Times New Roman" w:eastAsia="仿宋" w:cs="Times New Roman"/>
          <w:color w:val="000000"/>
          <w:sz w:val="32"/>
          <w:szCs w:val="32"/>
        </w:rPr>
        <w:t>（类）221（款）02（项）01：支出决算为</w:t>
      </w:r>
      <w:r>
        <w:rPr>
          <w:rFonts w:hint="default" w:ascii="Times New Roman" w:hAnsi="Times New Roman" w:eastAsia="仿宋" w:cs="Times New Roman"/>
          <w:color w:val="000000"/>
          <w:sz w:val="32"/>
          <w:szCs w:val="32"/>
          <w:lang w:val="en-US" w:eastAsia="zh-CN"/>
        </w:rPr>
        <w:t>10.49</w:t>
      </w:r>
      <w:r>
        <w:rPr>
          <w:rFonts w:hint="default" w:ascii="Times New Roman" w:hAnsi="Times New Roman" w:eastAsia="仿宋" w:cs="Times New Roman"/>
          <w:color w:val="000000"/>
          <w:sz w:val="32"/>
          <w:szCs w:val="32"/>
        </w:rPr>
        <w:t>万元，完成预算</w:t>
      </w:r>
      <w:r>
        <w:rPr>
          <w:rFonts w:hint="default" w:ascii="Times New Roman" w:hAnsi="Times New Roman" w:eastAsia="仿宋" w:cs="Times New Roman"/>
          <w:color w:val="000000"/>
          <w:sz w:val="32"/>
          <w:szCs w:val="32"/>
          <w:lang w:val="en-US" w:eastAsia="zh-CN"/>
        </w:rPr>
        <w:t>7.80</w:t>
      </w:r>
      <w:r>
        <w:rPr>
          <w:rFonts w:hint="default" w:ascii="Times New Roman" w:hAnsi="Times New Roman" w:eastAsia="仿宋" w:cs="Times New Roman"/>
          <w:color w:val="000000"/>
          <w:sz w:val="32"/>
          <w:szCs w:val="32"/>
        </w:rPr>
        <w:t>%，</w:t>
      </w:r>
    </w:p>
    <w:p>
      <w:pPr>
        <w:spacing w:line="600" w:lineRule="exact"/>
        <w:ind w:firstLine="643" w:firstLineChars="200"/>
        <w:rPr>
          <w:rFonts w:hint="default" w:ascii="Times New Roman" w:hAnsi="Times New Roman" w:eastAsia="仿宋" w:cs="Times New Roman"/>
          <w:b/>
          <w:bCs/>
          <w:color w:val="000000"/>
          <w:sz w:val="32"/>
          <w:szCs w:val="32"/>
        </w:rPr>
      </w:pPr>
      <w:bookmarkStart w:id="65" w:name="_Toc79163618"/>
      <w:bookmarkStart w:id="66" w:name="_Toc15396608"/>
      <w:bookmarkStart w:id="67" w:name="_Toc15377214"/>
      <w:bookmarkStart w:id="68" w:name="_Toc79163868"/>
      <w:r>
        <w:rPr>
          <w:rFonts w:hint="default" w:ascii="Times New Roman" w:hAnsi="Times New Roman" w:eastAsia="仿宋" w:cs="Times New Roman"/>
          <w:b/>
          <w:bCs/>
          <w:color w:val="000000"/>
          <w:sz w:val="32"/>
          <w:szCs w:val="32"/>
        </w:rPr>
        <w:t>六、一般公共预算财政拨款基本支出决算情况说明</w:t>
      </w:r>
      <w:bookmarkEnd w:id="65"/>
      <w:bookmarkEnd w:id="66"/>
      <w:bookmarkEnd w:id="67"/>
      <w:bookmarkEnd w:id="68"/>
      <w:r>
        <w:rPr>
          <w:rFonts w:hint="default" w:ascii="Times New Roman" w:hAnsi="Times New Roman" w:eastAsia="仿宋" w:cs="Times New Roman"/>
          <w:b/>
          <w:bCs/>
          <w:color w:val="000000"/>
          <w:sz w:val="32"/>
          <w:szCs w:val="32"/>
        </w:rPr>
        <w:tab/>
      </w:r>
    </w:p>
    <w:p>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年一般公共预算财政拨款基本支出</w:t>
      </w:r>
      <w:r>
        <w:rPr>
          <w:rFonts w:hint="default" w:ascii="Times New Roman" w:hAnsi="Times New Roman" w:eastAsia="仿宋" w:cs="Times New Roman"/>
          <w:color w:val="000000"/>
          <w:sz w:val="32"/>
          <w:szCs w:val="32"/>
          <w:lang w:val="en-US" w:eastAsia="zh-CN"/>
        </w:rPr>
        <w:t>134.47</w:t>
      </w:r>
      <w:r>
        <w:rPr>
          <w:rFonts w:hint="default" w:ascii="Times New Roman" w:hAnsi="Times New Roman" w:eastAsia="仿宋" w:cs="Times New Roman"/>
          <w:color w:val="000000"/>
          <w:sz w:val="32"/>
          <w:szCs w:val="32"/>
        </w:rPr>
        <w:t>万元，其中：</w:t>
      </w:r>
    </w:p>
    <w:p>
      <w:pPr>
        <w:spacing w:line="600" w:lineRule="exact"/>
        <w:ind w:firstLine="640" w:firstLineChars="200"/>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rPr>
        <w:t>人员经费</w:t>
      </w:r>
      <w:r>
        <w:rPr>
          <w:rFonts w:hint="default" w:ascii="Times New Roman" w:hAnsi="Times New Roman" w:eastAsia="仿宋" w:cs="Times New Roman"/>
          <w:color w:val="000000"/>
          <w:sz w:val="32"/>
          <w:szCs w:val="32"/>
          <w:lang w:val="en-US" w:eastAsia="zh-CN"/>
        </w:rPr>
        <w:t>118.49</w:t>
      </w:r>
      <w:r>
        <w:rPr>
          <w:rFonts w:hint="default" w:ascii="Times New Roman" w:hAnsi="Times New Roman" w:eastAsia="仿宋" w:cs="Times New Roman"/>
          <w:color w:val="000000"/>
          <w:sz w:val="32"/>
          <w:szCs w:val="32"/>
        </w:rPr>
        <w:t>万元，主要包括：基本工资</w:t>
      </w:r>
      <w:r>
        <w:rPr>
          <w:rFonts w:hint="default" w:ascii="Times New Roman" w:hAnsi="Times New Roman" w:eastAsia="仿宋" w:cs="Times New Roman"/>
          <w:color w:val="000000"/>
          <w:sz w:val="32"/>
          <w:szCs w:val="32"/>
          <w:lang w:val="en-US" w:eastAsia="zh-CN"/>
        </w:rPr>
        <w:t>31.8</w:t>
      </w:r>
      <w:r>
        <w:rPr>
          <w:rFonts w:hint="default" w:ascii="Times New Roman" w:hAnsi="Times New Roman" w:eastAsia="仿宋" w:cs="Times New Roman"/>
          <w:color w:val="000000"/>
          <w:sz w:val="32"/>
          <w:szCs w:val="32"/>
        </w:rPr>
        <w:t>万元、津贴补贴</w:t>
      </w:r>
      <w:r>
        <w:rPr>
          <w:rFonts w:hint="default" w:ascii="Times New Roman" w:hAnsi="Times New Roman" w:eastAsia="仿宋" w:cs="Times New Roman"/>
          <w:color w:val="000000"/>
          <w:sz w:val="32"/>
          <w:szCs w:val="32"/>
          <w:lang w:val="en-US" w:eastAsia="zh-CN"/>
        </w:rPr>
        <w:t>11.28</w:t>
      </w:r>
      <w:r>
        <w:rPr>
          <w:rFonts w:hint="default" w:ascii="Times New Roman" w:hAnsi="Times New Roman" w:eastAsia="仿宋" w:cs="Times New Roman"/>
          <w:color w:val="000000"/>
          <w:sz w:val="32"/>
          <w:szCs w:val="32"/>
        </w:rPr>
        <w:t>万元、奖金</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万元、伙食补助费0万元、绩效工资</w:t>
      </w:r>
      <w:r>
        <w:rPr>
          <w:rFonts w:hint="default" w:ascii="Times New Roman" w:hAnsi="Times New Roman" w:eastAsia="仿宋" w:cs="Times New Roman"/>
          <w:color w:val="000000"/>
          <w:sz w:val="32"/>
          <w:szCs w:val="32"/>
          <w:lang w:val="en-US" w:eastAsia="zh-CN"/>
        </w:rPr>
        <w:t>27.87</w:t>
      </w:r>
      <w:r>
        <w:rPr>
          <w:rFonts w:hint="default" w:ascii="Times New Roman" w:hAnsi="Times New Roman" w:eastAsia="仿宋" w:cs="Times New Roman"/>
          <w:color w:val="000000"/>
          <w:sz w:val="32"/>
          <w:szCs w:val="32"/>
        </w:rPr>
        <w:t>万元、机关事业单位基本养老保险缴费</w:t>
      </w:r>
      <w:r>
        <w:rPr>
          <w:rFonts w:hint="default" w:ascii="Times New Roman" w:hAnsi="Times New Roman" w:eastAsia="仿宋" w:cs="Times New Roman"/>
          <w:color w:val="000000"/>
          <w:sz w:val="32"/>
          <w:szCs w:val="32"/>
          <w:lang w:val="en-US" w:eastAsia="zh-CN"/>
        </w:rPr>
        <w:t>19.90</w:t>
      </w:r>
      <w:r>
        <w:rPr>
          <w:rFonts w:hint="default" w:ascii="Times New Roman" w:hAnsi="Times New Roman" w:eastAsia="仿宋" w:cs="Times New Roman"/>
          <w:color w:val="000000"/>
          <w:sz w:val="32"/>
          <w:szCs w:val="32"/>
        </w:rPr>
        <w:t>万元、职业年金缴费</w:t>
      </w:r>
      <w:r>
        <w:rPr>
          <w:rFonts w:hint="default" w:ascii="Times New Roman" w:hAnsi="Times New Roman" w:eastAsia="仿宋" w:cs="Times New Roman"/>
          <w:color w:val="000000"/>
          <w:sz w:val="32"/>
          <w:szCs w:val="32"/>
          <w:lang w:val="en-US" w:eastAsia="zh-CN"/>
        </w:rPr>
        <w:t>7.50</w:t>
      </w:r>
      <w:r>
        <w:rPr>
          <w:rFonts w:hint="default" w:ascii="Times New Roman" w:hAnsi="Times New Roman" w:eastAsia="仿宋" w:cs="Times New Roman"/>
          <w:color w:val="000000"/>
          <w:sz w:val="32"/>
          <w:szCs w:val="32"/>
        </w:rPr>
        <w:t>万元、职工基本医疗</w:t>
      </w:r>
      <w:r>
        <w:rPr>
          <w:rFonts w:hint="default" w:ascii="Times New Roman" w:hAnsi="Times New Roman" w:eastAsia="仿宋" w:cs="Times New Roman"/>
          <w:color w:val="000000"/>
          <w:sz w:val="32"/>
          <w:szCs w:val="32"/>
          <w:lang w:val="en-US" w:eastAsia="zh-CN"/>
        </w:rPr>
        <w:t>5.70</w:t>
      </w:r>
      <w:r>
        <w:rPr>
          <w:rFonts w:hint="default" w:ascii="Times New Roman" w:hAnsi="Times New Roman" w:eastAsia="仿宋" w:cs="Times New Roman"/>
          <w:color w:val="000000"/>
          <w:sz w:val="32"/>
          <w:szCs w:val="32"/>
        </w:rPr>
        <w:t>万元、其他社会保障缴费</w:t>
      </w:r>
      <w:r>
        <w:rPr>
          <w:rFonts w:hint="default" w:ascii="Times New Roman" w:hAnsi="Times New Roman" w:eastAsia="仿宋" w:cs="Times New Roman"/>
          <w:color w:val="000000"/>
          <w:sz w:val="32"/>
          <w:szCs w:val="32"/>
          <w:lang w:val="en-US" w:eastAsia="zh-CN"/>
        </w:rPr>
        <w:t>3.95</w:t>
      </w:r>
      <w:r>
        <w:rPr>
          <w:rFonts w:hint="default" w:ascii="Times New Roman" w:hAnsi="Times New Roman" w:eastAsia="仿宋" w:cs="Times New Roman"/>
          <w:color w:val="000000"/>
          <w:sz w:val="32"/>
          <w:szCs w:val="32"/>
        </w:rPr>
        <w:t>万元、其他工资福利支出0元、住房公积金</w:t>
      </w:r>
      <w:r>
        <w:rPr>
          <w:rFonts w:hint="default" w:ascii="Times New Roman" w:hAnsi="Times New Roman" w:eastAsia="仿宋" w:cs="Times New Roman"/>
          <w:color w:val="000000"/>
          <w:sz w:val="32"/>
          <w:szCs w:val="32"/>
          <w:lang w:val="en-US" w:eastAsia="zh-CN"/>
        </w:rPr>
        <w:t>10.49</w:t>
      </w:r>
      <w:r>
        <w:rPr>
          <w:rFonts w:hint="default" w:ascii="Times New Roman" w:hAnsi="Times New Roman" w:eastAsia="仿宋" w:cs="Times New Roman"/>
          <w:color w:val="000000"/>
          <w:sz w:val="32"/>
          <w:szCs w:val="32"/>
        </w:rPr>
        <w:t>万元、其他对个人和家庭的补助支出</w:t>
      </w:r>
      <w:r>
        <w:rPr>
          <w:rFonts w:hint="default" w:ascii="Times New Roman" w:hAnsi="Times New Roman"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w:t>
      </w:r>
    </w:p>
    <w:p>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日常公用经费</w:t>
      </w:r>
      <w:r>
        <w:rPr>
          <w:rFonts w:hint="default" w:ascii="Times New Roman" w:hAnsi="Times New Roman" w:eastAsia="仿宋" w:cs="Times New Roman"/>
          <w:color w:val="000000"/>
          <w:sz w:val="32"/>
          <w:szCs w:val="32"/>
          <w:lang w:val="en-US" w:eastAsia="zh-CN"/>
        </w:rPr>
        <w:t>15.98</w:t>
      </w:r>
      <w:r>
        <w:rPr>
          <w:rFonts w:hint="default" w:ascii="Times New Roman" w:hAnsi="Times New Roman" w:eastAsia="仿宋" w:cs="Times New Roman"/>
          <w:color w:val="000000"/>
          <w:sz w:val="32"/>
          <w:szCs w:val="32"/>
        </w:rPr>
        <w:t>万元，主要包括：办公费</w:t>
      </w:r>
      <w:r>
        <w:rPr>
          <w:rFonts w:hint="default" w:ascii="Times New Roman" w:hAnsi="Times New Roman" w:eastAsia="仿宋" w:cs="Times New Roman"/>
          <w:color w:val="000000"/>
          <w:sz w:val="32"/>
          <w:szCs w:val="32"/>
          <w:lang w:val="en-US" w:eastAsia="zh-CN"/>
        </w:rPr>
        <w:t>3.34</w:t>
      </w:r>
      <w:r>
        <w:rPr>
          <w:rFonts w:hint="default" w:ascii="Times New Roman" w:hAnsi="Times New Roman" w:eastAsia="仿宋" w:cs="Times New Roman"/>
          <w:color w:val="000000"/>
          <w:sz w:val="32"/>
          <w:szCs w:val="32"/>
        </w:rPr>
        <w:t>万元、印刷费0万元、</w:t>
      </w:r>
      <w:r>
        <w:rPr>
          <w:rFonts w:hint="default" w:ascii="Times New Roman" w:hAnsi="Times New Roman" w:eastAsia="仿宋" w:cs="Times New Roman"/>
          <w:color w:val="000000"/>
          <w:sz w:val="32"/>
          <w:szCs w:val="32"/>
          <w:lang w:eastAsia="zh-CN"/>
        </w:rPr>
        <w:t>水费</w:t>
      </w:r>
      <w:r>
        <w:rPr>
          <w:rFonts w:hint="default" w:ascii="Times New Roman" w:hAnsi="Times New Roman" w:eastAsia="仿宋" w:cs="Times New Roman"/>
          <w:color w:val="000000"/>
          <w:sz w:val="32"/>
          <w:szCs w:val="32"/>
          <w:lang w:val="en-US" w:eastAsia="zh-CN"/>
        </w:rPr>
        <w:t>0.36万元、</w:t>
      </w:r>
      <w:r>
        <w:rPr>
          <w:rFonts w:hint="default" w:ascii="Times New Roman" w:hAnsi="Times New Roman" w:eastAsia="仿宋" w:cs="Times New Roman"/>
          <w:color w:val="000000"/>
          <w:sz w:val="32"/>
          <w:szCs w:val="32"/>
        </w:rPr>
        <w:t>电费0</w:t>
      </w:r>
      <w:r>
        <w:rPr>
          <w:rFonts w:hint="default" w:ascii="Times New Roman" w:hAnsi="Times New Roman" w:eastAsia="仿宋" w:cs="Times New Roman"/>
          <w:color w:val="000000"/>
          <w:sz w:val="32"/>
          <w:szCs w:val="32"/>
          <w:lang w:val="en-US" w:eastAsia="zh-CN"/>
        </w:rPr>
        <w:t>.40</w:t>
      </w:r>
      <w:r>
        <w:rPr>
          <w:rFonts w:hint="default" w:ascii="Times New Roman" w:hAnsi="Times New Roman" w:eastAsia="仿宋" w:cs="Times New Roman"/>
          <w:color w:val="000000"/>
          <w:sz w:val="32"/>
          <w:szCs w:val="32"/>
        </w:rPr>
        <w:t>万元、邮电费</w:t>
      </w:r>
      <w:r>
        <w:rPr>
          <w:rFonts w:hint="default" w:ascii="Times New Roman" w:hAnsi="Times New Roman" w:eastAsia="仿宋" w:cs="Times New Roman"/>
          <w:color w:val="000000"/>
          <w:sz w:val="32"/>
          <w:szCs w:val="32"/>
          <w:lang w:val="en-US" w:eastAsia="zh-CN"/>
        </w:rPr>
        <w:t>1.82</w:t>
      </w:r>
      <w:r>
        <w:rPr>
          <w:rFonts w:hint="default" w:ascii="Times New Roman" w:hAnsi="Times New Roman" w:eastAsia="仿宋" w:cs="Times New Roman"/>
          <w:color w:val="000000"/>
          <w:sz w:val="32"/>
          <w:szCs w:val="32"/>
        </w:rPr>
        <w:t>万元、物业管理费</w:t>
      </w:r>
      <w:r>
        <w:rPr>
          <w:rFonts w:hint="default" w:ascii="Times New Roman" w:hAnsi="Times New Roman"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、差旅费</w:t>
      </w:r>
      <w:r>
        <w:rPr>
          <w:rFonts w:hint="default" w:ascii="Times New Roman" w:hAnsi="Times New Roman" w:eastAsia="仿宋" w:cs="Times New Roman"/>
          <w:color w:val="000000"/>
          <w:sz w:val="32"/>
          <w:szCs w:val="32"/>
          <w:lang w:val="en-US" w:eastAsia="zh-CN"/>
        </w:rPr>
        <w:t>6.53</w:t>
      </w:r>
      <w:r>
        <w:rPr>
          <w:rFonts w:hint="default" w:ascii="Times New Roman" w:hAnsi="Times New Roman" w:eastAsia="仿宋" w:cs="Times New Roman"/>
          <w:color w:val="000000"/>
          <w:sz w:val="32"/>
          <w:szCs w:val="32"/>
        </w:rPr>
        <w:t>万元、维修（护）费0万元、会议费</w:t>
      </w:r>
      <w:r>
        <w:rPr>
          <w:rFonts w:hint="default" w:ascii="Times New Roman" w:hAnsi="Times New Roman"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、培训费</w:t>
      </w:r>
      <w:r>
        <w:rPr>
          <w:rFonts w:hint="default" w:ascii="Times New Roman" w:hAnsi="Times New Roman" w:eastAsia="仿宋" w:cs="Times New Roman"/>
          <w:color w:val="000000"/>
          <w:sz w:val="32"/>
          <w:szCs w:val="32"/>
          <w:lang w:val="en-US" w:eastAsia="zh-CN"/>
        </w:rPr>
        <w:t>0.20</w:t>
      </w:r>
      <w:r>
        <w:rPr>
          <w:rFonts w:hint="default" w:ascii="Times New Roman" w:hAnsi="Times New Roman" w:eastAsia="仿宋" w:cs="Times New Roman"/>
          <w:color w:val="000000"/>
          <w:sz w:val="32"/>
          <w:szCs w:val="32"/>
        </w:rPr>
        <w:t>万元、公务接待费0.</w:t>
      </w:r>
      <w:r>
        <w:rPr>
          <w:rFonts w:hint="default" w:ascii="Times New Roman" w:hAnsi="Times New Roman" w:eastAsia="仿宋" w:cs="Times New Roman"/>
          <w:color w:val="000000"/>
          <w:sz w:val="32"/>
          <w:szCs w:val="32"/>
          <w:lang w:val="en-US" w:eastAsia="zh-CN"/>
        </w:rPr>
        <w:t>26</w:t>
      </w:r>
      <w:r>
        <w:rPr>
          <w:rFonts w:hint="default" w:ascii="Times New Roman" w:hAnsi="Times New Roman" w:eastAsia="仿宋" w:cs="Times New Roman"/>
          <w:color w:val="000000"/>
          <w:sz w:val="32"/>
          <w:szCs w:val="32"/>
        </w:rPr>
        <w:t>万元、劳务费0万元、工会经费</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万元、福利费</w:t>
      </w:r>
      <w:r>
        <w:rPr>
          <w:rFonts w:hint="default" w:ascii="Times New Roman" w:hAnsi="Times New Roman" w:eastAsia="仿宋" w:cs="Times New Roman"/>
          <w:color w:val="000000"/>
          <w:sz w:val="32"/>
          <w:szCs w:val="32"/>
          <w:lang w:val="en-US" w:eastAsia="zh-CN"/>
        </w:rPr>
        <w:t>1.93</w:t>
      </w:r>
      <w:r>
        <w:rPr>
          <w:rFonts w:hint="default" w:ascii="Times New Roman" w:hAnsi="Times New Roman" w:eastAsia="仿宋" w:cs="Times New Roman"/>
          <w:color w:val="000000"/>
          <w:sz w:val="32"/>
          <w:szCs w:val="32"/>
        </w:rPr>
        <w:t>万元、公务用车运行维护费</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w:t>
      </w:r>
      <w:r>
        <w:rPr>
          <w:rFonts w:hint="default" w:ascii="Times New Roman" w:hAnsi="Times New Roman" w:eastAsia="仿宋" w:cs="Times New Roman"/>
          <w:color w:val="000000"/>
          <w:sz w:val="32"/>
          <w:szCs w:val="32"/>
          <w:lang w:eastAsia="zh-CN"/>
        </w:rPr>
        <w:t>其他商品服务支出</w:t>
      </w:r>
      <w:r>
        <w:rPr>
          <w:rFonts w:hint="default" w:ascii="Times New Roman" w:hAnsi="Times New Roman" w:eastAsia="仿宋" w:cs="Times New Roman"/>
          <w:color w:val="000000"/>
          <w:sz w:val="32"/>
          <w:szCs w:val="32"/>
          <w:lang w:val="en-US" w:eastAsia="zh-CN"/>
        </w:rPr>
        <w:t>1.14万元</w:t>
      </w:r>
      <w:r>
        <w:rPr>
          <w:rFonts w:hint="default" w:ascii="Times New Roman" w:hAnsi="Times New Roman" w:eastAsia="仿宋" w:cs="Times New Roman"/>
          <w:color w:val="000000"/>
          <w:sz w:val="32"/>
          <w:szCs w:val="32"/>
        </w:rPr>
        <w:t>等。</w:t>
      </w:r>
    </w:p>
    <w:p>
      <w:pPr>
        <w:spacing w:line="600" w:lineRule="exact"/>
        <w:ind w:firstLine="640"/>
        <w:outlineLvl w:val="1"/>
        <w:rPr>
          <w:rStyle w:val="29"/>
          <w:rFonts w:hint="default" w:ascii="Times New Roman" w:hAnsi="Times New Roman" w:eastAsia="黑体" w:cs="Times New Roman"/>
          <w:b w:val="0"/>
        </w:rPr>
      </w:pPr>
      <w:bookmarkStart w:id="69" w:name="_Toc15396609"/>
      <w:bookmarkStart w:id="70" w:name="_Toc15377215"/>
      <w:bookmarkStart w:id="71" w:name="_Toc79163619"/>
      <w:bookmarkStart w:id="72" w:name="_Toc79163869"/>
      <w:r>
        <w:rPr>
          <w:rFonts w:hint="default" w:ascii="Times New Roman" w:hAnsi="Times New Roman" w:eastAsia="黑体" w:cs="Times New Roman"/>
          <w:color w:val="000000"/>
          <w:sz w:val="32"/>
          <w:szCs w:val="32"/>
        </w:rPr>
        <w:t>七、</w:t>
      </w:r>
      <w:r>
        <w:rPr>
          <w:rStyle w:val="29"/>
          <w:rFonts w:hint="default" w:ascii="Times New Roman" w:hAnsi="Times New Roman" w:eastAsia="黑体" w:cs="Times New Roman"/>
        </w:rPr>
        <w:t>“</w:t>
      </w:r>
      <w:r>
        <w:rPr>
          <w:rStyle w:val="29"/>
          <w:rFonts w:hint="default" w:ascii="Times New Roman" w:hAnsi="Times New Roman" w:eastAsia="黑体" w:cs="Times New Roman"/>
          <w:b w:val="0"/>
        </w:rPr>
        <w:t>三公”经费财政拨款支出决算情况说明</w:t>
      </w:r>
      <w:bookmarkEnd w:id="69"/>
      <w:bookmarkEnd w:id="70"/>
      <w:bookmarkEnd w:id="71"/>
      <w:bookmarkEnd w:id="72"/>
    </w:p>
    <w:p>
      <w:pPr>
        <w:spacing w:line="600" w:lineRule="exact"/>
        <w:ind w:firstLine="640"/>
        <w:outlineLvl w:val="2"/>
        <w:rPr>
          <w:rFonts w:hint="default" w:ascii="Times New Roman" w:hAnsi="Times New Roman" w:eastAsia="仿宋" w:cs="Times New Roman"/>
          <w:b/>
          <w:color w:val="000000"/>
          <w:sz w:val="32"/>
          <w:szCs w:val="32"/>
        </w:rPr>
      </w:pPr>
      <w:bookmarkStart w:id="73" w:name="_Toc15377216"/>
      <w:bookmarkStart w:id="74" w:name="_Toc79163870"/>
      <w:bookmarkStart w:id="75" w:name="_Toc79163620"/>
      <w:r>
        <w:rPr>
          <w:rFonts w:hint="default" w:ascii="Times New Roman" w:hAnsi="Times New Roman" w:eastAsia="仿宋" w:cs="Times New Roman"/>
          <w:b/>
          <w:color w:val="000000"/>
          <w:sz w:val="32"/>
          <w:szCs w:val="32"/>
        </w:rPr>
        <w:t>（一）“三公”经费财政拨款支出决算总体情况说明</w:t>
      </w:r>
      <w:bookmarkEnd w:id="73"/>
      <w:bookmarkEnd w:id="74"/>
      <w:bookmarkEnd w:id="75"/>
    </w:p>
    <w:p>
      <w:pPr>
        <w:spacing w:line="600" w:lineRule="exact"/>
        <w:ind w:firstLine="640"/>
        <w:rPr>
          <w:rFonts w:hint="default" w:ascii="Times New Roman" w:hAnsi="Times New Roman" w:eastAsia="仿宋" w:cs="Times New Roman"/>
          <w:b/>
          <w:color w:val="FF0000"/>
          <w:sz w:val="32"/>
          <w:szCs w:val="32"/>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年“三公”经费财政拨款支出决算为</w:t>
      </w:r>
      <w:r>
        <w:rPr>
          <w:rFonts w:hint="default" w:ascii="Times New Roman" w:hAnsi="Times New Roman" w:eastAsia="仿宋" w:cs="Times New Roman"/>
          <w:color w:val="000000"/>
          <w:sz w:val="32"/>
          <w:szCs w:val="32"/>
          <w:lang w:val="en-US" w:eastAsia="zh-CN"/>
        </w:rPr>
        <w:t>0.26</w:t>
      </w:r>
      <w:r>
        <w:rPr>
          <w:rFonts w:hint="default" w:ascii="Times New Roman" w:hAnsi="Times New Roman" w:eastAsia="仿宋" w:cs="Times New Roman"/>
          <w:color w:val="000000"/>
          <w:sz w:val="32"/>
          <w:szCs w:val="32"/>
        </w:rPr>
        <w:t>万元，完成预算100%。</w:t>
      </w:r>
    </w:p>
    <w:p>
      <w:pPr>
        <w:spacing w:line="600" w:lineRule="exact"/>
        <w:ind w:firstLine="640"/>
        <w:outlineLvl w:val="2"/>
        <w:rPr>
          <w:rFonts w:hint="default" w:ascii="Times New Roman" w:hAnsi="Times New Roman" w:eastAsia="仿宋" w:cs="Times New Roman"/>
          <w:b/>
          <w:color w:val="000000"/>
          <w:sz w:val="32"/>
          <w:szCs w:val="32"/>
        </w:rPr>
      </w:pPr>
      <w:bookmarkStart w:id="76" w:name="_Toc79163621"/>
      <w:bookmarkStart w:id="77" w:name="_Toc79163871"/>
      <w:bookmarkStart w:id="78" w:name="_Toc15377217"/>
      <w:r>
        <w:rPr>
          <w:rFonts w:hint="default" w:ascii="Times New Roman" w:hAnsi="Times New Roman" w:eastAsia="仿宋" w:cs="Times New Roman"/>
          <w:b/>
          <w:color w:val="000000"/>
          <w:sz w:val="32"/>
          <w:szCs w:val="32"/>
        </w:rPr>
        <w:t>（二）“三公”经费财政拨款支出决算具体情况说明</w:t>
      </w:r>
      <w:bookmarkEnd w:id="76"/>
      <w:bookmarkEnd w:id="77"/>
      <w:bookmarkEnd w:id="78"/>
    </w:p>
    <w:p>
      <w:pPr>
        <w:spacing w:line="60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年“三公”经费财政拨款支出决算中，因公出国（境）费支出决算0万元，占0%；公务用车购置及运行维护费支出决算</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%；公务接待费支出决算0.</w:t>
      </w:r>
      <w:r>
        <w:rPr>
          <w:rFonts w:hint="default" w:ascii="Times New Roman" w:hAnsi="Times New Roman" w:eastAsia="仿宋" w:cs="Times New Roman"/>
          <w:color w:val="000000"/>
          <w:sz w:val="32"/>
          <w:szCs w:val="32"/>
          <w:lang w:val="en-US" w:eastAsia="zh-CN"/>
        </w:rPr>
        <w:t>26</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%。具体情况如下：</w:t>
      </w:r>
    </w:p>
    <w:p>
      <w:pPr>
        <w:numPr>
          <w:ilvl w:val="0"/>
          <w:numId w:val="0"/>
        </w:numPr>
        <w:spacing w:line="600" w:lineRule="exact"/>
        <w:ind w:firstLine="643"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color w:val="000000"/>
          <w:sz w:val="32"/>
          <w:szCs w:val="32"/>
          <w:lang w:val="en-US" w:eastAsia="zh-CN"/>
        </w:rPr>
        <w:t>1.</w:t>
      </w:r>
      <w:r>
        <w:rPr>
          <w:rFonts w:hint="default" w:ascii="Times New Roman" w:hAnsi="Times New Roman" w:eastAsia="仿宋_GB2312" w:cs="Times New Roman"/>
          <w:b/>
          <w:color w:val="000000"/>
          <w:sz w:val="32"/>
          <w:szCs w:val="32"/>
        </w:rPr>
        <w:t>因公出国（境）经费支出</w:t>
      </w:r>
      <w:r>
        <w:rPr>
          <w:rFonts w:hint="default" w:ascii="Times New Roman" w:hAnsi="Times New Roman" w:eastAsia="仿宋_GB2312" w:cs="Times New Roman"/>
          <w:color w:val="000000"/>
          <w:sz w:val="32"/>
          <w:szCs w:val="32"/>
        </w:rPr>
        <w:t>0万元，</w:t>
      </w:r>
      <w:r>
        <w:rPr>
          <w:rStyle w:val="25"/>
          <w:rFonts w:hint="default" w:ascii="Times New Roman" w:hAnsi="Times New Roman" w:eastAsia="仿宋" w:cs="Times New Roman"/>
          <w:b w:val="0"/>
          <w:bCs/>
          <w:color w:val="000000"/>
          <w:sz w:val="32"/>
          <w:szCs w:val="32"/>
        </w:rPr>
        <w:t>完成预算0%。</w:t>
      </w:r>
      <w:r>
        <w:rPr>
          <w:rFonts w:hint="default" w:ascii="Times New Roman" w:hAnsi="Times New Roman" w:eastAsia="仿宋_GB2312" w:cs="Times New Roman"/>
          <w:color w:val="000000"/>
          <w:sz w:val="32"/>
          <w:szCs w:val="32"/>
        </w:rPr>
        <w:t>全年安排因公出国（境）团组0次，出国（境）0人。</w:t>
      </w:r>
      <w:r>
        <w:rPr>
          <w:rFonts w:hint="default" w:ascii="Times New Roman" w:hAnsi="Times New Roman" w:eastAsia="仿宋_GB2312" w:cs="Times New Roman"/>
          <w:color w:val="000000"/>
          <w:sz w:val="32"/>
          <w:szCs w:val="32"/>
          <w:lang w:val="en-US" w:eastAsia="zh-CN"/>
        </w:rPr>
        <w:t xml:space="preserve">      </w:t>
      </w:r>
    </w:p>
    <w:p>
      <w:pPr>
        <w:numPr>
          <w:ilvl w:val="0"/>
          <w:numId w:val="0"/>
        </w:numPr>
        <w:spacing w:line="600" w:lineRule="exact"/>
        <w:ind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2.公务用车购置及运行维护费支出</w:t>
      </w:r>
      <w:r>
        <w:rPr>
          <w:rFonts w:hint="default" w:ascii="Times New Roman" w:hAnsi="Times New Roman" w:eastAsia="仿宋_GB2312" w:cs="Times New Roman"/>
          <w:b/>
          <w:color w:val="000000"/>
          <w:sz w:val="32"/>
          <w:szCs w:val="32"/>
          <w:lang w:val="en-US" w:eastAsia="zh-CN"/>
        </w:rPr>
        <w:t>0</w:t>
      </w:r>
      <w:r>
        <w:rPr>
          <w:rFonts w:hint="default" w:ascii="Times New Roman" w:hAnsi="Times New Roman" w:eastAsia="仿宋_GB2312" w:cs="Times New Roman"/>
          <w:color w:val="000000"/>
          <w:sz w:val="32"/>
          <w:szCs w:val="32"/>
        </w:rPr>
        <w:t>万元,</w:t>
      </w:r>
      <w:r>
        <w:rPr>
          <w:rStyle w:val="25"/>
          <w:rFonts w:hint="default" w:ascii="Times New Roman" w:hAnsi="Times New Roman" w:eastAsia="仿宋" w:cs="Times New Roman"/>
          <w:b w:val="0"/>
          <w:bCs/>
          <w:color w:val="000000"/>
          <w:sz w:val="32"/>
          <w:szCs w:val="32"/>
        </w:rPr>
        <w:t>完成预算</w:t>
      </w:r>
      <w:r>
        <w:rPr>
          <w:rStyle w:val="25"/>
          <w:rFonts w:hint="default" w:ascii="Times New Roman" w:hAnsi="Times New Roman" w:eastAsia="仿宋" w:cs="Times New Roman"/>
          <w:b w:val="0"/>
          <w:bCs/>
          <w:color w:val="000000"/>
          <w:sz w:val="32"/>
          <w:szCs w:val="32"/>
          <w:lang w:val="en-US" w:eastAsia="zh-CN"/>
        </w:rPr>
        <w:t>0</w:t>
      </w:r>
      <w:r>
        <w:rPr>
          <w:rStyle w:val="25"/>
          <w:rFonts w:hint="default" w:ascii="Times New Roman" w:hAnsi="Times New Roman" w:eastAsia="仿宋" w:cs="Times New Roman"/>
          <w:b w:val="0"/>
          <w:bCs/>
          <w:color w:val="000000"/>
          <w:sz w:val="32"/>
          <w:szCs w:val="32"/>
        </w:rPr>
        <w:t>%。</w:t>
      </w:r>
    </w:p>
    <w:p>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3.公务接待费支出</w:t>
      </w:r>
      <w:r>
        <w:rPr>
          <w:rFonts w:hint="default" w:ascii="Times New Roman" w:hAnsi="Times New Roman" w:eastAsia="仿宋_GB2312" w:cs="Times New Roman"/>
          <w:color w:val="000000"/>
          <w:sz w:val="32"/>
          <w:szCs w:val="32"/>
        </w:rPr>
        <w:t>0.</w:t>
      </w:r>
      <w:r>
        <w:rPr>
          <w:rFonts w:hint="default" w:ascii="Times New Roman" w:hAnsi="Times New Roman" w:eastAsia="仿宋_GB2312" w:cs="Times New Roman"/>
          <w:color w:val="000000"/>
          <w:sz w:val="32"/>
          <w:szCs w:val="32"/>
          <w:lang w:val="en-US" w:eastAsia="zh-CN"/>
        </w:rPr>
        <w:t>26</w:t>
      </w:r>
      <w:r>
        <w:rPr>
          <w:rFonts w:hint="default" w:ascii="Times New Roman" w:hAnsi="Times New Roman" w:eastAsia="仿宋_GB2312" w:cs="Times New Roman"/>
          <w:color w:val="000000"/>
          <w:sz w:val="32"/>
          <w:szCs w:val="32"/>
        </w:rPr>
        <w:t>万元，</w:t>
      </w:r>
      <w:r>
        <w:rPr>
          <w:rStyle w:val="25"/>
          <w:rFonts w:hint="default" w:ascii="Times New Roman" w:hAnsi="Times New Roman" w:eastAsia="仿宋" w:cs="Times New Roman"/>
          <w:b w:val="0"/>
          <w:bCs/>
          <w:color w:val="000000"/>
          <w:sz w:val="32"/>
          <w:szCs w:val="32"/>
        </w:rPr>
        <w:t>完成预算100%</w:t>
      </w:r>
      <w:r>
        <w:rPr>
          <w:rFonts w:hint="default" w:ascii="Times New Roman" w:hAnsi="Times New Roman" w:eastAsia="仿宋_GB2312" w:cs="Times New Roman"/>
          <w:color w:val="000000"/>
          <w:sz w:val="32"/>
          <w:szCs w:val="32"/>
        </w:rPr>
        <w:t>。</w:t>
      </w:r>
    </w:p>
    <w:p>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 w:cs="Times New Roman"/>
          <w:b/>
          <w:color w:val="000000"/>
          <w:sz w:val="32"/>
          <w:szCs w:val="32"/>
        </w:rPr>
        <w:t>国内公务接待支出</w:t>
      </w:r>
      <w:r>
        <w:rPr>
          <w:rFonts w:hint="default" w:ascii="Times New Roman" w:hAnsi="Times New Roman" w:eastAsia="仿宋" w:cs="Times New Roman"/>
          <w:color w:val="000000"/>
          <w:sz w:val="32"/>
          <w:szCs w:val="32"/>
        </w:rPr>
        <w:t>0.</w:t>
      </w:r>
      <w:r>
        <w:rPr>
          <w:rFonts w:hint="default" w:ascii="Times New Roman" w:hAnsi="Times New Roman" w:eastAsia="仿宋" w:cs="Times New Roman"/>
          <w:color w:val="000000"/>
          <w:sz w:val="32"/>
          <w:szCs w:val="32"/>
          <w:lang w:val="en-US" w:eastAsia="zh-CN"/>
        </w:rPr>
        <w:t>26</w:t>
      </w:r>
      <w:r>
        <w:rPr>
          <w:rFonts w:hint="default" w:ascii="Times New Roman" w:hAnsi="Times New Roman" w:eastAsia="仿宋_GB2312" w:cs="Times New Roman"/>
          <w:color w:val="000000"/>
          <w:sz w:val="32"/>
          <w:szCs w:val="32"/>
        </w:rPr>
        <w:t>万元，主要用于上级部门到</w:t>
      </w:r>
      <w:r>
        <w:rPr>
          <w:rFonts w:hint="default" w:ascii="Times New Roman" w:hAnsi="Times New Roman" w:eastAsia="仿宋_GB2312" w:cs="Times New Roman"/>
          <w:color w:val="000000"/>
          <w:sz w:val="32"/>
          <w:szCs w:val="32"/>
          <w:lang w:eastAsia="zh-CN"/>
        </w:rPr>
        <w:t>我单位</w:t>
      </w:r>
      <w:r>
        <w:rPr>
          <w:rFonts w:hint="default" w:ascii="Times New Roman" w:hAnsi="Times New Roman" w:eastAsia="仿宋_GB2312" w:cs="Times New Roman"/>
          <w:color w:val="000000"/>
          <w:sz w:val="32"/>
          <w:szCs w:val="32"/>
        </w:rPr>
        <w:t>开展工作(执行公务、开展业务活动开支的交通费、住宿费、用餐费等)，共计支出0.</w:t>
      </w:r>
      <w:r>
        <w:rPr>
          <w:rFonts w:hint="default" w:ascii="Times New Roman" w:hAnsi="Times New Roman" w:eastAsia="仿宋_GB2312" w:cs="Times New Roman"/>
          <w:color w:val="000000"/>
          <w:sz w:val="32"/>
          <w:szCs w:val="32"/>
          <w:lang w:val="en-US" w:eastAsia="zh-CN"/>
        </w:rPr>
        <w:t>26</w:t>
      </w:r>
      <w:r>
        <w:rPr>
          <w:rFonts w:hint="default" w:ascii="Times New Roman" w:hAnsi="Times New Roman" w:eastAsia="仿宋_GB2312" w:cs="Times New Roman"/>
          <w:color w:val="000000"/>
          <w:sz w:val="32"/>
          <w:szCs w:val="32"/>
        </w:rPr>
        <w:t>万元。</w:t>
      </w:r>
    </w:p>
    <w:p>
      <w:pPr>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 w:cs="Times New Roman"/>
          <w:b/>
          <w:color w:val="000000"/>
          <w:sz w:val="32"/>
          <w:szCs w:val="32"/>
        </w:rPr>
        <w:t>外事接待支出</w:t>
      </w:r>
      <w:r>
        <w:rPr>
          <w:rFonts w:hint="default" w:ascii="Times New Roman" w:hAnsi="Times New Roman" w:eastAsia="仿宋" w:cs="Times New Roman"/>
          <w:color w:val="000000"/>
          <w:sz w:val="32"/>
          <w:szCs w:val="32"/>
        </w:rPr>
        <w:t>0</w:t>
      </w:r>
      <w:r>
        <w:rPr>
          <w:rFonts w:hint="default" w:ascii="Times New Roman" w:hAnsi="Times New Roman" w:eastAsia="仿宋_GB2312" w:cs="Times New Roman"/>
          <w:color w:val="000000"/>
          <w:sz w:val="32"/>
          <w:szCs w:val="32"/>
        </w:rPr>
        <w:t xml:space="preserve">万元，外事接待0批次，0人，共计支出0万元。 </w:t>
      </w:r>
    </w:p>
    <w:p>
      <w:pPr>
        <w:spacing w:line="600" w:lineRule="exact"/>
        <w:ind w:firstLine="640"/>
        <w:outlineLvl w:val="1"/>
        <w:rPr>
          <w:rStyle w:val="29"/>
          <w:rFonts w:hint="default" w:ascii="Times New Roman" w:hAnsi="Times New Roman" w:eastAsia="黑体" w:cs="Times New Roman"/>
        </w:rPr>
      </w:pPr>
      <w:bookmarkStart w:id="79" w:name="_Toc15377218"/>
      <w:bookmarkStart w:id="80" w:name="_Toc15396610"/>
      <w:bookmarkStart w:id="81" w:name="_Toc79163622"/>
      <w:bookmarkStart w:id="82" w:name="_Toc79163872"/>
      <w:r>
        <w:rPr>
          <w:rFonts w:hint="default" w:ascii="Times New Roman" w:hAnsi="Times New Roman" w:eastAsia="黑体" w:cs="Times New Roman"/>
          <w:color w:val="000000"/>
          <w:sz w:val="32"/>
          <w:szCs w:val="32"/>
        </w:rPr>
        <w:t>八、</w:t>
      </w:r>
      <w:r>
        <w:rPr>
          <w:rStyle w:val="29"/>
          <w:rFonts w:hint="default" w:ascii="Times New Roman" w:hAnsi="Times New Roman" w:eastAsia="黑体" w:cs="Times New Roman"/>
          <w:b w:val="0"/>
        </w:rPr>
        <w:t>政府性基金预算支出决算情况说明</w:t>
      </w:r>
      <w:bookmarkEnd w:id="79"/>
      <w:bookmarkEnd w:id="80"/>
      <w:bookmarkEnd w:id="81"/>
      <w:bookmarkEnd w:id="82"/>
    </w:p>
    <w:p>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年政府性基金预算拨款支出</w:t>
      </w:r>
      <w:r>
        <w:rPr>
          <w:rFonts w:hint="default" w:ascii="Times New Roman" w:hAnsi="Times New Roman" w:eastAsia="仿宋_GB2312" w:cs="Times New Roman"/>
          <w:color w:val="000000"/>
          <w:sz w:val="32"/>
          <w:szCs w:val="32"/>
          <w:lang w:val="en-US" w:eastAsia="zh-CN"/>
        </w:rPr>
        <w:t>0万元</w:t>
      </w:r>
      <w:r>
        <w:rPr>
          <w:rFonts w:hint="default" w:ascii="Times New Roman" w:hAnsi="Times New Roman" w:eastAsia="仿宋_GB2312" w:cs="Times New Roman"/>
          <w:color w:val="000000"/>
          <w:sz w:val="32"/>
          <w:szCs w:val="32"/>
        </w:rPr>
        <w:t>。</w:t>
      </w:r>
    </w:p>
    <w:p>
      <w:pPr>
        <w:numPr>
          <w:ilvl w:val="0"/>
          <w:numId w:val="2"/>
        </w:numPr>
        <w:spacing w:line="600" w:lineRule="exact"/>
        <w:ind w:firstLine="640"/>
        <w:outlineLvl w:val="1"/>
        <w:rPr>
          <w:rStyle w:val="29"/>
          <w:rFonts w:hint="default" w:ascii="Times New Roman" w:hAnsi="Times New Roman" w:eastAsia="黑体" w:cs="Times New Roman"/>
          <w:b w:val="0"/>
        </w:rPr>
      </w:pPr>
      <w:bookmarkStart w:id="83" w:name="_Toc79163873"/>
      <w:bookmarkStart w:id="84" w:name="_Toc15396611"/>
      <w:bookmarkStart w:id="85" w:name="_Toc79163623"/>
      <w:bookmarkStart w:id="86" w:name="_Toc15377219"/>
      <w:r>
        <w:rPr>
          <w:rStyle w:val="29"/>
          <w:rFonts w:hint="default" w:ascii="Times New Roman" w:hAnsi="Times New Roman" w:eastAsia="黑体" w:cs="Times New Roman"/>
          <w:b w:val="0"/>
        </w:rPr>
        <w:t>国有资本经营预算支出决算情况说明</w:t>
      </w:r>
      <w:bookmarkEnd w:id="83"/>
      <w:bookmarkEnd w:id="84"/>
      <w:bookmarkEnd w:id="85"/>
      <w:bookmarkEnd w:id="86"/>
    </w:p>
    <w:p>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年国有资本经营预算拨款支出0万元。</w:t>
      </w:r>
    </w:p>
    <w:p>
      <w:pPr>
        <w:spacing w:line="600" w:lineRule="exact"/>
        <w:ind w:firstLine="640" w:firstLineChars="200"/>
        <w:outlineLvl w:val="1"/>
        <w:rPr>
          <w:rStyle w:val="29"/>
          <w:rFonts w:hint="default" w:ascii="Times New Roman" w:hAnsi="Times New Roman" w:eastAsia="黑体" w:cs="Times New Roman"/>
        </w:rPr>
      </w:pPr>
      <w:bookmarkStart w:id="87" w:name="_Toc15377221"/>
      <w:bookmarkStart w:id="88" w:name="_Toc79163874"/>
      <w:bookmarkStart w:id="89" w:name="_Toc79163624"/>
      <w:bookmarkStart w:id="90" w:name="_Toc15396612"/>
      <w:r>
        <w:rPr>
          <w:rFonts w:hint="default" w:ascii="Times New Roman" w:hAnsi="Times New Roman" w:eastAsia="黑体" w:cs="Times New Roman"/>
          <w:color w:val="000000"/>
          <w:sz w:val="32"/>
          <w:szCs w:val="32"/>
        </w:rPr>
        <w:t>十</w:t>
      </w:r>
      <w:r>
        <w:rPr>
          <w:rStyle w:val="29"/>
          <w:rFonts w:hint="default" w:ascii="Times New Roman" w:hAnsi="Times New Roman" w:eastAsia="黑体" w:cs="Times New Roman"/>
        </w:rPr>
        <w:t>、</w:t>
      </w:r>
      <w:r>
        <w:rPr>
          <w:rStyle w:val="29"/>
          <w:rFonts w:hint="default" w:ascii="Times New Roman" w:hAnsi="Times New Roman" w:eastAsia="黑体" w:cs="Times New Roman"/>
          <w:b w:val="0"/>
        </w:rPr>
        <w:t>其他重要事项的情况说明</w:t>
      </w:r>
      <w:bookmarkEnd w:id="87"/>
      <w:bookmarkEnd w:id="88"/>
      <w:bookmarkEnd w:id="89"/>
      <w:bookmarkEnd w:id="90"/>
    </w:p>
    <w:p>
      <w:pPr>
        <w:widowControl/>
        <w:shd w:val="clear" w:color="auto" w:fill="FFFFFF"/>
        <w:spacing w:line="600" w:lineRule="atLeast"/>
        <w:ind w:firstLine="643"/>
        <w:rPr>
          <w:rFonts w:hint="default" w:ascii="Times New Roman" w:hAnsi="Times New Roman" w:eastAsia="微软雅黑" w:cs="Times New Roman"/>
          <w:color w:val="333333"/>
          <w:kern w:val="0"/>
          <w:szCs w:val="21"/>
        </w:rPr>
      </w:pPr>
      <w:r>
        <w:rPr>
          <w:rFonts w:hint="default" w:ascii="Times New Roman" w:hAnsi="Times New Roman" w:cs="Times New Roman"/>
          <w:b/>
          <w:bCs/>
          <w:color w:val="000000"/>
          <w:kern w:val="0"/>
          <w:sz w:val="32"/>
          <w:szCs w:val="32"/>
        </w:rPr>
        <w:t>(一）</w:t>
      </w:r>
      <w:r>
        <w:rPr>
          <w:rFonts w:hint="default" w:ascii="Times New Roman" w:hAnsi="Times New Roman" w:cs="Times New Roman"/>
          <w:b/>
          <w:bCs/>
          <w:color w:val="000000"/>
          <w:kern w:val="0"/>
          <w:sz w:val="32"/>
          <w:szCs w:val="32"/>
          <w:lang w:eastAsia="zh-CN"/>
        </w:rPr>
        <w:t>事业单位</w:t>
      </w:r>
      <w:r>
        <w:rPr>
          <w:rFonts w:hint="default" w:ascii="Times New Roman" w:hAnsi="Times New Roman" w:cs="Times New Roman"/>
          <w:b/>
          <w:bCs/>
          <w:color w:val="000000"/>
          <w:kern w:val="0"/>
          <w:sz w:val="32"/>
          <w:szCs w:val="32"/>
        </w:rPr>
        <w:t>运行经费支出情况</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eastAsia="zh-CN"/>
        </w:rPr>
        <w:t>理县环境监测站</w:t>
      </w:r>
      <w:r>
        <w:rPr>
          <w:rFonts w:hint="default" w:ascii="Times New Roman" w:hAnsi="Times New Roman" w:eastAsia="仿宋_GB2312" w:cs="Times New Roman"/>
          <w:color w:val="000000"/>
          <w:sz w:val="32"/>
          <w:szCs w:val="32"/>
        </w:rPr>
        <w:t>运行经费支出</w:t>
      </w:r>
      <w:r>
        <w:rPr>
          <w:rFonts w:hint="default" w:ascii="Times New Roman" w:hAnsi="Times New Roman" w:eastAsia="仿宋_GB2312" w:cs="Times New Roman"/>
          <w:color w:val="000000"/>
          <w:sz w:val="32"/>
          <w:szCs w:val="32"/>
          <w:lang w:val="en-US" w:eastAsia="zh-CN"/>
        </w:rPr>
        <w:t>15.98</w:t>
      </w:r>
      <w:r>
        <w:rPr>
          <w:rFonts w:hint="default" w:ascii="Times New Roman" w:hAnsi="Times New Roman" w:eastAsia="仿宋_GB2312" w:cs="Times New Roman"/>
          <w:color w:val="000000"/>
          <w:sz w:val="32"/>
          <w:szCs w:val="32"/>
        </w:rPr>
        <w:t>万元</w:t>
      </w:r>
    </w:p>
    <w:p>
      <w:pPr>
        <w:widowControl/>
        <w:shd w:val="clear" w:color="auto" w:fill="FFFFFF"/>
        <w:spacing w:line="600" w:lineRule="atLeast"/>
        <w:ind w:firstLine="643"/>
        <w:jc w:val="left"/>
        <w:rPr>
          <w:rFonts w:hint="default" w:ascii="Times New Roman" w:hAnsi="Times New Roman" w:eastAsia="微软雅黑" w:cs="Times New Roman"/>
          <w:color w:val="333333"/>
          <w:kern w:val="0"/>
          <w:szCs w:val="21"/>
        </w:rPr>
      </w:pPr>
      <w:r>
        <w:rPr>
          <w:rFonts w:hint="default" w:ascii="Times New Roman" w:hAnsi="Times New Roman" w:cs="Times New Roman"/>
          <w:b/>
          <w:bCs/>
          <w:color w:val="000000"/>
          <w:kern w:val="0"/>
          <w:sz w:val="32"/>
          <w:szCs w:val="32"/>
        </w:rPr>
        <w:t>（二）政府采购支出情况</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2理县环境监测站无政府采购支出</w:t>
      </w:r>
      <w:r>
        <w:rPr>
          <w:rFonts w:hint="default" w:ascii="Times New Roman" w:hAnsi="Times New Roman" w:eastAsia="仿宋_GB2312" w:cs="Times New Roman"/>
          <w:color w:val="000000"/>
          <w:sz w:val="32"/>
          <w:szCs w:val="32"/>
        </w:rPr>
        <w:t>。</w:t>
      </w:r>
    </w:p>
    <w:p>
      <w:pPr>
        <w:widowControl/>
        <w:shd w:val="clear" w:color="auto" w:fill="FFFFFF"/>
        <w:spacing w:line="600" w:lineRule="atLeast"/>
        <w:ind w:firstLine="643"/>
        <w:jc w:val="left"/>
        <w:rPr>
          <w:rFonts w:hint="default" w:ascii="Times New Roman" w:hAnsi="Times New Roman" w:eastAsia="微软雅黑" w:cs="Times New Roman"/>
          <w:color w:val="333333"/>
          <w:kern w:val="0"/>
          <w:szCs w:val="21"/>
        </w:rPr>
      </w:pPr>
      <w:r>
        <w:rPr>
          <w:rFonts w:hint="default" w:ascii="Times New Roman" w:hAnsi="Times New Roman" w:cs="Times New Roman"/>
          <w:b/>
          <w:bCs/>
          <w:color w:val="000000"/>
          <w:kern w:val="0"/>
          <w:sz w:val="32"/>
          <w:szCs w:val="32"/>
        </w:rPr>
        <w:t>（三）国有资产占有使用情况</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截至202</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年12月31日，</w:t>
      </w:r>
      <w:r>
        <w:rPr>
          <w:rFonts w:hint="default" w:ascii="Times New Roman" w:hAnsi="Times New Roman" w:eastAsia="仿宋_GB2312" w:cs="Times New Roman"/>
          <w:color w:val="000000"/>
          <w:sz w:val="32"/>
          <w:szCs w:val="32"/>
          <w:lang w:eastAsia="zh-CN"/>
        </w:rPr>
        <w:t>理县环境监测站资产同理县生态环境局资产合并使用</w:t>
      </w:r>
      <w:r>
        <w:rPr>
          <w:rFonts w:hint="default" w:ascii="Times New Roman" w:hAnsi="Times New Roman" w:eastAsia="仿宋_GB2312" w:cs="Times New Roman"/>
          <w:color w:val="000000"/>
          <w:sz w:val="32"/>
          <w:szCs w:val="32"/>
        </w:rPr>
        <w:t>。</w:t>
      </w:r>
    </w:p>
    <w:p>
      <w:pPr>
        <w:widowControl/>
        <w:shd w:val="clear" w:color="auto" w:fill="FFFFFF"/>
        <w:spacing w:line="600" w:lineRule="atLeast"/>
        <w:ind w:firstLine="643"/>
        <w:jc w:val="left"/>
        <w:rPr>
          <w:rFonts w:hint="default" w:ascii="Times New Roman" w:hAnsi="Times New Roman" w:cs="Times New Roman"/>
          <w:b/>
          <w:bCs/>
          <w:color w:val="000000"/>
          <w:kern w:val="0"/>
          <w:sz w:val="32"/>
          <w:szCs w:val="32"/>
        </w:rPr>
      </w:pPr>
      <w:r>
        <w:rPr>
          <w:rFonts w:hint="default" w:ascii="Times New Roman" w:hAnsi="Times New Roman" w:cs="Times New Roman"/>
          <w:b/>
          <w:bCs/>
          <w:color w:val="000000"/>
          <w:kern w:val="0"/>
          <w:sz w:val="32"/>
          <w:szCs w:val="32"/>
        </w:rPr>
        <w:t>（四）预算绩效管理情况。</w:t>
      </w:r>
    </w:p>
    <w:p>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根据预算绩效管理要求，对202</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eastAsia="zh-CN"/>
        </w:rPr>
        <w:t>年部门整体支出开展绩效自评，加强预算收支管理，不</w:t>
      </w:r>
      <w:r>
        <w:rPr>
          <w:rFonts w:hint="default" w:ascii="Times New Roman" w:hAnsi="Times New Roman" w:eastAsia="仿宋_GB2312" w:cs="Times New Roman"/>
          <w:color w:val="000000"/>
          <w:sz w:val="32"/>
          <w:szCs w:val="32"/>
        </w:rPr>
        <w:t>断建立健全内部管理制度，梳理内部管理流程，部门整体支出管理情况得到提升。预算决策、管理、执行等日益规范，能较好地满足工作需要，取得了良好经济效益和社会效益。</w:t>
      </w:r>
      <w:r>
        <w:rPr>
          <w:rFonts w:hint="default" w:ascii="Times New Roman" w:hAnsi="Times New Roman" w:eastAsia="仿宋_GB2312" w:cs="Times New Roman"/>
          <w:color w:val="000000"/>
          <w:sz w:val="32"/>
          <w:szCs w:val="32"/>
          <w:lang w:eastAsia="zh-CN"/>
        </w:rPr>
        <w:t>理县环境监测站整体支出绩效自评与理县生态环境局整体支出绩效自评合并一起开展。</w:t>
      </w:r>
    </w:p>
    <w:p>
      <w:pPr>
        <w:spacing w:line="600" w:lineRule="exact"/>
        <w:rPr>
          <w:rFonts w:hint="default" w:ascii="Times New Roman" w:hAnsi="Times New Roman" w:eastAsia="仿宋_GB2312" w:cs="Times New Roman"/>
          <w:color w:val="000000"/>
          <w:sz w:val="32"/>
          <w:szCs w:val="32"/>
        </w:rPr>
      </w:pPr>
    </w:p>
    <w:p>
      <w:pPr>
        <w:pStyle w:val="2"/>
        <w:rPr>
          <w:rFonts w:hint="default" w:ascii="Times New Roman" w:hAnsi="Times New Roman" w:eastAsia="仿宋_GB2312" w:cs="Times New Roman"/>
          <w:color w:val="000000"/>
          <w:sz w:val="32"/>
          <w:szCs w:val="32"/>
        </w:rPr>
      </w:pPr>
    </w:p>
    <w:p>
      <w:pPr>
        <w:pStyle w:val="5"/>
        <w:rPr>
          <w:rFonts w:hint="default" w:ascii="Times New Roman" w:hAnsi="Times New Roman" w:eastAsia="仿宋_GB2312" w:cs="Times New Roman"/>
          <w:color w:val="000000"/>
          <w:sz w:val="32"/>
          <w:szCs w:val="32"/>
        </w:rPr>
      </w:pPr>
    </w:p>
    <w:p>
      <w:pPr>
        <w:pStyle w:val="5"/>
        <w:rPr>
          <w:rFonts w:hint="default" w:ascii="Times New Roman" w:hAnsi="Times New Roman" w:eastAsia="仿宋_GB2312" w:cs="Times New Roman"/>
          <w:color w:val="000000"/>
          <w:sz w:val="32"/>
          <w:szCs w:val="32"/>
        </w:rPr>
      </w:pPr>
    </w:p>
    <w:p>
      <w:pPr>
        <w:pStyle w:val="5"/>
        <w:rPr>
          <w:rFonts w:hint="default" w:ascii="Times New Roman" w:hAnsi="Times New Roman" w:eastAsia="仿宋_GB2312" w:cs="Times New Roman"/>
          <w:color w:val="000000"/>
          <w:sz w:val="32"/>
          <w:szCs w:val="32"/>
        </w:rPr>
      </w:pPr>
    </w:p>
    <w:p>
      <w:pPr>
        <w:pStyle w:val="5"/>
        <w:rPr>
          <w:rFonts w:hint="default" w:ascii="Times New Roman" w:hAnsi="Times New Roman" w:eastAsia="仿宋_GB2312" w:cs="Times New Roman"/>
          <w:color w:val="000000"/>
          <w:sz w:val="32"/>
          <w:szCs w:val="32"/>
        </w:rPr>
      </w:pPr>
    </w:p>
    <w:p>
      <w:pPr>
        <w:pStyle w:val="5"/>
        <w:rPr>
          <w:rFonts w:hint="default" w:ascii="Times New Roman" w:hAnsi="Times New Roman" w:eastAsia="仿宋_GB2312" w:cs="Times New Roman"/>
          <w:color w:val="000000"/>
          <w:sz w:val="32"/>
          <w:szCs w:val="32"/>
        </w:rPr>
      </w:pPr>
    </w:p>
    <w:p>
      <w:pPr>
        <w:pStyle w:val="5"/>
        <w:rPr>
          <w:rFonts w:hint="default" w:ascii="Times New Roman" w:hAnsi="Times New Roman" w:eastAsia="仿宋_GB2312" w:cs="Times New Roman"/>
          <w:color w:val="000000"/>
          <w:sz w:val="32"/>
          <w:szCs w:val="32"/>
        </w:rPr>
      </w:pPr>
    </w:p>
    <w:p>
      <w:pPr>
        <w:pStyle w:val="5"/>
        <w:rPr>
          <w:rFonts w:hint="default" w:ascii="Times New Roman" w:hAnsi="Times New Roman" w:eastAsia="仿宋_GB2312" w:cs="Times New Roman"/>
          <w:color w:val="000000"/>
          <w:sz w:val="32"/>
          <w:szCs w:val="32"/>
        </w:rPr>
      </w:pPr>
    </w:p>
    <w:p>
      <w:pPr>
        <w:pStyle w:val="5"/>
        <w:rPr>
          <w:rFonts w:hint="default" w:ascii="Times New Roman" w:hAnsi="Times New Roman" w:eastAsia="仿宋_GB2312" w:cs="Times New Roman"/>
          <w:color w:val="000000"/>
          <w:sz w:val="32"/>
          <w:szCs w:val="32"/>
        </w:rPr>
      </w:pPr>
    </w:p>
    <w:p>
      <w:pPr>
        <w:pStyle w:val="5"/>
        <w:rPr>
          <w:rFonts w:hint="default" w:ascii="Times New Roman" w:hAnsi="Times New Roman" w:eastAsia="仿宋_GB2312" w:cs="Times New Roman"/>
          <w:color w:val="000000"/>
          <w:sz w:val="32"/>
          <w:szCs w:val="32"/>
        </w:rPr>
      </w:pPr>
    </w:p>
    <w:p>
      <w:pPr>
        <w:pStyle w:val="5"/>
        <w:rPr>
          <w:rFonts w:hint="default" w:ascii="Times New Roman" w:hAnsi="Times New Roman" w:eastAsia="仿宋_GB2312" w:cs="Times New Roman"/>
          <w:color w:val="000000"/>
          <w:sz w:val="32"/>
          <w:szCs w:val="32"/>
        </w:rPr>
      </w:pPr>
    </w:p>
    <w:p>
      <w:pPr>
        <w:pStyle w:val="5"/>
        <w:rPr>
          <w:rFonts w:hint="default" w:ascii="Times New Roman" w:hAnsi="Times New Roman" w:eastAsia="仿宋_GB2312" w:cs="Times New Roman"/>
          <w:color w:val="000000"/>
          <w:sz w:val="32"/>
          <w:szCs w:val="32"/>
        </w:rPr>
      </w:pPr>
    </w:p>
    <w:p>
      <w:pPr>
        <w:pStyle w:val="5"/>
        <w:rPr>
          <w:rFonts w:hint="default" w:ascii="Times New Roman" w:hAnsi="Times New Roman" w:eastAsia="仿宋_GB2312" w:cs="Times New Roman"/>
          <w:color w:val="000000"/>
          <w:sz w:val="32"/>
          <w:szCs w:val="32"/>
        </w:rPr>
      </w:pPr>
    </w:p>
    <w:p>
      <w:pPr>
        <w:pStyle w:val="5"/>
        <w:rPr>
          <w:rFonts w:hint="default" w:ascii="Times New Roman" w:hAnsi="Times New Roman" w:eastAsia="仿宋_GB2312" w:cs="Times New Roman"/>
          <w:color w:val="000000"/>
          <w:sz w:val="32"/>
          <w:szCs w:val="32"/>
        </w:rPr>
      </w:pPr>
    </w:p>
    <w:p>
      <w:pPr>
        <w:pStyle w:val="5"/>
        <w:rPr>
          <w:rFonts w:hint="default" w:ascii="Times New Roman" w:hAnsi="Times New Roman" w:eastAsia="仿宋_GB2312" w:cs="Times New Roman"/>
          <w:color w:val="000000"/>
          <w:sz w:val="32"/>
          <w:szCs w:val="32"/>
        </w:rPr>
      </w:pPr>
    </w:p>
    <w:p>
      <w:pPr>
        <w:pStyle w:val="5"/>
        <w:rPr>
          <w:rFonts w:hint="default" w:ascii="Times New Roman" w:hAnsi="Times New Roman" w:eastAsia="仿宋_GB2312" w:cs="Times New Roman"/>
          <w:color w:val="000000"/>
          <w:sz w:val="32"/>
          <w:szCs w:val="32"/>
        </w:rPr>
      </w:pPr>
    </w:p>
    <w:p>
      <w:pPr>
        <w:pStyle w:val="5"/>
        <w:rPr>
          <w:rFonts w:hint="default" w:ascii="Times New Roman" w:hAnsi="Times New Roman" w:eastAsia="仿宋_GB2312" w:cs="Times New Roman"/>
          <w:color w:val="000000"/>
          <w:sz w:val="32"/>
          <w:szCs w:val="32"/>
        </w:rPr>
      </w:pPr>
    </w:p>
    <w:p>
      <w:pPr>
        <w:pStyle w:val="5"/>
        <w:rPr>
          <w:rFonts w:hint="default" w:ascii="Times New Roman" w:hAnsi="Times New Roman" w:eastAsia="仿宋_GB2312" w:cs="Times New Roman"/>
          <w:color w:val="000000"/>
          <w:sz w:val="32"/>
          <w:szCs w:val="32"/>
        </w:rPr>
      </w:pPr>
    </w:p>
    <w:p>
      <w:pPr>
        <w:numPr>
          <w:ilvl w:val="0"/>
          <w:numId w:val="3"/>
        </w:numPr>
        <w:spacing w:line="600" w:lineRule="exact"/>
        <w:ind w:firstLine="660" w:firstLineChars="150"/>
        <w:jc w:val="center"/>
        <w:outlineLvl w:val="0"/>
        <w:rPr>
          <w:rStyle w:val="28"/>
          <w:rFonts w:hint="default" w:ascii="Times New Roman" w:hAnsi="Times New Roman" w:eastAsia="黑体" w:cs="Times New Roman"/>
          <w:b w:val="0"/>
        </w:rPr>
      </w:pPr>
      <w:bookmarkStart w:id="91" w:name="_Toc15377225"/>
      <w:bookmarkStart w:id="92" w:name="_Toc79163879"/>
      <w:bookmarkStart w:id="93" w:name="_Toc15396613"/>
      <w:bookmarkStart w:id="94" w:name="_Toc79163629"/>
      <w:r>
        <w:rPr>
          <w:rFonts w:hint="default" w:ascii="Times New Roman" w:hAnsi="Times New Roman" w:eastAsia="黑体" w:cs="Times New Roman"/>
          <w:color w:val="000000"/>
          <w:sz w:val="44"/>
          <w:szCs w:val="44"/>
        </w:rPr>
        <w:t>名</w:t>
      </w:r>
      <w:r>
        <w:rPr>
          <w:rStyle w:val="28"/>
          <w:rFonts w:hint="default" w:ascii="Times New Roman" w:hAnsi="Times New Roman" w:eastAsia="黑体" w:cs="Times New Roman"/>
          <w:b w:val="0"/>
        </w:rPr>
        <w:t>词解释</w:t>
      </w:r>
      <w:bookmarkEnd w:id="91"/>
      <w:bookmarkEnd w:id="92"/>
      <w:bookmarkEnd w:id="93"/>
      <w:bookmarkEnd w:id="94"/>
    </w:p>
    <w:p>
      <w:pPr>
        <w:spacing w:line="600" w:lineRule="exact"/>
        <w:jc w:val="left"/>
        <w:rPr>
          <w:rFonts w:hint="default" w:ascii="Times New Roman" w:hAnsi="Times New Roman" w:cs="Times New Roman"/>
          <w:b/>
          <w:color w:val="000000"/>
          <w:sz w:val="44"/>
          <w:szCs w:val="44"/>
        </w:rPr>
      </w:pPr>
    </w:p>
    <w:p>
      <w:pPr>
        <w:spacing w:line="600" w:lineRule="exact"/>
        <w:ind w:firstLine="640" w:firstLineChars="200"/>
        <w:rPr>
          <w:rFonts w:hint="default" w:ascii="Times New Roman" w:hAnsi="Times New Roman" w:eastAsia="仿宋_GB2312" w:cs="Times New Roman"/>
          <w:color w:val="000000"/>
          <w:sz w:val="32"/>
          <w:szCs w:val="32"/>
          <w:lang w:eastAsia="zh-CN"/>
        </w:rPr>
      </w:pPr>
      <w:bookmarkStart w:id="95" w:name="_Toc79163630"/>
      <w:bookmarkStart w:id="96" w:name="_Toc15396614"/>
      <w:bookmarkStart w:id="97" w:name="_Toc79163880"/>
      <w:bookmarkStart w:id="98" w:name="_Toc15377226"/>
      <w:r>
        <w:rPr>
          <w:rFonts w:hint="default" w:ascii="Times New Roman" w:hAnsi="Times New Roman" w:eastAsia="仿宋_GB2312" w:cs="Times New Roman"/>
          <w:color w:val="000000"/>
          <w:sz w:val="32"/>
          <w:szCs w:val="32"/>
          <w:lang w:eastAsia="zh-CN"/>
        </w:rPr>
        <w:t>1.财政拨款收入：指单位从同级财政部门取得的财政预算资金。 </w:t>
      </w:r>
    </w:p>
    <w:p>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2.事业收入：指事业单位开展专业业务活动及辅助活动取得的收入。 </w:t>
      </w:r>
    </w:p>
    <w:p>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3.经营收入：指事业单位在专业业务活动及其辅助活动之外开展非独立核算经营活动取得的收入。 </w:t>
      </w:r>
    </w:p>
    <w:p>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4.其他收入：指单位取得的除上述收入以外的各项收入。主要是利息收入等。  </w:t>
      </w:r>
    </w:p>
    <w:p>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6.年初结转和结余：指以前年度尚未完成、结转到本年按有关规定继续使用的资金。  </w:t>
      </w:r>
    </w:p>
    <w:p>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7.结余分配：指事业单位按照事业单位会计制度的规定从非财政补助结余中分配的事业基金和职工福利基金等。 </w:t>
      </w:r>
    </w:p>
    <w:p>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8.年末结转和结余：指单位按有关规定结转到下年或以后年度继续使用的资金。 </w:t>
      </w:r>
    </w:p>
    <w:p>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9.一般公共服务（2110101-行政运行）一般行政管理事务（2110102）：</w:t>
      </w:r>
    </w:p>
    <w:p>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10.2110302-水体：用于污染防治等方面支出。</w:t>
      </w:r>
    </w:p>
    <w:p>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11.2110401-生态保护：用于生态生态功能区等支出</w:t>
      </w:r>
    </w:p>
    <w:p>
      <w:pPr>
        <w:spacing w:line="600" w:lineRule="exact"/>
        <w:ind w:left="638" w:leftChars="304" w:firstLine="0" w:firstLineChars="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12</w:t>
      </w:r>
      <w:r>
        <w:rPr>
          <w:rFonts w:hint="eastAsia"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eastAsia="zh-CN"/>
        </w:rPr>
        <w:t>2110402-农村环境保护：用于农村环境保护方面支</w:t>
      </w:r>
    </w:p>
    <w:p>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13.社会保障和就业（208）行政事业单位离退休（20805）机关事业单位基本养老保险（2080505）机关事业单位职业年金（2080506）：指机关事业单位实施养老保险制度由单位缴纳的 基本养老保险费支出和职业年金支出。 </w:t>
      </w:r>
    </w:p>
    <w:p>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14.医疗卫生与计划生育(210)医疗保障（21011）行政单位医疗（2101101）:指行政单位医疗方面的支出；事业单位医疗（2101102）:指事业单位医疗方面的支出；公务员医疗补助（2101103）:指行政单位医疗方面的支出。 </w:t>
      </w:r>
    </w:p>
    <w:p>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1</w:t>
      </w: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eastAsia="zh-CN"/>
        </w:rPr>
        <w:t>.住房保障支出（221）住房改革支出（22102）住房公积金（2210201）：指反映行政事业单位按人力资源和社会保障部、财政部规定的基本工资和津贴补贴以及规定比例为职工缴纳的住房公积金。 </w:t>
      </w:r>
    </w:p>
    <w:p>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1</w:t>
      </w:r>
      <w:r>
        <w:rPr>
          <w:rFonts w:hint="eastAsia"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lang w:eastAsia="zh-CN"/>
        </w:rPr>
        <w:t>.其他支出（229）其他支出（22999）其他支出（2299901）：指用于基层政权建设方面的支出。 </w:t>
      </w:r>
    </w:p>
    <w:p>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1</w:t>
      </w:r>
      <w:r>
        <w:rPr>
          <w:rFonts w:hint="eastAsia"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lang w:eastAsia="zh-CN"/>
        </w:rPr>
        <w:t>.结余分配：指事业单位按规定提取的职工福利基金、事业基金和缴纳的所得税，以及建设单位按规定应交回的基本建设竣工项目结余资金。 </w:t>
      </w:r>
    </w:p>
    <w:p>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1</w:t>
      </w:r>
      <w:r>
        <w:rPr>
          <w:rFonts w:hint="eastAsia"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lang w:eastAsia="zh-CN"/>
        </w:rPr>
        <w:t>.年末结转和结余：指本年度或以前年度预算安排、因客观条件发生变化无法按原计划实施，需延迟到以后年度按有关规定继续使用的资金。 </w:t>
      </w:r>
    </w:p>
    <w:p>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eastAsia" w:eastAsia="仿宋_GB2312" w:cs="Times New Roman"/>
          <w:color w:val="000000"/>
          <w:sz w:val="32"/>
          <w:szCs w:val="32"/>
          <w:lang w:val="en-US" w:eastAsia="zh-CN"/>
        </w:rPr>
        <w:t>19</w:t>
      </w:r>
      <w:r>
        <w:rPr>
          <w:rFonts w:hint="default" w:ascii="Times New Roman" w:hAnsi="Times New Roman" w:eastAsia="仿宋_GB2312" w:cs="Times New Roman"/>
          <w:color w:val="000000"/>
          <w:sz w:val="32"/>
          <w:szCs w:val="32"/>
          <w:lang w:eastAsia="zh-CN"/>
        </w:rPr>
        <w:t>.基本支出：指为保障机构正常运转、完成日常工作任务而发生的人员支出和公用支出。 </w:t>
      </w:r>
    </w:p>
    <w:p>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2</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lang w:eastAsia="zh-CN"/>
        </w:rPr>
        <w:t>.项目支出：指在基本支出之外为完成特定行政任务和事业发展目标所发生的支出。  </w:t>
      </w:r>
    </w:p>
    <w:p>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2</w:t>
      </w:r>
      <w:r>
        <w:rPr>
          <w:rFonts w:hint="eastAsia"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eastAsia="zh-CN"/>
        </w:rPr>
        <w:t>.经营支出：指事业单位在专业业务活动及其辅助活动之外开展非独立核算经营活动发生的支出。 </w:t>
      </w:r>
    </w:p>
    <w:p>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2</w:t>
      </w:r>
      <w:r>
        <w:rPr>
          <w:rFonts w:hint="eastAsia"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eastAsia="zh-CN"/>
        </w:rPr>
        <w:t>.“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2</w:t>
      </w:r>
      <w:r>
        <w:rPr>
          <w:rFonts w:hint="eastAsia"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eastAsia="zh-CN"/>
        </w:rPr>
        <w:t>事业运行</w:t>
      </w:r>
      <w:r>
        <w:rPr>
          <w:rFonts w:hint="default" w:ascii="Times New Roman" w:hAnsi="Times New Roman" w:eastAsia="仿宋_GB2312" w:cs="Times New Roman"/>
          <w:color w:val="000000"/>
          <w:sz w:val="32"/>
          <w:szCs w:val="32"/>
          <w:lang w:eastAsia="zh-CN"/>
        </w:rPr>
        <w:t>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2</w:t>
      </w:r>
      <w:r>
        <w:rPr>
          <w:rFonts w:hint="eastAsia"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eastAsia="zh-CN"/>
        </w:rPr>
        <w:t>.基本支出：指为保障机构正常运转、完成日常工作任务而发生的人员支出和公用支出。</w:t>
      </w:r>
    </w:p>
    <w:p>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2</w:t>
      </w: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eastAsia="zh-CN"/>
        </w:rPr>
        <w:t>.项目支出：指在基本支出之外为完成特定行政任务和事业发展目标所发生的支出。</w:t>
      </w:r>
    </w:p>
    <w:p>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2</w:t>
      </w:r>
      <w:r>
        <w:rPr>
          <w:rFonts w:hint="eastAsia"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lang w:eastAsia="zh-CN"/>
        </w:rPr>
        <w:t>.经营支出：指事业单位在专业业务活动及其辅助活动之外开展非独立核算经营活动发生的支出。</w:t>
      </w:r>
    </w:p>
    <w:p>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2</w:t>
      </w:r>
      <w:r>
        <w:rPr>
          <w:rFonts w:hint="eastAsia"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lang w:eastAsia="zh-CN"/>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 </w:t>
      </w:r>
    </w:p>
    <w:p>
      <w:pPr>
        <w:pStyle w:val="2"/>
        <w:rPr>
          <w:rFonts w:hint="default" w:ascii="Times New Roman" w:hAnsi="Times New Roman" w:eastAsia="仿宋_GB2312" w:cs="Times New Roman"/>
          <w:color w:val="000000"/>
          <w:sz w:val="32"/>
          <w:szCs w:val="32"/>
          <w:lang w:eastAsia="zh-CN"/>
        </w:rPr>
      </w:pPr>
    </w:p>
    <w:p>
      <w:pPr>
        <w:pStyle w:val="5"/>
        <w:rPr>
          <w:rFonts w:hint="default" w:ascii="Times New Roman" w:hAnsi="Times New Roman" w:eastAsia="仿宋_GB2312" w:cs="Times New Roman"/>
          <w:color w:val="000000"/>
          <w:sz w:val="32"/>
          <w:szCs w:val="32"/>
          <w:lang w:eastAsia="zh-CN"/>
        </w:rPr>
      </w:pPr>
    </w:p>
    <w:p>
      <w:pPr>
        <w:pStyle w:val="5"/>
        <w:rPr>
          <w:rFonts w:hint="default" w:ascii="Times New Roman" w:hAnsi="Times New Roman" w:eastAsia="仿宋_GB2312" w:cs="Times New Roman"/>
          <w:color w:val="000000"/>
          <w:sz w:val="32"/>
          <w:szCs w:val="32"/>
          <w:lang w:eastAsia="zh-CN"/>
        </w:rPr>
      </w:pPr>
    </w:p>
    <w:p>
      <w:pPr>
        <w:pStyle w:val="5"/>
        <w:rPr>
          <w:rFonts w:hint="default" w:ascii="Times New Roman" w:hAnsi="Times New Roman" w:eastAsia="仿宋_GB2312" w:cs="Times New Roman"/>
          <w:color w:val="000000"/>
          <w:sz w:val="32"/>
          <w:szCs w:val="32"/>
          <w:lang w:eastAsia="zh-CN"/>
        </w:rPr>
      </w:pPr>
    </w:p>
    <w:p>
      <w:pPr>
        <w:pStyle w:val="5"/>
        <w:rPr>
          <w:rFonts w:hint="default" w:ascii="Times New Roman" w:hAnsi="Times New Roman" w:eastAsia="仿宋_GB2312" w:cs="Times New Roman"/>
          <w:color w:val="000000"/>
          <w:sz w:val="32"/>
          <w:szCs w:val="32"/>
          <w:lang w:eastAsia="zh-CN"/>
        </w:rPr>
      </w:pPr>
    </w:p>
    <w:p>
      <w:pPr>
        <w:pStyle w:val="5"/>
        <w:rPr>
          <w:rFonts w:hint="default" w:ascii="Times New Roman" w:hAnsi="Times New Roman" w:eastAsia="仿宋_GB2312" w:cs="Times New Roman"/>
          <w:color w:val="000000"/>
          <w:sz w:val="32"/>
          <w:szCs w:val="32"/>
          <w:lang w:eastAsia="zh-CN"/>
        </w:rPr>
      </w:pPr>
    </w:p>
    <w:p>
      <w:pPr>
        <w:pStyle w:val="5"/>
        <w:rPr>
          <w:rFonts w:hint="default" w:ascii="Times New Roman" w:hAnsi="Times New Roman" w:eastAsia="仿宋_GB2312" w:cs="Times New Roman"/>
          <w:color w:val="000000"/>
          <w:sz w:val="32"/>
          <w:szCs w:val="32"/>
          <w:lang w:eastAsia="zh-CN"/>
        </w:rPr>
      </w:pPr>
    </w:p>
    <w:p>
      <w:pPr>
        <w:pStyle w:val="5"/>
        <w:rPr>
          <w:rFonts w:hint="default" w:ascii="Times New Roman" w:hAnsi="Times New Roman" w:eastAsia="仿宋_GB2312" w:cs="Times New Roman"/>
          <w:color w:val="000000"/>
          <w:sz w:val="32"/>
          <w:szCs w:val="32"/>
          <w:lang w:eastAsia="zh-CN"/>
        </w:rPr>
      </w:pPr>
    </w:p>
    <w:p>
      <w:pPr>
        <w:pStyle w:val="5"/>
        <w:rPr>
          <w:rFonts w:hint="default" w:ascii="Times New Roman" w:hAnsi="Times New Roman" w:eastAsia="仿宋_GB2312" w:cs="Times New Roman"/>
          <w:color w:val="000000"/>
          <w:sz w:val="32"/>
          <w:szCs w:val="32"/>
          <w:lang w:eastAsia="zh-CN"/>
        </w:rPr>
      </w:pPr>
    </w:p>
    <w:p>
      <w:pPr>
        <w:pStyle w:val="5"/>
        <w:rPr>
          <w:rFonts w:hint="default" w:ascii="Times New Roman" w:hAnsi="Times New Roman" w:eastAsia="仿宋_GB2312" w:cs="Times New Roman"/>
          <w:color w:val="000000"/>
          <w:sz w:val="32"/>
          <w:szCs w:val="32"/>
          <w:lang w:eastAsia="zh-CN"/>
        </w:rPr>
      </w:pPr>
    </w:p>
    <w:bookmarkEnd w:id="95"/>
    <w:bookmarkEnd w:id="96"/>
    <w:bookmarkEnd w:id="97"/>
    <w:p>
      <w:pPr>
        <w:numPr>
          <w:ilvl w:val="0"/>
          <w:numId w:val="3"/>
        </w:numPr>
        <w:spacing w:line="600" w:lineRule="exact"/>
        <w:ind w:firstLine="660" w:firstLineChars="150"/>
        <w:jc w:val="center"/>
        <w:outlineLvl w:val="0"/>
        <w:rPr>
          <w:rFonts w:hint="default" w:ascii="Times New Roman" w:hAnsi="Times New Roman" w:eastAsia="黑体" w:cs="Times New Roman"/>
          <w:color w:val="000000"/>
          <w:sz w:val="44"/>
          <w:szCs w:val="44"/>
          <w:lang w:eastAsia="zh-CN"/>
        </w:rPr>
      </w:pPr>
      <w:bookmarkStart w:id="99" w:name="_Toc15396618"/>
      <w:bookmarkStart w:id="100" w:name="_Toc79163885"/>
      <w:bookmarkStart w:id="101" w:name="_Toc79163635"/>
      <w:r>
        <w:rPr>
          <w:rFonts w:hint="default" w:ascii="Times New Roman" w:hAnsi="Times New Roman" w:eastAsia="黑体" w:cs="Times New Roman"/>
          <w:color w:val="000000"/>
          <w:sz w:val="44"/>
          <w:szCs w:val="44"/>
          <w:lang w:eastAsia="zh-CN"/>
        </w:rPr>
        <w:t>第四部分 附表</w:t>
      </w:r>
      <w:bookmarkEnd w:id="98"/>
      <w:bookmarkEnd w:id="99"/>
      <w:bookmarkEnd w:id="100"/>
      <w:bookmarkEnd w:id="101"/>
      <w:bookmarkStart w:id="102" w:name="_Toc79163636"/>
      <w:bookmarkStart w:id="103" w:name="_Toc15396619"/>
      <w:bookmarkStart w:id="104" w:name="_Toc79163886"/>
    </w:p>
    <w:p>
      <w:pPr>
        <w:spacing w:line="600" w:lineRule="exact"/>
        <w:ind w:firstLine="640" w:firstLineChars="200"/>
        <w:rPr>
          <w:rFonts w:hint="default" w:ascii="Times New Roman" w:hAnsi="Times New Roman" w:eastAsia="仿宋_GB2312" w:cs="Times New Roman"/>
          <w:color w:val="000000"/>
          <w:sz w:val="32"/>
          <w:szCs w:val="32"/>
          <w:lang w:val="en-US" w:eastAsia="zh-CN"/>
        </w:rPr>
      </w:pPr>
    </w:p>
    <w:p>
      <w:pPr>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一、收入支出决算总表</w:t>
      </w:r>
      <w:bookmarkEnd w:id="102"/>
      <w:bookmarkEnd w:id="103"/>
      <w:bookmarkEnd w:id="104"/>
    </w:p>
    <w:p>
      <w:pPr>
        <w:spacing w:line="600" w:lineRule="exact"/>
        <w:ind w:firstLine="640" w:firstLineChars="200"/>
        <w:rPr>
          <w:rFonts w:hint="default" w:ascii="Times New Roman" w:hAnsi="Times New Roman" w:eastAsia="仿宋_GB2312" w:cs="Times New Roman"/>
          <w:color w:val="000000"/>
          <w:sz w:val="32"/>
          <w:szCs w:val="32"/>
          <w:lang w:val="en-US" w:eastAsia="zh-CN"/>
        </w:rPr>
      </w:pPr>
      <w:bookmarkStart w:id="105" w:name="_Toc79163637"/>
      <w:bookmarkStart w:id="106" w:name="_Toc15396620"/>
      <w:bookmarkStart w:id="107" w:name="_Toc79163887"/>
      <w:r>
        <w:rPr>
          <w:rFonts w:hint="default" w:ascii="Times New Roman" w:hAnsi="Times New Roman" w:eastAsia="仿宋_GB2312" w:cs="Times New Roman"/>
          <w:color w:val="000000"/>
          <w:sz w:val="32"/>
          <w:szCs w:val="32"/>
          <w:lang w:val="en-US" w:eastAsia="zh-CN"/>
        </w:rPr>
        <w:t>二、收入决算表</w:t>
      </w:r>
      <w:bookmarkEnd w:id="105"/>
      <w:bookmarkEnd w:id="106"/>
      <w:bookmarkEnd w:id="107"/>
    </w:p>
    <w:p>
      <w:pPr>
        <w:spacing w:line="600" w:lineRule="exact"/>
        <w:ind w:firstLine="640" w:firstLineChars="200"/>
        <w:rPr>
          <w:rFonts w:hint="default" w:ascii="Times New Roman" w:hAnsi="Times New Roman" w:eastAsia="仿宋_GB2312" w:cs="Times New Roman"/>
          <w:color w:val="000000"/>
          <w:sz w:val="32"/>
          <w:szCs w:val="32"/>
          <w:lang w:val="en-US" w:eastAsia="zh-CN"/>
        </w:rPr>
      </w:pPr>
      <w:bookmarkStart w:id="108" w:name="_Toc79163888"/>
      <w:bookmarkStart w:id="109" w:name="_Toc79163638"/>
      <w:bookmarkStart w:id="110" w:name="_Toc15396621"/>
      <w:r>
        <w:rPr>
          <w:rFonts w:hint="default" w:ascii="Times New Roman" w:hAnsi="Times New Roman" w:eastAsia="仿宋_GB2312" w:cs="Times New Roman"/>
          <w:color w:val="000000"/>
          <w:sz w:val="32"/>
          <w:szCs w:val="32"/>
          <w:lang w:val="en-US" w:eastAsia="zh-CN"/>
        </w:rPr>
        <w:t>三、支出决算表</w:t>
      </w:r>
      <w:bookmarkEnd w:id="108"/>
      <w:bookmarkEnd w:id="109"/>
      <w:bookmarkEnd w:id="110"/>
    </w:p>
    <w:p>
      <w:pPr>
        <w:spacing w:line="600" w:lineRule="exact"/>
        <w:ind w:firstLine="640" w:firstLineChars="200"/>
        <w:rPr>
          <w:rFonts w:hint="default" w:ascii="Times New Roman" w:hAnsi="Times New Roman" w:eastAsia="仿宋_GB2312" w:cs="Times New Roman"/>
          <w:color w:val="000000"/>
          <w:sz w:val="32"/>
          <w:szCs w:val="32"/>
          <w:lang w:val="en-US" w:eastAsia="zh-CN"/>
        </w:rPr>
      </w:pPr>
      <w:bookmarkStart w:id="111" w:name="_Toc79163639"/>
      <w:bookmarkStart w:id="112" w:name="_Toc79163889"/>
      <w:bookmarkStart w:id="113" w:name="_Toc15396622"/>
      <w:r>
        <w:rPr>
          <w:rFonts w:hint="default" w:ascii="Times New Roman" w:hAnsi="Times New Roman" w:eastAsia="仿宋_GB2312" w:cs="Times New Roman"/>
          <w:color w:val="000000"/>
          <w:sz w:val="32"/>
          <w:szCs w:val="32"/>
          <w:lang w:val="en-US" w:eastAsia="zh-CN"/>
        </w:rPr>
        <w:t>四、财政拨款收入支出决算总表</w:t>
      </w:r>
      <w:bookmarkEnd w:id="111"/>
      <w:bookmarkEnd w:id="112"/>
      <w:bookmarkEnd w:id="113"/>
    </w:p>
    <w:p>
      <w:pPr>
        <w:spacing w:line="600" w:lineRule="exact"/>
        <w:ind w:firstLine="640" w:firstLineChars="200"/>
        <w:rPr>
          <w:rFonts w:hint="default" w:ascii="Times New Roman" w:hAnsi="Times New Roman" w:eastAsia="仿宋_GB2312" w:cs="Times New Roman"/>
          <w:color w:val="000000"/>
          <w:sz w:val="32"/>
          <w:szCs w:val="32"/>
          <w:lang w:val="en-US" w:eastAsia="zh-CN"/>
        </w:rPr>
      </w:pPr>
      <w:bookmarkStart w:id="114" w:name="_Toc15396623"/>
      <w:bookmarkStart w:id="115" w:name="_Toc79163890"/>
      <w:bookmarkStart w:id="116" w:name="_Toc79163640"/>
      <w:r>
        <w:rPr>
          <w:rFonts w:hint="default" w:ascii="Times New Roman" w:hAnsi="Times New Roman" w:eastAsia="仿宋_GB2312" w:cs="Times New Roman"/>
          <w:color w:val="000000"/>
          <w:sz w:val="32"/>
          <w:szCs w:val="32"/>
          <w:lang w:val="en-US" w:eastAsia="zh-CN"/>
        </w:rPr>
        <w:t>五、财政拨款支出决算明细表</w:t>
      </w:r>
      <w:bookmarkEnd w:id="114"/>
      <w:bookmarkEnd w:id="115"/>
      <w:bookmarkEnd w:id="116"/>
      <w:bookmarkStart w:id="117" w:name="_Toc15396624"/>
    </w:p>
    <w:p>
      <w:pPr>
        <w:spacing w:line="600" w:lineRule="exact"/>
        <w:ind w:firstLine="640" w:firstLineChars="200"/>
        <w:rPr>
          <w:rFonts w:hint="default" w:ascii="Times New Roman" w:hAnsi="Times New Roman" w:eastAsia="仿宋_GB2312" w:cs="Times New Roman"/>
          <w:color w:val="000000"/>
          <w:sz w:val="32"/>
          <w:szCs w:val="32"/>
          <w:lang w:val="en-US" w:eastAsia="zh-CN"/>
        </w:rPr>
      </w:pPr>
      <w:bookmarkStart w:id="118" w:name="_Toc79163891"/>
      <w:bookmarkStart w:id="119" w:name="_Toc79163641"/>
      <w:r>
        <w:rPr>
          <w:rFonts w:hint="default" w:ascii="Times New Roman" w:hAnsi="Times New Roman" w:eastAsia="仿宋_GB2312" w:cs="Times New Roman"/>
          <w:color w:val="000000"/>
          <w:sz w:val="32"/>
          <w:szCs w:val="32"/>
          <w:lang w:val="en-US" w:eastAsia="zh-CN"/>
        </w:rPr>
        <w:t>六、一般公共预算财政拨款支出决算表</w:t>
      </w:r>
      <w:bookmarkEnd w:id="117"/>
      <w:bookmarkEnd w:id="118"/>
      <w:bookmarkEnd w:id="119"/>
    </w:p>
    <w:p>
      <w:pPr>
        <w:spacing w:line="600" w:lineRule="exact"/>
        <w:ind w:firstLine="640" w:firstLineChars="200"/>
        <w:rPr>
          <w:rFonts w:hint="default" w:ascii="Times New Roman" w:hAnsi="Times New Roman" w:eastAsia="仿宋_GB2312" w:cs="Times New Roman"/>
          <w:color w:val="000000"/>
          <w:sz w:val="32"/>
          <w:szCs w:val="32"/>
          <w:lang w:val="en-US" w:eastAsia="zh-CN"/>
        </w:rPr>
      </w:pPr>
      <w:bookmarkStart w:id="120" w:name="_Toc79163892"/>
      <w:bookmarkStart w:id="121" w:name="_Toc79163642"/>
      <w:bookmarkStart w:id="122" w:name="_Toc15396625"/>
      <w:r>
        <w:rPr>
          <w:rFonts w:hint="default" w:ascii="Times New Roman" w:hAnsi="Times New Roman" w:eastAsia="仿宋_GB2312" w:cs="Times New Roman"/>
          <w:color w:val="000000"/>
          <w:sz w:val="32"/>
          <w:szCs w:val="32"/>
          <w:lang w:val="en-US" w:eastAsia="zh-CN"/>
        </w:rPr>
        <w:t>七、一般公共预算财政拨款支出</w:t>
      </w:r>
      <w:bookmarkEnd w:id="120"/>
      <w:bookmarkEnd w:id="121"/>
      <w:bookmarkEnd w:id="122"/>
      <w:r>
        <w:rPr>
          <w:rFonts w:hint="default" w:ascii="Times New Roman" w:hAnsi="Times New Roman" w:eastAsia="仿宋_GB2312" w:cs="Times New Roman"/>
          <w:color w:val="000000"/>
          <w:sz w:val="32"/>
          <w:szCs w:val="32"/>
          <w:lang w:val="en-US" w:eastAsia="zh-CN"/>
        </w:rPr>
        <w:t>决算明细表</w:t>
      </w:r>
    </w:p>
    <w:p>
      <w:pPr>
        <w:spacing w:line="600" w:lineRule="exact"/>
        <w:ind w:firstLine="640" w:firstLineChars="200"/>
        <w:rPr>
          <w:rFonts w:hint="default" w:ascii="Times New Roman" w:hAnsi="Times New Roman" w:eastAsia="仿宋_GB2312" w:cs="Times New Roman"/>
          <w:color w:val="000000"/>
          <w:sz w:val="32"/>
          <w:szCs w:val="32"/>
          <w:lang w:val="en-US" w:eastAsia="zh-CN"/>
        </w:rPr>
      </w:pPr>
      <w:bookmarkStart w:id="123" w:name="_Toc15396626"/>
      <w:bookmarkStart w:id="124" w:name="_Toc79163643"/>
      <w:bookmarkStart w:id="125" w:name="_Toc79163893"/>
      <w:r>
        <w:rPr>
          <w:rFonts w:hint="default" w:ascii="Times New Roman" w:hAnsi="Times New Roman" w:eastAsia="仿宋_GB2312" w:cs="Times New Roman"/>
          <w:color w:val="000000"/>
          <w:sz w:val="32"/>
          <w:szCs w:val="32"/>
          <w:lang w:val="en-US" w:eastAsia="zh-CN"/>
        </w:rPr>
        <w:t>八、一般公共预算财政拨款基本支出</w:t>
      </w:r>
      <w:bookmarkEnd w:id="123"/>
      <w:bookmarkEnd w:id="124"/>
      <w:bookmarkEnd w:id="125"/>
      <w:r>
        <w:rPr>
          <w:rFonts w:hint="default" w:ascii="Times New Roman" w:hAnsi="Times New Roman" w:eastAsia="仿宋_GB2312" w:cs="Times New Roman"/>
          <w:color w:val="000000"/>
          <w:sz w:val="32"/>
          <w:szCs w:val="32"/>
          <w:lang w:val="en-US" w:eastAsia="zh-CN"/>
        </w:rPr>
        <w:t>决算明细表</w:t>
      </w:r>
    </w:p>
    <w:p>
      <w:pPr>
        <w:spacing w:line="600" w:lineRule="exact"/>
        <w:ind w:firstLine="640" w:firstLineChars="200"/>
        <w:rPr>
          <w:rFonts w:hint="default" w:ascii="Times New Roman" w:hAnsi="Times New Roman" w:eastAsia="仿宋_GB2312" w:cs="Times New Roman"/>
          <w:color w:val="000000"/>
          <w:sz w:val="32"/>
          <w:szCs w:val="32"/>
          <w:lang w:val="en-US" w:eastAsia="zh-CN"/>
        </w:rPr>
      </w:pPr>
      <w:bookmarkStart w:id="126" w:name="_Toc79163894"/>
      <w:bookmarkStart w:id="127" w:name="_Toc79163644"/>
      <w:bookmarkStart w:id="128" w:name="_Toc15396627"/>
      <w:r>
        <w:rPr>
          <w:rFonts w:hint="default" w:ascii="Times New Roman" w:hAnsi="Times New Roman" w:eastAsia="仿宋_GB2312" w:cs="Times New Roman"/>
          <w:color w:val="000000"/>
          <w:sz w:val="32"/>
          <w:szCs w:val="32"/>
          <w:lang w:val="en-US" w:eastAsia="zh-CN"/>
        </w:rPr>
        <w:t>九、一般公共预算财政拨款项目支出决算</w:t>
      </w:r>
      <w:bookmarkEnd w:id="126"/>
      <w:bookmarkEnd w:id="127"/>
      <w:bookmarkEnd w:id="128"/>
      <w:r>
        <w:rPr>
          <w:rFonts w:hint="default" w:ascii="Times New Roman" w:hAnsi="Times New Roman" w:eastAsia="仿宋_GB2312" w:cs="Times New Roman"/>
          <w:color w:val="000000"/>
          <w:sz w:val="32"/>
          <w:szCs w:val="32"/>
          <w:lang w:val="en-US" w:eastAsia="zh-CN"/>
        </w:rPr>
        <w:t>表</w:t>
      </w:r>
    </w:p>
    <w:p>
      <w:pPr>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十、</w:t>
      </w:r>
      <w:bookmarkStart w:id="129" w:name="_Toc79163896"/>
      <w:bookmarkStart w:id="130" w:name="_Toc15396629"/>
      <w:bookmarkStart w:id="131" w:name="_Toc79163646"/>
      <w:r>
        <w:rPr>
          <w:rFonts w:hint="default" w:ascii="Times New Roman" w:hAnsi="Times New Roman" w:eastAsia="仿宋_GB2312" w:cs="Times New Roman"/>
          <w:color w:val="000000"/>
          <w:sz w:val="32"/>
          <w:szCs w:val="32"/>
          <w:lang w:val="en-US" w:eastAsia="zh-CN"/>
        </w:rPr>
        <w:t>政府性基金预算财政拨款收入支出决算表</w:t>
      </w:r>
      <w:bookmarkEnd w:id="129"/>
      <w:bookmarkEnd w:id="130"/>
      <w:bookmarkEnd w:id="131"/>
    </w:p>
    <w:p>
      <w:pPr>
        <w:spacing w:line="600" w:lineRule="exact"/>
        <w:ind w:firstLine="640" w:firstLineChars="200"/>
        <w:rPr>
          <w:rFonts w:hint="default" w:ascii="Times New Roman" w:hAnsi="Times New Roman" w:eastAsia="仿宋_GB2312" w:cs="Times New Roman"/>
          <w:color w:val="000000"/>
          <w:sz w:val="32"/>
          <w:szCs w:val="32"/>
          <w:lang w:val="en-US" w:eastAsia="zh-CN"/>
        </w:rPr>
      </w:pPr>
      <w:bookmarkStart w:id="132" w:name="_Toc15396628"/>
      <w:bookmarkStart w:id="133" w:name="_Toc79163645"/>
      <w:bookmarkStart w:id="134" w:name="_Toc79163895"/>
      <w:r>
        <w:rPr>
          <w:rFonts w:hint="default" w:ascii="Times New Roman" w:hAnsi="Times New Roman" w:eastAsia="仿宋_GB2312" w:cs="Times New Roman"/>
          <w:color w:val="000000"/>
          <w:sz w:val="32"/>
          <w:szCs w:val="32"/>
          <w:lang w:val="en-US" w:eastAsia="zh-CN"/>
        </w:rPr>
        <w:t>十一、</w:t>
      </w:r>
      <w:bookmarkEnd w:id="132"/>
      <w:bookmarkEnd w:id="133"/>
      <w:bookmarkEnd w:id="134"/>
      <w:r>
        <w:rPr>
          <w:rFonts w:hint="default" w:ascii="Times New Roman" w:hAnsi="Times New Roman" w:eastAsia="仿宋_GB2312" w:cs="Times New Roman"/>
          <w:color w:val="000000"/>
          <w:sz w:val="32"/>
          <w:szCs w:val="32"/>
          <w:lang w:val="en-US" w:eastAsia="zh-CN"/>
        </w:rPr>
        <w:t>国有资本经营预算财政拨款收入支出决算表</w:t>
      </w:r>
    </w:p>
    <w:p>
      <w:pPr>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十二、国有资本经营预算财政拨款支出决算表</w:t>
      </w:r>
    </w:p>
    <w:p>
      <w:pPr>
        <w:spacing w:line="600" w:lineRule="exact"/>
        <w:ind w:firstLine="640" w:firstLineChars="200"/>
        <w:rPr>
          <w:rFonts w:hint="default" w:ascii="Times New Roman" w:hAnsi="Times New Roman" w:eastAsia="仿宋_GB2312" w:cs="Times New Roman"/>
          <w:color w:val="000000"/>
          <w:sz w:val="32"/>
          <w:szCs w:val="32"/>
          <w:lang w:val="en-US" w:eastAsia="zh-CN"/>
        </w:rPr>
      </w:pPr>
      <w:bookmarkStart w:id="135" w:name="_Toc79163647"/>
      <w:bookmarkStart w:id="136" w:name="_Toc79163897"/>
      <w:bookmarkStart w:id="137" w:name="_Toc15396630"/>
      <w:r>
        <w:rPr>
          <w:rFonts w:hint="default" w:ascii="Times New Roman" w:hAnsi="Times New Roman" w:eastAsia="仿宋_GB2312" w:cs="Times New Roman"/>
          <w:color w:val="000000"/>
          <w:sz w:val="32"/>
          <w:szCs w:val="32"/>
          <w:lang w:val="en-US" w:eastAsia="zh-CN"/>
        </w:rPr>
        <w:t>十三、</w:t>
      </w:r>
      <w:bookmarkEnd w:id="135"/>
      <w:bookmarkEnd w:id="136"/>
      <w:bookmarkEnd w:id="137"/>
      <w:r>
        <w:rPr>
          <w:rFonts w:hint="default" w:ascii="Times New Roman" w:hAnsi="Times New Roman" w:eastAsia="仿宋_GB2312" w:cs="Times New Roman"/>
          <w:color w:val="000000"/>
          <w:sz w:val="32"/>
          <w:szCs w:val="32"/>
          <w:lang w:val="en-US" w:eastAsia="zh-CN"/>
        </w:rPr>
        <w:t>财政拨款“三公”经费支出决算表</w:t>
      </w:r>
    </w:p>
    <w:p>
      <w:pPr>
        <w:spacing w:line="600" w:lineRule="exact"/>
        <w:ind w:firstLine="640" w:firstLineChars="200"/>
        <w:rPr>
          <w:rFonts w:hint="default" w:ascii="Times New Roman" w:hAnsi="Times New Roman" w:eastAsia="仿宋_GB2312" w:cs="Times New Roman"/>
          <w:color w:val="000000"/>
          <w:sz w:val="32"/>
          <w:szCs w:val="32"/>
          <w:lang w:val="en-US" w:eastAsia="zh-CN"/>
        </w:rPr>
      </w:pPr>
    </w:p>
    <w:p>
      <w:pPr>
        <w:pStyle w:val="7"/>
        <w:rPr>
          <w:rStyle w:val="29"/>
          <w:rFonts w:hint="default" w:ascii="Times New Roman" w:hAnsi="Times New Roman" w:eastAsia="仿宋" w:cs="Times New Roman"/>
          <w:b w:val="0"/>
          <w:bCs w:val="0"/>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roma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4</w:t>
    </w:r>
    <w:r>
      <w:rPr>
        <w:lang w:val="zh-CN"/>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MTNhNGI1NDgzY2U3NzYzZGQ4Yzk0ZmRmODRkZjYifQ=="/>
  </w:docVars>
  <w:rsids>
    <w:rsidRoot w:val="00F1361C"/>
    <w:rsid w:val="000025D3"/>
    <w:rsid w:val="000222C6"/>
    <w:rsid w:val="0002549F"/>
    <w:rsid w:val="00045C0C"/>
    <w:rsid w:val="000468DB"/>
    <w:rsid w:val="00055FCA"/>
    <w:rsid w:val="00062ECE"/>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3DF6"/>
    <w:rsid w:val="000E59A2"/>
    <w:rsid w:val="000E6613"/>
    <w:rsid w:val="000E7119"/>
    <w:rsid w:val="000F2833"/>
    <w:rsid w:val="001135DB"/>
    <w:rsid w:val="00114E9B"/>
    <w:rsid w:val="00115301"/>
    <w:rsid w:val="001319E1"/>
    <w:rsid w:val="00142216"/>
    <w:rsid w:val="00144D6A"/>
    <w:rsid w:val="0014729F"/>
    <w:rsid w:val="001523FE"/>
    <w:rsid w:val="00157BAB"/>
    <w:rsid w:val="001654D1"/>
    <w:rsid w:val="00174518"/>
    <w:rsid w:val="0018106D"/>
    <w:rsid w:val="001877A7"/>
    <w:rsid w:val="00191536"/>
    <w:rsid w:val="00196687"/>
    <w:rsid w:val="001A5DBF"/>
    <w:rsid w:val="001C0962"/>
    <w:rsid w:val="001C50BB"/>
    <w:rsid w:val="001D6C03"/>
    <w:rsid w:val="001D7531"/>
    <w:rsid w:val="001E737D"/>
    <w:rsid w:val="001F0592"/>
    <w:rsid w:val="001F7506"/>
    <w:rsid w:val="002006CD"/>
    <w:rsid w:val="00202B36"/>
    <w:rsid w:val="00204B7A"/>
    <w:rsid w:val="00204CDE"/>
    <w:rsid w:val="0021101A"/>
    <w:rsid w:val="00220536"/>
    <w:rsid w:val="00227085"/>
    <w:rsid w:val="00235629"/>
    <w:rsid w:val="00250CFB"/>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00F65"/>
    <w:rsid w:val="003207E6"/>
    <w:rsid w:val="003216A9"/>
    <w:rsid w:val="00335A74"/>
    <w:rsid w:val="00335EC1"/>
    <w:rsid w:val="00353CBB"/>
    <w:rsid w:val="003545C0"/>
    <w:rsid w:val="00357113"/>
    <w:rsid w:val="0036561B"/>
    <w:rsid w:val="0037013F"/>
    <w:rsid w:val="00380C92"/>
    <w:rsid w:val="00381B3D"/>
    <w:rsid w:val="003A484F"/>
    <w:rsid w:val="003A4883"/>
    <w:rsid w:val="003B0BE0"/>
    <w:rsid w:val="003B0C1B"/>
    <w:rsid w:val="003B688C"/>
    <w:rsid w:val="003C0291"/>
    <w:rsid w:val="003C39AE"/>
    <w:rsid w:val="003C7B60"/>
    <w:rsid w:val="003D0C0F"/>
    <w:rsid w:val="003D1FB2"/>
    <w:rsid w:val="003D66DA"/>
    <w:rsid w:val="003E1310"/>
    <w:rsid w:val="003E1BF6"/>
    <w:rsid w:val="003E6F55"/>
    <w:rsid w:val="003E6FE4"/>
    <w:rsid w:val="003E70DD"/>
    <w:rsid w:val="00406254"/>
    <w:rsid w:val="004223DE"/>
    <w:rsid w:val="00434489"/>
    <w:rsid w:val="00437085"/>
    <w:rsid w:val="00443880"/>
    <w:rsid w:val="00445607"/>
    <w:rsid w:val="004464F4"/>
    <w:rsid w:val="00471401"/>
    <w:rsid w:val="00473F31"/>
    <w:rsid w:val="0048263A"/>
    <w:rsid w:val="00487E5D"/>
    <w:rsid w:val="0049730A"/>
    <w:rsid w:val="004A181D"/>
    <w:rsid w:val="004A711F"/>
    <w:rsid w:val="004B199D"/>
    <w:rsid w:val="004B4690"/>
    <w:rsid w:val="004D5479"/>
    <w:rsid w:val="004E0A2D"/>
    <w:rsid w:val="004E1D4E"/>
    <w:rsid w:val="004E206B"/>
    <w:rsid w:val="004E6DF7"/>
    <w:rsid w:val="004F0FBD"/>
    <w:rsid w:val="00505A47"/>
    <w:rsid w:val="00512FDA"/>
    <w:rsid w:val="00520DA0"/>
    <w:rsid w:val="005269A7"/>
    <w:rsid w:val="005269D7"/>
    <w:rsid w:val="00556D91"/>
    <w:rsid w:val="005664BB"/>
    <w:rsid w:val="00566FFA"/>
    <w:rsid w:val="0057481D"/>
    <w:rsid w:val="0058486E"/>
    <w:rsid w:val="00585B33"/>
    <w:rsid w:val="0059014D"/>
    <w:rsid w:val="00595602"/>
    <w:rsid w:val="005B5C64"/>
    <w:rsid w:val="005C5337"/>
    <w:rsid w:val="005C6BD0"/>
    <w:rsid w:val="005D1C8B"/>
    <w:rsid w:val="005D468D"/>
    <w:rsid w:val="005D5CED"/>
    <w:rsid w:val="005D6DAF"/>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23BB"/>
    <w:rsid w:val="006748A4"/>
    <w:rsid w:val="00681A31"/>
    <w:rsid w:val="00683E73"/>
    <w:rsid w:val="00687736"/>
    <w:rsid w:val="00692936"/>
    <w:rsid w:val="006A3141"/>
    <w:rsid w:val="006A5E34"/>
    <w:rsid w:val="006B2422"/>
    <w:rsid w:val="006B2B9A"/>
    <w:rsid w:val="006C1937"/>
    <w:rsid w:val="006E65E7"/>
    <w:rsid w:val="006F020C"/>
    <w:rsid w:val="007127B7"/>
    <w:rsid w:val="0071798E"/>
    <w:rsid w:val="007416B6"/>
    <w:rsid w:val="0074202C"/>
    <w:rsid w:val="00746CA0"/>
    <w:rsid w:val="00746F48"/>
    <w:rsid w:val="0075185F"/>
    <w:rsid w:val="0075404D"/>
    <w:rsid w:val="0076182A"/>
    <w:rsid w:val="00767B7E"/>
    <w:rsid w:val="00775C8A"/>
    <w:rsid w:val="007770C3"/>
    <w:rsid w:val="00784D24"/>
    <w:rsid w:val="00785FBA"/>
    <w:rsid w:val="00786E4A"/>
    <w:rsid w:val="007875EB"/>
    <w:rsid w:val="0079426B"/>
    <w:rsid w:val="007C1BD2"/>
    <w:rsid w:val="007D1682"/>
    <w:rsid w:val="007D312A"/>
    <w:rsid w:val="007D3F19"/>
    <w:rsid w:val="007E23B0"/>
    <w:rsid w:val="007E23E5"/>
    <w:rsid w:val="007E6948"/>
    <w:rsid w:val="007F1991"/>
    <w:rsid w:val="007F2C2F"/>
    <w:rsid w:val="007F55FC"/>
    <w:rsid w:val="007F5665"/>
    <w:rsid w:val="00800112"/>
    <w:rsid w:val="00813348"/>
    <w:rsid w:val="008253BB"/>
    <w:rsid w:val="0082636F"/>
    <w:rsid w:val="00830662"/>
    <w:rsid w:val="0083706E"/>
    <w:rsid w:val="008408F6"/>
    <w:rsid w:val="008423A5"/>
    <w:rsid w:val="00850625"/>
    <w:rsid w:val="008513A4"/>
    <w:rsid w:val="008514FC"/>
    <w:rsid w:val="00853718"/>
    <w:rsid w:val="00855221"/>
    <w:rsid w:val="00860645"/>
    <w:rsid w:val="00871F71"/>
    <w:rsid w:val="00872FD8"/>
    <w:rsid w:val="00885AF4"/>
    <w:rsid w:val="00892977"/>
    <w:rsid w:val="008939CD"/>
    <w:rsid w:val="008A76A4"/>
    <w:rsid w:val="008B768C"/>
    <w:rsid w:val="008C4DB1"/>
    <w:rsid w:val="008C4EAF"/>
    <w:rsid w:val="008C5176"/>
    <w:rsid w:val="008C7FD0"/>
    <w:rsid w:val="008E075C"/>
    <w:rsid w:val="008E1DE7"/>
    <w:rsid w:val="008E707C"/>
    <w:rsid w:val="008E7115"/>
    <w:rsid w:val="00900B08"/>
    <w:rsid w:val="00902155"/>
    <w:rsid w:val="00902FA3"/>
    <w:rsid w:val="00911E11"/>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76839"/>
    <w:rsid w:val="0098660A"/>
    <w:rsid w:val="009931C3"/>
    <w:rsid w:val="009B2C43"/>
    <w:rsid w:val="009B4EAE"/>
    <w:rsid w:val="009B7573"/>
    <w:rsid w:val="009C22F4"/>
    <w:rsid w:val="009C2A4B"/>
    <w:rsid w:val="009C2E98"/>
    <w:rsid w:val="009D3447"/>
    <w:rsid w:val="009D4711"/>
    <w:rsid w:val="009D62B9"/>
    <w:rsid w:val="009E41A5"/>
    <w:rsid w:val="009F06DE"/>
    <w:rsid w:val="009F1185"/>
    <w:rsid w:val="009F18CD"/>
    <w:rsid w:val="009F2A13"/>
    <w:rsid w:val="009F7527"/>
    <w:rsid w:val="00A04EB0"/>
    <w:rsid w:val="00A07A90"/>
    <w:rsid w:val="00A100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3F0"/>
    <w:rsid w:val="00A91760"/>
    <w:rsid w:val="00A93B00"/>
    <w:rsid w:val="00A93C21"/>
    <w:rsid w:val="00AB64C9"/>
    <w:rsid w:val="00AC0C7A"/>
    <w:rsid w:val="00AC3C6A"/>
    <w:rsid w:val="00AD5620"/>
    <w:rsid w:val="00AD656B"/>
    <w:rsid w:val="00AD7C1B"/>
    <w:rsid w:val="00AE16BA"/>
    <w:rsid w:val="00AE1EBE"/>
    <w:rsid w:val="00AE362C"/>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4BB6"/>
    <w:rsid w:val="00B90E4E"/>
    <w:rsid w:val="00B944D6"/>
    <w:rsid w:val="00B965DC"/>
    <w:rsid w:val="00BB4DF0"/>
    <w:rsid w:val="00BC289F"/>
    <w:rsid w:val="00BC2D50"/>
    <w:rsid w:val="00BC5361"/>
    <w:rsid w:val="00BC5460"/>
    <w:rsid w:val="00BC6B50"/>
    <w:rsid w:val="00BC6E6F"/>
    <w:rsid w:val="00BD0E25"/>
    <w:rsid w:val="00BF5BD6"/>
    <w:rsid w:val="00C03E31"/>
    <w:rsid w:val="00C33E72"/>
    <w:rsid w:val="00C354B2"/>
    <w:rsid w:val="00C35554"/>
    <w:rsid w:val="00C42709"/>
    <w:rsid w:val="00C533CC"/>
    <w:rsid w:val="00C5751C"/>
    <w:rsid w:val="00C6067F"/>
    <w:rsid w:val="00C61BFC"/>
    <w:rsid w:val="00C62B85"/>
    <w:rsid w:val="00C65438"/>
    <w:rsid w:val="00C6592C"/>
    <w:rsid w:val="00C777E8"/>
    <w:rsid w:val="00C87FD8"/>
    <w:rsid w:val="00C91381"/>
    <w:rsid w:val="00C91CBB"/>
    <w:rsid w:val="00CA57BA"/>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55482"/>
    <w:rsid w:val="00D7035F"/>
    <w:rsid w:val="00DA26BE"/>
    <w:rsid w:val="00DA634F"/>
    <w:rsid w:val="00DA65AC"/>
    <w:rsid w:val="00DB1913"/>
    <w:rsid w:val="00DC410D"/>
    <w:rsid w:val="00DC5A81"/>
    <w:rsid w:val="00DC68CA"/>
    <w:rsid w:val="00DC74B0"/>
    <w:rsid w:val="00DC7CBA"/>
    <w:rsid w:val="00DD73B7"/>
    <w:rsid w:val="00DE1264"/>
    <w:rsid w:val="00DF28BC"/>
    <w:rsid w:val="00DF34B9"/>
    <w:rsid w:val="00DF3C5F"/>
    <w:rsid w:val="00E01053"/>
    <w:rsid w:val="00E07ACF"/>
    <w:rsid w:val="00E133B7"/>
    <w:rsid w:val="00E1753C"/>
    <w:rsid w:val="00E32CAD"/>
    <w:rsid w:val="00E331A1"/>
    <w:rsid w:val="00E33202"/>
    <w:rsid w:val="00E336A9"/>
    <w:rsid w:val="00E472B1"/>
    <w:rsid w:val="00E50624"/>
    <w:rsid w:val="00E568DF"/>
    <w:rsid w:val="00E64269"/>
    <w:rsid w:val="00E70975"/>
    <w:rsid w:val="00E72CEB"/>
    <w:rsid w:val="00E82267"/>
    <w:rsid w:val="00E84C18"/>
    <w:rsid w:val="00E853CE"/>
    <w:rsid w:val="00E867B6"/>
    <w:rsid w:val="00EA010F"/>
    <w:rsid w:val="00EA70AD"/>
    <w:rsid w:val="00ED1B63"/>
    <w:rsid w:val="00ED3C1F"/>
    <w:rsid w:val="00ED4085"/>
    <w:rsid w:val="00ED420E"/>
    <w:rsid w:val="00ED6FBE"/>
    <w:rsid w:val="00EE0E1D"/>
    <w:rsid w:val="00EE2F57"/>
    <w:rsid w:val="00EF4C34"/>
    <w:rsid w:val="00EF60EF"/>
    <w:rsid w:val="00EF77C6"/>
    <w:rsid w:val="00F05438"/>
    <w:rsid w:val="00F1361C"/>
    <w:rsid w:val="00F156F0"/>
    <w:rsid w:val="00F160C7"/>
    <w:rsid w:val="00F2408F"/>
    <w:rsid w:val="00F240E9"/>
    <w:rsid w:val="00F36D8F"/>
    <w:rsid w:val="00F37E22"/>
    <w:rsid w:val="00F417B1"/>
    <w:rsid w:val="00F45853"/>
    <w:rsid w:val="00F55956"/>
    <w:rsid w:val="00F602DF"/>
    <w:rsid w:val="00F67211"/>
    <w:rsid w:val="00F754A1"/>
    <w:rsid w:val="00F80B5C"/>
    <w:rsid w:val="00F81FD9"/>
    <w:rsid w:val="00F841AA"/>
    <w:rsid w:val="00F84A94"/>
    <w:rsid w:val="00F87E96"/>
    <w:rsid w:val="00F95719"/>
    <w:rsid w:val="00FA23E8"/>
    <w:rsid w:val="00FD3CC1"/>
    <w:rsid w:val="00FF1E02"/>
    <w:rsid w:val="00FF30B4"/>
    <w:rsid w:val="02D26DA3"/>
    <w:rsid w:val="03074547"/>
    <w:rsid w:val="0482531D"/>
    <w:rsid w:val="04DE084C"/>
    <w:rsid w:val="050671D8"/>
    <w:rsid w:val="0518659F"/>
    <w:rsid w:val="08191038"/>
    <w:rsid w:val="089672D2"/>
    <w:rsid w:val="096F33BD"/>
    <w:rsid w:val="09D37802"/>
    <w:rsid w:val="09FC7E0D"/>
    <w:rsid w:val="0A2032A3"/>
    <w:rsid w:val="0B7D3076"/>
    <w:rsid w:val="0B8F79D4"/>
    <w:rsid w:val="0C395F49"/>
    <w:rsid w:val="0D0116D0"/>
    <w:rsid w:val="0DDE09BF"/>
    <w:rsid w:val="0DE453A5"/>
    <w:rsid w:val="0E12244E"/>
    <w:rsid w:val="0F5E473F"/>
    <w:rsid w:val="101958FA"/>
    <w:rsid w:val="10C055FF"/>
    <w:rsid w:val="118107EC"/>
    <w:rsid w:val="13840CF6"/>
    <w:rsid w:val="145357AB"/>
    <w:rsid w:val="14C05E21"/>
    <w:rsid w:val="156055EB"/>
    <w:rsid w:val="161F48BF"/>
    <w:rsid w:val="16BB723D"/>
    <w:rsid w:val="18096704"/>
    <w:rsid w:val="19163526"/>
    <w:rsid w:val="19CF615F"/>
    <w:rsid w:val="1B3C4BC5"/>
    <w:rsid w:val="1BA721E6"/>
    <w:rsid w:val="1BA80096"/>
    <w:rsid w:val="1CA7421D"/>
    <w:rsid w:val="1CDA2B3F"/>
    <w:rsid w:val="1D155CEE"/>
    <w:rsid w:val="1D996245"/>
    <w:rsid w:val="1E2B474F"/>
    <w:rsid w:val="2032334E"/>
    <w:rsid w:val="209115EF"/>
    <w:rsid w:val="215E41A5"/>
    <w:rsid w:val="240371BF"/>
    <w:rsid w:val="243A1C5B"/>
    <w:rsid w:val="24865FCE"/>
    <w:rsid w:val="252600C3"/>
    <w:rsid w:val="256C0D8A"/>
    <w:rsid w:val="26CB6196"/>
    <w:rsid w:val="274E6044"/>
    <w:rsid w:val="27E616CD"/>
    <w:rsid w:val="280276BA"/>
    <w:rsid w:val="29FD04D3"/>
    <w:rsid w:val="2B0731DF"/>
    <w:rsid w:val="2B181E4B"/>
    <w:rsid w:val="2BB1749B"/>
    <w:rsid w:val="2CC61A6F"/>
    <w:rsid w:val="2DE905B3"/>
    <w:rsid w:val="2E814A53"/>
    <w:rsid w:val="2EA300B9"/>
    <w:rsid w:val="2EE54F6B"/>
    <w:rsid w:val="30BC4C8B"/>
    <w:rsid w:val="30C715C5"/>
    <w:rsid w:val="314E2254"/>
    <w:rsid w:val="319F7F4E"/>
    <w:rsid w:val="322B5232"/>
    <w:rsid w:val="35440633"/>
    <w:rsid w:val="376A3770"/>
    <w:rsid w:val="3A156F9A"/>
    <w:rsid w:val="3A7F5AB8"/>
    <w:rsid w:val="3B003499"/>
    <w:rsid w:val="3B777610"/>
    <w:rsid w:val="3C997092"/>
    <w:rsid w:val="3D884F88"/>
    <w:rsid w:val="3F5D6059"/>
    <w:rsid w:val="3FB252D5"/>
    <w:rsid w:val="401F0977"/>
    <w:rsid w:val="402257AD"/>
    <w:rsid w:val="41933D8D"/>
    <w:rsid w:val="431D42AA"/>
    <w:rsid w:val="43C970F3"/>
    <w:rsid w:val="4490163B"/>
    <w:rsid w:val="4532203E"/>
    <w:rsid w:val="47406FA6"/>
    <w:rsid w:val="481E61EC"/>
    <w:rsid w:val="487C4E25"/>
    <w:rsid w:val="49D036BB"/>
    <w:rsid w:val="4D666CDC"/>
    <w:rsid w:val="4ECE2238"/>
    <w:rsid w:val="4F263B4E"/>
    <w:rsid w:val="506A16C6"/>
    <w:rsid w:val="5138303C"/>
    <w:rsid w:val="517F614B"/>
    <w:rsid w:val="51B274A4"/>
    <w:rsid w:val="535A6478"/>
    <w:rsid w:val="53D52BFF"/>
    <w:rsid w:val="540D4E01"/>
    <w:rsid w:val="541C2DB0"/>
    <w:rsid w:val="548C0C21"/>
    <w:rsid w:val="563128D5"/>
    <w:rsid w:val="58627651"/>
    <w:rsid w:val="5B094ED8"/>
    <w:rsid w:val="5BF26DDE"/>
    <w:rsid w:val="5BFB6BED"/>
    <w:rsid w:val="5FFD034E"/>
    <w:rsid w:val="60D663E0"/>
    <w:rsid w:val="62256CD3"/>
    <w:rsid w:val="63043B0F"/>
    <w:rsid w:val="6556346D"/>
    <w:rsid w:val="6756781B"/>
    <w:rsid w:val="685518B1"/>
    <w:rsid w:val="68995A49"/>
    <w:rsid w:val="69212F64"/>
    <w:rsid w:val="6942096B"/>
    <w:rsid w:val="69C42264"/>
    <w:rsid w:val="6A734FB5"/>
    <w:rsid w:val="6AD40F03"/>
    <w:rsid w:val="6B7369F1"/>
    <w:rsid w:val="6C4A05C8"/>
    <w:rsid w:val="6CA95C31"/>
    <w:rsid w:val="6CDF2E0F"/>
    <w:rsid w:val="6D273BAE"/>
    <w:rsid w:val="6D440686"/>
    <w:rsid w:val="6DBC51B7"/>
    <w:rsid w:val="6FE67CAC"/>
    <w:rsid w:val="70E15C36"/>
    <w:rsid w:val="726A3BE1"/>
    <w:rsid w:val="72734D90"/>
    <w:rsid w:val="74262C8B"/>
    <w:rsid w:val="742A7B22"/>
    <w:rsid w:val="7435005F"/>
    <w:rsid w:val="76222297"/>
    <w:rsid w:val="76B83D65"/>
    <w:rsid w:val="77145B38"/>
    <w:rsid w:val="780A2D7F"/>
    <w:rsid w:val="78443DC6"/>
    <w:rsid w:val="78E45022"/>
    <w:rsid w:val="79F43EFB"/>
    <w:rsid w:val="7DCF1A4F"/>
    <w:rsid w:val="7E0F6C4C"/>
    <w:rsid w:val="7E4E2153"/>
    <w:rsid w:val="7EFD0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29"/>
    <w:qFormat/>
    <w:uiPriority w:val="9"/>
    <w:pPr>
      <w:keepNext/>
      <w:keepLines/>
      <w:spacing w:before="260" w:after="260" w:line="416" w:lineRule="auto"/>
      <w:outlineLvl w:val="1"/>
    </w:pPr>
    <w:rPr>
      <w:rFonts w:ascii="Cambria" w:hAnsi="Cambria"/>
      <w:b/>
      <w:bCs/>
      <w:sz w:val="32"/>
      <w:szCs w:val="32"/>
    </w:rPr>
  </w:style>
  <w:style w:type="paragraph" w:styleId="8">
    <w:name w:val="heading 3"/>
    <w:basedOn w:val="1"/>
    <w:next w:val="1"/>
    <w:link w:val="30"/>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firstLine="200" w:firstLineChars="200"/>
    </w:pPr>
  </w:style>
  <w:style w:type="paragraph" w:styleId="3">
    <w:name w:val="Body Text Indent"/>
    <w:basedOn w:val="1"/>
    <w:next w:val="4"/>
    <w:qFormat/>
    <w:uiPriority w:val="99"/>
    <w:pPr>
      <w:ind w:firstLine="1380"/>
    </w:pPr>
    <w:rPr>
      <w:rFonts w:ascii="Times New Roman" w:hAnsi="Times New Roman"/>
      <w:b/>
      <w:bCs/>
      <w:sz w:val="36"/>
    </w:rPr>
  </w:style>
  <w:style w:type="paragraph" w:styleId="4">
    <w:name w:val="footer"/>
    <w:basedOn w:val="1"/>
    <w:link w:val="36"/>
    <w:qFormat/>
    <w:uiPriority w:val="99"/>
    <w:pPr>
      <w:tabs>
        <w:tab w:val="center" w:pos="4153"/>
        <w:tab w:val="right" w:pos="8306"/>
      </w:tabs>
      <w:snapToGrid w:val="0"/>
      <w:jc w:val="left"/>
    </w:pPr>
    <w:rPr>
      <w:rFonts w:ascii="Calibri" w:hAnsi="Calibri"/>
      <w:kern w:val="0"/>
      <w:sz w:val="18"/>
      <w:szCs w:val="20"/>
    </w:rPr>
  </w:style>
  <w:style w:type="paragraph" w:styleId="5">
    <w:name w:val="Plain Text"/>
    <w:basedOn w:val="1"/>
    <w:qFormat/>
    <w:uiPriority w:val="0"/>
    <w:rPr>
      <w:rFonts w:ascii="宋体" w:hAnsi="Courier New" w:cs="Courier New"/>
      <w:szCs w:val="21"/>
    </w:rPr>
  </w:style>
  <w:style w:type="paragraph" w:styleId="9">
    <w:name w:val="toc 7"/>
    <w:basedOn w:val="1"/>
    <w:next w:val="1"/>
    <w:unhideWhenUsed/>
    <w:qFormat/>
    <w:uiPriority w:val="39"/>
    <w:pPr>
      <w:ind w:left="1260"/>
      <w:jc w:val="left"/>
    </w:pPr>
    <w:rPr>
      <w:rFonts w:asciiTheme="minorHAnsi" w:eastAsiaTheme="minorHAnsi"/>
      <w:sz w:val="18"/>
      <w:szCs w:val="18"/>
    </w:rPr>
  </w:style>
  <w:style w:type="paragraph" w:styleId="10">
    <w:name w:val="Salutation"/>
    <w:basedOn w:val="1"/>
    <w:next w:val="1"/>
    <w:qFormat/>
    <w:uiPriority w:val="0"/>
  </w:style>
  <w:style w:type="paragraph" w:styleId="11">
    <w:name w:val="Body Text"/>
    <w:basedOn w:val="1"/>
    <w:link w:val="37"/>
    <w:qFormat/>
    <w:uiPriority w:val="99"/>
    <w:pPr>
      <w:spacing w:beforeLines="30"/>
    </w:pPr>
    <w:rPr>
      <w:rFonts w:ascii="仿宋_GB2312" w:eastAsia="仿宋_GB2312"/>
      <w:kern w:val="0"/>
      <w:sz w:val="24"/>
      <w:szCs w:val="20"/>
    </w:rPr>
  </w:style>
  <w:style w:type="paragraph" w:styleId="12">
    <w:name w:val="toc 5"/>
    <w:basedOn w:val="1"/>
    <w:next w:val="1"/>
    <w:unhideWhenUsed/>
    <w:qFormat/>
    <w:uiPriority w:val="39"/>
    <w:pPr>
      <w:ind w:left="840"/>
      <w:jc w:val="left"/>
    </w:pPr>
    <w:rPr>
      <w:rFonts w:asciiTheme="minorHAnsi" w:eastAsiaTheme="minorHAnsi"/>
      <w:sz w:val="18"/>
      <w:szCs w:val="18"/>
    </w:rPr>
  </w:style>
  <w:style w:type="paragraph" w:styleId="13">
    <w:name w:val="toc 3"/>
    <w:basedOn w:val="1"/>
    <w:next w:val="1"/>
    <w:unhideWhenUsed/>
    <w:qFormat/>
    <w:uiPriority w:val="39"/>
    <w:pPr>
      <w:ind w:left="420"/>
      <w:jc w:val="left"/>
    </w:pPr>
    <w:rPr>
      <w:rFonts w:asciiTheme="minorHAnsi" w:eastAsiaTheme="minorHAnsi"/>
      <w:i/>
      <w:iCs/>
      <w:sz w:val="20"/>
      <w:szCs w:val="20"/>
    </w:rPr>
  </w:style>
  <w:style w:type="paragraph" w:styleId="14">
    <w:name w:val="toc 8"/>
    <w:basedOn w:val="1"/>
    <w:next w:val="1"/>
    <w:unhideWhenUsed/>
    <w:qFormat/>
    <w:uiPriority w:val="39"/>
    <w:pPr>
      <w:ind w:left="1470"/>
      <w:jc w:val="left"/>
    </w:pPr>
    <w:rPr>
      <w:rFonts w:asciiTheme="minorHAnsi" w:eastAsiaTheme="minorHAnsi"/>
      <w:sz w:val="18"/>
      <w:szCs w:val="18"/>
    </w:rPr>
  </w:style>
  <w:style w:type="paragraph" w:styleId="15">
    <w:name w:val="Balloon Text"/>
    <w:basedOn w:val="1"/>
    <w:link w:val="32"/>
    <w:semiHidden/>
    <w:unhideWhenUsed/>
    <w:qFormat/>
    <w:uiPriority w:val="99"/>
    <w:rPr>
      <w:sz w:val="18"/>
      <w:szCs w:val="18"/>
    </w:rPr>
  </w:style>
  <w:style w:type="paragraph" w:styleId="16">
    <w:name w:val="header"/>
    <w:basedOn w:val="1"/>
    <w:link w:val="35"/>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7">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8">
    <w:name w:val="toc 4"/>
    <w:basedOn w:val="1"/>
    <w:next w:val="1"/>
    <w:unhideWhenUsed/>
    <w:qFormat/>
    <w:uiPriority w:val="39"/>
    <w:pPr>
      <w:ind w:left="630"/>
      <w:jc w:val="left"/>
    </w:pPr>
    <w:rPr>
      <w:rFonts w:asciiTheme="minorHAnsi" w:eastAsiaTheme="minorHAnsi"/>
      <w:sz w:val="18"/>
      <w:szCs w:val="18"/>
    </w:rPr>
  </w:style>
  <w:style w:type="paragraph" w:styleId="19">
    <w:name w:val="toc 6"/>
    <w:basedOn w:val="1"/>
    <w:next w:val="1"/>
    <w:unhideWhenUsed/>
    <w:qFormat/>
    <w:uiPriority w:val="39"/>
    <w:pPr>
      <w:ind w:left="1050"/>
      <w:jc w:val="left"/>
    </w:pPr>
    <w:rPr>
      <w:rFonts w:asciiTheme="minorHAnsi" w:eastAsiaTheme="minorHAnsi"/>
      <w:sz w:val="18"/>
      <w:szCs w:val="18"/>
    </w:rPr>
  </w:style>
  <w:style w:type="paragraph" w:styleId="20">
    <w:name w:val="toc 2"/>
    <w:basedOn w:val="1"/>
    <w:next w:val="1"/>
    <w:unhideWhenUsed/>
    <w:qFormat/>
    <w:uiPriority w:val="39"/>
    <w:pPr>
      <w:ind w:left="210"/>
      <w:jc w:val="left"/>
    </w:pPr>
    <w:rPr>
      <w:rFonts w:asciiTheme="minorHAnsi" w:eastAsiaTheme="minorHAnsi"/>
      <w:smallCaps/>
      <w:sz w:val="20"/>
      <w:szCs w:val="20"/>
    </w:rPr>
  </w:style>
  <w:style w:type="paragraph" w:styleId="21">
    <w:name w:val="toc 9"/>
    <w:basedOn w:val="1"/>
    <w:next w:val="1"/>
    <w:unhideWhenUsed/>
    <w:qFormat/>
    <w:uiPriority w:val="39"/>
    <w:pPr>
      <w:ind w:left="1680"/>
      <w:jc w:val="left"/>
    </w:pPr>
    <w:rPr>
      <w:rFonts w:asciiTheme="minorHAnsi" w:eastAsiaTheme="minorHAnsi"/>
      <w:sz w:val="18"/>
      <w:szCs w:val="18"/>
    </w:rPr>
  </w:style>
  <w:style w:type="paragraph" w:styleId="2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25">
    <w:name w:val="Strong"/>
    <w:basedOn w:val="24"/>
    <w:qFormat/>
    <w:uiPriority w:val="99"/>
    <w:rPr>
      <w:rFonts w:cs="Times New Roman"/>
      <w:b/>
    </w:rPr>
  </w:style>
  <w:style w:type="character" w:styleId="26">
    <w:name w:val="page number"/>
    <w:basedOn w:val="24"/>
    <w:qFormat/>
    <w:uiPriority w:val="0"/>
  </w:style>
  <w:style w:type="character" w:styleId="27">
    <w:name w:val="Hyperlink"/>
    <w:basedOn w:val="24"/>
    <w:unhideWhenUsed/>
    <w:qFormat/>
    <w:uiPriority w:val="99"/>
    <w:rPr>
      <w:rFonts w:cs="Times New Roman"/>
      <w:color w:val="0000FF"/>
      <w:u w:val="single"/>
    </w:rPr>
  </w:style>
  <w:style w:type="character" w:customStyle="1" w:styleId="28">
    <w:name w:val="标题 1 Char"/>
    <w:basedOn w:val="24"/>
    <w:link w:val="6"/>
    <w:qFormat/>
    <w:locked/>
    <w:uiPriority w:val="9"/>
    <w:rPr>
      <w:rFonts w:ascii="Times New Roman" w:hAnsi="Times New Roman" w:cs="Times New Roman"/>
      <w:b/>
      <w:bCs/>
      <w:kern w:val="44"/>
      <w:sz w:val="44"/>
      <w:szCs w:val="44"/>
    </w:rPr>
  </w:style>
  <w:style w:type="character" w:customStyle="1" w:styleId="29">
    <w:name w:val="标题 2 Char"/>
    <w:basedOn w:val="24"/>
    <w:link w:val="7"/>
    <w:qFormat/>
    <w:locked/>
    <w:uiPriority w:val="9"/>
    <w:rPr>
      <w:rFonts w:ascii="Cambria" w:hAnsi="Cambria" w:eastAsia="宋体" w:cs="Times New Roman"/>
      <w:b/>
      <w:bCs/>
      <w:kern w:val="2"/>
      <w:sz w:val="32"/>
      <w:szCs w:val="32"/>
    </w:rPr>
  </w:style>
  <w:style w:type="character" w:customStyle="1" w:styleId="30">
    <w:name w:val="标题 3 Char"/>
    <w:basedOn w:val="24"/>
    <w:link w:val="8"/>
    <w:qFormat/>
    <w:locked/>
    <w:uiPriority w:val="9"/>
    <w:rPr>
      <w:rFonts w:ascii="Times New Roman" w:hAnsi="Times New Roman" w:cs="Times New Roman"/>
      <w:b/>
      <w:bCs/>
      <w:kern w:val="2"/>
      <w:sz w:val="32"/>
      <w:szCs w:val="32"/>
    </w:rPr>
  </w:style>
  <w:style w:type="character" w:customStyle="1" w:styleId="31">
    <w:name w:val="Body Text Char"/>
    <w:basedOn w:val="24"/>
    <w:semiHidden/>
    <w:qFormat/>
    <w:uiPriority w:val="99"/>
    <w:rPr>
      <w:rFonts w:ascii="Times New Roman" w:hAnsi="Times New Roman" w:cs="Times New Roman"/>
      <w:sz w:val="24"/>
      <w:szCs w:val="24"/>
    </w:rPr>
  </w:style>
  <w:style w:type="character" w:customStyle="1" w:styleId="32">
    <w:name w:val="批注框文本 Char"/>
    <w:basedOn w:val="24"/>
    <w:link w:val="15"/>
    <w:semiHidden/>
    <w:qFormat/>
    <w:locked/>
    <w:uiPriority w:val="99"/>
    <w:rPr>
      <w:rFonts w:ascii="Times New Roman" w:hAnsi="Times New Roman" w:cs="Times New Roman"/>
      <w:kern w:val="2"/>
      <w:sz w:val="18"/>
      <w:szCs w:val="18"/>
    </w:rPr>
  </w:style>
  <w:style w:type="character" w:customStyle="1" w:styleId="33">
    <w:name w:val="Footer Char"/>
    <w:basedOn w:val="24"/>
    <w:semiHidden/>
    <w:qFormat/>
    <w:uiPriority w:val="99"/>
    <w:rPr>
      <w:rFonts w:ascii="Times New Roman" w:hAnsi="Times New Roman" w:cs="Times New Roman"/>
      <w:sz w:val="18"/>
      <w:szCs w:val="18"/>
    </w:rPr>
  </w:style>
  <w:style w:type="character" w:customStyle="1" w:styleId="34">
    <w:name w:val="Header Char"/>
    <w:basedOn w:val="24"/>
    <w:semiHidden/>
    <w:qFormat/>
    <w:uiPriority w:val="99"/>
    <w:rPr>
      <w:rFonts w:ascii="Times New Roman" w:hAnsi="Times New Roman" w:cs="Times New Roman"/>
      <w:sz w:val="18"/>
      <w:szCs w:val="18"/>
    </w:rPr>
  </w:style>
  <w:style w:type="character" w:customStyle="1" w:styleId="35">
    <w:name w:val="页眉 Char"/>
    <w:link w:val="16"/>
    <w:semiHidden/>
    <w:qFormat/>
    <w:locked/>
    <w:uiPriority w:val="99"/>
    <w:rPr>
      <w:sz w:val="18"/>
    </w:rPr>
  </w:style>
  <w:style w:type="character" w:customStyle="1" w:styleId="36">
    <w:name w:val="页脚 Char"/>
    <w:link w:val="4"/>
    <w:qFormat/>
    <w:locked/>
    <w:uiPriority w:val="99"/>
    <w:rPr>
      <w:sz w:val="18"/>
    </w:rPr>
  </w:style>
  <w:style w:type="character" w:customStyle="1" w:styleId="37">
    <w:name w:val="正文文本 Char"/>
    <w:link w:val="11"/>
    <w:qFormat/>
    <w:locked/>
    <w:uiPriority w:val="99"/>
    <w:rPr>
      <w:rFonts w:ascii="仿宋_GB2312" w:hAnsi="Times New Roman" w:eastAsia="仿宋_GB2312"/>
      <w:sz w:val="24"/>
    </w:rPr>
  </w:style>
  <w:style w:type="paragraph" w:customStyle="1" w:styleId="3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9">
    <w:name w:val="列表段落1"/>
    <w:basedOn w:val="1"/>
    <w:qFormat/>
    <w:uiPriority w:val="34"/>
    <w:pPr>
      <w:ind w:firstLine="420" w:firstLineChars="200"/>
    </w:pPr>
  </w:style>
  <w:style w:type="paragraph" w:customStyle="1" w:styleId="40">
    <w:name w:val="TOC 标题1"/>
    <w:basedOn w:val="6"/>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1">
    <w:name w:val="TOC Heading1"/>
    <w:basedOn w:val="6"/>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2">
    <w:name w:val="TOC 标题2"/>
    <w:basedOn w:val="6"/>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styleId="43">
    <w:name w:val="List Paragraph"/>
    <w:basedOn w:val="1"/>
    <w:qFormat/>
    <w:uiPriority w:val="34"/>
    <w:pPr>
      <w:ind w:firstLine="420" w:firstLineChars="200"/>
    </w:pPr>
  </w:style>
  <w:style w:type="paragraph" w:customStyle="1" w:styleId="44">
    <w:name w:val="列出段落1"/>
    <w:basedOn w:val="1"/>
    <w:qFormat/>
    <w:uiPriority w:val="34"/>
    <w:pPr>
      <w:ind w:firstLine="420" w:firstLineChars="200"/>
    </w:pPr>
  </w:style>
  <w:style w:type="paragraph" w:customStyle="1" w:styleId="45">
    <w:name w:val="四号正文"/>
    <w:basedOn w:val="1"/>
    <w:qFormat/>
    <w:uiPriority w:val="0"/>
    <w:pPr>
      <w:spacing w:line="360" w:lineRule="auto"/>
    </w:pPr>
    <w:rPr>
      <w:rFonts w:ascii="??" w:hAnsi="??" w:eastAsia="宋体" w:cs="宋体"/>
      <w:color w:val="000000"/>
      <w:kern w:val="0"/>
      <w:sz w:val="28"/>
      <w:szCs w:val="21"/>
    </w:rPr>
  </w:style>
  <w:style w:type="paragraph" w:customStyle="1" w:styleId="46">
    <w:name w:val="正文文本1"/>
    <w:basedOn w:val="1"/>
    <w:qFormat/>
    <w:uiPriority w:val="99"/>
    <w:pPr>
      <w:spacing w:before="93"/>
    </w:pPr>
    <w:rPr>
      <w:rFonts w:ascii="仿宋_GB2312" w:hAnsi="仿宋_GB2312" w:eastAsia="仿宋_GB2312" w:cs="仿宋_GB2312"/>
      <w:kern w:val="0"/>
      <w:sz w:val="30"/>
      <w:szCs w:val="3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embeddings/oleObject2.bin"/></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embeddings/oleObject3.bin"/></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b="1"/>
              <a:t>2022</a:t>
            </a:r>
            <a:r>
              <a:rPr altLang="en-US" b="1"/>
              <a:t>年收入支出决算总计变动情况图</a:t>
            </a:r>
            <a:endParaRPr altLang="en-US" b="1"/>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2022年收入、支出变动图</c:v>
                </c:pt>
              </c:strCache>
            </c:strRef>
          </c:cat>
          <c:val>
            <c:numRef>
              <c:f>Sheet1!$B$2</c:f>
              <c:numCache>
                <c:formatCode>General</c:formatCode>
                <c:ptCount val="1"/>
                <c:pt idx="0">
                  <c:v>134.47</c:v>
                </c:pt>
              </c:numCache>
            </c:numRef>
          </c:val>
        </c:ser>
        <c:ser>
          <c:idx val="1"/>
          <c:order val="1"/>
          <c:tx>
            <c:strRef>
              <c:f>Sheet1!$C$1</c:f>
              <c:strCache>
                <c:ptCount val="1"/>
                <c:pt idx="0">
                  <c:v>2022年支出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2022年收入、支出变动图</c:v>
                </c:pt>
              </c:strCache>
            </c:strRef>
          </c:cat>
          <c:val>
            <c:numRef>
              <c:f>Sheet1!$C$2</c:f>
              <c:numCache>
                <c:formatCode>General</c:formatCode>
                <c:ptCount val="1"/>
                <c:pt idx="0">
                  <c:v>134.47</c:v>
                </c:pt>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2022年收入、支出变动图</c:v>
                </c:pt>
              </c:strCache>
            </c:strRef>
          </c:cat>
          <c:val>
            <c:numRef>
              <c:f>Sheet1!$D$2</c:f>
              <c:numCache>
                <c:formatCode>General</c:formatCode>
                <c:ptCount val="1"/>
              </c:numCache>
            </c:numRef>
          </c:val>
        </c:ser>
        <c:dLbls>
          <c:showLegendKey val="0"/>
          <c:showVal val="1"/>
          <c:showCatName val="0"/>
          <c:showSerName val="0"/>
          <c:showPercent val="0"/>
          <c:showBubbleSize val="0"/>
        </c:dLbls>
        <c:gapWidth val="219"/>
        <c:overlap val="-27"/>
        <c:axId val="156151168"/>
        <c:axId val="156161152"/>
      </c:barChart>
      <c:catAx>
        <c:axId val="1561511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161152"/>
        <c:crosses val="autoZero"/>
        <c:auto val="1"/>
        <c:lblAlgn val="ctr"/>
        <c:lblOffset val="100"/>
        <c:noMultiLvlLbl val="0"/>
      </c:catAx>
      <c:valAx>
        <c:axId val="156161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15116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rPr lang="en-US" altLang="zh-CN" sz="1600"/>
              <a:t>2022</a:t>
            </a:r>
            <a:r>
              <a:rPr altLang="en-US" sz="1600"/>
              <a:t>年收入决算结构图</a:t>
            </a:r>
            <a:endParaRPr altLang="en-US" sz="1600"/>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Pt>
            <c:idx val="5"/>
            <c:bubble3D val="0"/>
            <c:spPr>
              <a:solidFill>
                <a:schemeClr val="accent6"/>
              </a:solidFill>
              <a:ln>
                <a:noFill/>
              </a:ln>
              <a:effectLst>
                <a:outerShdw blurRad="254000" sx="102000" sy="102000" algn="ctr" rotWithShape="0">
                  <a:prstClr val="black">
                    <a:alpha val="20000"/>
                  </a:prstClr>
                </a:outerShdw>
              </a:effectLst>
            </c:spPr>
          </c:dPt>
          <c:dPt>
            <c:idx val="6"/>
            <c:bubble3D val="0"/>
            <c:spPr>
              <a:solidFill>
                <a:schemeClr val="accent1">
                  <a:lumMod val="60000"/>
                </a:schemeClr>
              </a:solidFill>
              <a:ln>
                <a:noFill/>
              </a:ln>
              <a:effectLst>
                <a:outerShdw blurRad="254000" sx="102000" sy="102000" algn="ctr" rotWithShape="0">
                  <a:prstClr val="black">
                    <a:alpha val="20000"/>
                  </a:prstClr>
                </a:outerShdw>
              </a:effectLst>
            </c:spPr>
          </c:dPt>
          <c:dLbls>
            <c:dLbl>
              <c:idx val="5"/>
              <c:delete val="1"/>
            </c:dLbl>
            <c:dLbl>
              <c:idx val="6"/>
              <c:delete val="1"/>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Sheet1!$A$2:$A$8</c:f>
              <c:strCache>
                <c:ptCount val="7"/>
                <c:pt idx="0">
                  <c:v>一般公共预算收入</c:v>
                </c:pt>
                <c:pt idx="1">
                  <c:v>政府基金收入</c:v>
                </c:pt>
                <c:pt idx="2">
                  <c:v>上级补助收入</c:v>
                </c:pt>
                <c:pt idx="3">
                  <c:v>事业收入</c:v>
                </c:pt>
                <c:pt idx="4">
                  <c:v>经营收入</c:v>
                </c:pt>
                <c:pt idx="5">
                  <c:v>附属单位上缴收入</c:v>
                </c:pt>
                <c:pt idx="6">
                  <c:v>其他收入</c:v>
                </c:pt>
              </c:strCache>
            </c:strRef>
          </c:cat>
          <c:val>
            <c:numRef>
              <c:f>Sheet1!$B$2:$B$8</c:f>
              <c:numCache>
                <c:formatCode>0%</c:formatCode>
                <c:ptCount val="7"/>
                <c:pt idx="0">
                  <c:v>1</c:v>
                </c:pt>
                <c:pt idx="1">
                  <c:v>0</c:v>
                </c:pt>
                <c:pt idx="2">
                  <c:v>0</c:v>
                </c:pt>
                <c:pt idx="3">
                  <c:v>0</c:v>
                </c:pt>
                <c:pt idx="4">
                  <c:v>0</c:v>
                </c:pt>
                <c:pt idx="5">
                  <c:v>0</c:v>
                </c:pt>
                <c:pt idx="6">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1125"/>
          <c:y val="0.109043927648579"/>
          <c:w val="0.377625"/>
          <c:h val="0.78062015503876"/>
        </c:manualLayout>
      </c:layout>
      <c:pieChart>
        <c:varyColors val="1"/>
        <c:ser>
          <c:idx val="0"/>
          <c:order val="0"/>
          <c:tx>
            <c:strRef>
              <c:f>Sheet1!$B$1</c:f>
              <c:strCache>
                <c:ptCount val="1"/>
                <c:pt idx="0">
                  <c:v>2022支出决算结构图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100%</a:t>
                    </a:r>
                  </a:p>
                </c:rich>
              </c:tx>
              <c:dLblPos val="ctr"/>
              <c:showLegendKey val="0"/>
              <c:showVal val="1"/>
              <c:showCatName val="0"/>
              <c:showSerName val="0"/>
              <c:showPercent val="1"/>
              <c:showBubbleSize val="0"/>
              <c:extLst>
                <c:ext xmlns:c15="http://schemas.microsoft.com/office/drawing/2012/chart" uri="{CE6537A1-D6FC-4f65-9D91-7224C49458BB}"/>
              </c:extLst>
            </c:dLbl>
            <c:dLbl>
              <c:idx val="1"/>
              <c:layout>
                <c:manualLayout>
                  <c:x val="0.0168742412484214"/>
                  <c:y val="0"/>
                </c:manualLayout>
              </c:layout>
              <c:tx>
                <c:rich>
                  <a:bodyPr rot="0" spcFirstLastPara="0" vertOverflow="ellipsis" vert="horz" wrap="square" lIns="38100" tIns="19050" rIns="38100" bIns="19050" anchor="ctr" anchorCtr="1"/>
                  <a:lstStyle/>
                  <a:p>
                    <a:pPr defTabSz="914400">
                      <a:defRPr lang="zh-CN" sz="900" b="1" i="0" u="none" strike="noStrike" kern="1200" baseline="0">
                        <a:solidFill>
                          <a:schemeClr val="tx1">
                            <a:lumMod val="75000"/>
                            <a:lumOff val="25000"/>
                          </a:schemeClr>
                        </a:solidFill>
                        <a:latin typeface="+mn-lt"/>
                        <a:ea typeface="+mn-ea"/>
                        <a:cs typeface="+mn-cs"/>
                      </a:defRPr>
                    </a:pPr>
                    <a:r>
                      <a:rPr sz="1600" b="1"/>
                      <a:t>2022支出决算结构图</a:t>
                    </a:r>
                    <a:endParaRPr sz="1600" b="1"/>
                  </a:p>
                  <a:p>
                    <a:pPr defTabSz="914400">
                      <a:defRPr lang="zh-CN" sz="900" b="1" i="0" u="none" strike="noStrike" kern="1200" baseline="0">
                        <a:solidFill>
                          <a:schemeClr val="tx1">
                            <a:lumMod val="75000"/>
                            <a:lumOff val="25000"/>
                          </a:schemeClr>
                        </a:solidFill>
                        <a:latin typeface="+mn-lt"/>
                        <a:ea typeface="+mn-ea"/>
                        <a:cs typeface="+mn-cs"/>
                      </a:defRPr>
                    </a:pPr>
                    <a:r>
                      <a:rPr b="1"/>
                      <a:t> </a:t>
                    </a:r>
                    <a:endParaRPr b="1"/>
                  </a:p>
                </c:rich>
              </c:tx>
              <c:numFmt formatCode="General" sourceLinked="1"/>
              <c:spPr>
                <a:solidFill>
                  <a:sysClr val="window" lastClr="FFFFFF"/>
                </a:solidFill>
                <a:ln>
                  <a:solidFill>
                    <a:sysClr val="windowText" lastClr="000000">
                      <a:lumMod val="25000"/>
                      <a:lumOff val="75000"/>
                    </a:sysClr>
                  </a:solid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mn-lt"/>
                      <a:ea typeface="+mn-ea"/>
                      <a:cs typeface="+mn-cs"/>
                    </a:defRPr>
                  </a:pPr>
                </a:p>
              </c:txPr>
              <c:dLblPos val="bestFit"/>
              <c:showLegendKey val="1"/>
              <c:showVal val="1"/>
              <c:showCatName val="1"/>
              <c:showSerName val="1"/>
              <c:showPercent val="1"/>
              <c:showBubbleSize val="1"/>
              <c:extLst>
                <c:ext xmlns:c15="http://schemas.microsoft.com/office/drawing/2012/chart" uri="{CE6537A1-D6FC-4f65-9D91-7224C49458BB}">
                  <c15:layout>
                    <c:manualLayout>
                      <c:w val="0.650033"/>
                      <c:h val="0.167311827956989"/>
                    </c:manualLayout>
                  </c15:layout>
                </c:ext>
              </c:extLst>
            </c:dLbl>
            <c:dLbl>
              <c:idx val="2"/>
              <c:layout/>
              <c:numFmt formatCode="General" sourceLinked="1"/>
              <c:spPr>
                <a:solidFill>
                  <a:sysClr val="window" lastClr="FFFFFF"/>
                </a:solidFill>
                <a:ln>
                  <a:solidFill>
                    <a:sysClr val="windowText" lastClr="000000">
                      <a:lumMod val="25000"/>
                      <a:lumOff val="75000"/>
                    </a:sysClr>
                  </a:solid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1"/>
              <c:showVal val="1"/>
              <c:showCatName val="1"/>
              <c:showSerName val="1"/>
              <c:showPercent val="1"/>
              <c:showBubbleSize val="1"/>
              <c:extLst>
                <c:ext xmlns:c15="http://schemas.microsoft.com/office/drawing/2012/chart" uri="{CE6537A1-D6FC-4f65-9D91-7224C49458BB}"/>
              </c:extLst>
            </c:dLbl>
            <c:dLbl>
              <c:idx val="3"/>
              <c:layout/>
              <c:numFmt formatCode="General" sourceLinked="1"/>
              <c:spPr>
                <a:solidFill>
                  <a:sysClr val="window" lastClr="FFFFFF"/>
                </a:solidFill>
                <a:ln>
                  <a:solidFill>
                    <a:sysClr val="windowText" lastClr="000000">
                      <a:lumMod val="25000"/>
                      <a:lumOff val="75000"/>
                    </a:sysClr>
                  </a:solid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1"/>
              <c:showVal val="1"/>
              <c:showCatName val="1"/>
              <c:showSerName val="1"/>
              <c:showPercent val="1"/>
              <c:showBubbleSize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0.00%</c:formatCode>
                <c:ptCount val="4"/>
                <c:pt idx="0">
                  <c:v>1</c:v>
                </c:pt>
                <c:pt idx="1">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b="1"/>
              <a:t>2022</a:t>
            </a:r>
            <a:r>
              <a:rPr altLang="en-US" b="1"/>
              <a:t>年收入、决算总计变动图</a:t>
            </a:r>
            <a:endParaRPr altLang="en-US" b="1"/>
          </a:p>
        </c:rich>
      </c:tx>
      <c:layout>
        <c:manualLayout>
          <c:xMode val="edge"/>
          <c:yMode val="edge"/>
          <c:x val="0.276125"/>
          <c:y val="0.0325"/>
        </c:manualLayout>
      </c:layout>
      <c:overlay val="0"/>
      <c:spPr>
        <a:noFill/>
        <a:ln>
          <a:noFill/>
        </a:ln>
        <a:effectLst/>
      </c:spPr>
    </c:title>
    <c:autoTitleDeleted val="0"/>
    <c:plotArea>
      <c:layout>
        <c:manualLayout>
          <c:layoutTarget val="inner"/>
          <c:xMode val="edge"/>
          <c:yMode val="edge"/>
          <c:x val="0.08195"/>
          <c:y val="0.126666666666667"/>
          <c:w val="0.9143"/>
          <c:h val="0.6214"/>
        </c:manualLayout>
      </c:layout>
      <c:barChart>
        <c:barDir val="col"/>
        <c:grouping val="clustered"/>
        <c:varyColors val="0"/>
        <c:ser>
          <c:idx val="0"/>
          <c:order val="0"/>
          <c:tx>
            <c:strRef>
              <c:f>Sheet1!$B$1</c:f>
              <c:strCache>
                <c:ptCount val="1"/>
                <c:pt idx="0">
                  <c:v>2022年收入</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134.47</a:t>
                    </a:r>
                    <a:r>
                      <a:t>万元</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2022年收入、支出图</c:v>
                </c:pt>
              </c:strCache>
            </c:strRef>
          </c:cat>
          <c:val>
            <c:numRef>
              <c:f>Sheet1!$B$2</c:f>
              <c:numCache>
                <c:formatCode>General</c:formatCode>
                <c:ptCount val="1"/>
                <c:pt idx="0">
                  <c:v>134.47</c:v>
                </c:pt>
              </c:numCache>
            </c:numRef>
          </c:val>
        </c:ser>
        <c:ser>
          <c:idx val="1"/>
          <c:order val="1"/>
          <c:tx>
            <c:strRef>
              <c:f>Sheet1!$C$1</c:f>
              <c:strCache>
                <c:ptCount val="1"/>
                <c:pt idx="0">
                  <c:v>2022年支出</c:v>
                </c:pt>
              </c:strCache>
            </c:strRef>
          </c:tx>
          <c:spPr>
            <a:solidFill>
              <a:schemeClr val="accent2"/>
            </a:solidFill>
            <a:ln>
              <a:noFill/>
            </a:ln>
            <a:effectLst/>
          </c:spPr>
          <c:invertIfNegative val="0"/>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134.47</a:t>
                    </a:r>
                    <a:r>
                      <a:t>万元</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2022年收入、支出图</c:v>
                </c:pt>
              </c:strCache>
            </c:strRef>
          </c:cat>
          <c:val>
            <c:numRef>
              <c:f>Sheet1!$C$2</c:f>
              <c:numCache>
                <c:formatCode>General</c:formatCode>
                <c:ptCount val="1"/>
                <c:pt idx="0">
                  <c:v>134.47</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c:f>
              <c:strCache>
                <c:ptCount val="1"/>
                <c:pt idx="0">
                  <c:v>2022年收入、支出图</c:v>
                </c:pt>
              </c:strCache>
            </c:strRef>
          </c:cat>
          <c:val>
            <c:numRef>
              <c:f>Sheet1!$D$2</c:f>
              <c:numCache>
                <c:formatCode>General</c:formatCode>
                <c:ptCount val="1"/>
              </c:numCache>
            </c:numRef>
          </c:val>
        </c:ser>
        <c:dLbls>
          <c:showLegendKey val="0"/>
          <c:showVal val="0"/>
          <c:showCatName val="0"/>
          <c:showSerName val="0"/>
          <c:showPercent val="0"/>
          <c:showBubbleSize val="0"/>
        </c:dLbls>
        <c:gapWidth val="219"/>
        <c:overlap val="-27"/>
        <c:axId val="71380352"/>
        <c:axId val="71390336"/>
      </c:barChart>
      <c:catAx>
        <c:axId val="713803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390336"/>
        <c:crosses val="autoZero"/>
        <c:auto val="1"/>
        <c:lblAlgn val="ctr"/>
        <c:lblOffset val="100"/>
        <c:noMultiLvlLbl val="0"/>
      </c:catAx>
      <c:valAx>
        <c:axId val="71390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3803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b="1"/>
              <a:t>2022</a:t>
            </a:r>
            <a:r>
              <a:rPr altLang="en-US" b="1"/>
              <a:t>年</a:t>
            </a:r>
            <a:r>
              <a:rPr b="1"/>
              <a:t>一般公共预算财政拨款支出决算结构图</a:t>
            </a:r>
            <a:endParaRPr b="1"/>
          </a:p>
        </c:rich>
      </c:tx>
      <c:layout/>
      <c:overlay val="0"/>
      <c:spPr>
        <a:noFill/>
        <a:ln>
          <a:noFill/>
        </a:ln>
        <a:effectLst/>
      </c:spPr>
    </c:title>
    <c:autoTitleDeleted val="0"/>
    <c:plotArea>
      <c:layout/>
      <c:pieChart>
        <c:varyColors val="1"/>
        <c:ser>
          <c:idx val="0"/>
          <c:order val="0"/>
          <c:tx>
            <c:strRef>
              <c:f>Sheet1!$B$1</c:f>
              <c:strCache>
                <c:ptCount val="1"/>
                <c:pt idx="0">
                  <c:v>一般公共预算财政拨款支出决算结构图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15:layout>
                    <c:manualLayout>
                      <c:w val="0.146"/>
                      <c:h val="0.0531666666666667"/>
                    </c:manualLayout>
                  </c15:layout>
                </c:ext>
              </c:extLst>
            </c:dLbl>
            <c:dLbl>
              <c:idx val="1"/>
              <c:layout>
                <c:manualLayout>
                  <c:x val="0.072513077806248"/>
                  <c:y val="0.146177242915037"/>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263625"/>
                      <c:h val="0.145833333333333"/>
                    </c:manualLayout>
                  </c15:layout>
                </c:ext>
              </c:extLst>
            </c:dLbl>
            <c:dLbl>
              <c:idx val="2"/>
              <c:layout>
                <c:manualLayout>
                  <c:x val="-0.0377683632611366"/>
                  <c:y val="-0.19794869310782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89114122983802"/>
                  <c:y val="0.0060353383113749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社会保障和就业支出</c:v>
                </c:pt>
                <c:pt idx="1">
                  <c:v>卫生健康支出</c:v>
                </c:pt>
                <c:pt idx="2">
                  <c:v>节能环保支出</c:v>
                </c:pt>
                <c:pt idx="3">
                  <c:v>住房保障支出</c:v>
                </c:pt>
              </c:strCache>
            </c:strRef>
          </c:cat>
          <c:val>
            <c:numRef>
              <c:f>Sheet1!$B$2:$B$5</c:f>
              <c:numCache>
                <c:formatCode>0.00%</c:formatCode>
                <c:ptCount val="4"/>
                <c:pt idx="0">
                  <c:v>0.2038</c:v>
                </c:pt>
                <c:pt idx="1">
                  <c:v>0.0423</c:v>
                </c:pt>
                <c:pt idx="2">
                  <c:v>0.6759</c:v>
                </c:pt>
                <c:pt idx="3">
                  <c:v>0.078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B9ED6-03BF-4A1C-B943-F87C46D78E3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16</Pages>
  <Words>5308</Words>
  <Characters>5875</Characters>
  <Lines>21</Lines>
  <Paragraphs>28</Paragraphs>
  <TotalTime>60</TotalTime>
  <ScaleCrop>false</ScaleCrop>
  <LinksUpToDate>false</LinksUpToDate>
  <CharactersWithSpaces>5926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2021-09-26T07:37:00Z</dcterms:created>
  <dc:creator>曹颖</dc:creator>
  <cp:lastModifiedBy>gao</cp:lastModifiedBy>
  <cp:lastPrinted>2023-09-13T08:47:00Z</cp:lastPrinted>
  <dcterms:modified xsi:type="dcterms:W3CDTF">2023-09-15T06:01:46Z</dcterms:modified>
  <dc:title>阿坝州部门决算说明</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FB3576B6D9914B3993B515ED6A3C96A2_13</vt:lpwstr>
  </property>
</Properties>
</file>