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70E505">
      <w:pPr>
        <w:pStyle w:val="6"/>
        <w:pageBreakBefore w:val="0"/>
        <w:widowControl w:val="0"/>
        <w:wordWrap/>
        <w:overflowPunct w:val="0"/>
        <w:topLinePunct w:val="0"/>
        <w:bidi w:val="0"/>
        <w:spacing w:before="93"/>
        <w:rPr>
          <w:rFonts w:ascii="Times New Roman" w:eastAsia="方正小标宋简体"/>
          <w:kern w:val="2"/>
          <w:sz w:val="72"/>
          <w:szCs w:val="72"/>
        </w:rPr>
      </w:pPr>
      <w:bookmarkStart w:id="0" w:name="_Toc15377425"/>
      <w:bookmarkStart w:id="1" w:name="_Toc15378441"/>
      <w:bookmarkStart w:id="2" w:name="_Toc15306267"/>
      <w:bookmarkStart w:id="3" w:name="_Toc15396475"/>
      <w:bookmarkStart w:id="4" w:name="_Toc15377193"/>
      <w:bookmarkStart w:id="5" w:name="_Toc15396597"/>
    </w:p>
    <w:p w14:paraId="675A422D">
      <w:pPr>
        <w:pStyle w:val="6"/>
        <w:pageBreakBefore w:val="0"/>
        <w:widowControl w:val="0"/>
        <w:wordWrap/>
        <w:overflowPunct w:val="0"/>
        <w:topLinePunct w:val="0"/>
        <w:bidi w:val="0"/>
        <w:spacing w:before="93"/>
        <w:rPr>
          <w:rFonts w:ascii="Times New Roman" w:eastAsia="方正小标宋简体"/>
          <w:kern w:val="2"/>
          <w:sz w:val="72"/>
          <w:szCs w:val="72"/>
        </w:rPr>
      </w:pPr>
    </w:p>
    <w:p w14:paraId="31C90846">
      <w:pPr>
        <w:pStyle w:val="6"/>
        <w:pageBreakBefore w:val="0"/>
        <w:widowControl w:val="0"/>
        <w:wordWrap/>
        <w:overflowPunct w:val="0"/>
        <w:topLinePunct w:val="0"/>
        <w:bidi w:val="0"/>
        <w:spacing w:before="93"/>
        <w:rPr>
          <w:rFonts w:ascii="Times New Roman" w:eastAsia="方正小标宋简体"/>
          <w:kern w:val="2"/>
          <w:sz w:val="72"/>
          <w:szCs w:val="72"/>
        </w:rPr>
      </w:pPr>
    </w:p>
    <w:p w14:paraId="1900A86A">
      <w:pPr>
        <w:pStyle w:val="6"/>
        <w:pageBreakBefore w:val="0"/>
        <w:widowControl w:val="0"/>
        <w:wordWrap/>
        <w:overflowPunct w:val="0"/>
        <w:topLinePunct w:val="0"/>
        <w:bidi w:val="0"/>
        <w:spacing w:before="93"/>
        <w:jc w:val="center"/>
        <w:rPr>
          <w:rFonts w:hint="eastAsia" w:ascii="Times New Roman" w:eastAsia="方正小标宋简体"/>
          <w:kern w:val="2"/>
          <w:sz w:val="44"/>
          <w:szCs w:val="44"/>
        </w:rPr>
      </w:pPr>
      <w:r>
        <w:rPr>
          <w:rFonts w:hint="eastAsia" w:ascii="Times New Roman" w:eastAsia="方正小标宋简体"/>
          <w:kern w:val="2"/>
          <w:sz w:val="44"/>
          <w:szCs w:val="44"/>
        </w:rPr>
        <w:t>2024年度</w:t>
      </w:r>
    </w:p>
    <w:p w14:paraId="5497BD44">
      <w:pPr>
        <w:pStyle w:val="6"/>
        <w:pageBreakBefore w:val="0"/>
        <w:widowControl w:val="0"/>
        <w:wordWrap/>
        <w:overflowPunct w:val="0"/>
        <w:topLinePunct w:val="0"/>
        <w:bidi w:val="0"/>
        <w:spacing w:before="93"/>
        <w:jc w:val="center"/>
        <w:rPr>
          <w:rFonts w:hint="eastAsia" w:ascii="Times New Roman" w:eastAsia="方正小标宋简体"/>
          <w:kern w:val="2"/>
          <w:sz w:val="44"/>
          <w:szCs w:val="44"/>
        </w:rPr>
      </w:pPr>
      <w:r>
        <w:rPr>
          <w:rFonts w:hint="eastAsia" w:ascii="Times New Roman" w:eastAsia="方正小标宋简体"/>
          <w:kern w:val="2"/>
          <w:sz w:val="44"/>
          <w:szCs w:val="44"/>
          <w:lang w:eastAsia="zh-CN"/>
        </w:rPr>
        <w:t>阿坝州供销合作社联合社</w:t>
      </w:r>
      <w:r>
        <w:rPr>
          <w:rFonts w:hint="eastAsia" w:ascii="Times New Roman" w:eastAsia="方正小标宋简体"/>
          <w:kern w:val="2"/>
          <w:sz w:val="44"/>
          <w:szCs w:val="44"/>
        </w:rPr>
        <w:t>部门决算</w:t>
      </w:r>
    </w:p>
    <w:bookmarkEnd w:id="0"/>
    <w:bookmarkEnd w:id="1"/>
    <w:bookmarkEnd w:id="2"/>
    <w:bookmarkEnd w:id="3"/>
    <w:bookmarkEnd w:id="4"/>
    <w:bookmarkEnd w:id="5"/>
    <w:p w14:paraId="10F65C90">
      <w:pPr>
        <w:pageBreakBefore w:val="0"/>
        <w:widowControl w:val="0"/>
        <w:wordWrap/>
        <w:overflowPunct w:val="0"/>
        <w:topLinePunct w:val="0"/>
        <w:bidi w:val="0"/>
        <w:jc w:val="center"/>
        <w:rPr>
          <w:rFonts w:eastAsia="黑体"/>
          <w:sz w:val="48"/>
          <w:szCs w:val="48"/>
        </w:rPr>
      </w:pPr>
      <w:bookmarkStart w:id="61" w:name="_GoBack"/>
      <w:bookmarkEnd w:id="61"/>
      <w:r>
        <w:rPr>
          <w:rFonts w:eastAsia="方正小标宋简体"/>
          <w:sz w:val="36"/>
          <w:szCs w:val="36"/>
        </w:rPr>
        <w:br w:type="page"/>
      </w:r>
      <w:r>
        <w:rPr>
          <w:rFonts w:hint="eastAsia" w:eastAsia="黑体"/>
          <w:sz w:val="48"/>
          <w:szCs w:val="48"/>
        </w:rPr>
        <w:t>目录</w:t>
      </w:r>
    </w:p>
    <w:p w14:paraId="26BD79EC">
      <w:pPr>
        <w:pageBreakBefore w:val="0"/>
        <w:widowControl w:val="0"/>
        <w:wordWrap/>
        <w:overflowPunct w:val="0"/>
        <w:topLinePunct w:val="0"/>
        <w:bidi w:val="0"/>
        <w:jc w:val="center"/>
        <w:rPr>
          <w:rFonts w:eastAsia="黑体" w:cstheme="minorBidi"/>
          <w:sz w:val="28"/>
          <w:szCs w:val="28"/>
        </w:rPr>
      </w:pPr>
    </w:p>
    <w:p w14:paraId="57ECF873">
      <w:pPr>
        <w:pStyle w:val="13"/>
        <w:pageBreakBefore w:val="0"/>
        <w:widowControl w:val="0"/>
        <w:wordWrap/>
        <w:overflowPunct w:val="0"/>
        <w:topLinePunct w:val="0"/>
        <w:bidi w:val="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16</w:t>
      </w:r>
      <w:r>
        <w:rPr>
          <w:rFonts w:hint="eastAsia" w:ascii="Times New Roman" w:hAnsi="Times New Roman" w:eastAsia="仿宋_GB2312" w:cs="仿宋_GB2312"/>
          <w:sz w:val="32"/>
          <w:szCs w:val="32"/>
        </w:rPr>
        <w:t>日</w:t>
      </w:r>
    </w:p>
    <w:p w14:paraId="7C16F3A5">
      <w:pPr>
        <w:pageBreakBefore w:val="0"/>
        <w:widowControl w:val="0"/>
        <w:wordWrap/>
        <w:overflowPunct w:val="0"/>
        <w:topLinePunct w:val="0"/>
        <w:bidi w:val="0"/>
      </w:pPr>
    </w:p>
    <w:p w14:paraId="671F9235">
      <w:pPr>
        <w:pStyle w:val="13"/>
        <w:pageBreakBefore w:val="0"/>
        <w:widowControl w:val="0"/>
        <w:wordWrap/>
        <w:overflowPunct w:val="0"/>
        <w:topLinePunct w:val="0"/>
        <w:bidi w:val="0"/>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第一部分 部门概况</w:t>
      </w:r>
      <w:r>
        <w:rPr>
          <w:rFonts w:hint="eastAsia" w:ascii="Times New Roman" w:hAnsi="Times New Roman" w:eastAsia="黑体" w:cs="黑体"/>
          <w:sz w:val="32"/>
          <w:szCs w:val="32"/>
          <w:lang w:val="en-US" w:eastAsia="zh-CN"/>
        </w:rPr>
        <w:t xml:space="preserve"> </w:t>
      </w:r>
      <w:r>
        <w:rPr>
          <w:rFonts w:hint="eastAsia" w:ascii="Times New Roman" w:hAnsi="Times New Roman" w:eastAsia="黑体" w:cs="黑体"/>
          <w:sz w:val="32"/>
          <w:szCs w:val="32"/>
          <w:lang w:eastAsia="zh-CN"/>
        </w:rPr>
        <w:t>……………………………………………</w:t>
      </w:r>
      <w:r>
        <w:rPr>
          <w:rFonts w:hint="eastAsia" w:ascii="Times New Roman" w:hAnsi="Times New Roman" w:eastAsia="黑体" w:cs="黑体"/>
          <w:sz w:val="32"/>
          <w:szCs w:val="32"/>
          <w:lang w:val="en-US" w:eastAsia="zh-CN"/>
        </w:rPr>
        <w:t>1</w:t>
      </w:r>
    </w:p>
    <w:p w14:paraId="0FF0F08E">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default"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一、部门职责………………………………………………1</w:t>
      </w:r>
    </w:p>
    <w:p w14:paraId="3A902C54">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二、机构设置………………………………………………2</w:t>
      </w:r>
    </w:p>
    <w:p w14:paraId="25FEF3A2">
      <w:pPr>
        <w:pStyle w:val="16"/>
        <w:pageBreakBefore w:val="0"/>
        <w:widowControl w:val="0"/>
        <w:wordWrap/>
        <w:overflowPunct w:val="0"/>
        <w:topLinePunct w:val="0"/>
        <w:bidi w:val="0"/>
        <w:adjustRightInd w:val="0"/>
        <w:snapToGrid w:val="0"/>
        <w:spacing w:line="560" w:lineRule="exact"/>
        <w:ind w:left="0" w:leftChars="0" w:firstLine="0" w:firstLineChars="0"/>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第二部分 2024年度部门决算情况说明</w:t>
      </w:r>
      <w:r>
        <w:rPr>
          <w:rFonts w:hint="eastAsia" w:ascii="Times New Roman" w:hAnsi="Times New Roman" w:eastAsia="黑体" w:cs="黑体"/>
          <w:sz w:val="32"/>
          <w:szCs w:val="32"/>
          <w:lang w:val="en-US" w:eastAsia="zh-CN"/>
        </w:rPr>
        <w:t xml:space="preserve"> </w:t>
      </w:r>
      <w:r>
        <w:rPr>
          <w:rFonts w:hint="eastAsia" w:ascii="Times New Roman" w:hAnsi="Times New Roman" w:eastAsia="黑体" w:cs="黑体"/>
          <w:sz w:val="32"/>
          <w:szCs w:val="32"/>
          <w:lang w:eastAsia="zh-CN"/>
        </w:rPr>
        <w:t>……………………</w:t>
      </w:r>
      <w:r>
        <w:rPr>
          <w:rFonts w:hint="eastAsia" w:ascii="Times New Roman" w:hAnsi="Times New Roman" w:eastAsia="黑体" w:cs="黑体"/>
          <w:sz w:val="32"/>
          <w:szCs w:val="32"/>
          <w:lang w:val="en-US" w:eastAsia="zh-CN"/>
        </w:rPr>
        <w:t>3</w:t>
      </w:r>
    </w:p>
    <w:p w14:paraId="48ABFBDC">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default"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一、收入支出决算总体情况说明…………………………3</w:t>
      </w:r>
    </w:p>
    <w:p w14:paraId="2EF15A23">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default"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二、收入决算情况说明……………………………………3</w:t>
      </w:r>
    </w:p>
    <w:p w14:paraId="30904764">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default"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三、支出决算情况说明……………………………………4</w:t>
      </w:r>
    </w:p>
    <w:p w14:paraId="1F7E6D5D">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default"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四、财政拨款收入支出决算总体情况说明………………5</w:t>
      </w:r>
    </w:p>
    <w:p w14:paraId="1ADA9E20">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default"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五、一般公共预算财政拨款支出决算情况说明…………5</w:t>
      </w:r>
    </w:p>
    <w:p w14:paraId="64B8D234">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default"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六、一般公共预算财政拨款基本支出决算情况说明……8</w:t>
      </w:r>
    </w:p>
    <w:p w14:paraId="7C5C674C">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default"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七、财政拨款“三公”经费支出决算情况说明…………9</w:t>
      </w:r>
    </w:p>
    <w:p w14:paraId="5F579AB8">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default"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八、政府性基金预算支出决算情况说明…………………11</w:t>
      </w:r>
    </w:p>
    <w:p w14:paraId="61BCDC3D">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default"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九、国有资本经营预算支出决算情况说明………………11</w:t>
      </w:r>
    </w:p>
    <w:p w14:paraId="1E514CDE">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ascii="Times New Roman" w:hAnsi="Times New Roman" w:eastAsia="方正仿宋_GBK" w:cs="Times New Roman"/>
          <w:kern w:val="0"/>
          <w:sz w:val="32"/>
          <w:szCs w:val="32"/>
          <w:lang w:val="en-US" w:eastAsia="zh-CN" w:bidi="ar-SA"/>
        </w:rPr>
        <w:t>十、其他重要事项的情况说明………………………</w:t>
      </w:r>
      <w:r>
        <w:rPr>
          <w:rFonts w:hint="eastAsia" w:eastAsia="仿宋_GB2312" w:cs="仿宋_GB2312"/>
          <w:sz w:val="32"/>
          <w:szCs w:val="32"/>
          <w:lang w:eastAsia="zh-CN"/>
        </w:rPr>
        <w:t>……</w:t>
      </w:r>
      <w:r>
        <w:rPr>
          <w:rFonts w:hint="eastAsia" w:eastAsia="仿宋_GB2312" w:cs="仿宋_GB2312"/>
          <w:sz w:val="32"/>
          <w:szCs w:val="32"/>
          <w:lang w:val="en-US" w:eastAsia="zh-CN"/>
        </w:rPr>
        <w:t>11</w:t>
      </w:r>
    </w:p>
    <w:p w14:paraId="2E4B9902">
      <w:pPr>
        <w:pStyle w:val="13"/>
        <w:pageBreakBefore w:val="0"/>
        <w:widowControl w:val="0"/>
        <w:wordWrap/>
        <w:overflowPunct w:val="0"/>
        <w:topLinePunct w:val="0"/>
        <w:bidi w:val="0"/>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第三部分 名词解释</w:t>
      </w:r>
      <w:r>
        <w:rPr>
          <w:rFonts w:hint="eastAsia" w:ascii="Times New Roman" w:hAnsi="Times New Roman" w:eastAsia="黑体" w:cs="黑体"/>
          <w:sz w:val="32"/>
          <w:szCs w:val="32"/>
          <w:lang w:val="en-US" w:eastAsia="zh-CN"/>
        </w:rPr>
        <w:t xml:space="preserve"> </w:t>
      </w:r>
      <w:r>
        <w:rPr>
          <w:rFonts w:hint="eastAsia" w:ascii="Times New Roman" w:hAnsi="Times New Roman" w:eastAsia="黑体" w:cs="黑体"/>
          <w:sz w:val="32"/>
          <w:szCs w:val="32"/>
          <w:lang w:eastAsia="zh-CN"/>
        </w:rPr>
        <w:t>……………………………………………</w:t>
      </w:r>
      <w:r>
        <w:rPr>
          <w:rFonts w:hint="eastAsia" w:ascii="Times New Roman" w:hAnsi="Times New Roman" w:eastAsia="黑体" w:cs="黑体"/>
          <w:sz w:val="32"/>
          <w:szCs w:val="32"/>
          <w:lang w:val="en-US" w:eastAsia="zh-CN"/>
        </w:rPr>
        <w:t>14</w:t>
      </w:r>
    </w:p>
    <w:p w14:paraId="121191F5">
      <w:pPr>
        <w:pStyle w:val="13"/>
        <w:pageBreakBefore w:val="0"/>
        <w:widowControl w:val="0"/>
        <w:wordWrap/>
        <w:overflowPunct w:val="0"/>
        <w:topLinePunct w:val="0"/>
        <w:bidi w:val="0"/>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第四部分 附件</w:t>
      </w:r>
      <w:r>
        <w:rPr>
          <w:rFonts w:hint="eastAsia" w:ascii="Times New Roman" w:hAnsi="Times New Roman" w:eastAsia="黑体" w:cs="黑体"/>
          <w:sz w:val="32"/>
          <w:szCs w:val="32"/>
          <w:lang w:val="en-US" w:eastAsia="zh-CN"/>
        </w:rPr>
        <w:t xml:space="preserve"> </w:t>
      </w:r>
      <w:r>
        <w:rPr>
          <w:rFonts w:hint="eastAsia" w:ascii="Times New Roman" w:hAnsi="Times New Roman" w:eastAsia="黑体" w:cs="黑体"/>
          <w:sz w:val="32"/>
          <w:szCs w:val="32"/>
          <w:lang w:eastAsia="zh-CN"/>
        </w:rPr>
        <w:t>…………………………………………………</w:t>
      </w:r>
      <w:r>
        <w:rPr>
          <w:rFonts w:hint="eastAsia" w:ascii="Times New Roman" w:hAnsi="Times New Roman" w:eastAsia="黑体" w:cs="黑体"/>
          <w:sz w:val="32"/>
          <w:szCs w:val="32"/>
          <w:lang w:val="en-US" w:eastAsia="zh-CN"/>
        </w:rPr>
        <w:t>17</w:t>
      </w:r>
    </w:p>
    <w:p w14:paraId="669CFFB2">
      <w:pPr>
        <w:pStyle w:val="13"/>
        <w:pageBreakBefore w:val="0"/>
        <w:widowControl w:val="0"/>
        <w:wordWrap/>
        <w:overflowPunct w:val="0"/>
        <w:topLinePunct w:val="0"/>
        <w:bidi w:val="0"/>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第五部分 附表</w:t>
      </w:r>
      <w:r>
        <w:rPr>
          <w:rFonts w:hint="eastAsia" w:ascii="Times New Roman" w:hAnsi="Times New Roman" w:eastAsia="黑体" w:cs="黑体"/>
          <w:sz w:val="32"/>
          <w:szCs w:val="32"/>
          <w:lang w:val="en-US" w:eastAsia="zh-CN"/>
        </w:rPr>
        <w:t xml:space="preserve"> </w:t>
      </w:r>
      <w:r>
        <w:rPr>
          <w:rFonts w:hint="eastAsia" w:ascii="Times New Roman" w:hAnsi="Times New Roman" w:eastAsia="黑体" w:cs="黑体"/>
          <w:sz w:val="32"/>
          <w:szCs w:val="32"/>
          <w:lang w:eastAsia="zh-CN"/>
        </w:rPr>
        <w:t>…………………………………………………</w:t>
      </w:r>
      <w:r>
        <w:rPr>
          <w:rFonts w:hint="eastAsia" w:ascii="Times New Roman" w:hAnsi="Times New Roman" w:eastAsia="黑体" w:cs="黑体"/>
          <w:sz w:val="32"/>
          <w:szCs w:val="32"/>
          <w:lang w:val="en-US" w:eastAsia="zh-CN"/>
        </w:rPr>
        <w:t>35</w:t>
      </w:r>
    </w:p>
    <w:p w14:paraId="7FB50D0A">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一、收入支出决算总表</w:t>
      </w:r>
    </w:p>
    <w:p w14:paraId="0F690441">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二、收入决算表</w:t>
      </w:r>
    </w:p>
    <w:p w14:paraId="08D290EC">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三、支出决算表</w:t>
      </w:r>
    </w:p>
    <w:p w14:paraId="02C08FAE">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四、财政拨款收入支出决算总表</w:t>
      </w:r>
    </w:p>
    <w:p w14:paraId="537F88FE">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五、财政拨款支出决算明细表</w:t>
      </w:r>
    </w:p>
    <w:p w14:paraId="6EFFF124">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六、一般公共预算财政拨款支出决算表</w:t>
      </w:r>
    </w:p>
    <w:p w14:paraId="3ED14EBC">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七、一般公共预算财政拨款支出决算明细表</w:t>
      </w:r>
    </w:p>
    <w:p w14:paraId="479E6B72">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八、一般公共预算财政拨款基本支出决算明细表</w:t>
      </w:r>
    </w:p>
    <w:p w14:paraId="71A17B5B">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九、一般公共预算财政拨款项目支出决算表</w:t>
      </w:r>
    </w:p>
    <w:p w14:paraId="0DF5447D">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十、政府性基金预算财政拨款收入支出决算表</w:t>
      </w:r>
    </w:p>
    <w:p w14:paraId="54940D85">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十一、国有资本经营预算财政拨款收入支出决算表</w:t>
      </w:r>
    </w:p>
    <w:p w14:paraId="2245591F">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十二、国有资本经营预算财政拨款支出决算表</w:t>
      </w:r>
    </w:p>
    <w:p w14:paraId="3D7DBDAA">
      <w:pPr>
        <w:pStyle w:val="16"/>
        <w:pageBreakBefore w:val="0"/>
        <w:widowControl w:val="0"/>
        <w:wordWrap/>
        <w:overflowPunct w:val="0"/>
        <w:topLinePunct w:val="0"/>
        <w:bidi w:val="0"/>
        <w:adjustRightInd w:val="0"/>
        <w:snapToGrid w:val="0"/>
        <w:spacing w:line="560" w:lineRule="exact"/>
        <w:ind w:left="0" w:leftChars="0" w:firstLine="640" w:firstLineChars="200"/>
        <w:jc w:val="left"/>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十三、财政拨款“三公”经费支出决算表</w:t>
      </w:r>
    </w:p>
    <w:p w14:paraId="14A22EDB">
      <w:pPr>
        <w:pStyle w:val="3"/>
        <w:pageBreakBefore w:val="0"/>
        <w:widowControl w:val="0"/>
        <w:wordWrap/>
        <w:overflowPunct w:val="0"/>
        <w:topLinePunct w:val="0"/>
        <w:bidi w:val="0"/>
        <w:jc w:val="center"/>
        <w:rPr>
          <w:rFonts w:hint="eastAsia" w:ascii="Times New Roman" w:hAnsi="Times New Roman" w:eastAsia="方正仿宋_GBK" w:cs="Times New Roman"/>
          <w:kern w:val="0"/>
          <w:sz w:val="32"/>
          <w:szCs w:val="32"/>
          <w:lang w:val="en-US" w:eastAsia="zh-CN" w:bidi="ar-SA"/>
        </w:rPr>
        <w:sectPr>
          <w:footerReference r:id="rId5" w:type="first"/>
          <w:headerReference r:id="rId3" w:type="default"/>
          <w:footerReference r:id="rId4" w:type="default"/>
          <w:pgSz w:w="11906" w:h="16838"/>
          <w:pgMar w:top="2098" w:right="1531" w:bottom="1984" w:left="1531" w:header="851" w:footer="992" w:gutter="0"/>
          <w:pgNumType w:fmt="numberInDash" w:start="1"/>
          <w:cols w:space="425" w:num="1"/>
          <w:titlePg/>
          <w:docGrid w:type="lines" w:linePitch="312" w:charSpace="0"/>
        </w:sectPr>
      </w:pPr>
      <w:bookmarkStart w:id="6" w:name="_Toc15377196"/>
      <w:bookmarkStart w:id="7" w:name="_Toc15396599"/>
    </w:p>
    <w:p w14:paraId="0415BEFE">
      <w:pPr>
        <w:pStyle w:val="3"/>
        <w:pageBreakBefore w:val="0"/>
        <w:widowControl w:val="0"/>
        <w:wordWrap/>
        <w:overflowPunct w:val="0"/>
        <w:topLinePunct w:val="0"/>
        <w:bidi w:val="0"/>
        <w:jc w:val="center"/>
        <w:rPr>
          <w:rStyle w:val="22"/>
          <w:rFonts w:eastAsia="方正小标宋简体" w:cs="方正小标宋简体"/>
          <w:b/>
          <w:bCs w:val="0"/>
        </w:rPr>
      </w:pPr>
      <w:r>
        <w:rPr>
          <w:rFonts w:hint="eastAsia" w:eastAsia="方正小标宋简体" w:cs="方正小标宋简体"/>
          <w:b w:val="0"/>
        </w:rPr>
        <w:t xml:space="preserve">第一部分  </w:t>
      </w:r>
      <w:r>
        <w:rPr>
          <w:rStyle w:val="22"/>
          <w:rFonts w:hint="eastAsia" w:eastAsia="方正小标宋简体" w:cs="方正小标宋简体"/>
          <w:b w:val="0"/>
          <w:bCs w:val="0"/>
        </w:rPr>
        <w:t>部门概况</w:t>
      </w:r>
      <w:bookmarkEnd w:id="6"/>
      <w:bookmarkEnd w:id="7"/>
    </w:p>
    <w:p w14:paraId="18A720AD">
      <w:pPr>
        <w:pStyle w:val="4"/>
        <w:pageBreakBefore w:val="0"/>
        <w:widowControl w:val="0"/>
        <w:numPr>
          <w:ilvl w:val="0"/>
          <w:numId w:val="1"/>
        </w:numPr>
        <w:wordWrap/>
        <w:overflowPunct w:val="0"/>
        <w:topLinePunct w:val="0"/>
        <w:bidi w:val="0"/>
        <w:rPr>
          <w:rFonts w:hint="eastAsia" w:ascii="Times New Roman" w:hAnsi="Times New Roman" w:eastAsia="黑体"/>
          <w:b w:val="0"/>
        </w:rPr>
      </w:pPr>
      <w:r>
        <w:rPr>
          <w:rFonts w:hint="eastAsia" w:ascii="Times New Roman" w:hAnsi="Times New Roman" w:eastAsia="黑体"/>
          <w:b w:val="0"/>
        </w:rPr>
        <w:t>部门职责</w:t>
      </w:r>
    </w:p>
    <w:p w14:paraId="208CC40D">
      <w:pPr>
        <w:pStyle w:val="17"/>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cs="Times New Roman"/>
          <w:szCs w:val="32"/>
          <w:lang w:bidi="ar-SA"/>
        </w:rPr>
      </w:pPr>
      <w:r>
        <w:rPr>
          <w:rFonts w:hint="eastAsia" w:ascii="Times New Roman" w:hAnsi="Times New Roman" w:eastAsia="方正仿宋_GBK" w:cs="Times New Roman"/>
          <w:szCs w:val="32"/>
          <w:lang w:bidi="ar-SA"/>
        </w:rPr>
        <w:t>（1）宣传贯彻中央“三农”工作方针政策和州委、州政府有关决策部署，指导全州供销合作事业发展。</w:t>
      </w:r>
    </w:p>
    <w:p w14:paraId="57696DDE">
      <w:pPr>
        <w:pStyle w:val="17"/>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6" w:lineRule="exact"/>
        <w:ind w:right="0" w:firstLine="640" w:firstLineChars="200"/>
        <w:textAlignment w:val="auto"/>
        <w:rPr>
          <w:rFonts w:hint="eastAsia" w:ascii="Times New Roman" w:hAnsi="Times New Roman" w:eastAsia="方正仿宋_GBK" w:cs="Times New Roman"/>
          <w:szCs w:val="32"/>
          <w:lang w:bidi="ar-SA"/>
        </w:rPr>
      </w:pPr>
      <w:r>
        <w:rPr>
          <w:rFonts w:hint="eastAsia" w:ascii="Times New Roman" w:hAnsi="Times New Roman" w:eastAsia="方正仿宋_GBK" w:cs="Times New Roman"/>
          <w:szCs w:val="32"/>
          <w:lang w:bidi="ar-SA"/>
        </w:rPr>
        <w:t>（2）负责研究制定全州供销合作社发展规划并组织实施，指导服务全州供销合作社系统改革发展。</w:t>
      </w:r>
    </w:p>
    <w:p w14:paraId="48652853">
      <w:pPr>
        <w:pStyle w:val="17"/>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cs="Times New Roman"/>
          <w:szCs w:val="32"/>
          <w:lang w:bidi="ar-SA"/>
        </w:rPr>
      </w:pPr>
      <w:r>
        <w:rPr>
          <w:rFonts w:hint="eastAsia" w:ascii="Times New Roman" w:hAnsi="Times New Roman" w:eastAsia="方正仿宋_GBK" w:cs="Times New Roman"/>
          <w:szCs w:val="32"/>
          <w:lang w:bidi="ar-SA"/>
        </w:rPr>
        <w:t>（3）履行社有资产运营指导和监督管理职责，发展社有企业，确保社有企业为农服务方向，落实社有资产保值增值和安全责任。</w:t>
      </w:r>
    </w:p>
    <w:p w14:paraId="1C1352D2">
      <w:pPr>
        <w:pStyle w:val="17"/>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cs="Times New Roman"/>
          <w:szCs w:val="32"/>
          <w:lang w:bidi="ar-SA"/>
        </w:rPr>
      </w:pPr>
      <w:r>
        <w:rPr>
          <w:rFonts w:hint="eastAsia" w:ascii="Times New Roman" w:hAnsi="Times New Roman" w:eastAsia="方正仿宋_GBK" w:cs="Times New Roman"/>
          <w:szCs w:val="32"/>
          <w:lang w:bidi="ar-SA"/>
        </w:rPr>
        <w:t>（4）根据授权对重要生产生活资料的经营、储备进行组织、协调和管理，指导全州县（市）供销合作社承担政府委托的公益性服务和其他任务。</w:t>
      </w:r>
    </w:p>
    <w:p w14:paraId="673B4875">
      <w:pPr>
        <w:pStyle w:val="17"/>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cs="Times New Roman"/>
          <w:szCs w:val="32"/>
          <w:lang w:bidi="ar-SA"/>
        </w:rPr>
      </w:pPr>
      <w:r>
        <w:rPr>
          <w:rFonts w:hint="eastAsia" w:ascii="Times New Roman" w:hAnsi="Times New Roman" w:eastAsia="方正仿宋_GBK" w:cs="Times New Roman"/>
          <w:szCs w:val="32"/>
          <w:lang w:bidi="ar-SA"/>
        </w:rPr>
        <w:t>（5）指导全州供销合作社开展农业生产经营服务、城乡消费品流通服务、再生资源回收利用服务和生产、供销、信用“三位一体”综合合作等业务活动。</w:t>
      </w:r>
    </w:p>
    <w:p w14:paraId="72C3193A">
      <w:pPr>
        <w:pStyle w:val="17"/>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cs="Times New Roman"/>
          <w:szCs w:val="32"/>
          <w:lang w:bidi="ar-SA"/>
        </w:rPr>
      </w:pPr>
      <w:r>
        <w:rPr>
          <w:rFonts w:hint="eastAsia" w:ascii="Times New Roman" w:hAnsi="Times New Roman" w:eastAsia="方正仿宋_GBK" w:cs="Times New Roman"/>
          <w:szCs w:val="32"/>
          <w:lang w:bidi="ar-SA"/>
        </w:rPr>
        <w:t>（6）参与公益性农产品市场建设，承担国有控股的农产品批发市场的建设、运营和管护。</w:t>
      </w:r>
    </w:p>
    <w:p w14:paraId="0EC145D8">
      <w:pPr>
        <w:pStyle w:val="17"/>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cs="Times New Roman"/>
          <w:szCs w:val="32"/>
          <w:lang w:bidi="ar-SA"/>
        </w:rPr>
      </w:pPr>
      <w:r>
        <w:rPr>
          <w:rFonts w:hint="eastAsia" w:ascii="Times New Roman" w:hAnsi="Times New Roman" w:eastAsia="方正仿宋_GBK" w:cs="Times New Roman"/>
          <w:szCs w:val="32"/>
          <w:lang w:bidi="ar-SA"/>
        </w:rPr>
        <w:t>（7）领办创办农民专业合作社，发展基层供销合作社，更好履行为农服务职责。</w:t>
      </w:r>
    </w:p>
    <w:p w14:paraId="53A04E62">
      <w:pPr>
        <w:pStyle w:val="17"/>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cs="Times New Roman"/>
          <w:szCs w:val="32"/>
          <w:lang w:bidi="ar-SA"/>
        </w:rPr>
      </w:pPr>
      <w:r>
        <w:rPr>
          <w:rFonts w:hint="eastAsia" w:ascii="Times New Roman" w:hAnsi="Times New Roman" w:eastAsia="方正仿宋_GBK" w:cs="Times New Roman"/>
          <w:szCs w:val="32"/>
          <w:lang w:bidi="ar-SA"/>
        </w:rPr>
        <w:t>（8）推进供销合作社法治建设，研究提出促进农村经济社会和行业发展的政策法规建议，维护全州供销合作社的合法权益。</w:t>
      </w:r>
    </w:p>
    <w:p w14:paraId="6BC1CF8A">
      <w:pPr>
        <w:pStyle w:val="17"/>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cs="Times New Roman"/>
          <w:szCs w:val="32"/>
          <w:lang w:bidi="ar-SA"/>
        </w:rPr>
      </w:pPr>
      <w:r>
        <w:rPr>
          <w:rFonts w:hint="eastAsia" w:ascii="Times New Roman" w:hAnsi="Times New Roman" w:eastAsia="方正仿宋_GBK" w:cs="Times New Roman"/>
          <w:szCs w:val="32"/>
          <w:lang w:bidi="ar-SA"/>
        </w:rPr>
        <w:t>（9）指导全州供销合作社开展教育培训工作。</w:t>
      </w:r>
    </w:p>
    <w:p w14:paraId="35A0D247">
      <w:pPr>
        <w:pStyle w:val="17"/>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cs="Times New Roman"/>
          <w:szCs w:val="32"/>
          <w:lang w:bidi="ar-SA"/>
        </w:rPr>
      </w:pPr>
      <w:r>
        <w:rPr>
          <w:rFonts w:hint="eastAsia" w:ascii="Times New Roman" w:hAnsi="Times New Roman" w:eastAsia="方正仿宋_GBK" w:cs="Times New Roman"/>
          <w:szCs w:val="32"/>
          <w:lang w:bidi="ar-SA"/>
        </w:rPr>
        <w:t>（10）完成州委、州政府交办的其他任务。</w:t>
      </w:r>
    </w:p>
    <w:p w14:paraId="17617E42">
      <w:pPr>
        <w:pageBreakBefore w:val="0"/>
        <w:widowControl w:val="0"/>
        <w:numPr>
          <w:ilvl w:val="0"/>
          <w:numId w:val="0"/>
        </w:numPr>
        <w:wordWrap/>
        <w:overflowPunct w:val="0"/>
        <w:topLinePunct w:val="0"/>
        <w:bidi w:val="0"/>
      </w:pPr>
    </w:p>
    <w:p w14:paraId="04A643EF">
      <w:pPr>
        <w:pStyle w:val="4"/>
        <w:pageBreakBefore w:val="0"/>
        <w:widowControl w:val="0"/>
        <w:wordWrap/>
        <w:overflowPunct w:val="0"/>
        <w:topLinePunct w:val="0"/>
        <w:bidi w:val="0"/>
        <w:rPr>
          <w:rStyle w:val="23"/>
          <w:rFonts w:ascii="Times New Roman" w:hAnsi="Times New Roman"/>
          <w:b w:val="0"/>
          <w:bCs w:val="0"/>
        </w:rPr>
      </w:pPr>
      <w:bookmarkStart w:id="8" w:name="_Toc15396601"/>
      <w:bookmarkStart w:id="9" w:name="_Toc15377200"/>
      <w:r>
        <w:rPr>
          <w:rFonts w:hint="eastAsia" w:ascii="Times New Roman" w:hAnsi="Times New Roman" w:eastAsia="黑体"/>
          <w:b w:val="0"/>
        </w:rPr>
        <w:t>二、机</w:t>
      </w:r>
      <w:r>
        <w:rPr>
          <w:rStyle w:val="23"/>
          <w:rFonts w:hint="eastAsia" w:ascii="Times New Roman" w:hAnsi="Times New Roman" w:eastAsia="黑体"/>
          <w:b w:val="0"/>
          <w:bCs w:val="0"/>
        </w:rPr>
        <w:t>构设置</w:t>
      </w:r>
      <w:bookmarkEnd w:id="8"/>
      <w:bookmarkEnd w:id="9"/>
    </w:p>
    <w:p w14:paraId="3C1D40A7">
      <w:pPr>
        <w:pStyle w:val="32"/>
        <w:pageBreakBefore w:val="0"/>
        <w:widowControl w:val="0"/>
        <w:wordWrap/>
        <w:overflowPunct w:val="0"/>
        <w:topLinePunct w:val="0"/>
        <w:bidi w:val="0"/>
        <w:spacing w:line="600" w:lineRule="exact"/>
        <w:ind w:firstLine="640"/>
        <w:outlineLvl w:val="1"/>
        <w:rPr>
          <w:rFonts w:hint="eastAsia" w:ascii="Times New Roman" w:hAnsi="Times New Roman" w:eastAsia="方正仿宋_GBK" w:cs="Times New Roman"/>
          <w:kern w:val="0"/>
          <w:sz w:val="32"/>
          <w:szCs w:val="32"/>
          <w:lang w:val="zh-CN" w:eastAsia="zh-CN" w:bidi="ar-SA"/>
        </w:rPr>
      </w:pPr>
      <w:r>
        <w:rPr>
          <w:rFonts w:hint="eastAsia" w:ascii="Times New Roman" w:hAnsi="Times New Roman" w:eastAsia="方正仿宋_GBK" w:cs="Times New Roman"/>
          <w:kern w:val="0"/>
          <w:sz w:val="32"/>
          <w:szCs w:val="32"/>
          <w:lang w:val="en-US" w:eastAsia="zh-CN" w:bidi="ar-SA"/>
        </w:rPr>
        <w:t>阿坝州供销社属参照公务员法管理的事业单位，为独立核算单位，无下级预算单位。</w:t>
      </w:r>
      <w:r>
        <w:rPr>
          <w:rFonts w:hint="eastAsia" w:ascii="Times New Roman" w:hAnsi="Times New Roman" w:eastAsia="方正仿宋_GBK" w:cs="Times New Roman"/>
          <w:kern w:val="0"/>
          <w:sz w:val="32"/>
          <w:szCs w:val="32"/>
          <w:lang w:val="zh-CN" w:eastAsia="zh-CN" w:bidi="ar-SA"/>
        </w:rPr>
        <w:t>2024年年底阿坝州供销社编制21名，与上年一致，人员编制数无变化；在职职工实有人数20人，与上年一致；年末实有退休人数为27人，较上年增加2人。</w:t>
      </w:r>
    </w:p>
    <w:p w14:paraId="4436A3B5">
      <w:pPr>
        <w:pageBreakBefore w:val="0"/>
        <w:widowControl w:val="0"/>
        <w:wordWrap/>
        <w:overflowPunct w:val="0"/>
        <w:topLinePunct w:val="0"/>
        <w:bidi w:val="0"/>
        <w:jc w:val="left"/>
        <w:rPr>
          <w:rFonts w:eastAsia="仿宋"/>
          <w:kern w:val="0"/>
          <w:sz w:val="32"/>
          <w:szCs w:val="32"/>
        </w:rPr>
      </w:pPr>
      <w:r>
        <w:rPr>
          <w:rFonts w:eastAsia="仿宋"/>
          <w:sz w:val="32"/>
          <w:szCs w:val="32"/>
        </w:rPr>
        <w:br w:type="page"/>
      </w:r>
    </w:p>
    <w:p w14:paraId="0303E0D6">
      <w:pPr>
        <w:pStyle w:val="3"/>
        <w:pageBreakBefore w:val="0"/>
        <w:widowControl w:val="0"/>
        <w:wordWrap/>
        <w:overflowPunct w:val="0"/>
        <w:topLinePunct w:val="0"/>
        <w:bidi w:val="0"/>
        <w:jc w:val="center"/>
        <w:rPr>
          <w:rFonts w:eastAsia="方正小标宋简体" w:cs="方正小标宋简体"/>
          <w:b w:val="0"/>
        </w:rPr>
      </w:pPr>
      <w:bookmarkStart w:id="10" w:name="_Toc15377204"/>
      <w:bookmarkStart w:id="11" w:name="_Toc15396602"/>
      <w:r>
        <w:rPr>
          <w:rFonts w:hint="eastAsia" w:eastAsia="方正小标宋简体" w:cs="方正小标宋简体"/>
          <w:b w:val="0"/>
        </w:rPr>
        <w:t>第二部分  2024年度部门决算情况说明</w:t>
      </w:r>
      <w:bookmarkEnd w:id="10"/>
      <w:bookmarkEnd w:id="11"/>
    </w:p>
    <w:p w14:paraId="1C78B5A0">
      <w:pPr>
        <w:pageBreakBefore w:val="0"/>
        <w:widowControl w:val="0"/>
        <w:wordWrap/>
        <w:overflowPunct w:val="0"/>
        <w:topLinePunct w:val="0"/>
        <w:bidi w:val="0"/>
      </w:pPr>
    </w:p>
    <w:p w14:paraId="25CB0130">
      <w:pPr>
        <w:pStyle w:val="32"/>
        <w:pageBreakBefore w:val="0"/>
        <w:widowControl w:val="0"/>
        <w:wordWrap/>
        <w:overflowPunct w:val="0"/>
        <w:topLinePunct w:val="0"/>
        <w:bidi w:val="0"/>
        <w:spacing w:line="600" w:lineRule="exact"/>
        <w:ind w:firstLine="640"/>
        <w:outlineLvl w:val="1"/>
        <w:rPr>
          <w:rStyle w:val="23"/>
          <w:rFonts w:ascii="Times New Roman" w:hAnsi="Times New Roman" w:eastAsia="黑体"/>
          <w:b w:val="0"/>
        </w:rPr>
      </w:pPr>
      <w:bookmarkStart w:id="12" w:name="_Toc15396603"/>
      <w:bookmarkStart w:id="13" w:name="_Toc15377205"/>
      <w:r>
        <w:rPr>
          <w:rFonts w:hint="eastAsia" w:eastAsia="黑体"/>
          <w:sz w:val="32"/>
          <w:szCs w:val="32"/>
        </w:rPr>
        <w:t>一、收</w:t>
      </w:r>
      <w:r>
        <w:rPr>
          <w:rStyle w:val="23"/>
          <w:rFonts w:hint="eastAsia" w:ascii="Times New Roman" w:hAnsi="Times New Roman" w:eastAsia="黑体"/>
          <w:b w:val="0"/>
        </w:rPr>
        <w:t>入支出决算总体情况说明</w:t>
      </w:r>
      <w:bookmarkEnd w:id="12"/>
      <w:bookmarkEnd w:id="13"/>
    </w:p>
    <w:p w14:paraId="1221996A">
      <w:pPr>
        <w:pStyle w:val="32"/>
        <w:pageBreakBefore w:val="0"/>
        <w:widowControl w:val="0"/>
        <w:wordWrap/>
        <w:overflowPunct w:val="0"/>
        <w:topLinePunct w:val="0"/>
        <w:bidi w:val="0"/>
        <w:spacing w:line="600" w:lineRule="exact"/>
        <w:ind w:firstLine="640"/>
        <w:outlineLvl w:val="1"/>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2024年度收入、支出总计均为801.79万元。与2023年度相比，收入、支出总计各增加87.74万元，增长12.29%。主要变动原因是：1.发放退休职工死亡抚恤金29.52万元；2.本年新增车辆大修费用7.93万元；3.2024年新增职工3人，职工工资性支出大幅增加。</w:t>
      </w:r>
    </w:p>
    <w:p w14:paraId="3769E1CF">
      <w:pPr>
        <w:pStyle w:val="15"/>
        <w:pageBreakBefore w:val="0"/>
        <w:widowControl w:val="0"/>
        <w:wordWrap/>
        <w:overflowPunct w:val="0"/>
        <w:topLinePunct w:val="0"/>
        <w:bidi w:val="0"/>
        <w:jc w:val="right"/>
        <w:rPr>
          <w:rFonts w:hint="eastAsia" w:eastAsia="仿宋_GB2312"/>
          <w:lang w:eastAsia="zh-CN"/>
        </w:rPr>
      </w:pPr>
      <w:r>
        <w:rPr>
          <w:rFonts w:hint="eastAsia" w:eastAsia="仿宋_GB2312" w:cs="仿宋_GB2312"/>
          <w:sz w:val="32"/>
          <w:szCs w:val="32"/>
          <w:lang w:eastAsia="zh-CN"/>
        </w:rPr>
        <w:t>单位：万元</w:t>
      </w:r>
    </w:p>
    <w:p w14:paraId="286E0BEF">
      <w:pPr>
        <w:pageBreakBefore w:val="0"/>
        <w:widowControl w:val="0"/>
        <w:wordWrap/>
        <w:overflowPunct w:val="0"/>
        <w:topLinePunct w:val="0"/>
        <w:bidi w:val="0"/>
        <w:rPr>
          <w:rFonts w:hint="eastAsia" w:eastAsia="仿宋_GB2312" w:cs="仿宋_GB2312"/>
          <w:sz w:val="32"/>
          <w:szCs w:val="32"/>
          <w:lang w:eastAsia="zh-CN"/>
        </w:rPr>
      </w:pPr>
      <w:r>
        <w:rPr>
          <w:rFonts w:hint="eastAsia" w:eastAsia="仿宋_GB2312" w:cs="仿宋_GB2312"/>
          <w:sz w:val="32"/>
          <w:szCs w:val="32"/>
          <w:lang w:eastAsia="zh-CN"/>
        </w:rPr>
        <w:drawing>
          <wp:inline distT="0" distB="0" distL="114300" distR="114300">
            <wp:extent cx="5256530" cy="2988310"/>
            <wp:effectExtent l="5080" t="4445" r="15240" b="1714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FBD4507">
      <w:pPr>
        <w:pStyle w:val="32"/>
        <w:pageBreakBefore w:val="0"/>
        <w:widowControl w:val="0"/>
        <w:wordWrap/>
        <w:overflowPunct w:val="0"/>
        <w:topLinePunct w:val="0"/>
        <w:bidi w:val="0"/>
        <w:spacing w:line="600" w:lineRule="exact"/>
        <w:ind w:firstLine="640"/>
        <w:jc w:val="center"/>
        <w:outlineLvl w:val="1"/>
        <w:rPr>
          <w:rFonts w:hint="eastAsia" w:eastAsia="仿宋_GB2312" w:cs="仿宋_GB2312"/>
          <w:sz w:val="32"/>
          <w:szCs w:val="32"/>
        </w:rPr>
      </w:pPr>
      <w:bookmarkStart w:id="14" w:name="_Toc15377206"/>
      <w:bookmarkStart w:id="15" w:name="_Toc15396604"/>
      <w:r>
        <w:rPr>
          <w:rFonts w:hint="eastAsia" w:eastAsia="仿宋_GB2312" w:cs="仿宋_GB2312"/>
          <w:sz w:val="32"/>
          <w:szCs w:val="32"/>
        </w:rPr>
        <w:t>（图1：收入、支出决算总计变动情况图）</w:t>
      </w:r>
    </w:p>
    <w:p w14:paraId="0067C971">
      <w:pPr>
        <w:pStyle w:val="32"/>
        <w:pageBreakBefore w:val="0"/>
        <w:widowControl w:val="0"/>
        <w:wordWrap/>
        <w:overflowPunct w:val="0"/>
        <w:topLinePunct w:val="0"/>
        <w:bidi w:val="0"/>
        <w:spacing w:line="600" w:lineRule="exact"/>
        <w:ind w:firstLine="640"/>
        <w:outlineLvl w:val="1"/>
        <w:rPr>
          <w:rFonts w:eastAsia="黑体"/>
          <w:sz w:val="32"/>
          <w:szCs w:val="32"/>
        </w:rPr>
      </w:pPr>
      <w:r>
        <w:rPr>
          <w:rFonts w:hint="eastAsia" w:eastAsia="黑体"/>
          <w:sz w:val="32"/>
          <w:szCs w:val="32"/>
        </w:rPr>
        <w:t>二、收入决算情况说明</w:t>
      </w:r>
      <w:bookmarkEnd w:id="14"/>
      <w:bookmarkEnd w:id="15"/>
    </w:p>
    <w:p w14:paraId="722DE3C4">
      <w:pPr>
        <w:pStyle w:val="32"/>
        <w:pageBreakBefore w:val="0"/>
        <w:widowControl w:val="0"/>
        <w:wordWrap/>
        <w:overflowPunct w:val="0"/>
        <w:topLinePunct w:val="0"/>
        <w:bidi w:val="0"/>
        <w:spacing w:line="600" w:lineRule="exact"/>
        <w:ind w:firstLine="640"/>
        <w:outlineLvl w:val="1"/>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2024年度本年收入合计801.79万元，其中：一般公共预算财政拨款收入801.79万元，占100%。</w:t>
      </w:r>
    </w:p>
    <w:p w14:paraId="77E3EFB1">
      <w:pPr>
        <w:pStyle w:val="32"/>
        <w:pageBreakBefore w:val="0"/>
        <w:widowControl w:val="0"/>
        <w:wordWrap/>
        <w:overflowPunct w:val="0"/>
        <w:topLinePunct w:val="0"/>
        <w:bidi w:val="0"/>
        <w:spacing w:line="600" w:lineRule="exact"/>
        <w:ind w:firstLine="640"/>
        <w:jc w:val="center"/>
        <w:outlineLvl w:val="1"/>
        <w:rPr>
          <w:rFonts w:eastAsia="仿宋_GB2312" w:cs="仿宋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59264" behindDoc="0" locked="0" layoutInCell="1" allowOverlap="1">
            <wp:simplePos x="0" y="0"/>
            <wp:positionH relativeFrom="column">
              <wp:posOffset>-7620</wp:posOffset>
            </wp:positionH>
            <wp:positionV relativeFrom="paragraph">
              <wp:posOffset>252095</wp:posOffset>
            </wp:positionV>
            <wp:extent cx="5256530" cy="2635885"/>
            <wp:effectExtent l="4445" t="4445" r="15875" b="762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eastAsia="仿宋_GB2312" w:cs="仿宋_GB2312"/>
          <w:sz w:val="32"/>
          <w:szCs w:val="32"/>
        </w:rPr>
        <w:t>（图2：收入决算结构图）</w:t>
      </w:r>
    </w:p>
    <w:p w14:paraId="7AAACC73">
      <w:pPr>
        <w:pStyle w:val="32"/>
        <w:pageBreakBefore w:val="0"/>
        <w:widowControl w:val="0"/>
        <w:wordWrap/>
        <w:overflowPunct w:val="0"/>
        <w:topLinePunct w:val="0"/>
        <w:bidi w:val="0"/>
        <w:spacing w:line="600" w:lineRule="exact"/>
        <w:ind w:firstLine="640"/>
        <w:outlineLvl w:val="1"/>
        <w:rPr>
          <w:rStyle w:val="23"/>
          <w:rFonts w:ascii="Times New Roman" w:hAnsi="Times New Roman" w:eastAsia="黑体"/>
          <w:b w:val="0"/>
        </w:rPr>
      </w:pPr>
      <w:bookmarkStart w:id="16" w:name="_Toc15377207"/>
      <w:bookmarkStart w:id="17" w:name="_Toc15396605"/>
      <w:r>
        <w:rPr>
          <w:rFonts w:hint="eastAsia" w:eastAsia="黑体"/>
          <w:sz w:val="32"/>
          <w:szCs w:val="32"/>
        </w:rPr>
        <w:t>三、支</w:t>
      </w:r>
      <w:r>
        <w:rPr>
          <w:rStyle w:val="23"/>
          <w:rFonts w:hint="eastAsia" w:ascii="Times New Roman" w:hAnsi="Times New Roman" w:eastAsia="黑体"/>
          <w:b w:val="0"/>
        </w:rPr>
        <w:t>出决算情况说明</w:t>
      </w:r>
      <w:bookmarkEnd w:id="16"/>
      <w:bookmarkEnd w:id="17"/>
    </w:p>
    <w:p w14:paraId="1CA670E3">
      <w:pPr>
        <w:pStyle w:val="32"/>
        <w:pageBreakBefore w:val="0"/>
        <w:widowControl w:val="0"/>
        <w:wordWrap/>
        <w:overflowPunct w:val="0"/>
        <w:topLinePunct w:val="0"/>
        <w:bidi w:val="0"/>
        <w:spacing w:line="600" w:lineRule="exact"/>
        <w:ind w:firstLine="640"/>
        <w:outlineLvl w:val="1"/>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drawing>
          <wp:anchor distT="0" distB="0" distL="114300" distR="114300" simplePos="0" relativeHeight="251660288" behindDoc="0" locked="0" layoutInCell="1" allowOverlap="1">
            <wp:simplePos x="0" y="0"/>
            <wp:positionH relativeFrom="column">
              <wp:posOffset>306705</wp:posOffset>
            </wp:positionH>
            <wp:positionV relativeFrom="paragraph">
              <wp:posOffset>965835</wp:posOffset>
            </wp:positionV>
            <wp:extent cx="5256530" cy="2731135"/>
            <wp:effectExtent l="4445" t="4445" r="15875" b="7620"/>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Times New Roman" w:hAnsi="Times New Roman" w:eastAsia="方正仿宋_GBK" w:cs="Times New Roman"/>
          <w:kern w:val="0"/>
          <w:sz w:val="32"/>
          <w:szCs w:val="32"/>
          <w:lang w:val="en-US" w:eastAsia="zh-CN" w:bidi="ar-SA"/>
        </w:rPr>
        <w:t>2024年度本年支出合计801.79万元，其中：基本支出791.79万元，占98.75%；项目支出10万元，占1.25%。</w:t>
      </w:r>
    </w:p>
    <w:p w14:paraId="72E86A3A">
      <w:pPr>
        <w:pageBreakBefore w:val="0"/>
        <w:widowControl w:val="0"/>
        <w:wordWrap/>
        <w:overflowPunct w:val="0"/>
        <w:topLinePunct w:val="0"/>
        <w:bidi w:val="0"/>
        <w:ind w:firstLine="800" w:firstLineChars="250"/>
        <w:jc w:val="center"/>
        <w:rPr>
          <w:rFonts w:eastAsia="仿宋_GB2312" w:cs="仿宋_GB2312"/>
          <w:sz w:val="32"/>
          <w:szCs w:val="32"/>
        </w:rPr>
      </w:pPr>
      <w:r>
        <w:rPr>
          <w:rFonts w:hint="eastAsia" w:eastAsia="仿宋_GB2312" w:cs="仿宋_GB2312"/>
          <w:sz w:val="32"/>
          <w:szCs w:val="32"/>
        </w:rPr>
        <w:t>（图3：支出决算结构图）</w:t>
      </w:r>
    </w:p>
    <w:p w14:paraId="70762F4B">
      <w:pPr>
        <w:pageBreakBefore w:val="0"/>
        <w:widowControl w:val="0"/>
        <w:wordWrap/>
        <w:overflowPunct w:val="0"/>
        <w:topLinePunct w:val="0"/>
        <w:bidi w:val="0"/>
        <w:spacing w:line="600" w:lineRule="exact"/>
        <w:ind w:firstLine="640" w:firstLineChars="200"/>
        <w:outlineLvl w:val="1"/>
        <w:rPr>
          <w:rStyle w:val="23"/>
          <w:rFonts w:ascii="Times New Roman" w:hAnsi="Times New Roman" w:eastAsia="黑体"/>
          <w:b w:val="0"/>
        </w:rPr>
      </w:pPr>
      <w:bookmarkStart w:id="18" w:name="_Toc15396606"/>
      <w:bookmarkStart w:id="19" w:name="_Toc15377208"/>
      <w:r>
        <w:rPr>
          <w:rFonts w:hint="eastAsia" w:eastAsia="黑体"/>
          <w:sz w:val="32"/>
          <w:szCs w:val="32"/>
        </w:rPr>
        <w:t>四、财</w:t>
      </w:r>
      <w:r>
        <w:rPr>
          <w:rStyle w:val="23"/>
          <w:rFonts w:hint="eastAsia" w:ascii="Times New Roman" w:hAnsi="Times New Roman" w:eastAsia="黑体"/>
          <w:b w:val="0"/>
        </w:rPr>
        <w:t>政拨款收入支出决算总体情况说明</w:t>
      </w:r>
      <w:bookmarkEnd w:id="18"/>
      <w:bookmarkEnd w:id="19"/>
    </w:p>
    <w:p w14:paraId="0D50DE7F">
      <w:pPr>
        <w:pStyle w:val="32"/>
        <w:pageBreakBefore w:val="0"/>
        <w:widowControl w:val="0"/>
        <w:wordWrap/>
        <w:overflowPunct w:val="0"/>
        <w:topLinePunct w:val="0"/>
        <w:bidi w:val="0"/>
        <w:spacing w:line="600" w:lineRule="exact"/>
        <w:ind w:firstLine="640"/>
        <w:outlineLvl w:val="1"/>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2024年度财政拨款收入、支出总计均为801.79万元。与2023年度相比，财政拨款收入总计、支出总计各增加87.74万元，增长12.29%。主要变动原因是：1.发放退休职工死亡抚恤金29.52万元；2.本年新增车辆大修费用7.93万元；3.2024年新增职工3人，职工工资性支出大幅增加。</w:t>
      </w:r>
    </w:p>
    <w:p w14:paraId="546D6094">
      <w:pPr>
        <w:pageBreakBefore w:val="0"/>
        <w:widowControl w:val="0"/>
        <w:wordWrap/>
        <w:overflowPunct w:val="0"/>
        <w:topLinePunct w:val="0"/>
        <w:bidi w:val="0"/>
        <w:spacing w:line="600" w:lineRule="exact"/>
        <w:jc w:val="center"/>
        <w:rPr>
          <w:rFonts w:eastAsia="仿宋_GB2312" w:cs="仿宋_GB2312"/>
          <w:sz w:val="32"/>
          <w:szCs w:val="32"/>
        </w:rPr>
      </w:pPr>
      <w:r>
        <w:rPr>
          <w:rFonts w:hint="eastAsia" w:eastAsia="仿宋_GB2312" w:cs="仿宋_GB2312"/>
          <w:sz w:val="32"/>
          <w:szCs w:val="32"/>
          <w:lang w:eastAsia="zh-CN"/>
        </w:rPr>
        <w:drawing>
          <wp:anchor distT="0" distB="0" distL="114300" distR="114300" simplePos="0" relativeHeight="251661312" behindDoc="0" locked="0" layoutInCell="1" allowOverlap="1">
            <wp:simplePos x="0" y="0"/>
            <wp:positionH relativeFrom="column">
              <wp:posOffset>144780</wp:posOffset>
            </wp:positionH>
            <wp:positionV relativeFrom="paragraph">
              <wp:posOffset>369570</wp:posOffset>
            </wp:positionV>
            <wp:extent cx="5256530" cy="2988310"/>
            <wp:effectExtent l="5080" t="4445" r="15240" b="1714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eastAsia="仿宋_GB2312" w:cs="仿宋_GB2312"/>
          <w:sz w:val="32"/>
          <w:szCs w:val="32"/>
        </w:rPr>
        <w:t>（图4：财政拨款收、支决算总计变动情况）</w:t>
      </w:r>
    </w:p>
    <w:p w14:paraId="0FE20217">
      <w:pPr>
        <w:pageBreakBefore w:val="0"/>
        <w:widowControl w:val="0"/>
        <w:wordWrap/>
        <w:overflowPunct w:val="0"/>
        <w:topLinePunct w:val="0"/>
        <w:bidi w:val="0"/>
        <w:spacing w:line="600" w:lineRule="exact"/>
        <w:ind w:firstLine="640" w:firstLineChars="200"/>
        <w:outlineLvl w:val="1"/>
        <w:rPr>
          <w:rStyle w:val="23"/>
          <w:rFonts w:ascii="Times New Roman" w:hAnsi="Times New Roman" w:eastAsia="黑体"/>
          <w:b w:val="0"/>
        </w:rPr>
      </w:pPr>
      <w:bookmarkStart w:id="20" w:name="_Toc15396607"/>
      <w:bookmarkStart w:id="21" w:name="_Toc15377209"/>
      <w:r>
        <w:rPr>
          <w:rFonts w:hint="eastAsia" w:eastAsia="黑体"/>
          <w:sz w:val="32"/>
          <w:szCs w:val="32"/>
        </w:rPr>
        <w:t>五、</w:t>
      </w:r>
      <w:r>
        <w:rPr>
          <w:rFonts w:hint="eastAsia" w:eastAsia="黑体"/>
          <w:b/>
          <w:sz w:val="32"/>
          <w:szCs w:val="32"/>
        </w:rPr>
        <w:t>一</w:t>
      </w:r>
      <w:r>
        <w:rPr>
          <w:rStyle w:val="23"/>
          <w:rFonts w:hint="eastAsia" w:ascii="Times New Roman" w:hAnsi="Times New Roman" w:eastAsia="黑体"/>
          <w:b w:val="0"/>
        </w:rPr>
        <w:t>般公共预算财政拨款支出决算情况说明</w:t>
      </w:r>
      <w:bookmarkEnd w:id="20"/>
      <w:bookmarkEnd w:id="21"/>
    </w:p>
    <w:p w14:paraId="6381982A">
      <w:pPr>
        <w:pageBreakBefore w:val="0"/>
        <w:widowControl w:val="0"/>
        <w:wordWrap/>
        <w:overflowPunct w:val="0"/>
        <w:topLinePunct w:val="0"/>
        <w:bidi w:val="0"/>
        <w:spacing w:line="600" w:lineRule="exact"/>
        <w:ind w:firstLine="643" w:firstLineChars="200"/>
        <w:outlineLvl w:val="2"/>
        <w:rPr>
          <w:rFonts w:eastAsia="楷体_GB2312" w:cs="楷体_GB2312"/>
          <w:b/>
          <w:sz w:val="32"/>
          <w:szCs w:val="32"/>
        </w:rPr>
      </w:pPr>
      <w:bookmarkStart w:id="22" w:name="_Toc15377210"/>
      <w:r>
        <w:rPr>
          <w:rFonts w:hint="eastAsia" w:eastAsia="楷体_GB2312" w:cs="楷体_GB2312"/>
          <w:b/>
          <w:sz w:val="32"/>
          <w:szCs w:val="32"/>
        </w:rPr>
        <w:t>（一）一般公共预算财政拨款支出决算总体情况</w:t>
      </w:r>
      <w:bookmarkEnd w:id="22"/>
    </w:p>
    <w:p w14:paraId="00A235DE">
      <w:pPr>
        <w:pStyle w:val="32"/>
        <w:pageBreakBefore w:val="0"/>
        <w:widowControl w:val="0"/>
        <w:wordWrap/>
        <w:overflowPunct w:val="0"/>
        <w:topLinePunct w:val="0"/>
        <w:bidi w:val="0"/>
        <w:spacing w:line="600" w:lineRule="exact"/>
        <w:ind w:firstLine="640"/>
        <w:outlineLvl w:val="1"/>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2024年度一般公共预算财政拨款支出801.79万元，占本年支出合计的100%。与2023年度相比，一般公共预算财</w:t>
      </w:r>
      <w:r>
        <w:rPr>
          <w:rFonts w:hint="eastAsia" w:ascii="Times New Roman" w:hAnsi="Times New Roman" w:eastAsia="方正仿宋_GBK" w:cs="Times New Roman"/>
          <w:kern w:val="0"/>
          <w:sz w:val="32"/>
          <w:szCs w:val="32"/>
          <w:lang w:val="en-US" w:eastAsia="zh-CN" w:bidi="ar-SA"/>
        </w:rPr>
        <w:drawing>
          <wp:anchor distT="0" distB="0" distL="114300" distR="114300" simplePos="0" relativeHeight="251662336" behindDoc="0" locked="0" layoutInCell="1" allowOverlap="1">
            <wp:simplePos x="0" y="0"/>
            <wp:positionH relativeFrom="column">
              <wp:posOffset>144780</wp:posOffset>
            </wp:positionH>
            <wp:positionV relativeFrom="paragraph">
              <wp:posOffset>1947545</wp:posOffset>
            </wp:positionV>
            <wp:extent cx="5256530" cy="2988310"/>
            <wp:effectExtent l="5080" t="4445" r="15240" b="1714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Times New Roman" w:hAnsi="Times New Roman" w:eastAsia="方正仿宋_GBK" w:cs="Times New Roman"/>
          <w:kern w:val="0"/>
          <w:sz w:val="32"/>
          <w:szCs w:val="32"/>
          <w:lang w:val="en-US" w:eastAsia="zh-CN" w:bidi="ar-SA"/>
        </w:rPr>
        <w:t>政拨款支出增加87.74万元，增长12.29%。主要变动原因是：1.发放退休职工死亡抚恤金29.52万元；2.本年新增车辆大修费用7.93万元；3.2024年新增职工3人，职工工资性支出大幅增加。</w:t>
      </w:r>
    </w:p>
    <w:p w14:paraId="77CB1E86">
      <w:pPr>
        <w:pageBreakBefore w:val="0"/>
        <w:widowControl w:val="0"/>
        <w:wordWrap/>
        <w:overflowPunct w:val="0"/>
        <w:topLinePunct w:val="0"/>
        <w:bidi w:val="0"/>
        <w:spacing w:line="600" w:lineRule="exact"/>
        <w:ind w:firstLine="640"/>
        <w:jc w:val="center"/>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（图5：一般公共预算财政拨款支出决算变动情况）</w:t>
      </w:r>
    </w:p>
    <w:p w14:paraId="2A6573A9">
      <w:pPr>
        <w:pageBreakBefore w:val="0"/>
        <w:widowControl w:val="0"/>
        <w:wordWrap/>
        <w:overflowPunct w:val="0"/>
        <w:topLinePunct w:val="0"/>
        <w:bidi w:val="0"/>
        <w:spacing w:line="600" w:lineRule="exact"/>
        <w:ind w:firstLine="643" w:firstLineChars="200"/>
        <w:outlineLvl w:val="2"/>
        <w:rPr>
          <w:rFonts w:eastAsia="楷体_GB2312" w:cs="楷体_GB2312"/>
          <w:b/>
          <w:sz w:val="32"/>
          <w:szCs w:val="32"/>
        </w:rPr>
      </w:pPr>
      <w:bookmarkStart w:id="23" w:name="_Toc15377211"/>
      <w:r>
        <w:rPr>
          <w:rFonts w:hint="eastAsia" w:eastAsia="楷体_GB2312" w:cs="楷体_GB2312"/>
          <w:b/>
          <w:sz w:val="32"/>
          <w:szCs w:val="32"/>
        </w:rPr>
        <w:t>（二）一般公共预算财政拨款支出决算结构情况</w:t>
      </w:r>
      <w:bookmarkEnd w:id="23"/>
    </w:p>
    <w:p w14:paraId="2A0F01E2">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2024年度一般公共预算财政拨款支出801.79万元，主要用于以下方面：社会保障和就业支出为85.27万元，占比10.63%；卫生健康支出为36.55万元，占比4.56%；商业服务业等支出为631.79万元，占比78.8%；住房保障支出为48.17万元，占比6.01%。</w:t>
      </w:r>
    </w:p>
    <w:p w14:paraId="4E210809">
      <w:pPr>
        <w:pageBreakBefore w:val="0"/>
        <w:widowControl w:val="0"/>
        <w:wordWrap/>
        <w:overflowPunct w:val="0"/>
        <w:topLinePunct w:val="0"/>
        <w:bidi w:val="0"/>
        <w:spacing w:line="600" w:lineRule="exact"/>
        <w:ind w:firstLine="640"/>
        <w:jc w:val="center"/>
        <w:rPr>
          <w:rFonts w:eastAsia="仿宋_GB2312" w:cs="仿宋_GB2312"/>
          <w:sz w:val="32"/>
          <w:szCs w:val="32"/>
        </w:rPr>
      </w:pPr>
      <w:r>
        <w:rPr>
          <w:rFonts w:hint="eastAsia" w:eastAsia="仿宋_GB2312" w:cs="仿宋_GB2312"/>
          <w:sz w:val="32"/>
          <w:szCs w:val="32"/>
        </w:rPr>
        <w:drawing>
          <wp:anchor distT="0" distB="0" distL="114300" distR="114300" simplePos="0" relativeHeight="251663360" behindDoc="0" locked="0" layoutInCell="1" allowOverlap="1">
            <wp:simplePos x="0" y="0"/>
            <wp:positionH relativeFrom="column">
              <wp:posOffset>87630</wp:posOffset>
            </wp:positionH>
            <wp:positionV relativeFrom="paragraph">
              <wp:posOffset>69215</wp:posOffset>
            </wp:positionV>
            <wp:extent cx="5256530" cy="3016250"/>
            <wp:effectExtent l="4445" t="4445" r="15875" b="825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eastAsia="仿宋_GB2312" w:cs="仿宋_GB2312"/>
          <w:sz w:val="32"/>
          <w:szCs w:val="32"/>
        </w:rPr>
        <w:t>（图6：一般公共预算财政拨款支出决算结构）</w:t>
      </w:r>
    </w:p>
    <w:p w14:paraId="1295CF2A">
      <w:pPr>
        <w:pageBreakBefore w:val="0"/>
        <w:widowControl w:val="0"/>
        <w:wordWrap/>
        <w:overflowPunct w:val="0"/>
        <w:topLinePunct w:val="0"/>
        <w:bidi w:val="0"/>
        <w:spacing w:line="600" w:lineRule="exact"/>
        <w:ind w:firstLine="643" w:firstLineChars="200"/>
        <w:outlineLvl w:val="2"/>
        <w:rPr>
          <w:rFonts w:eastAsia="楷体_GB2312" w:cs="楷体_GB2312"/>
          <w:b/>
          <w:sz w:val="32"/>
          <w:szCs w:val="32"/>
        </w:rPr>
      </w:pPr>
      <w:bookmarkStart w:id="24" w:name="_Toc15377212"/>
      <w:r>
        <w:rPr>
          <w:rFonts w:hint="eastAsia" w:eastAsia="楷体_GB2312" w:cs="楷体_GB2312"/>
          <w:b/>
          <w:sz w:val="32"/>
          <w:szCs w:val="32"/>
        </w:rPr>
        <w:t>（三）一般公共预算财政拨款支出决算具体情况</w:t>
      </w:r>
      <w:bookmarkEnd w:id="24"/>
    </w:p>
    <w:p w14:paraId="63D67EB9">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en-US" w:eastAsia="zh-CN" w:bidi="ar-SA"/>
        </w:rPr>
      </w:pPr>
      <w:bookmarkStart w:id="25" w:name="_Toc15378460"/>
      <w:bookmarkStart w:id="26" w:name="_Toc15377213"/>
      <w:bookmarkStart w:id="27" w:name="_Toc15377444"/>
      <w:r>
        <w:rPr>
          <w:rFonts w:hint="eastAsia" w:ascii="Times New Roman" w:hAnsi="Times New Roman" w:eastAsia="方正仿宋_GBK" w:cs="Times New Roman"/>
          <w:kern w:val="2"/>
          <w:sz w:val="32"/>
          <w:szCs w:val="32"/>
          <w:lang w:val="en-US" w:eastAsia="zh-CN" w:bidi="ar-SA"/>
        </w:rPr>
        <w:t>2024年度一般公共预算财政拨款支出决算数为801.79万元，完成预算100%。其中：</w:t>
      </w:r>
      <w:bookmarkEnd w:id="25"/>
      <w:bookmarkEnd w:id="26"/>
      <w:bookmarkEnd w:id="27"/>
    </w:p>
    <w:p w14:paraId="122F86F4">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zh-CN" w:eastAsia="zh-CN" w:bidi="ar-SA"/>
        </w:rPr>
      </w:pPr>
      <w:r>
        <w:rPr>
          <w:rFonts w:hint="eastAsia" w:ascii="Times New Roman" w:hAnsi="Times New Roman" w:eastAsia="方正仿宋_GBK" w:cs="Times New Roman"/>
          <w:kern w:val="2"/>
          <w:sz w:val="32"/>
          <w:szCs w:val="32"/>
          <w:lang w:val="en-US" w:eastAsia="zh-CN" w:bidi="ar-SA"/>
        </w:rPr>
        <w:t>1.</w:t>
      </w:r>
      <w:r>
        <w:rPr>
          <w:rFonts w:hint="eastAsia" w:ascii="Times New Roman" w:hAnsi="Times New Roman" w:eastAsia="方正仿宋_GBK" w:cs="Times New Roman"/>
          <w:kern w:val="2"/>
          <w:sz w:val="32"/>
          <w:szCs w:val="32"/>
          <w:lang w:val="zh-CN" w:eastAsia="zh-CN" w:bidi="ar-SA"/>
        </w:rPr>
        <w:t>社会保障和就业（类）行政事业单位养老支出（款）机关事业单位基本养老保险缴费支出（项）:支出决算为</w:t>
      </w:r>
      <w:r>
        <w:rPr>
          <w:rFonts w:hint="eastAsia" w:ascii="Times New Roman" w:hAnsi="Times New Roman" w:eastAsia="方正仿宋_GBK" w:cs="Times New Roman"/>
          <w:kern w:val="2"/>
          <w:sz w:val="32"/>
          <w:szCs w:val="32"/>
          <w:lang w:val="en-US" w:eastAsia="zh-CN" w:bidi="ar-SA"/>
        </w:rPr>
        <w:t>56.85</w:t>
      </w:r>
      <w:r>
        <w:rPr>
          <w:rFonts w:hint="eastAsia" w:ascii="Times New Roman" w:hAnsi="Times New Roman" w:eastAsia="方正仿宋_GBK" w:cs="Times New Roman"/>
          <w:kern w:val="2"/>
          <w:sz w:val="32"/>
          <w:szCs w:val="32"/>
          <w:lang w:val="zh-CN" w:eastAsia="zh-CN" w:bidi="ar-SA"/>
        </w:rPr>
        <w:t>万元，完成预算100%；社会保障和就业（类）行政事业单位养老支出（款）机关事业单位职业年金缴费支出（项）:支出决算为</w:t>
      </w:r>
      <w:r>
        <w:rPr>
          <w:rFonts w:hint="eastAsia" w:ascii="Times New Roman" w:hAnsi="Times New Roman" w:eastAsia="方正仿宋_GBK" w:cs="Times New Roman"/>
          <w:kern w:val="2"/>
          <w:sz w:val="32"/>
          <w:szCs w:val="32"/>
          <w:lang w:val="en-US" w:eastAsia="zh-CN" w:bidi="ar-SA"/>
        </w:rPr>
        <w:t>28.42</w:t>
      </w:r>
      <w:r>
        <w:rPr>
          <w:rFonts w:hint="eastAsia" w:ascii="Times New Roman" w:hAnsi="Times New Roman" w:eastAsia="方正仿宋_GBK" w:cs="Times New Roman"/>
          <w:kern w:val="2"/>
          <w:sz w:val="32"/>
          <w:szCs w:val="32"/>
          <w:lang w:val="zh-CN" w:eastAsia="zh-CN" w:bidi="ar-SA"/>
        </w:rPr>
        <w:t>万元，完成预算100%。</w:t>
      </w:r>
    </w:p>
    <w:p w14:paraId="225C8277">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zh-CN" w:eastAsia="zh-CN" w:bidi="ar-SA"/>
        </w:rPr>
      </w:pPr>
      <w:r>
        <w:rPr>
          <w:rFonts w:hint="eastAsia" w:ascii="Times New Roman" w:hAnsi="Times New Roman" w:eastAsia="方正仿宋_GBK" w:cs="Times New Roman"/>
          <w:kern w:val="2"/>
          <w:sz w:val="32"/>
          <w:szCs w:val="32"/>
          <w:lang w:val="zh-CN" w:eastAsia="zh-CN" w:bidi="ar-SA"/>
        </w:rPr>
        <w:t>2.卫生健康支出（类）行政事业单位医疗（款）行政单位医疗（项）:支出决算为</w:t>
      </w:r>
      <w:r>
        <w:rPr>
          <w:rFonts w:hint="eastAsia" w:ascii="Times New Roman" w:hAnsi="Times New Roman" w:eastAsia="方正仿宋_GBK" w:cs="Times New Roman"/>
          <w:kern w:val="2"/>
          <w:sz w:val="32"/>
          <w:szCs w:val="32"/>
          <w:lang w:val="en-US" w:eastAsia="zh-CN" w:bidi="ar-SA"/>
        </w:rPr>
        <w:t>26.36</w:t>
      </w:r>
      <w:r>
        <w:rPr>
          <w:rFonts w:hint="eastAsia" w:ascii="Times New Roman" w:hAnsi="Times New Roman" w:eastAsia="方正仿宋_GBK" w:cs="Times New Roman"/>
          <w:kern w:val="2"/>
          <w:sz w:val="32"/>
          <w:szCs w:val="32"/>
          <w:lang w:val="zh-CN" w:eastAsia="zh-CN" w:bidi="ar-SA"/>
        </w:rPr>
        <w:t>万元，完成预算100%；卫生健康支出（类）行政事业单位医疗（款）公务员医疗补助（项）：支出决算为</w:t>
      </w:r>
      <w:r>
        <w:rPr>
          <w:rFonts w:hint="eastAsia" w:ascii="Times New Roman" w:hAnsi="Times New Roman" w:eastAsia="方正仿宋_GBK" w:cs="Times New Roman"/>
          <w:kern w:val="2"/>
          <w:sz w:val="32"/>
          <w:szCs w:val="32"/>
          <w:lang w:val="en-US" w:eastAsia="zh-CN" w:bidi="ar-SA"/>
        </w:rPr>
        <w:t>10.19</w:t>
      </w:r>
      <w:r>
        <w:rPr>
          <w:rFonts w:hint="eastAsia" w:ascii="Times New Roman" w:hAnsi="Times New Roman" w:eastAsia="方正仿宋_GBK" w:cs="Times New Roman"/>
          <w:kern w:val="2"/>
          <w:sz w:val="32"/>
          <w:szCs w:val="32"/>
          <w:lang w:val="zh-CN" w:eastAsia="zh-CN" w:bidi="ar-SA"/>
        </w:rPr>
        <w:t>万元，完成预算100%。</w:t>
      </w:r>
    </w:p>
    <w:p w14:paraId="4A2D0108">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zh-CN" w:eastAsia="zh-CN" w:bidi="ar-SA"/>
        </w:rPr>
      </w:pPr>
      <w:r>
        <w:rPr>
          <w:rFonts w:hint="eastAsia" w:ascii="Times New Roman" w:hAnsi="Times New Roman" w:eastAsia="方正仿宋_GBK" w:cs="Times New Roman"/>
          <w:kern w:val="2"/>
          <w:sz w:val="32"/>
          <w:szCs w:val="32"/>
          <w:lang w:val="zh-CN" w:eastAsia="zh-CN" w:bidi="ar-SA"/>
        </w:rPr>
        <w:t>3.商业服务业等支出（类）商业流通事务（款）行政运行（项）:支出决算为</w:t>
      </w:r>
      <w:r>
        <w:rPr>
          <w:rFonts w:hint="eastAsia" w:ascii="Times New Roman" w:hAnsi="Times New Roman" w:eastAsia="方正仿宋_GBK" w:cs="Times New Roman"/>
          <w:kern w:val="2"/>
          <w:sz w:val="32"/>
          <w:szCs w:val="32"/>
          <w:lang w:val="en-US" w:eastAsia="zh-CN" w:bidi="ar-SA"/>
        </w:rPr>
        <w:t>621.79</w:t>
      </w:r>
      <w:r>
        <w:rPr>
          <w:rFonts w:hint="eastAsia" w:ascii="Times New Roman" w:hAnsi="Times New Roman" w:eastAsia="方正仿宋_GBK" w:cs="Times New Roman"/>
          <w:kern w:val="2"/>
          <w:sz w:val="32"/>
          <w:szCs w:val="32"/>
          <w:lang w:val="zh-CN" w:eastAsia="zh-CN" w:bidi="ar-SA"/>
        </w:rPr>
        <w:t>万元，完成预算100%；商业服务业等支出（类）商业流通事务（款）其他商业流通事务支出（项）:支出决算为10万元，完成预算100%。</w:t>
      </w:r>
    </w:p>
    <w:p w14:paraId="4AC68999">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zh-CN" w:eastAsia="zh-CN" w:bidi="ar-SA"/>
        </w:rPr>
      </w:pPr>
      <w:r>
        <w:rPr>
          <w:rFonts w:hint="eastAsia" w:ascii="Times New Roman" w:hAnsi="Times New Roman" w:eastAsia="方正仿宋_GBK" w:cs="Times New Roman"/>
          <w:kern w:val="2"/>
          <w:sz w:val="32"/>
          <w:szCs w:val="32"/>
          <w:lang w:val="zh-CN" w:eastAsia="zh-CN" w:bidi="ar-SA"/>
        </w:rPr>
        <w:t>4.住房保障支出（类）住房改革支出（款）住房公积金（项）:支出决算为</w:t>
      </w:r>
      <w:r>
        <w:rPr>
          <w:rFonts w:hint="eastAsia" w:ascii="Times New Roman" w:hAnsi="Times New Roman" w:eastAsia="方正仿宋_GBK" w:cs="Times New Roman"/>
          <w:kern w:val="2"/>
          <w:sz w:val="32"/>
          <w:szCs w:val="32"/>
          <w:lang w:val="en-US" w:eastAsia="zh-CN" w:bidi="ar-SA"/>
        </w:rPr>
        <w:t>44.77</w:t>
      </w:r>
      <w:r>
        <w:rPr>
          <w:rFonts w:hint="eastAsia" w:ascii="Times New Roman" w:hAnsi="Times New Roman" w:eastAsia="方正仿宋_GBK" w:cs="Times New Roman"/>
          <w:kern w:val="2"/>
          <w:sz w:val="32"/>
          <w:szCs w:val="32"/>
          <w:lang w:val="zh-CN" w:eastAsia="zh-CN" w:bidi="ar-SA"/>
        </w:rPr>
        <w:t>万元，完成预算100%；住房保障支出（类）住房改革支出（款）购房补贴（项）:支出决算为</w:t>
      </w:r>
      <w:r>
        <w:rPr>
          <w:rFonts w:hint="eastAsia" w:ascii="Times New Roman" w:hAnsi="Times New Roman" w:eastAsia="方正仿宋_GBK" w:cs="Times New Roman"/>
          <w:kern w:val="2"/>
          <w:sz w:val="32"/>
          <w:szCs w:val="32"/>
          <w:lang w:val="en-US" w:eastAsia="zh-CN" w:bidi="ar-SA"/>
        </w:rPr>
        <w:t>3.40</w:t>
      </w:r>
      <w:r>
        <w:rPr>
          <w:rFonts w:hint="eastAsia" w:ascii="Times New Roman" w:hAnsi="Times New Roman" w:eastAsia="方正仿宋_GBK" w:cs="Times New Roman"/>
          <w:kern w:val="2"/>
          <w:sz w:val="32"/>
          <w:szCs w:val="32"/>
          <w:lang w:val="zh-CN" w:eastAsia="zh-CN" w:bidi="ar-SA"/>
        </w:rPr>
        <w:t>万元，完成预算100%。</w:t>
      </w:r>
    </w:p>
    <w:p w14:paraId="767F4DAB">
      <w:pPr>
        <w:pageBreakBefore w:val="0"/>
        <w:widowControl w:val="0"/>
        <w:tabs>
          <w:tab w:val="right" w:pos="8306"/>
        </w:tabs>
        <w:wordWrap/>
        <w:overflowPunct w:val="0"/>
        <w:topLinePunct w:val="0"/>
        <w:bidi w:val="0"/>
        <w:spacing w:line="600" w:lineRule="exact"/>
        <w:ind w:firstLine="640"/>
        <w:outlineLvl w:val="1"/>
        <w:rPr>
          <w:rStyle w:val="23"/>
          <w:rFonts w:ascii="Times New Roman" w:hAnsi="Times New Roman"/>
        </w:rPr>
      </w:pPr>
      <w:bookmarkStart w:id="28" w:name="_Toc15377214"/>
      <w:bookmarkStart w:id="29" w:name="_Toc15396608"/>
      <w:r>
        <w:rPr>
          <w:rFonts w:hint="eastAsia" w:eastAsia="黑体"/>
          <w:sz w:val="32"/>
          <w:szCs w:val="32"/>
        </w:rPr>
        <w:t>六</w:t>
      </w:r>
      <w:r>
        <w:rPr>
          <w:rFonts w:hint="eastAsia" w:eastAsia="黑体"/>
          <w:b/>
          <w:sz w:val="32"/>
          <w:szCs w:val="32"/>
        </w:rPr>
        <w:t>、一</w:t>
      </w:r>
      <w:r>
        <w:rPr>
          <w:rStyle w:val="23"/>
          <w:rFonts w:hint="eastAsia" w:ascii="Times New Roman" w:hAnsi="Times New Roman" w:eastAsia="黑体"/>
          <w:b w:val="0"/>
        </w:rPr>
        <w:t>般公共预算财政拨款基本支出决算情况说明</w:t>
      </w:r>
      <w:bookmarkEnd w:id="28"/>
      <w:bookmarkEnd w:id="29"/>
      <w:r>
        <w:rPr>
          <w:rStyle w:val="23"/>
          <w:rFonts w:ascii="Times New Roman" w:hAnsi="Times New Roman" w:eastAsia="黑体"/>
          <w:b w:val="0"/>
        </w:rPr>
        <w:tab/>
      </w:r>
    </w:p>
    <w:p w14:paraId="3E3704FB">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zh-CN" w:eastAsia="zh-CN" w:bidi="ar-SA"/>
        </w:rPr>
        <w:t>2024年度一般公共预算财政拨款基本</w:t>
      </w:r>
      <w:r>
        <w:rPr>
          <w:rFonts w:hint="eastAsia" w:ascii="Times New Roman" w:hAnsi="Times New Roman" w:eastAsia="方正仿宋_GBK" w:cs="Times New Roman"/>
          <w:kern w:val="2"/>
          <w:sz w:val="32"/>
          <w:szCs w:val="32"/>
          <w:lang w:val="en-US" w:eastAsia="zh-CN" w:bidi="ar-SA"/>
        </w:rPr>
        <w:t>支出791.79万元，其中：</w:t>
      </w:r>
    </w:p>
    <w:p w14:paraId="66498F5B">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zh-CN" w:eastAsia="zh-CN" w:bidi="ar-SA"/>
        </w:rPr>
      </w:pPr>
      <w:r>
        <w:rPr>
          <w:rFonts w:hint="eastAsia" w:ascii="Times New Roman" w:hAnsi="Times New Roman" w:eastAsia="方正仿宋_GBK" w:cs="Times New Roman"/>
          <w:kern w:val="2"/>
          <w:sz w:val="32"/>
          <w:szCs w:val="32"/>
          <w:lang w:val="en-US" w:eastAsia="zh-CN" w:bidi="ar-SA"/>
        </w:rPr>
        <w:t>人员经费701.03万元，主要包括：基本工</w:t>
      </w:r>
      <w:r>
        <w:rPr>
          <w:rFonts w:hint="eastAsia" w:ascii="Times New Roman" w:hAnsi="Times New Roman" w:eastAsia="方正仿宋_GBK" w:cs="Times New Roman"/>
          <w:kern w:val="2"/>
          <w:sz w:val="32"/>
          <w:szCs w:val="32"/>
          <w:lang w:val="zh-CN" w:eastAsia="zh-CN" w:bidi="ar-SA"/>
        </w:rPr>
        <w:t>资</w:t>
      </w:r>
      <w:r>
        <w:rPr>
          <w:rFonts w:hint="eastAsia" w:ascii="Times New Roman" w:hAnsi="Times New Roman" w:eastAsia="方正仿宋_GBK" w:cs="Times New Roman"/>
          <w:kern w:val="2"/>
          <w:sz w:val="32"/>
          <w:szCs w:val="32"/>
          <w:lang w:val="en-US" w:eastAsia="zh-CN" w:bidi="ar-SA"/>
        </w:rPr>
        <w:t>117.52万元</w:t>
      </w:r>
      <w:r>
        <w:rPr>
          <w:rFonts w:hint="eastAsia" w:ascii="Times New Roman" w:hAnsi="Times New Roman" w:eastAsia="方正仿宋_GBK" w:cs="Times New Roman"/>
          <w:kern w:val="2"/>
          <w:sz w:val="32"/>
          <w:szCs w:val="32"/>
          <w:lang w:val="zh-CN" w:eastAsia="zh-CN" w:bidi="ar-SA"/>
        </w:rPr>
        <w:t>、津贴补贴</w:t>
      </w:r>
      <w:r>
        <w:rPr>
          <w:rFonts w:hint="eastAsia" w:ascii="Times New Roman" w:hAnsi="Times New Roman" w:eastAsia="方正仿宋_GBK" w:cs="Times New Roman"/>
          <w:kern w:val="2"/>
          <w:sz w:val="32"/>
          <w:szCs w:val="32"/>
          <w:lang w:val="en-US" w:eastAsia="zh-CN" w:bidi="ar-SA"/>
        </w:rPr>
        <w:t>141.71万元</w:t>
      </w:r>
      <w:r>
        <w:rPr>
          <w:rFonts w:hint="eastAsia" w:ascii="Times New Roman" w:hAnsi="Times New Roman" w:eastAsia="方正仿宋_GBK" w:cs="Times New Roman"/>
          <w:kern w:val="2"/>
          <w:sz w:val="32"/>
          <w:szCs w:val="32"/>
          <w:lang w:val="zh-CN" w:eastAsia="zh-CN" w:bidi="ar-SA"/>
        </w:rPr>
        <w:t>、奖金</w:t>
      </w:r>
      <w:r>
        <w:rPr>
          <w:rFonts w:hint="eastAsia" w:ascii="Times New Roman" w:hAnsi="Times New Roman" w:eastAsia="方正仿宋_GBK" w:cs="Times New Roman"/>
          <w:kern w:val="2"/>
          <w:sz w:val="32"/>
          <w:szCs w:val="32"/>
          <w:lang w:val="en-US" w:eastAsia="zh-CN" w:bidi="ar-SA"/>
        </w:rPr>
        <w:t>153.39万元</w:t>
      </w:r>
      <w:r>
        <w:rPr>
          <w:rFonts w:hint="eastAsia" w:ascii="Times New Roman" w:hAnsi="Times New Roman" w:eastAsia="方正仿宋_GBK" w:cs="Times New Roman"/>
          <w:kern w:val="2"/>
          <w:sz w:val="32"/>
          <w:szCs w:val="32"/>
          <w:lang w:val="zh-CN" w:eastAsia="zh-CN" w:bidi="ar-SA"/>
        </w:rPr>
        <w:t>、伙食补助费</w:t>
      </w:r>
      <w:r>
        <w:rPr>
          <w:rFonts w:hint="eastAsia" w:ascii="Times New Roman" w:hAnsi="Times New Roman" w:eastAsia="方正仿宋_GBK" w:cs="Times New Roman"/>
          <w:kern w:val="2"/>
          <w:sz w:val="32"/>
          <w:szCs w:val="32"/>
          <w:lang w:val="en-US" w:eastAsia="zh-CN" w:bidi="ar-SA"/>
        </w:rPr>
        <w:t>8.97万元</w:t>
      </w:r>
      <w:r>
        <w:rPr>
          <w:rFonts w:hint="eastAsia" w:ascii="Times New Roman" w:hAnsi="Times New Roman" w:eastAsia="方正仿宋_GBK" w:cs="Times New Roman"/>
          <w:kern w:val="2"/>
          <w:sz w:val="32"/>
          <w:szCs w:val="32"/>
          <w:lang w:val="zh-CN" w:eastAsia="zh-CN" w:bidi="ar-SA"/>
        </w:rPr>
        <w:t>、机关事业单位基本养老保险缴费</w:t>
      </w:r>
      <w:r>
        <w:rPr>
          <w:rFonts w:hint="eastAsia" w:ascii="Times New Roman" w:hAnsi="Times New Roman" w:eastAsia="方正仿宋_GBK" w:cs="Times New Roman"/>
          <w:kern w:val="2"/>
          <w:sz w:val="32"/>
          <w:szCs w:val="32"/>
          <w:lang w:val="en-US" w:eastAsia="zh-CN" w:bidi="ar-SA"/>
        </w:rPr>
        <w:t>56.85万元</w:t>
      </w:r>
      <w:r>
        <w:rPr>
          <w:rFonts w:hint="eastAsia" w:ascii="Times New Roman" w:hAnsi="Times New Roman" w:eastAsia="方正仿宋_GBK" w:cs="Times New Roman"/>
          <w:kern w:val="2"/>
          <w:sz w:val="32"/>
          <w:szCs w:val="32"/>
          <w:lang w:val="zh-CN" w:eastAsia="zh-CN" w:bidi="ar-SA"/>
        </w:rPr>
        <w:t>、职业年金缴费</w:t>
      </w:r>
      <w:r>
        <w:rPr>
          <w:rFonts w:hint="eastAsia" w:ascii="Times New Roman" w:hAnsi="Times New Roman" w:eastAsia="方正仿宋_GBK" w:cs="Times New Roman"/>
          <w:kern w:val="2"/>
          <w:sz w:val="32"/>
          <w:szCs w:val="32"/>
          <w:lang w:val="en-US" w:eastAsia="zh-CN" w:bidi="ar-SA"/>
        </w:rPr>
        <w:t>28.42万元</w:t>
      </w:r>
      <w:r>
        <w:rPr>
          <w:rFonts w:hint="eastAsia" w:ascii="Times New Roman" w:hAnsi="Times New Roman" w:eastAsia="方正仿宋_GBK" w:cs="Times New Roman"/>
          <w:kern w:val="2"/>
          <w:sz w:val="32"/>
          <w:szCs w:val="32"/>
          <w:lang w:val="zh-CN" w:eastAsia="zh-CN" w:bidi="ar-SA"/>
        </w:rPr>
        <w:t>、职工基本医疗保险缴费</w:t>
      </w:r>
      <w:r>
        <w:rPr>
          <w:rFonts w:hint="eastAsia" w:ascii="Times New Roman" w:hAnsi="Times New Roman" w:eastAsia="方正仿宋_GBK" w:cs="Times New Roman"/>
          <w:kern w:val="2"/>
          <w:sz w:val="32"/>
          <w:szCs w:val="32"/>
          <w:lang w:val="en-US" w:eastAsia="zh-CN" w:bidi="ar-SA"/>
        </w:rPr>
        <w:t>26.36</w:t>
      </w:r>
      <w:r>
        <w:rPr>
          <w:rFonts w:hint="eastAsia" w:ascii="Times New Roman" w:hAnsi="Times New Roman" w:eastAsia="方正仿宋_GBK" w:cs="Times New Roman"/>
          <w:kern w:val="2"/>
          <w:sz w:val="32"/>
          <w:szCs w:val="32"/>
          <w:lang w:val="zh-CN" w:eastAsia="zh-CN" w:bidi="ar-SA"/>
        </w:rPr>
        <w:t>万元、公务员医疗补助缴费</w:t>
      </w:r>
      <w:r>
        <w:rPr>
          <w:rFonts w:hint="eastAsia" w:ascii="Times New Roman" w:hAnsi="Times New Roman" w:eastAsia="方正仿宋_GBK" w:cs="Times New Roman"/>
          <w:kern w:val="2"/>
          <w:sz w:val="32"/>
          <w:szCs w:val="32"/>
          <w:lang w:val="en-US" w:eastAsia="zh-CN" w:bidi="ar-SA"/>
        </w:rPr>
        <w:t>10.19</w:t>
      </w:r>
      <w:r>
        <w:rPr>
          <w:rFonts w:hint="eastAsia" w:ascii="Times New Roman" w:hAnsi="Times New Roman" w:eastAsia="方正仿宋_GBK" w:cs="Times New Roman"/>
          <w:kern w:val="2"/>
          <w:sz w:val="32"/>
          <w:szCs w:val="32"/>
          <w:lang w:val="zh-CN" w:eastAsia="zh-CN" w:bidi="ar-SA"/>
        </w:rPr>
        <w:t>万元、其他社会保障缴费5.5</w:t>
      </w:r>
      <w:r>
        <w:rPr>
          <w:rFonts w:hint="eastAsia" w:ascii="Times New Roman" w:hAnsi="Times New Roman" w:eastAsia="方正仿宋_GBK" w:cs="Times New Roman"/>
          <w:kern w:val="2"/>
          <w:sz w:val="32"/>
          <w:szCs w:val="32"/>
          <w:lang w:val="en-US" w:eastAsia="zh-CN" w:bidi="ar-SA"/>
        </w:rPr>
        <w:t>5</w:t>
      </w:r>
      <w:r>
        <w:rPr>
          <w:rFonts w:hint="eastAsia" w:ascii="Times New Roman" w:hAnsi="Times New Roman" w:eastAsia="方正仿宋_GBK" w:cs="Times New Roman"/>
          <w:kern w:val="2"/>
          <w:sz w:val="32"/>
          <w:szCs w:val="32"/>
          <w:lang w:val="zh-CN" w:eastAsia="zh-CN" w:bidi="ar-SA"/>
        </w:rPr>
        <w:t>万元、住房公积金</w:t>
      </w:r>
      <w:r>
        <w:rPr>
          <w:rFonts w:hint="eastAsia" w:ascii="Times New Roman" w:hAnsi="Times New Roman" w:eastAsia="方正仿宋_GBK" w:cs="Times New Roman"/>
          <w:kern w:val="2"/>
          <w:sz w:val="32"/>
          <w:szCs w:val="32"/>
          <w:lang w:val="en-US" w:eastAsia="zh-CN" w:bidi="ar-SA"/>
        </w:rPr>
        <w:t>44.77</w:t>
      </w:r>
      <w:r>
        <w:rPr>
          <w:rFonts w:hint="eastAsia" w:ascii="Times New Roman" w:hAnsi="Times New Roman" w:eastAsia="方正仿宋_GBK" w:cs="Times New Roman"/>
          <w:kern w:val="2"/>
          <w:sz w:val="32"/>
          <w:szCs w:val="32"/>
          <w:lang w:val="zh-CN" w:eastAsia="zh-CN" w:bidi="ar-SA"/>
        </w:rPr>
        <w:t>万元、抚恤金2</w:t>
      </w:r>
      <w:r>
        <w:rPr>
          <w:rFonts w:hint="eastAsia" w:ascii="Times New Roman" w:hAnsi="Times New Roman" w:eastAsia="方正仿宋_GBK" w:cs="Times New Roman"/>
          <w:kern w:val="2"/>
          <w:sz w:val="32"/>
          <w:szCs w:val="32"/>
          <w:lang w:val="en-US" w:eastAsia="zh-CN" w:bidi="ar-SA"/>
        </w:rPr>
        <w:t>9.52</w:t>
      </w:r>
      <w:r>
        <w:rPr>
          <w:rFonts w:hint="eastAsia" w:ascii="Times New Roman" w:hAnsi="Times New Roman" w:eastAsia="方正仿宋_GBK" w:cs="Times New Roman"/>
          <w:kern w:val="2"/>
          <w:sz w:val="32"/>
          <w:szCs w:val="32"/>
          <w:lang w:val="zh-CN" w:eastAsia="zh-CN" w:bidi="ar-SA"/>
        </w:rPr>
        <w:t>万元、生活补助7</w:t>
      </w:r>
      <w:r>
        <w:rPr>
          <w:rFonts w:hint="eastAsia" w:ascii="Times New Roman" w:hAnsi="Times New Roman" w:eastAsia="方正仿宋_GBK" w:cs="Times New Roman"/>
          <w:kern w:val="2"/>
          <w:sz w:val="32"/>
          <w:szCs w:val="32"/>
          <w:lang w:val="en-US" w:eastAsia="zh-CN" w:bidi="ar-SA"/>
        </w:rPr>
        <w:t>7.78</w:t>
      </w:r>
      <w:r>
        <w:rPr>
          <w:rFonts w:hint="eastAsia" w:ascii="Times New Roman" w:hAnsi="Times New Roman" w:eastAsia="方正仿宋_GBK" w:cs="Times New Roman"/>
          <w:kern w:val="2"/>
          <w:sz w:val="32"/>
          <w:szCs w:val="32"/>
          <w:lang w:val="zh-CN" w:eastAsia="zh-CN" w:bidi="ar-SA"/>
        </w:rPr>
        <w:t>万元、奖励金0.01万元。</w:t>
      </w:r>
      <w:r>
        <w:rPr>
          <w:rFonts w:hint="eastAsia" w:ascii="Times New Roman" w:hAnsi="Times New Roman" w:eastAsia="方正仿宋_GBK" w:cs="Times New Roman"/>
          <w:kern w:val="2"/>
          <w:sz w:val="32"/>
          <w:szCs w:val="32"/>
          <w:lang w:val="zh-CN" w:eastAsia="zh-CN" w:bidi="ar-SA"/>
        </w:rPr>
        <w:br w:type="textWrapping"/>
      </w:r>
      <w:r>
        <w:rPr>
          <w:rFonts w:hint="eastAsia" w:ascii="Times New Roman" w:hAnsi="Times New Roman" w:eastAsia="方正仿宋_GBK" w:cs="Times New Roman"/>
          <w:kern w:val="2"/>
          <w:sz w:val="32"/>
          <w:szCs w:val="32"/>
          <w:lang w:val="zh-CN" w:eastAsia="zh-CN" w:bidi="ar-SA"/>
        </w:rPr>
        <w:t>　　公用经费</w:t>
      </w:r>
      <w:r>
        <w:rPr>
          <w:rFonts w:hint="eastAsia" w:ascii="Times New Roman" w:hAnsi="Times New Roman" w:eastAsia="方正仿宋_GBK" w:cs="Times New Roman"/>
          <w:kern w:val="2"/>
          <w:sz w:val="32"/>
          <w:szCs w:val="32"/>
          <w:lang w:val="en-US" w:eastAsia="zh-CN" w:bidi="ar-SA"/>
        </w:rPr>
        <w:t>90.75</w:t>
      </w:r>
      <w:r>
        <w:rPr>
          <w:rFonts w:hint="eastAsia" w:ascii="Times New Roman" w:hAnsi="Times New Roman" w:eastAsia="方正仿宋_GBK" w:cs="Times New Roman"/>
          <w:kern w:val="2"/>
          <w:sz w:val="32"/>
          <w:szCs w:val="32"/>
          <w:lang w:val="zh-CN" w:eastAsia="zh-CN" w:bidi="ar-SA"/>
        </w:rPr>
        <w:t>万元，主要包括：办公费</w:t>
      </w:r>
      <w:r>
        <w:rPr>
          <w:rFonts w:hint="eastAsia" w:ascii="Times New Roman" w:hAnsi="Times New Roman" w:eastAsia="方正仿宋_GBK" w:cs="Times New Roman"/>
          <w:kern w:val="2"/>
          <w:sz w:val="32"/>
          <w:szCs w:val="32"/>
          <w:lang w:val="en-US" w:eastAsia="zh-CN" w:bidi="ar-SA"/>
        </w:rPr>
        <w:t>4.64万元</w:t>
      </w:r>
      <w:r>
        <w:rPr>
          <w:rFonts w:hint="eastAsia" w:ascii="Times New Roman" w:hAnsi="Times New Roman" w:eastAsia="方正仿宋_GBK" w:cs="Times New Roman"/>
          <w:kern w:val="2"/>
          <w:sz w:val="32"/>
          <w:szCs w:val="32"/>
          <w:lang w:val="zh-CN" w:eastAsia="zh-CN" w:bidi="ar-SA"/>
        </w:rPr>
        <w:t>、印刷费</w:t>
      </w:r>
      <w:r>
        <w:rPr>
          <w:rFonts w:hint="eastAsia" w:ascii="Times New Roman" w:hAnsi="Times New Roman" w:eastAsia="方正仿宋_GBK" w:cs="Times New Roman"/>
          <w:kern w:val="2"/>
          <w:sz w:val="32"/>
          <w:szCs w:val="32"/>
          <w:lang w:val="en-US" w:eastAsia="zh-CN" w:bidi="ar-SA"/>
        </w:rPr>
        <w:t>1.80万元</w:t>
      </w:r>
      <w:r>
        <w:rPr>
          <w:rFonts w:hint="eastAsia" w:ascii="Times New Roman" w:hAnsi="Times New Roman" w:eastAsia="方正仿宋_GBK" w:cs="Times New Roman"/>
          <w:kern w:val="2"/>
          <w:sz w:val="32"/>
          <w:szCs w:val="32"/>
          <w:lang w:val="zh-CN" w:eastAsia="zh-CN" w:bidi="ar-SA"/>
        </w:rPr>
        <w:t>、水费</w:t>
      </w:r>
      <w:r>
        <w:rPr>
          <w:rFonts w:hint="eastAsia" w:ascii="Times New Roman" w:hAnsi="Times New Roman" w:eastAsia="方正仿宋_GBK" w:cs="Times New Roman"/>
          <w:kern w:val="2"/>
          <w:sz w:val="32"/>
          <w:szCs w:val="32"/>
          <w:lang w:val="en-US" w:eastAsia="zh-CN" w:bidi="ar-SA"/>
        </w:rPr>
        <w:t>0.30万元</w:t>
      </w:r>
      <w:r>
        <w:rPr>
          <w:rFonts w:hint="eastAsia" w:ascii="Times New Roman" w:hAnsi="Times New Roman" w:eastAsia="方正仿宋_GBK" w:cs="Times New Roman"/>
          <w:kern w:val="2"/>
          <w:sz w:val="32"/>
          <w:szCs w:val="32"/>
          <w:lang w:val="zh-CN" w:eastAsia="zh-CN" w:bidi="ar-SA"/>
        </w:rPr>
        <w:t>、电费</w:t>
      </w:r>
      <w:r>
        <w:rPr>
          <w:rFonts w:hint="eastAsia" w:ascii="Times New Roman" w:hAnsi="Times New Roman" w:eastAsia="方正仿宋_GBK" w:cs="Times New Roman"/>
          <w:kern w:val="2"/>
          <w:sz w:val="32"/>
          <w:szCs w:val="32"/>
          <w:lang w:val="en-US" w:eastAsia="zh-CN" w:bidi="ar-SA"/>
        </w:rPr>
        <w:t>2.19万元</w:t>
      </w:r>
      <w:r>
        <w:rPr>
          <w:rFonts w:hint="eastAsia" w:ascii="Times New Roman" w:hAnsi="Times New Roman" w:eastAsia="方正仿宋_GBK" w:cs="Times New Roman"/>
          <w:kern w:val="2"/>
          <w:sz w:val="32"/>
          <w:szCs w:val="32"/>
          <w:lang w:val="zh-CN" w:eastAsia="zh-CN" w:bidi="ar-SA"/>
        </w:rPr>
        <w:t>、邮电费</w:t>
      </w:r>
      <w:r>
        <w:rPr>
          <w:rFonts w:hint="eastAsia" w:ascii="Times New Roman" w:hAnsi="Times New Roman" w:eastAsia="方正仿宋_GBK" w:cs="Times New Roman"/>
          <w:kern w:val="2"/>
          <w:sz w:val="32"/>
          <w:szCs w:val="32"/>
          <w:lang w:val="en-US" w:eastAsia="zh-CN" w:bidi="ar-SA"/>
        </w:rPr>
        <w:t>6.22万元</w:t>
      </w:r>
      <w:r>
        <w:rPr>
          <w:rFonts w:hint="eastAsia" w:ascii="Times New Roman" w:hAnsi="Times New Roman" w:eastAsia="方正仿宋_GBK" w:cs="Times New Roman"/>
          <w:kern w:val="2"/>
          <w:sz w:val="32"/>
          <w:szCs w:val="32"/>
          <w:lang w:val="zh-CN" w:eastAsia="zh-CN" w:bidi="ar-SA"/>
        </w:rPr>
        <w:t>、物业管理费</w:t>
      </w:r>
      <w:r>
        <w:rPr>
          <w:rFonts w:hint="eastAsia" w:ascii="Times New Roman" w:hAnsi="Times New Roman" w:eastAsia="方正仿宋_GBK" w:cs="Times New Roman"/>
          <w:kern w:val="2"/>
          <w:sz w:val="32"/>
          <w:szCs w:val="32"/>
          <w:lang w:val="en-US" w:eastAsia="zh-CN" w:bidi="ar-SA"/>
        </w:rPr>
        <w:t>1.09万元</w:t>
      </w:r>
      <w:r>
        <w:rPr>
          <w:rFonts w:hint="eastAsia" w:ascii="Times New Roman" w:hAnsi="Times New Roman" w:eastAsia="方正仿宋_GBK" w:cs="Times New Roman"/>
          <w:kern w:val="2"/>
          <w:sz w:val="32"/>
          <w:szCs w:val="32"/>
          <w:lang w:val="zh-CN" w:eastAsia="zh-CN" w:bidi="ar-SA"/>
        </w:rPr>
        <w:t>、差旅费</w:t>
      </w:r>
      <w:r>
        <w:rPr>
          <w:rFonts w:hint="eastAsia" w:ascii="Times New Roman" w:hAnsi="Times New Roman" w:eastAsia="方正仿宋_GBK" w:cs="Times New Roman"/>
          <w:kern w:val="2"/>
          <w:sz w:val="32"/>
          <w:szCs w:val="32"/>
          <w:lang w:val="en-US" w:eastAsia="zh-CN" w:bidi="ar-SA"/>
        </w:rPr>
        <w:t>22.32万元</w:t>
      </w:r>
      <w:r>
        <w:rPr>
          <w:rFonts w:hint="eastAsia" w:ascii="Times New Roman" w:hAnsi="Times New Roman" w:eastAsia="方正仿宋_GBK" w:cs="Times New Roman"/>
          <w:kern w:val="2"/>
          <w:sz w:val="32"/>
          <w:szCs w:val="32"/>
          <w:lang w:val="zh-CN" w:eastAsia="zh-CN" w:bidi="ar-SA"/>
        </w:rPr>
        <w:t>、维修（护）费</w:t>
      </w:r>
      <w:r>
        <w:rPr>
          <w:rFonts w:hint="eastAsia" w:ascii="Times New Roman" w:hAnsi="Times New Roman" w:eastAsia="方正仿宋_GBK" w:cs="Times New Roman"/>
          <w:kern w:val="2"/>
          <w:sz w:val="32"/>
          <w:szCs w:val="32"/>
          <w:lang w:val="en-US" w:eastAsia="zh-CN" w:bidi="ar-SA"/>
        </w:rPr>
        <w:t>1.80万元</w:t>
      </w:r>
      <w:r>
        <w:rPr>
          <w:rFonts w:hint="eastAsia" w:ascii="Times New Roman" w:hAnsi="Times New Roman" w:eastAsia="方正仿宋_GBK" w:cs="Times New Roman"/>
          <w:kern w:val="2"/>
          <w:sz w:val="32"/>
          <w:szCs w:val="32"/>
          <w:lang w:val="zh-CN" w:eastAsia="zh-CN" w:bidi="ar-SA"/>
        </w:rPr>
        <w:t>、会议费</w:t>
      </w:r>
      <w:r>
        <w:rPr>
          <w:rFonts w:hint="eastAsia" w:ascii="Times New Roman" w:hAnsi="Times New Roman" w:eastAsia="方正仿宋_GBK" w:cs="Times New Roman"/>
          <w:kern w:val="2"/>
          <w:sz w:val="32"/>
          <w:szCs w:val="32"/>
          <w:lang w:val="en-US" w:eastAsia="zh-CN" w:bidi="ar-SA"/>
        </w:rPr>
        <w:t>2.73万元</w:t>
      </w:r>
      <w:r>
        <w:rPr>
          <w:rFonts w:hint="eastAsia" w:ascii="Times New Roman" w:hAnsi="Times New Roman" w:eastAsia="方正仿宋_GBK" w:cs="Times New Roman"/>
          <w:kern w:val="2"/>
          <w:sz w:val="32"/>
          <w:szCs w:val="32"/>
          <w:lang w:val="zh-CN" w:eastAsia="zh-CN" w:bidi="ar-SA"/>
        </w:rPr>
        <w:t>、培训费</w:t>
      </w:r>
      <w:r>
        <w:rPr>
          <w:rFonts w:hint="eastAsia" w:ascii="Times New Roman" w:hAnsi="Times New Roman" w:eastAsia="方正仿宋_GBK" w:cs="Times New Roman"/>
          <w:kern w:val="2"/>
          <w:sz w:val="32"/>
          <w:szCs w:val="32"/>
          <w:lang w:val="en-US" w:eastAsia="zh-CN" w:bidi="ar-SA"/>
        </w:rPr>
        <w:t>6.88万元</w:t>
      </w:r>
      <w:r>
        <w:rPr>
          <w:rFonts w:hint="eastAsia" w:ascii="Times New Roman" w:hAnsi="Times New Roman" w:eastAsia="方正仿宋_GBK" w:cs="Times New Roman"/>
          <w:kern w:val="2"/>
          <w:sz w:val="32"/>
          <w:szCs w:val="32"/>
          <w:lang w:val="zh-CN" w:eastAsia="zh-CN" w:bidi="ar-SA"/>
        </w:rPr>
        <w:t>、公务接待费</w:t>
      </w:r>
      <w:r>
        <w:rPr>
          <w:rFonts w:hint="eastAsia" w:ascii="Times New Roman" w:hAnsi="Times New Roman" w:eastAsia="方正仿宋_GBK" w:cs="Times New Roman"/>
          <w:kern w:val="2"/>
          <w:sz w:val="32"/>
          <w:szCs w:val="32"/>
          <w:lang w:val="en-US" w:eastAsia="zh-CN" w:bidi="ar-SA"/>
        </w:rPr>
        <w:t>0.15万元</w:t>
      </w:r>
      <w:r>
        <w:rPr>
          <w:rFonts w:hint="eastAsia" w:ascii="Times New Roman" w:hAnsi="Times New Roman" w:eastAsia="方正仿宋_GBK" w:cs="Times New Roman"/>
          <w:kern w:val="2"/>
          <w:sz w:val="32"/>
          <w:szCs w:val="32"/>
          <w:lang w:val="zh-CN" w:eastAsia="zh-CN" w:bidi="ar-SA"/>
        </w:rPr>
        <w:t>、劳务费</w:t>
      </w:r>
      <w:r>
        <w:rPr>
          <w:rFonts w:hint="eastAsia" w:ascii="Times New Roman" w:hAnsi="Times New Roman" w:eastAsia="方正仿宋_GBK" w:cs="Times New Roman"/>
          <w:kern w:val="2"/>
          <w:sz w:val="32"/>
          <w:szCs w:val="32"/>
          <w:lang w:val="en-US" w:eastAsia="zh-CN" w:bidi="ar-SA"/>
        </w:rPr>
        <w:t>8.80万元</w:t>
      </w:r>
      <w:r>
        <w:rPr>
          <w:rFonts w:hint="eastAsia" w:ascii="Times New Roman" w:hAnsi="Times New Roman" w:eastAsia="方正仿宋_GBK" w:cs="Times New Roman"/>
          <w:kern w:val="2"/>
          <w:sz w:val="32"/>
          <w:szCs w:val="32"/>
          <w:lang w:val="zh-CN" w:eastAsia="zh-CN" w:bidi="ar-SA"/>
        </w:rPr>
        <w:t>、福利费</w:t>
      </w:r>
      <w:r>
        <w:rPr>
          <w:rFonts w:hint="eastAsia" w:ascii="Times New Roman" w:hAnsi="Times New Roman" w:eastAsia="方正仿宋_GBK" w:cs="Times New Roman"/>
          <w:kern w:val="2"/>
          <w:sz w:val="32"/>
          <w:szCs w:val="32"/>
          <w:lang w:val="en-US" w:eastAsia="zh-CN" w:bidi="ar-SA"/>
        </w:rPr>
        <w:t>5.39万元</w:t>
      </w:r>
      <w:r>
        <w:rPr>
          <w:rFonts w:hint="eastAsia" w:ascii="Times New Roman" w:hAnsi="Times New Roman" w:eastAsia="方正仿宋_GBK" w:cs="Times New Roman"/>
          <w:kern w:val="2"/>
          <w:sz w:val="32"/>
          <w:szCs w:val="32"/>
          <w:lang w:val="zh-CN" w:eastAsia="zh-CN" w:bidi="ar-SA"/>
        </w:rPr>
        <w:t>、公务用车运行维护费</w:t>
      </w:r>
      <w:r>
        <w:rPr>
          <w:rFonts w:hint="eastAsia" w:ascii="Times New Roman" w:hAnsi="Times New Roman" w:eastAsia="方正仿宋_GBK" w:cs="Times New Roman"/>
          <w:kern w:val="2"/>
          <w:sz w:val="32"/>
          <w:szCs w:val="32"/>
          <w:lang w:val="en-US" w:eastAsia="zh-CN" w:bidi="ar-SA"/>
        </w:rPr>
        <w:t>19.44万元</w:t>
      </w:r>
      <w:r>
        <w:rPr>
          <w:rFonts w:hint="eastAsia" w:ascii="Times New Roman" w:hAnsi="Times New Roman" w:eastAsia="方正仿宋_GBK" w:cs="Times New Roman"/>
          <w:kern w:val="2"/>
          <w:sz w:val="32"/>
          <w:szCs w:val="32"/>
          <w:lang w:val="zh-CN" w:eastAsia="zh-CN" w:bidi="ar-SA"/>
        </w:rPr>
        <w:t>、其他交通费</w:t>
      </w:r>
      <w:r>
        <w:rPr>
          <w:rFonts w:hint="eastAsia" w:ascii="Times New Roman" w:hAnsi="Times New Roman" w:eastAsia="方正仿宋_GBK" w:cs="Times New Roman"/>
          <w:kern w:val="2"/>
          <w:sz w:val="32"/>
          <w:szCs w:val="32"/>
          <w:lang w:val="en-US" w:eastAsia="zh-CN" w:bidi="ar-SA"/>
        </w:rPr>
        <w:t>3.92万元</w:t>
      </w:r>
      <w:r>
        <w:rPr>
          <w:rFonts w:hint="eastAsia" w:ascii="Times New Roman" w:hAnsi="Times New Roman" w:eastAsia="方正仿宋_GBK" w:cs="Times New Roman"/>
          <w:kern w:val="2"/>
          <w:sz w:val="32"/>
          <w:szCs w:val="32"/>
          <w:lang w:val="zh-CN" w:eastAsia="zh-CN" w:bidi="ar-SA"/>
        </w:rPr>
        <w:t>、其他商品和服务支出</w:t>
      </w:r>
      <w:r>
        <w:rPr>
          <w:rFonts w:hint="eastAsia" w:ascii="Times New Roman" w:hAnsi="Times New Roman" w:eastAsia="方正仿宋_GBK" w:cs="Times New Roman"/>
          <w:kern w:val="2"/>
          <w:sz w:val="32"/>
          <w:szCs w:val="32"/>
          <w:lang w:val="en-US" w:eastAsia="zh-CN" w:bidi="ar-SA"/>
        </w:rPr>
        <w:t>1.21万元</w:t>
      </w:r>
      <w:r>
        <w:rPr>
          <w:rFonts w:hint="eastAsia" w:ascii="Times New Roman" w:hAnsi="Times New Roman" w:eastAsia="方正仿宋_GBK" w:cs="Times New Roman"/>
          <w:kern w:val="2"/>
          <w:sz w:val="32"/>
          <w:szCs w:val="32"/>
          <w:lang w:val="zh-CN" w:eastAsia="zh-CN" w:bidi="ar-SA"/>
        </w:rPr>
        <w:t>、办公设备购置</w:t>
      </w:r>
      <w:r>
        <w:rPr>
          <w:rFonts w:hint="eastAsia" w:ascii="Times New Roman" w:hAnsi="Times New Roman" w:eastAsia="方正仿宋_GBK" w:cs="Times New Roman"/>
          <w:kern w:val="2"/>
          <w:sz w:val="32"/>
          <w:szCs w:val="32"/>
          <w:lang w:val="en-US" w:eastAsia="zh-CN" w:bidi="ar-SA"/>
        </w:rPr>
        <w:t>1.88万元</w:t>
      </w:r>
      <w:r>
        <w:rPr>
          <w:rFonts w:hint="eastAsia" w:ascii="Times New Roman" w:hAnsi="Times New Roman" w:eastAsia="方正仿宋_GBK" w:cs="Times New Roman"/>
          <w:kern w:val="2"/>
          <w:sz w:val="32"/>
          <w:szCs w:val="32"/>
          <w:lang w:val="zh-CN" w:eastAsia="zh-CN" w:bidi="ar-SA"/>
        </w:rPr>
        <w:t>。</w:t>
      </w:r>
    </w:p>
    <w:p w14:paraId="04DA219F">
      <w:pPr>
        <w:pageBreakBefore w:val="0"/>
        <w:widowControl w:val="0"/>
        <w:wordWrap/>
        <w:overflowPunct w:val="0"/>
        <w:topLinePunct w:val="0"/>
        <w:bidi w:val="0"/>
        <w:spacing w:line="600" w:lineRule="exact"/>
        <w:ind w:firstLine="640"/>
        <w:outlineLvl w:val="1"/>
        <w:rPr>
          <w:rStyle w:val="23"/>
          <w:rFonts w:ascii="Times New Roman" w:hAnsi="Times New Roman" w:eastAsia="黑体"/>
          <w:b w:val="0"/>
        </w:rPr>
      </w:pPr>
      <w:bookmarkStart w:id="30" w:name="_Toc15377215"/>
      <w:bookmarkStart w:id="31" w:name="_Toc15396609"/>
      <w:r>
        <w:rPr>
          <w:rFonts w:hint="eastAsia" w:eastAsia="黑体"/>
          <w:sz w:val="32"/>
          <w:szCs w:val="32"/>
        </w:rPr>
        <w:t>七、</w:t>
      </w:r>
      <w:r>
        <w:rPr>
          <w:rStyle w:val="23"/>
          <w:rFonts w:hint="eastAsia" w:ascii="Times New Roman" w:hAnsi="Times New Roman" w:eastAsia="黑体"/>
          <w:b w:val="0"/>
        </w:rPr>
        <w:t>财政拨款</w:t>
      </w:r>
      <w:r>
        <w:rPr>
          <w:rStyle w:val="23"/>
          <w:rFonts w:hint="eastAsia" w:ascii="Times New Roman" w:hAnsi="Times New Roman" w:eastAsia="黑体"/>
        </w:rPr>
        <w:t>“</w:t>
      </w:r>
      <w:r>
        <w:rPr>
          <w:rStyle w:val="23"/>
          <w:rFonts w:hint="eastAsia" w:ascii="Times New Roman" w:hAnsi="Times New Roman" w:eastAsia="黑体"/>
          <w:b w:val="0"/>
        </w:rPr>
        <w:t>三公”经费支出决算情况说明</w:t>
      </w:r>
      <w:bookmarkEnd w:id="30"/>
      <w:bookmarkEnd w:id="31"/>
    </w:p>
    <w:p w14:paraId="65F82138">
      <w:pPr>
        <w:pageBreakBefore w:val="0"/>
        <w:widowControl w:val="0"/>
        <w:wordWrap/>
        <w:overflowPunct w:val="0"/>
        <w:topLinePunct w:val="0"/>
        <w:bidi w:val="0"/>
        <w:spacing w:line="600" w:lineRule="exact"/>
        <w:ind w:firstLine="640"/>
        <w:rPr>
          <w:rFonts w:eastAsia="楷体_GB2312" w:cs="楷体_GB2312"/>
          <w:b/>
          <w:sz w:val="32"/>
          <w:szCs w:val="32"/>
        </w:rPr>
      </w:pPr>
      <w:bookmarkStart w:id="32" w:name="_Toc15377216"/>
      <w:r>
        <w:rPr>
          <w:rFonts w:hint="eastAsia" w:eastAsia="楷体_GB2312" w:cs="楷体_GB2312"/>
          <w:b/>
          <w:sz w:val="32"/>
          <w:szCs w:val="32"/>
        </w:rPr>
        <w:t>（一）“三公”经费财政拨款支出决算总体情况说明</w:t>
      </w:r>
      <w:bookmarkEnd w:id="32"/>
    </w:p>
    <w:p w14:paraId="3E95ACE1">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2024年度“三公”经费财政拨款支出决算为19.59万元，完成预算100%，较上年度增加7.92万元，增长66.28%。决算数与预算数持平。</w:t>
      </w:r>
    </w:p>
    <w:p w14:paraId="37D9DDDB">
      <w:pPr>
        <w:pageBreakBefore w:val="0"/>
        <w:widowControl w:val="0"/>
        <w:wordWrap/>
        <w:overflowPunct w:val="0"/>
        <w:topLinePunct w:val="0"/>
        <w:bidi w:val="0"/>
        <w:spacing w:line="600" w:lineRule="exact"/>
        <w:ind w:firstLine="643" w:firstLineChars="200"/>
        <w:outlineLvl w:val="2"/>
        <w:rPr>
          <w:rFonts w:eastAsia="楷体_GB2312" w:cs="楷体_GB2312"/>
          <w:b/>
          <w:sz w:val="32"/>
          <w:szCs w:val="32"/>
        </w:rPr>
      </w:pPr>
      <w:bookmarkStart w:id="33" w:name="_Toc15377217"/>
      <w:r>
        <w:rPr>
          <w:rFonts w:hint="eastAsia" w:eastAsia="楷体_GB2312" w:cs="楷体_GB2312"/>
          <w:b/>
          <w:sz w:val="32"/>
          <w:szCs w:val="32"/>
        </w:rPr>
        <w:t>（二）“三公”经费财政拨款支出决算具体情况说明</w:t>
      </w:r>
      <w:bookmarkEnd w:id="33"/>
    </w:p>
    <w:p w14:paraId="27BFC28C">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drawing>
          <wp:anchor distT="0" distB="0" distL="114300" distR="114300" simplePos="0" relativeHeight="251664384" behindDoc="0" locked="0" layoutInCell="1" allowOverlap="1">
            <wp:simplePos x="0" y="0"/>
            <wp:positionH relativeFrom="column">
              <wp:posOffset>125730</wp:posOffset>
            </wp:positionH>
            <wp:positionV relativeFrom="paragraph">
              <wp:posOffset>1633220</wp:posOffset>
            </wp:positionV>
            <wp:extent cx="5256530" cy="2398395"/>
            <wp:effectExtent l="4445" t="4445" r="15875" b="1651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ascii="Times New Roman" w:hAnsi="Times New Roman" w:eastAsia="方正仿宋_GBK" w:cs="Times New Roman"/>
          <w:kern w:val="2"/>
          <w:sz w:val="32"/>
          <w:szCs w:val="32"/>
          <w:lang w:val="en-US" w:eastAsia="zh-CN" w:bidi="ar-SA"/>
        </w:rPr>
        <w:t>2024年度“三公”经费财政拨款支出决算中，因公出国（境）费支出决算0万元，占0%；公务用车购置及运行维护费支出决算19.44万元，占99.23%；公务接待费支出决算0.15万元，占0.77%。具体情况如下：</w:t>
      </w:r>
    </w:p>
    <w:p w14:paraId="1D4161F6">
      <w:pPr>
        <w:pageBreakBefore w:val="0"/>
        <w:widowControl w:val="0"/>
        <w:wordWrap/>
        <w:overflowPunct w:val="0"/>
        <w:topLinePunct w:val="0"/>
        <w:bidi w:val="0"/>
        <w:spacing w:line="600" w:lineRule="exact"/>
        <w:ind w:firstLine="640"/>
        <w:jc w:val="center"/>
        <w:rPr>
          <w:rFonts w:eastAsia="仿宋_GB2312" w:cs="仿宋_GB2312"/>
          <w:sz w:val="32"/>
          <w:szCs w:val="32"/>
        </w:rPr>
      </w:pPr>
      <w:r>
        <w:rPr>
          <w:rFonts w:hint="eastAsia" w:eastAsia="仿宋_GB2312" w:cs="仿宋_GB2312"/>
          <w:sz w:val="32"/>
          <w:szCs w:val="32"/>
        </w:rPr>
        <w:t>（图7：“三公”经费财政拨款支出结构）</w:t>
      </w:r>
    </w:p>
    <w:p w14:paraId="45D85A71">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1.因公出国（境）经费支出0万元，</w:t>
      </w:r>
      <w:r>
        <w:rPr>
          <w:rFonts w:hint="eastAsia" w:eastAsia="方正仿宋_GBK" w:cs="Times New Roman"/>
          <w:kern w:val="2"/>
          <w:sz w:val="32"/>
          <w:szCs w:val="32"/>
          <w:lang w:val="en-US" w:eastAsia="zh-CN" w:bidi="ar-SA"/>
        </w:rPr>
        <w:t>支</w:t>
      </w:r>
      <w:r>
        <w:rPr>
          <w:rFonts w:hint="eastAsia" w:ascii="Times New Roman" w:hAnsi="Times New Roman" w:eastAsia="方正仿宋_GBK" w:cs="Times New Roman"/>
          <w:kern w:val="2"/>
          <w:sz w:val="32"/>
          <w:szCs w:val="32"/>
          <w:lang w:val="en-US" w:eastAsia="zh-CN" w:bidi="ar-SA"/>
        </w:rPr>
        <w:t>出决算与2023年一致，无变化。</w:t>
      </w:r>
    </w:p>
    <w:p w14:paraId="126BDA4A">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2.公务用车购置及运行维护费支出19.44万元，完成预算100%。公务用车购置及运行维护费支出决算</w:t>
      </w:r>
      <w:r>
        <w:rPr>
          <w:rFonts w:hint="eastAsia" w:eastAsia="方正仿宋_GBK" w:cs="Times New Roman"/>
          <w:kern w:val="2"/>
          <w:sz w:val="32"/>
          <w:szCs w:val="32"/>
          <w:lang w:val="en-US" w:eastAsia="zh-CN" w:bidi="ar-SA"/>
        </w:rPr>
        <w:t>数</w:t>
      </w:r>
      <w:r>
        <w:rPr>
          <w:rFonts w:hint="eastAsia" w:ascii="Times New Roman" w:hAnsi="Times New Roman" w:eastAsia="方正仿宋_GBK" w:cs="Times New Roman"/>
          <w:kern w:val="2"/>
          <w:sz w:val="32"/>
          <w:szCs w:val="32"/>
          <w:lang w:val="en-US" w:eastAsia="zh-CN" w:bidi="ar-SA"/>
        </w:rPr>
        <w:t>比2023年度增加7.92万元，增长68.75%。主要原因是2024年公务用车大修支出7.92万元。</w:t>
      </w:r>
    </w:p>
    <w:p w14:paraId="7F2336A6">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其中：公务用车购置支出0万元。全年按规定更新购置公务用车0辆。截至2024年12月31日，单位共有公务用车2辆，其中：轿车0辆、越野车2辆、载客汽车0辆。</w:t>
      </w:r>
    </w:p>
    <w:p w14:paraId="4D821A85">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公务用车运行维护费支出19.44万元。主要用于保障对全州供销社系统工作的指导、开展日常工作、森林草原防灭火、安全生产检查等公务活动所需的公务用车燃料费、维修费、过路过桥费、保险费</w:t>
      </w:r>
      <w:r>
        <w:rPr>
          <w:rFonts w:hint="eastAsia" w:eastAsia="方正仿宋_GBK" w:cs="Times New Roman"/>
          <w:kern w:val="2"/>
          <w:sz w:val="32"/>
          <w:szCs w:val="32"/>
          <w:lang w:val="en-US" w:eastAsia="zh-CN" w:bidi="ar-SA"/>
        </w:rPr>
        <w:t>、车辆大修</w:t>
      </w:r>
      <w:r>
        <w:rPr>
          <w:rFonts w:hint="eastAsia" w:ascii="Times New Roman" w:hAnsi="Times New Roman" w:eastAsia="方正仿宋_GBK" w:cs="Times New Roman"/>
          <w:kern w:val="2"/>
          <w:sz w:val="32"/>
          <w:szCs w:val="32"/>
          <w:lang w:val="en-US" w:eastAsia="zh-CN" w:bidi="ar-SA"/>
        </w:rPr>
        <w:t xml:space="preserve">等支出。 </w:t>
      </w:r>
    </w:p>
    <w:p w14:paraId="3B2A974F">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3.公务接待费支出0.15万元，完成预算100%。公务接待费支出决算比2023年度减少0.28万元，下降58.33%。主要原因是2024年度公务接待批次较上年减少。其中：</w:t>
      </w:r>
    </w:p>
    <w:p w14:paraId="769422DB">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国内公务接待支出0.15万元，主要用于开展业务</w:t>
      </w:r>
      <w:r>
        <w:rPr>
          <w:rFonts w:hint="eastAsia" w:eastAsia="方正仿宋_GBK" w:cs="Times New Roman"/>
          <w:kern w:val="2"/>
          <w:sz w:val="32"/>
          <w:szCs w:val="32"/>
          <w:lang w:val="en-US" w:eastAsia="zh-CN" w:bidi="ar-SA"/>
        </w:rPr>
        <w:t>接待</w:t>
      </w:r>
      <w:r>
        <w:rPr>
          <w:rFonts w:hint="eastAsia" w:ascii="Times New Roman" w:hAnsi="Times New Roman" w:eastAsia="方正仿宋_GBK" w:cs="Times New Roman"/>
          <w:kern w:val="2"/>
          <w:sz w:val="32"/>
          <w:szCs w:val="32"/>
          <w:lang w:val="en-US" w:eastAsia="zh-CN" w:bidi="ar-SA"/>
        </w:rPr>
        <w:t>活动开支的用餐费。国内公务接待3批次，7人次，共计支出0.15万元，具体内容包括：1.省</w:t>
      </w:r>
      <w:r>
        <w:rPr>
          <w:rFonts w:hint="eastAsia" w:eastAsia="方正仿宋_GBK" w:cs="Times New Roman"/>
          <w:kern w:val="2"/>
          <w:sz w:val="32"/>
          <w:szCs w:val="32"/>
          <w:lang w:val="en-US" w:eastAsia="zh-CN" w:bidi="ar-SA"/>
        </w:rPr>
        <w:t>供销</w:t>
      </w:r>
      <w:r>
        <w:rPr>
          <w:rFonts w:hint="eastAsia" w:ascii="Times New Roman" w:hAnsi="Times New Roman" w:eastAsia="方正仿宋_GBK" w:cs="Times New Roman"/>
          <w:kern w:val="2"/>
          <w:sz w:val="32"/>
          <w:szCs w:val="32"/>
          <w:lang w:val="en-US" w:eastAsia="zh-CN" w:bidi="ar-SA"/>
        </w:rPr>
        <w:t>社经济发展与数字化处一行三人到阿坝州开展督导调研工作，接待金额608元；2.省</w:t>
      </w:r>
      <w:r>
        <w:rPr>
          <w:rFonts w:hint="eastAsia" w:eastAsia="方正仿宋_GBK" w:cs="Times New Roman"/>
          <w:kern w:val="2"/>
          <w:sz w:val="32"/>
          <w:szCs w:val="32"/>
          <w:lang w:val="en-US" w:eastAsia="zh-CN" w:bidi="ar-SA"/>
        </w:rPr>
        <w:t>供销</w:t>
      </w:r>
      <w:r>
        <w:rPr>
          <w:rFonts w:hint="eastAsia" w:ascii="Times New Roman" w:hAnsi="Times New Roman" w:eastAsia="方正仿宋_GBK" w:cs="Times New Roman"/>
          <w:kern w:val="2"/>
          <w:sz w:val="32"/>
          <w:szCs w:val="32"/>
          <w:lang w:val="en-US" w:eastAsia="zh-CN" w:bidi="ar-SA"/>
        </w:rPr>
        <w:t>社财务处副处长前来指导2023年省级综改资金试点县重点绩效评价工作，接待金额366元；3.阿坝州云背篓农业开发有限公司一行3人前来调研阿坝州农产品供应及经营情况，接待金额498元。</w:t>
      </w:r>
    </w:p>
    <w:p w14:paraId="10762F81">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外事接待支出0万元，</w:t>
      </w:r>
      <w:bookmarkStart w:id="34" w:name="_Toc15377218"/>
      <w:bookmarkStart w:id="35" w:name="_Toc15396610"/>
      <w:r>
        <w:rPr>
          <w:rFonts w:hint="eastAsia" w:ascii="Times New Roman" w:hAnsi="Times New Roman" w:eastAsia="方正仿宋_GBK" w:cs="Times New Roman"/>
          <w:kern w:val="2"/>
          <w:sz w:val="32"/>
          <w:szCs w:val="32"/>
          <w:lang w:val="en-US" w:eastAsia="zh-CN" w:bidi="ar-SA"/>
        </w:rPr>
        <w:t>与上年一致，无变化。</w:t>
      </w:r>
    </w:p>
    <w:p w14:paraId="003547A7">
      <w:pPr>
        <w:pageBreakBefore w:val="0"/>
        <w:widowControl w:val="0"/>
        <w:wordWrap/>
        <w:overflowPunct w:val="0"/>
        <w:topLinePunct w:val="0"/>
        <w:bidi w:val="0"/>
        <w:spacing w:line="600" w:lineRule="exact"/>
        <w:ind w:firstLine="640"/>
        <w:outlineLvl w:val="1"/>
        <w:rPr>
          <w:rStyle w:val="23"/>
          <w:rFonts w:ascii="Times New Roman" w:hAnsi="Times New Roman" w:eastAsia="黑体"/>
        </w:rPr>
      </w:pPr>
      <w:r>
        <w:rPr>
          <w:rFonts w:hint="eastAsia" w:eastAsia="黑体"/>
          <w:sz w:val="32"/>
          <w:szCs w:val="32"/>
        </w:rPr>
        <w:t>八、</w:t>
      </w:r>
      <w:r>
        <w:rPr>
          <w:rStyle w:val="23"/>
          <w:rFonts w:hint="eastAsia" w:ascii="Times New Roman" w:hAnsi="Times New Roman" w:eastAsia="黑体"/>
          <w:b w:val="0"/>
        </w:rPr>
        <w:t>政府性基金预算支出决算情况说明</w:t>
      </w:r>
      <w:bookmarkEnd w:id="34"/>
      <w:bookmarkEnd w:id="35"/>
    </w:p>
    <w:p w14:paraId="39A8CE22">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2024年度政府性基金预算财政拨款支出0万元，与上年一致，无变化。</w:t>
      </w:r>
    </w:p>
    <w:p w14:paraId="15E47670">
      <w:pPr>
        <w:pageBreakBefore w:val="0"/>
        <w:widowControl w:val="0"/>
        <w:wordWrap/>
        <w:overflowPunct w:val="0"/>
        <w:topLinePunct w:val="0"/>
        <w:bidi w:val="0"/>
        <w:spacing w:line="600" w:lineRule="exact"/>
        <w:ind w:left="630"/>
        <w:outlineLvl w:val="1"/>
        <w:rPr>
          <w:rStyle w:val="23"/>
          <w:rFonts w:ascii="Times New Roman" w:hAnsi="Times New Roman" w:eastAsia="黑体"/>
          <w:b w:val="0"/>
        </w:rPr>
      </w:pPr>
      <w:bookmarkStart w:id="36" w:name="_Toc15396611"/>
      <w:bookmarkStart w:id="37" w:name="_Toc15377219"/>
      <w:r>
        <w:rPr>
          <w:rStyle w:val="23"/>
          <w:rFonts w:hint="eastAsia" w:ascii="Times New Roman" w:hAnsi="Times New Roman" w:eastAsia="黑体"/>
          <w:b w:val="0"/>
        </w:rPr>
        <w:t>九、国有资本经营预算支出决算情况说明</w:t>
      </w:r>
      <w:bookmarkEnd w:id="36"/>
      <w:bookmarkEnd w:id="37"/>
    </w:p>
    <w:p w14:paraId="3B8C4539">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2024年度国有资本经营预算财政拨款支出0万元，与上年一致，无变化。</w:t>
      </w:r>
    </w:p>
    <w:p w14:paraId="1905D9C6">
      <w:pPr>
        <w:pageBreakBefore w:val="0"/>
        <w:widowControl w:val="0"/>
        <w:wordWrap/>
        <w:overflowPunct w:val="0"/>
        <w:topLinePunct w:val="0"/>
        <w:bidi w:val="0"/>
        <w:spacing w:line="600" w:lineRule="exact"/>
        <w:ind w:left="630"/>
        <w:outlineLvl w:val="1"/>
        <w:rPr>
          <w:rStyle w:val="23"/>
          <w:rFonts w:ascii="Times New Roman" w:hAnsi="Times New Roman" w:eastAsia="黑体"/>
          <w:b w:val="0"/>
        </w:rPr>
      </w:pPr>
      <w:bookmarkStart w:id="38" w:name="_Toc15396612"/>
      <w:bookmarkStart w:id="39" w:name="_Toc15377221"/>
      <w:r>
        <w:rPr>
          <w:rStyle w:val="23"/>
          <w:rFonts w:hint="eastAsia" w:ascii="Times New Roman" w:hAnsi="Times New Roman" w:eastAsia="黑体"/>
          <w:b w:val="0"/>
        </w:rPr>
        <w:t>十、其他重要事项的情况说明</w:t>
      </w:r>
      <w:bookmarkEnd w:id="38"/>
      <w:bookmarkEnd w:id="39"/>
    </w:p>
    <w:p w14:paraId="688DEAE7">
      <w:pPr>
        <w:pageBreakBefore w:val="0"/>
        <w:widowControl w:val="0"/>
        <w:wordWrap/>
        <w:overflowPunct w:val="0"/>
        <w:topLinePunct w:val="0"/>
        <w:bidi w:val="0"/>
        <w:spacing w:line="600" w:lineRule="exact"/>
        <w:ind w:firstLine="643" w:firstLineChars="200"/>
        <w:outlineLvl w:val="2"/>
        <w:rPr>
          <w:rFonts w:eastAsia="楷体_GB2312" w:cs="楷体_GB2312"/>
          <w:b/>
          <w:sz w:val="32"/>
          <w:szCs w:val="32"/>
        </w:rPr>
      </w:pPr>
      <w:bookmarkStart w:id="40" w:name="_Toc15377222"/>
      <w:r>
        <w:rPr>
          <w:rFonts w:hint="eastAsia" w:eastAsia="楷体_GB2312" w:cs="楷体_GB2312"/>
          <w:b/>
          <w:sz w:val="32"/>
          <w:szCs w:val="32"/>
        </w:rPr>
        <w:t>（一）机关运行经费支出情况</w:t>
      </w:r>
      <w:bookmarkEnd w:id="40"/>
    </w:p>
    <w:p w14:paraId="0CB7950C">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2024年度，阿坝州供销社机关运行经费支出90.75万元，比2023年度增加16.69万元万元，增长22.54%。主要原因是：1.我单位2024年6月召开了</w:t>
      </w:r>
      <w:r>
        <w:rPr>
          <w:rFonts w:hint="eastAsia" w:ascii="Times New Roman" w:hAnsi="Times New Roman" w:eastAsia="方正仿宋_GBK" w:cs="Times New Roman"/>
          <w:kern w:val="2"/>
          <w:sz w:val="32"/>
          <w:szCs w:val="32"/>
          <w:lang w:val="zh-CN" w:eastAsia="zh-CN" w:bidi="ar-SA"/>
        </w:rPr>
        <w:t>阿坝州供销合作社第四次代表大会</w:t>
      </w:r>
      <w:r>
        <w:rPr>
          <w:rFonts w:hint="eastAsia" w:ascii="Times New Roman" w:hAnsi="Times New Roman" w:eastAsia="方正仿宋_GBK" w:cs="Times New Roman"/>
          <w:kern w:val="2"/>
          <w:sz w:val="32"/>
          <w:szCs w:val="32"/>
          <w:lang w:val="en-US" w:eastAsia="zh-CN" w:bidi="ar-SA"/>
        </w:rPr>
        <w:t>，2024年10月召开了第四届理事会第二次全体会议，会议费增加；2.2024年参加其他单位举办的培训次数增加且2024年举办了为期一周的综合改革培训会，培训费用有所增加；3.为了进一步推进全州供销社系统综合改革工作，我社多次前往13县（市）供销社加强督促和指导，并前往其他省市学习经验，差旅费增加；4.2024年全年在职人数较2023年有所增加，公用经费增加</w:t>
      </w:r>
      <w:r>
        <w:rPr>
          <w:rFonts w:hint="eastAsia" w:eastAsia="方正仿宋_GBK" w:cs="Times New Roman"/>
          <w:kern w:val="2"/>
          <w:sz w:val="32"/>
          <w:szCs w:val="32"/>
          <w:lang w:val="en-US" w:eastAsia="zh-CN" w:bidi="ar-SA"/>
        </w:rPr>
        <w:t>；5.</w:t>
      </w:r>
      <w:r>
        <w:rPr>
          <w:rFonts w:hint="eastAsia" w:ascii="Times New Roman" w:hAnsi="Times New Roman" w:eastAsia="方正仿宋_GBK" w:cs="Times New Roman"/>
          <w:kern w:val="2"/>
          <w:sz w:val="32"/>
          <w:szCs w:val="32"/>
          <w:lang w:val="en-US" w:eastAsia="zh-CN" w:bidi="ar-SA"/>
        </w:rPr>
        <w:t>2024年公务用车大修支出7.92万元。</w:t>
      </w:r>
    </w:p>
    <w:p w14:paraId="35F34972">
      <w:pPr>
        <w:pageBreakBefore w:val="0"/>
        <w:widowControl w:val="0"/>
        <w:wordWrap/>
        <w:overflowPunct w:val="0"/>
        <w:topLinePunct w:val="0"/>
        <w:bidi w:val="0"/>
        <w:spacing w:line="600" w:lineRule="exact"/>
        <w:ind w:firstLine="643" w:firstLineChars="200"/>
        <w:outlineLvl w:val="2"/>
        <w:rPr>
          <w:rFonts w:eastAsia="楷体_GB2312" w:cs="楷体_GB2312"/>
          <w:b/>
          <w:sz w:val="32"/>
          <w:szCs w:val="32"/>
        </w:rPr>
      </w:pPr>
      <w:bookmarkStart w:id="41" w:name="_Toc15377223"/>
      <w:r>
        <w:rPr>
          <w:rFonts w:hint="eastAsia" w:eastAsia="楷体_GB2312" w:cs="楷体_GB2312"/>
          <w:b/>
          <w:sz w:val="32"/>
          <w:szCs w:val="32"/>
        </w:rPr>
        <w:t>（二）政府采购支出情况</w:t>
      </w:r>
      <w:bookmarkEnd w:id="41"/>
    </w:p>
    <w:p w14:paraId="637BD8B5">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2024年度，阿坝州供销社政府采购支出总额12.33万元，其中：政府采购货物支出1.88万元、政府采购工程支出0万元、政府采购服务支出10.45万元。主要用于：1.政府采购货物支出用于购入国产便携式计算机和台式电脑各两台；2.政府采购服务支出用于</w:t>
      </w:r>
      <w:r>
        <w:rPr>
          <w:rFonts w:hint="eastAsia" w:eastAsia="方正仿宋_GBK" w:cs="Times New Roman"/>
          <w:kern w:val="2"/>
          <w:sz w:val="32"/>
          <w:szCs w:val="32"/>
          <w:lang w:val="en-US" w:eastAsia="zh-CN" w:bidi="ar-SA"/>
        </w:rPr>
        <w:t>公务</w:t>
      </w:r>
      <w:r>
        <w:rPr>
          <w:rFonts w:hint="eastAsia" w:ascii="Times New Roman" w:hAnsi="Times New Roman" w:eastAsia="方正仿宋_GBK" w:cs="Times New Roman"/>
          <w:kern w:val="2"/>
          <w:sz w:val="32"/>
          <w:szCs w:val="32"/>
          <w:lang w:val="en-US" w:eastAsia="zh-CN" w:bidi="ar-SA"/>
        </w:rPr>
        <w:t>用车大修、日常维修保养及购买车辆保险。授予中小企业合同金额11.42万元，占政府采购支出总额的92.62%，其中：授予小微企业合同金额11.42万元，占政府采购支出总额的92.62%。</w:t>
      </w:r>
    </w:p>
    <w:p w14:paraId="3535718F">
      <w:pPr>
        <w:pageBreakBefore w:val="0"/>
        <w:widowControl w:val="0"/>
        <w:wordWrap/>
        <w:overflowPunct w:val="0"/>
        <w:topLinePunct w:val="0"/>
        <w:bidi w:val="0"/>
        <w:spacing w:line="600" w:lineRule="exact"/>
        <w:ind w:firstLine="643" w:firstLineChars="200"/>
        <w:outlineLvl w:val="2"/>
        <w:rPr>
          <w:rFonts w:eastAsia="楷体_GB2312" w:cs="楷体_GB2312"/>
          <w:b/>
          <w:sz w:val="32"/>
          <w:szCs w:val="32"/>
        </w:rPr>
      </w:pPr>
      <w:bookmarkStart w:id="42" w:name="_Toc15377224"/>
      <w:r>
        <w:rPr>
          <w:rFonts w:hint="eastAsia" w:eastAsia="楷体_GB2312" w:cs="楷体_GB2312"/>
          <w:b/>
          <w:sz w:val="32"/>
          <w:szCs w:val="32"/>
        </w:rPr>
        <w:t>（三）国有资产占有使用情况</w:t>
      </w:r>
      <w:bookmarkEnd w:id="42"/>
    </w:p>
    <w:p w14:paraId="521D4272">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截至2024年12月31日，阿坝州供销社共有车辆2辆，其中：主要负责人用车0辆、机要通信用车0辆、应急保障用车2辆、其他用车0辆。单价100万元（含）以上设备（不含车辆）0台（套）。</w:t>
      </w:r>
    </w:p>
    <w:p w14:paraId="76498C2C">
      <w:pPr>
        <w:pageBreakBefore w:val="0"/>
        <w:widowControl w:val="0"/>
        <w:wordWrap/>
        <w:overflowPunct w:val="0"/>
        <w:topLinePunct w:val="0"/>
        <w:bidi w:val="0"/>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355F6F93">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根据预算绩效管理要求，阿坝州供销社在2024年度预算编制阶段，组织对国产电脑更新、公务用车大修等7个项目开展了预算事前绩效评估，对17个项目编制了绩效目标，预算执行过程中，选取17个项目开展绩效监控。</w:t>
      </w:r>
    </w:p>
    <w:p w14:paraId="75443323">
      <w:pPr>
        <w:pageBreakBefore w:val="0"/>
        <w:widowControl w:val="0"/>
        <w:wordWrap/>
        <w:overflowPunct w:val="0"/>
        <w:topLinePunct w:val="0"/>
        <w:bidi w:val="0"/>
        <w:spacing w:line="600" w:lineRule="exact"/>
        <w:ind w:firstLine="640"/>
        <w:rPr>
          <w:rFonts w:hint="eastAsia" w:ascii="Times New Roman" w:hAnsi="Times New Roman" w:eastAsia="方正仿宋_GBK" w:cs="Times New Roman"/>
          <w:kern w:val="2"/>
          <w:sz w:val="32"/>
          <w:szCs w:val="32"/>
          <w:lang w:val="en-US" w:eastAsia="zh-CN" w:bidi="ar-SA"/>
        </w:rPr>
      </w:pPr>
      <w:r>
        <w:rPr>
          <w:rFonts w:hint="eastAsia" w:eastAsia="方正仿宋_GBK" w:cs="Times New Roman"/>
          <w:kern w:val="2"/>
          <w:sz w:val="32"/>
          <w:szCs w:val="32"/>
          <w:lang w:val="en-US" w:eastAsia="zh-CN" w:bidi="ar-SA"/>
        </w:rPr>
        <w:t>我单位</w:t>
      </w:r>
      <w:r>
        <w:rPr>
          <w:rFonts w:hint="eastAsia" w:ascii="Times New Roman" w:hAnsi="Times New Roman" w:eastAsia="方正仿宋_GBK" w:cs="Times New Roman"/>
          <w:kern w:val="2"/>
          <w:sz w:val="32"/>
          <w:szCs w:val="32"/>
          <w:lang w:val="en-US" w:eastAsia="zh-CN" w:bidi="ar-SA"/>
        </w:rPr>
        <w:t>组织对2024年度一般公共预算开展绩效自评，形成阿坝州供销社部门整体（含部门预算项目）绩效自评报告。其中，阿坝州供销社部门整体（含部门预算项目）绩效自评得分为87.82分，绩效自评综述：总体来看，通过加强预算收支管理，不断建立健全内部管理制度，我单位部门</w:t>
      </w:r>
      <w:r>
        <w:rPr>
          <w:rFonts w:hint="eastAsia" w:ascii="Times New Roman" w:hAnsi="Times New Roman" w:eastAsia="方正仿宋_GBK" w:cs="Times New Roman"/>
          <w:kern w:val="2"/>
          <w:sz w:val="32"/>
          <w:szCs w:val="32"/>
          <w:lang w:val="zh-CN" w:eastAsia="zh-CN" w:bidi="ar-SA"/>
        </w:rPr>
        <w:t>整体和特定目标类项目均如期完成各项绩效指标。</w:t>
      </w:r>
      <w:r>
        <w:rPr>
          <w:rFonts w:hint="eastAsia" w:ascii="Times New Roman" w:hAnsi="Times New Roman" w:eastAsia="方正仿宋_GBK" w:cs="Times New Roman"/>
          <w:kern w:val="2"/>
          <w:sz w:val="32"/>
          <w:szCs w:val="32"/>
          <w:lang w:val="en-US" w:eastAsia="zh-CN" w:bidi="ar-SA"/>
        </w:rPr>
        <w:t>同时，通过</w:t>
      </w:r>
      <w:r>
        <w:rPr>
          <w:rFonts w:hint="eastAsia" w:eastAsia="方正仿宋_GBK" w:cs="Times New Roman"/>
          <w:kern w:val="2"/>
          <w:sz w:val="32"/>
          <w:szCs w:val="32"/>
          <w:lang w:val="en-US" w:eastAsia="zh-CN" w:bidi="ar-SA"/>
        </w:rPr>
        <w:t>加强</w:t>
      </w:r>
      <w:r>
        <w:rPr>
          <w:rFonts w:hint="eastAsia" w:ascii="Times New Roman" w:hAnsi="Times New Roman" w:eastAsia="方正仿宋_GBK" w:cs="Times New Roman"/>
          <w:kern w:val="2"/>
          <w:sz w:val="32"/>
          <w:szCs w:val="32"/>
          <w:lang w:val="en-US" w:eastAsia="zh-CN" w:bidi="ar-SA"/>
        </w:rPr>
        <w:t>绩效管理，进一步增强了供销社系统为农服务实力、能力。绩效自评报告详见附件。</w:t>
      </w:r>
    </w:p>
    <w:p w14:paraId="39696457">
      <w:pPr>
        <w:pageBreakBefore w:val="0"/>
        <w:widowControl w:val="0"/>
        <w:wordWrap/>
        <w:overflowPunct w:val="0"/>
        <w:topLinePunct w:val="0"/>
        <w:bidi w:val="0"/>
        <w:spacing w:line="600" w:lineRule="exact"/>
        <w:ind w:firstLine="640"/>
        <w:rPr>
          <w:rFonts w:eastAsia="仿宋_GB2312" w:cs="仿宋_GB2312"/>
          <w:sz w:val="32"/>
          <w:szCs w:val="32"/>
        </w:rPr>
      </w:pPr>
    </w:p>
    <w:p w14:paraId="4E7621AD">
      <w:pPr>
        <w:pStyle w:val="8"/>
        <w:pageBreakBefore w:val="0"/>
        <w:widowControl w:val="0"/>
        <w:wordWrap/>
        <w:overflowPunct w:val="0"/>
        <w:topLinePunct w:val="0"/>
        <w:bidi w:val="0"/>
        <w:rPr>
          <w:rFonts w:eastAsia="仿宋_GB2312" w:cs="仿宋_GB2312"/>
          <w:sz w:val="32"/>
          <w:szCs w:val="32"/>
        </w:rPr>
      </w:pPr>
    </w:p>
    <w:p w14:paraId="35EB33F3">
      <w:pPr>
        <w:pStyle w:val="8"/>
        <w:pageBreakBefore w:val="0"/>
        <w:widowControl w:val="0"/>
        <w:wordWrap/>
        <w:overflowPunct w:val="0"/>
        <w:topLinePunct w:val="0"/>
        <w:bidi w:val="0"/>
        <w:rPr>
          <w:rFonts w:eastAsia="仿宋_GB2312" w:cs="仿宋_GB2312"/>
          <w:sz w:val="32"/>
          <w:szCs w:val="32"/>
        </w:rPr>
      </w:pPr>
    </w:p>
    <w:p w14:paraId="6BF1A0C8">
      <w:pPr>
        <w:pStyle w:val="8"/>
        <w:pageBreakBefore w:val="0"/>
        <w:widowControl w:val="0"/>
        <w:wordWrap/>
        <w:overflowPunct w:val="0"/>
        <w:topLinePunct w:val="0"/>
        <w:bidi w:val="0"/>
        <w:rPr>
          <w:rFonts w:eastAsia="仿宋_GB2312" w:cs="仿宋_GB2312"/>
          <w:sz w:val="32"/>
          <w:szCs w:val="32"/>
        </w:rPr>
      </w:pPr>
    </w:p>
    <w:p w14:paraId="58319464">
      <w:pPr>
        <w:pStyle w:val="8"/>
        <w:pageBreakBefore w:val="0"/>
        <w:widowControl w:val="0"/>
        <w:wordWrap/>
        <w:overflowPunct w:val="0"/>
        <w:topLinePunct w:val="0"/>
        <w:bidi w:val="0"/>
        <w:rPr>
          <w:rFonts w:eastAsia="仿宋_GB2312" w:cs="仿宋_GB2312"/>
          <w:sz w:val="32"/>
          <w:szCs w:val="32"/>
        </w:rPr>
      </w:pPr>
    </w:p>
    <w:p w14:paraId="081D6A12">
      <w:pPr>
        <w:pStyle w:val="8"/>
        <w:pageBreakBefore w:val="0"/>
        <w:widowControl w:val="0"/>
        <w:wordWrap/>
        <w:overflowPunct w:val="0"/>
        <w:topLinePunct w:val="0"/>
        <w:bidi w:val="0"/>
        <w:rPr>
          <w:rFonts w:eastAsia="仿宋_GB2312" w:cs="仿宋_GB2312"/>
          <w:sz w:val="32"/>
          <w:szCs w:val="32"/>
        </w:rPr>
      </w:pPr>
    </w:p>
    <w:p w14:paraId="658522E8">
      <w:pPr>
        <w:pStyle w:val="8"/>
        <w:pageBreakBefore w:val="0"/>
        <w:widowControl w:val="0"/>
        <w:wordWrap/>
        <w:overflowPunct w:val="0"/>
        <w:topLinePunct w:val="0"/>
        <w:bidi w:val="0"/>
        <w:rPr>
          <w:rFonts w:eastAsia="仿宋_GB2312" w:cs="仿宋_GB2312"/>
          <w:sz w:val="32"/>
          <w:szCs w:val="32"/>
        </w:rPr>
      </w:pPr>
    </w:p>
    <w:p w14:paraId="3DF3A031">
      <w:pPr>
        <w:pStyle w:val="8"/>
        <w:pageBreakBefore w:val="0"/>
        <w:widowControl w:val="0"/>
        <w:wordWrap/>
        <w:overflowPunct w:val="0"/>
        <w:topLinePunct w:val="0"/>
        <w:bidi w:val="0"/>
        <w:rPr>
          <w:rFonts w:hint="eastAsia" w:eastAsia="仿宋_GB2312" w:cs="仿宋_GB2312"/>
          <w:sz w:val="32"/>
          <w:szCs w:val="32"/>
          <w:lang w:eastAsia="zh-CN"/>
        </w:rPr>
      </w:pPr>
    </w:p>
    <w:p w14:paraId="7746D24B">
      <w:pPr>
        <w:pStyle w:val="8"/>
        <w:pageBreakBefore w:val="0"/>
        <w:widowControl w:val="0"/>
        <w:wordWrap/>
        <w:overflowPunct w:val="0"/>
        <w:topLinePunct w:val="0"/>
        <w:bidi w:val="0"/>
        <w:rPr>
          <w:rFonts w:hint="eastAsia" w:eastAsia="仿宋_GB2312" w:cs="仿宋_GB2312"/>
          <w:sz w:val="32"/>
          <w:szCs w:val="32"/>
          <w:lang w:eastAsia="zh-CN"/>
        </w:rPr>
      </w:pPr>
    </w:p>
    <w:p w14:paraId="7C579693">
      <w:pPr>
        <w:pStyle w:val="8"/>
        <w:pageBreakBefore w:val="0"/>
        <w:widowControl w:val="0"/>
        <w:wordWrap/>
        <w:overflowPunct w:val="0"/>
        <w:topLinePunct w:val="0"/>
        <w:bidi w:val="0"/>
        <w:rPr>
          <w:rFonts w:hint="eastAsia" w:eastAsia="仿宋_GB2312" w:cs="仿宋_GB2312"/>
          <w:sz w:val="32"/>
          <w:szCs w:val="32"/>
          <w:lang w:eastAsia="zh-CN"/>
        </w:rPr>
      </w:pPr>
    </w:p>
    <w:p w14:paraId="68A9E4A3">
      <w:pPr>
        <w:pStyle w:val="8"/>
        <w:pageBreakBefore w:val="0"/>
        <w:widowControl w:val="0"/>
        <w:wordWrap/>
        <w:overflowPunct w:val="0"/>
        <w:topLinePunct w:val="0"/>
        <w:bidi w:val="0"/>
        <w:rPr>
          <w:rFonts w:eastAsia="仿宋_GB2312" w:cs="仿宋_GB2312"/>
          <w:sz w:val="32"/>
          <w:szCs w:val="32"/>
        </w:rPr>
      </w:pPr>
    </w:p>
    <w:p w14:paraId="63FDF353">
      <w:pPr>
        <w:pageBreakBefore w:val="0"/>
        <w:widowControl w:val="0"/>
        <w:wordWrap/>
        <w:overflowPunct w:val="0"/>
        <w:topLinePunct w:val="0"/>
        <w:bidi w:val="0"/>
        <w:rPr>
          <w:rFonts w:eastAsia="仿宋_GB2312" w:cs="仿宋_GB2312"/>
          <w:sz w:val="32"/>
          <w:szCs w:val="32"/>
        </w:rPr>
      </w:pPr>
    </w:p>
    <w:p w14:paraId="0C63B03C">
      <w:pPr>
        <w:pageBreakBefore w:val="0"/>
        <w:widowControl w:val="0"/>
        <w:wordWrap/>
        <w:overflowPunct w:val="0"/>
        <w:topLinePunct w:val="0"/>
        <w:bidi w:val="0"/>
        <w:spacing w:line="600" w:lineRule="exact"/>
        <w:jc w:val="center"/>
        <w:outlineLvl w:val="0"/>
        <w:rPr>
          <w:rFonts w:eastAsia="黑体"/>
          <w:sz w:val="44"/>
          <w:szCs w:val="44"/>
        </w:rPr>
      </w:pPr>
      <w:bookmarkStart w:id="43" w:name="_Toc15377225"/>
      <w:bookmarkStart w:id="44" w:name="_Toc15396613"/>
      <w:r>
        <w:rPr>
          <w:rFonts w:hint="eastAsia" w:eastAsia="黑体"/>
          <w:sz w:val="44"/>
          <w:szCs w:val="44"/>
        </w:rPr>
        <w:t>第三部分  名词解释</w:t>
      </w:r>
      <w:bookmarkEnd w:id="43"/>
      <w:bookmarkEnd w:id="44"/>
    </w:p>
    <w:p w14:paraId="61FBF310">
      <w:pPr>
        <w:pageBreakBefore w:val="0"/>
        <w:widowControl w:val="0"/>
        <w:wordWrap/>
        <w:overflowPunct w:val="0"/>
        <w:topLinePunct w:val="0"/>
        <w:bidi w:val="0"/>
        <w:spacing w:line="600" w:lineRule="exact"/>
        <w:jc w:val="left"/>
        <w:rPr>
          <w:b/>
          <w:sz w:val="44"/>
          <w:szCs w:val="44"/>
        </w:rPr>
      </w:pPr>
    </w:p>
    <w:p w14:paraId="7B2C6F7F">
      <w:pPr>
        <w:pStyle w:val="31"/>
        <w:pageBreakBefore w:val="0"/>
        <w:widowControl w:val="0"/>
        <w:wordWrap/>
        <w:overflowPunct w:val="0"/>
        <w:topLinePunct w:val="0"/>
        <w:bidi w:val="0"/>
        <w:spacing w:line="576" w:lineRule="exact"/>
        <w:ind w:firstLine="640" w:firstLineChars="200"/>
        <w:rPr>
          <w:rFonts w:hint="eastAsia" w:ascii="Times New Roman" w:hAnsi="Times New Roman" w:eastAsia="方正仿宋_GBK" w:cs="仿宋"/>
          <w:sz w:val="32"/>
          <w:szCs w:val="32"/>
          <w:highlight w:val="none"/>
          <w:lang w:bidi="ar-SA"/>
        </w:rPr>
      </w:pPr>
      <w:bookmarkStart w:id="45" w:name="_Toc15377226"/>
      <w:r>
        <w:rPr>
          <w:rFonts w:hint="eastAsia" w:ascii="Times New Roman" w:hAnsi="Times New Roman" w:eastAsia="方正仿宋_GBK" w:cs="仿宋"/>
          <w:sz w:val="32"/>
          <w:szCs w:val="32"/>
          <w:highlight w:val="none"/>
          <w:lang w:bidi="ar-SA"/>
        </w:rPr>
        <w:t>1.财政拨款收入：指单位从同级财政部门取得的财政预算资金。</w:t>
      </w:r>
    </w:p>
    <w:p w14:paraId="42B85EC5">
      <w:pPr>
        <w:pStyle w:val="31"/>
        <w:pageBreakBefore w:val="0"/>
        <w:widowControl w:val="0"/>
        <w:wordWrap/>
        <w:overflowPunct w:val="0"/>
        <w:topLinePunct w:val="0"/>
        <w:bidi w:val="0"/>
        <w:spacing w:line="576" w:lineRule="exact"/>
        <w:ind w:firstLine="640" w:firstLineChars="200"/>
        <w:rPr>
          <w:rFonts w:hint="eastAsia" w:ascii="Times New Roman" w:hAnsi="Times New Roman" w:eastAsia="方正仿宋_GBK" w:cs="仿宋"/>
          <w:sz w:val="32"/>
          <w:szCs w:val="32"/>
          <w:highlight w:val="none"/>
          <w:lang w:bidi="ar-SA"/>
        </w:rPr>
      </w:pPr>
      <w:r>
        <w:rPr>
          <w:rFonts w:hint="eastAsia" w:ascii="Times New Roman" w:hAnsi="Times New Roman" w:eastAsia="方正仿宋_GBK" w:cs="仿宋"/>
          <w:sz w:val="32"/>
          <w:szCs w:val="32"/>
          <w:highlight w:val="none"/>
          <w:lang w:bidi="ar-SA"/>
        </w:rPr>
        <w:t xml:space="preserve">2.年初结转和结余：指以前年度尚未完成、结转到本年按有关规定继续使用的资金。 </w:t>
      </w:r>
    </w:p>
    <w:p w14:paraId="6BF272A4">
      <w:pPr>
        <w:pStyle w:val="31"/>
        <w:pageBreakBefore w:val="0"/>
        <w:widowControl w:val="0"/>
        <w:wordWrap/>
        <w:overflowPunct w:val="0"/>
        <w:topLinePunct w:val="0"/>
        <w:bidi w:val="0"/>
        <w:spacing w:line="576" w:lineRule="exact"/>
        <w:ind w:firstLine="640" w:firstLineChars="200"/>
        <w:rPr>
          <w:rFonts w:hint="eastAsia" w:ascii="Times New Roman" w:hAnsi="Times New Roman" w:eastAsia="方正仿宋_GBK" w:cs="仿宋"/>
          <w:sz w:val="32"/>
          <w:szCs w:val="32"/>
          <w:highlight w:val="none"/>
          <w:lang w:bidi="ar-SA"/>
        </w:rPr>
      </w:pPr>
      <w:r>
        <w:rPr>
          <w:rFonts w:hint="eastAsia" w:ascii="Times New Roman" w:hAnsi="Times New Roman" w:eastAsia="方正仿宋_GBK" w:cs="仿宋"/>
          <w:sz w:val="32"/>
          <w:szCs w:val="32"/>
          <w:highlight w:val="none"/>
          <w:lang w:bidi="ar-SA"/>
        </w:rPr>
        <w:t>3.年末结转和结余：指单位按有关规定结转到下年或以后年度继续使用的资金。</w:t>
      </w:r>
    </w:p>
    <w:p w14:paraId="5E8D55B4">
      <w:pPr>
        <w:pageBreakBefore w:val="0"/>
        <w:widowControl w:val="0"/>
        <w:suppressAutoHyphens/>
        <w:kinsoku/>
        <w:wordWrap/>
        <w:overflowPunct w:val="0"/>
        <w:topLinePunct w:val="0"/>
        <w:bidi w:val="0"/>
        <w:adjustRightInd w:val="0"/>
        <w:spacing w:line="576" w:lineRule="exact"/>
        <w:ind w:firstLine="640" w:firstLineChars="200"/>
        <w:textAlignment w:val="auto"/>
        <w:rPr>
          <w:rFonts w:hint="eastAsia" w:ascii="Times New Roman" w:hAnsi="Times New Roman" w:eastAsia="方正仿宋_GBK" w:cs="仿宋"/>
          <w:sz w:val="32"/>
          <w:szCs w:val="32"/>
          <w:lang w:bidi="ar-SA"/>
        </w:rPr>
      </w:pPr>
      <w:r>
        <w:rPr>
          <w:rFonts w:hint="eastAsia" w:ascii="Times New Roman" w:hAnsi="Times New Roman" w:eastAsia="方正仿宋_GBK" w:cs="仿宋"/>
          <w:sz w:val="32"/>
          <w:szCs w:val="32"/>
          <w:lang w:bidi="ar-SA"/>
        </w:rPr>
        <w:t>4.社会保障和就业（类）行政事业单位养老支出（款） 机关事业单位基本养老保险缴费支出（项）：指机关事业单位实施养老保险制度由单位缴纳的基本养老保险费支出。</w:t>
      </w:r>
    </w:p>
    <w:p w14:paraId="4D5D920E">
      <w:pPr>
        <w:pageBreakBefore w:val="0"/>
        <w:widowControl w:val="0"/>
        <w:suppressAutoHyphens/>
        <w:kinsoku/>
        <w:wordWrap/>
        <w:overflowPunct w:val="0"/>
        <w:topLinePunct w:val="0"/>
        <w:bidi w:val="0"/>
        <w:adjustRightInd w:val="0"/>
        <w:spacing w:line="576" w:lineRule="exact"/>
        <w:ind w:firstLine="640" w:firstLineChars="200"/>
        <w:textAlignment w:val="auto"/>
        <w:rPr>
          <w:rFonts w:hint="eastAsia" w:ascii="Times New Roman" w:hAnsi="Times New Roman" w:eastAsia="方正仿宋_GBK" w:cs="仿宋"/>
          <w:sz w:val="32"/>
          <w:szCs w:val="32"/>
          <w:lang w:bidi="ar-SA"/>
        </w:rPr>
      </w:pPr>
      <w:r>
        <w:rPr>
          <w:rFonts w:hint="eastAsia" w:ascii="Times New Roman" w:hAnsi="Times New Roman" w:eastAsia="方正仿宋_GBK" w:cs="仿宋"/>
          <w:sz w:val="32"/>
          <w:szCs w:val="32"/>
          <w:lang w:bidi="ar-SA"/>
        </w:rPr>
        <w:t>5.社会保障和就业（类）行政事业单位养老支出（款） 机关事业单位职业年金缴费支出（项）：指机关事业单位实施养老保险制度由单位实际缴纳的职业年金支出。</w:t>
      </w:r>
    </w:p>
    <w:p w14:paraId="786DAF5D">
      <w:pPr>
        <w:pStyle w:val="15"/>
        <w:pageBreakBefore w:val="0"/>
        <w:widowControl w:val="0"/>
        <w:suppressAutoHyphens/>
        <w:wordWrap/>
        <w:overflowPunct w:val="0"/>
        <w:topLinePunct w:val="0"/>
        <w:bidi w:val="0"/>
        <w:adjustRightInd w:val="0"/>
        <w:snapToGrid w:val="0"/>
        <w:spacing w:line="576" w:lineRule="exact"/>
        <w:rPr>
          <w:rFonts w:hint="eastAsia"/>
        </w:rPr>
      </w:pPr>
      <w:r>
        <w:t xml:space="preserve">      </w:t>
      </w:r>
      <w:r>
        <w:rPr>
          <w:rFonts w:hint="eastAsia" w:ascii="Times New Roman" w:hAnsi="Times New Roman" w:eastAsia="方正仿宋_GBK" w:cs="仿宋"/>
          <w:sz w:val="32"/>
          <w:szCs w:val="32"/>
          <w:lang w:bidi="ar-SA"/>
        </w:rPr>
        <w:t xml:space="preserve"> 6.社会保障和就业支出（类）抚恤（款）死亡抚恤（项）：指按规定用于烈士和牺牲、病故人员家属的一次性和定期抚恤金以及丧葬补助费。</w:t>
      </w:r>
    </w:p>
    <w:p w14:paraId="19D72A26">
      <w:pPr>
        <w:pageBreakBefore w:val="0"/>
        <w:widowControl w:val="0"/>
        <w:suppressAutoHyphens/>
        <w:kinsoku/>
        <w:wordWrap/>
        <w:overflowPunct w:val="0"/>
        <w:topLinePunct w:val="0"/>
        <w:bidi w:val="0"/>
        <w:adjustRightInd w:val="0"/>
        <w:spacing w:line="576" w:lineRule="exact"/>
        <w:ind w:firstLine="640" w:firstLineChars="200"/>
        <w:textAlignment w:val="auto"/>
        <w:rPr>
          <w:rFonts w:hint="eastAsia" w:ascii="Times New Roman" w:hAnsi="Times New Roman" w:eastAsia="方正仿宋_GBK" w:cs="仿宋"/>
          <w:sz w:val="32"/>
          <w:szCs w:val="32"/>
          <w:lang w:eastAsia="zh-CN" w:bidi="ar-SA"/>
        </w:rPr>
      </w:pPr>
      <w:r>
        <w:rPr>
          <w:rFonts w:hint="eastAsia" w:ascii="Times New Roman" w:hAnsi="Times New Roman" w:eastAsia="方正仿宋_GBK" w:cs="仿宋"/>
          <w:sz w:val="32"/>
          <w:szCs w:val="32"/>
          <w:lang w:val="en-US" w:eastAsia="zh-CN" w:bidi="ar-SA"/>
        </w:rPr>
        <w:t>7.</w:t>
      </w:r>
      <w:r>
        <w:rPr>
          <w:rFonts w:ascii="Times New Roman" w:hAnsi="Times New Roman" w:eastAsia="方正仿宋_GBK" w:cs="仿宋"/>
          <w:sz w:val="32"/>
          <w:szCs w:val="32"/>
          <w:lang w:bidi="ar-SA"/>
        </w:rPr>
        <w:t>卫生</w:t>
      </w:r>
      <w:r>
        <w:rPr>
          <w:rFonts w:hint="eastAsia" w:ascii="Times New Roman" w:hAnsi="Times New Roman" w:eastAsia="方正仿宋_GBK" w:cs="仿宋"/>
          <w:sz w:val="32"/>
          <w:szCs w:val="32"/>
          <w:lang w:bidi="ar-SA"/>
        </w:rPr>
        <w:t>健康支出（类）行政事业单位医疗（款）行政单位医疗（项）</w:t>
      </w:r>
      <w:r>
        <w:rPr>
          <w:rFonts w:hint="eastAsia" w:ascii="Times New Roman" w:hAnsi="Times New Roman" w:eastAsia="方正仿宋_GBK" w:cs="仿宋"/>
          <w:sz w:val="32"/>
          <w:szCs w:val="32"/>
          <w:lang w:eastAsia="zh-CN" w:bidi="ar-SA"/>
        </w:rPr>
        <w:t>：指反映财政部门集中安排的行政单位基本医疗保险缴费经费。</w:t>
      </w:r>
    </w:p>
    <w:p w14:paraId="02E03557">
      <w:pPr>
        <w:pageBreakBefore w:val="0"/>
        <w:widowControl w:val="0"/>
        <w:suppressAutoHyphens/>
        <w:kinsoku/>
        <w:wordWrap/>
        <w:overflowPunct w:val="0"/>
        <w:topLinePunct w:val="0"/>
        <w:bidi w:val="0"/>
        <w:adjustRightInd w:val="0"/>
        <w:spacing w:line="576" w:lineRule="exact"/>
        <w:ind w:firstLine="640" w:firstLineChars="200"/>
        <w:rPr>
          <w:rFonts w:hint="eastAsia" w:ascii="Times New Roman" w:hAnsi="Times New Roman" w:eastAsia="方正仿宋_GBK" w:cs="仿宋"/>
          <w:sz w:val="32"/>
          <w:szCs w:val="32"/>
          <w:lang w:bidi="ar-SA"/>
        </w:rPr>
      </w:pPr>
      <w:r>
        <w:rPr>
          <w:rFonts w:hint="eastAsia" w:ascii="Times New Roman" w:hAnsi="Times New Roman" w:eastAsia="方正仿宋_GBK" w:cs="仿宋"/>
          <w:sz w:val="32"/>
          <w:szCs w:val="32"/>
          <w:lang w:val="en-US" w:eastAsia="zh-CN" w:bidi="ar-SA"/>
        </w:rPr>
        <w:t>8.</w:t>
      </w:r>
      <w:r>
        <w:rPr>
          <w:rFonts w:ascii="Times New Roman" w:hAnsi="Times New Roman" w:eastAsia="方正仿宋_GBK" w:cs="仿宋"/>
          <w:sz w:val="32"/>
          <w:szCs w:val="32"/>
          <w:lang w:bidi="ar-SA"/>
        </w:rPr>
        <w:t>卫生</w:t>
      </w:r>
      <w:r>
        <w:rPr>
          <w:rFonts w:hint="eastAsia" w:ascii="Times New Roman" w:hAnsi="Times New Roman" w:eastAsia="方正仿宋_GBK" w:cs="仿宋"/>
          <w:sz w:val="32"/>
          <w:szCs w:val="32"/>
          <w:lang w:bidi="ar-SA"/>
        </w:rPr>
        <w:t>健康支出（类）行政事业单位医疗（款）公务员医疗补助（项）</w:t>
      </w:r>
      <w:r>
        <w:rPr>
          <w:rFonts w:hint="eastAsia" w:ascii="Times New Roman" w:hAnsi="Times New Roman" w:eastAsia="方正仿宋_GBK" w:cs="仿宋"/>
          <w:sz w:val="32"/>
          <w:szCs w:val="32"/>
          <w:lang w:eastAsia="zh-CN" w:bidi="ar-SA"/>
        </w:rPr>
        <w:t>：指财政部门安排的公务员医疗补助经费。</w:t>
      </w:r>
    </w:p>
    <w:p w14:paraId="68001F9F">
      <w:pPr>
        <w:pageBreakBefore w:val="0"/>
        <w:widowControl w:val="0"/>
        <w:suppressAutoHyphens/>
        <w:kinsoku/>
        <w:wordWrap/>
        <w:overflowPunct w:val="0"/>
        <w:topLinePunct w:val="0"/>
        <w:bidi w:val="0"/>
        <w:adjustRightInd w:val="0"/>
        <w:spacing w:line="576" w:lineRule="exact"/>
        <w:ind w:firstLine="640" w:firstLineChars="200"/>
        <w:textAlignment w:val="auto"/>
        <w:rPr>
          <w:rFonts w:hint="eastAsia" w:ascii="Times New Roman" w:hAnsi="Times New Roman" w:eastAsia="方正仿宋_GBK" w:cs="仿宋"/>
          <w:sz w:val="32"/>
          <w:szCs w:val="32"/>
          <w:lang w:bidi="ar-SA"/>
        </w:rPr>
      </w:pPr>
      <w:r>
        <w:rPr>
          <w:rFonts w:hint="eastAsia" w:ascii="Times New Roman" w:hAnsi="Times New Roman" w:eastAsia="方正仿宋_GBK" w:cs="仿宋"/>
          <w:sz w:val="32"/>
          <w:szCs w:val="32"/>
          <w:lang w:bidi="ar-SA"/>
        </w:rPr>
        <w:t>9.商业服务业等支出（类）商业流通事务（款）行政运行（项）: 指反映行政单位（包括实行公务员管理的事业单位）的基本支出。</w:t>
      </w:r>
    </w:p>
    <w:p w14:paraId="70AB1E0A">
      <w:pPr>
        <w:pageBreakBefore w:val="0"/>
        <w:widowControl w:val="0"/>
        <w:suppressAutoHyphens/>
        <w:kinsoku/>
        <w:wordWrap/>
        <w:overflowPunct w:val="0"/>
        <w:topLinePunct w:val="0"/>
        <w:bidi w:val="0"/>
        <w:adjustRightInd w:val="0"/>
        <w:spacing w:line="576" w:lineRule="exact"/>
        <w:ind w:firstLine="640" w:firstLineChars="200"/>
        <w:textAlignment w:val="auto"/>
        <w:rPr>
          <w:rFonts w:hint="eastAsia" w:ascii="Times New Roman" w:hAnsi="Times New Roman" w:eastAsia="方正仿宋_GBK" w:cs="仿宋"/>
          <w:sz w:val="32"/>
          <w:szCs w:val="32"/>
          <w:lang w:bidi="ar-SA"/>
        </w:rPr>
      </w:pPr>
      <w:r>
        <w:rPr>
          <w:rFonts w:hint="eastAsia" w:ascii="Times New Roman" w:hAnsi="Times New Roman" w:eastAsia="方正仿宋_GBK" w:cs="仿宋"/>
          <w:sz w:val="32"/>
          <w:szCs w:val="32"/>
          <w:lang w:bidi="ar-SA"/>
        </w:rPr>
        <w:t>10.商业服务业等支出（类）商业流通事务（款）一般行政管理事务（项）: 指反映行政单位（包括实行公务员管理的事业单位）未单独设置项级科目的其他项目支出。</w:t>
      </w:r>
    </w:p>
    <w:p w14:paraId="7FE89EF3">
      <w:pPr>
        <w:pStyle w:val="31"/>
        <w:pageBreakBefore w:val="0"/>
        <w:widowControl w:val="0"/>
        <w:wordWrap/>
        <w:overflowPunct w:val="0"/>
        <w:topLinePunct w:val="0"/>
        <w:bidi w:val="0"/>
        <w:spacing w:line="576" w:lineRule="exact"/>
        <w:ind w:firstLine="640" w:firstLineChars="200"/>
        <w:rPr>
          <w:rFonts w:hint="eastAsia" w:ascii="Times New Roman" w:hAnsi="Times New Roman" w:eastAsia="方正仿宋_GBK"/>
          <w:color w:val="auto"/>
          <w:kern w:val="2"/>
          <w:sz w:val="32"/>
          <w:szCs w:val="32"/>
        </w:rPr>
      </w:pPr>
      <w:r>
        <w:rPr>
          <w:rFonts w:hint="eastAsia" w:ascii="Times New Roman" w:hAnsi="Times New Roman" w:eastAsia="方正仿宋_GBK"/>
          <w:color w:val="auto"/>
          <w:kern w:val="2"/>
          <w:sz w:val="32"/>
          <w:szCs w:val="32"/>
        </w:rPr>
        <w:t>11.商业服务业等支出（类）商业流通事务（款）其他商业流通事务（项）：指除上述项目以外其他用于商业流通事务方面的支出。</w:t>
      </w:r>
    </w:p>
    <w:p w14:paraId="524B400E">
      <w:pPr>
        <w:pageBreakBefore w:val="0"/>
        <w:widowControl w:val="0"/>
        <w:suppressAutoHyphens/>
        <w:kinsoku/>
        <w:wordWrap/>
        <w:overflowPunct w:val="0"/>
        <w:topLinePunct w:val="0"/>
        <w:bidi w:val="0"/>
        <w:adjustRightInd w:val="0"/>
        <w:spacing w:line="576" w:lineRule="exact"/>
        <w:ind w:firstLine="640" w:firstLineChars="200"/>
        <w:textAlignment w:val="auto"/>
        <w:rPr>
          <w:rFonts w:hint="eastAsia" w:ascii="Times New Roman" w:hAnsi="Times New Roman" w:eastAsia="方正仿宋_GBK" w:cs="仿宋"/>
          <w:sz w:val="32"/>
          <w:szCs w:val="32"/>
          <w:lang w:eastAsia="zh-CN" w:bidi="ar-SA"/>
        </w:rPr>
      </w:pPr>
      <w:r>
        <w:rPr>
          <w:rFonts w:hint="eastAsia" w:ascii="Times New Roman" w:hAnsi="Times New Roman" w:eastAsia="方正仿宋_GBK" w:cs="仿宋"/>
          <w:sz w:val="32"/>
          <w:szCs w:val="32"/>
          <w:lang w:val="en-US" w:eastAsia="zh-CN" w:bidi="ar-SA"/>
        </w:rPr>
        <w:t>12</w:t>
      </w:r>
      <w:r>
        <w:rPr>
          <w:rFonts w:hint="eastAsia" w:ascii="Times New Roman" w:hAnsi="Times New Roman" w:eastAsia="方正仿宋_GBK" w:cs="仿宋"/>
          <w:sz w:val="32"/>
          <w:szCs w:val="32"/>
          <w:lang w:bidi="ar-SA"/>
        </w:rPr>
        <w:t xml:space="preserve">住房保障支出（类）住房改革支出（款）住房公积金（项）: </w:t>
      </w:r>
      <w:r>
        <w:rPr>
          <w:rFonts w:hint="eastAsia" w:ascii="Times New Roman" w:hAnsi="Times New Roman" w:eastAsia="方正仿宋_GBK" w:cs="仿宋"/>
          <w:sz w:val="32"/>
          <w:szCs w:val="32"/>
          <w:lang w:eastAsia="zh-CN" w:bidi="ar-SA"/>
        </w:rPr>
        <w:t>指反映行政事业单位按人力资源和社会保障部、财政部规定的基本工资和津贴补贴以及规定比例为职工缴纳的住房公积金。</w:t>
      </w:r>
    </w:p>
    <w:p w14:paraId="1F128DD6">
      <w:pPr>
        <w:pageBreakBefore w:val="0"/>
        <w:widowControl w:val="0"/>
        <w:suppressAutoHyphens/>
        <w:kinsoku/>
        <w:wordWrap/>
        <w:overflowPunct w:val="0"/>
        <w:topLinePunct w:val="0"/>
        <w:bidi w:val="0"/>
        <w:adjustRightInd w:val="0"/>
        <w:spacing w:line="576" w:lineRule="exact"/>
        <w:ind w:firstLine="640" w:firstLineChars="200"/>
        <w:textAlignment w:val="auto"/>
        <w:rPr>
          <w:rFonts w:hint="eastAsia" w:ascii="Times New Roman" w:hAnsi="Times New Roman" w:eastAsia="方正仿宋_GBK" w:cs="仿宋"/>
          <w:sz w:val="32"/>
          <w:szCs w:val="32"/>
          <w:lang w:bidi="ar-SA"/>
        </w:rPr>
      </w:pPr>
      <w:r>
        <w:rPr>
          <w:rFonts w:hint="eastAsia" w:ascii="Times New Roman" w:hAnsi="Times New Roman" w:eastAsia="方正仿宋_GBK" w:cs="仿宋"/>
          <w:sz w:val="32"/>
          <w:szCs w:val="32"/>
          <w:lang w:val="en-US" w:eastAsia="zh-CN" w:bidi="ar-SA"/>
        </w:rPr>
        <w:t>13.</w:t>
      </w:r>
      <w:r>
        <w:rPr>
          <w:rFonts w:hint="eastAsia" w:ascii="Times New Roman" w:hAnsi="Times New Roman" w:eastAsia="方正仿宋_GBK" w:cs="仿宋"/>
          <w:sz w:val="32"/>
          <w:szCs w:val="32"/>
          <w:lang w:bidi="ar-SA"/>
        </w:rPr>
        <w:t xml:space="preserve">住房保障支出（类）住房改革支出（款） 购房补贴（项）: </w:t>
      </w:r>
      <w:r>
        <w:rPr>
          <w:rFonts w:hint="eastAsia" w:ascii="Times New Roman" w:hAnsi="Times New Roman" w:eastAsia="方正仿宋_GBK" w:cs="仿宋"/>
          <w:sz w:val="32"/>
          <w:szCs w:val="32"/>
          <w:lang w:eastAsia="zh-CN" w:bidi="ar-SA"/>
        </w:rPr>
        <w:t>指按房改政策规定，行政事业单位向符合条件职工（含离退休人员）、军队（含武警）向转役复员离退休人员发放的用于购买住房的补贴</w:t>
      </w:r>
      <w:r>
        <w:rPr>
          <w:rFonts w:hint="eastAsia" w:ascii="Times New Roman" w:hAnsi="Times New Roman" w:eastAsia="方正仿宋_GBK" w:cs="仿宋"/>
          <w:sz w:val="32"/>
          <w:szCs w:val="32"/>
          <w:lang w:bidi="ar-SA"/>
        </w:rPr>
        <w:t>。</w:t>
      </w:r>
    </w:p>
    <w:p w14:paraId="6CFB4884">
      <w:pPr>
        <w:pageBreakBefore w:val="0"/>
        <w:widowControl w:val="0"/>
        <w:wordWrap/>
        <w:overflowPunct w:val="0"/>
        <w:topLinePunct w:val="0"/>
        <w:bidi w:val="0"/>
        <w:adjustRightInd w:val="0"/>
        <w:spacing w:line="576" w:lineRule="exact"/>
        <w:ind w:firstLine="640" w:firstLineChars="200"/>
        <w:rPr>
          <w:rFonts w:hint="eastAsia" w:ascii="Times New Roman" w:hAnsi="Times New Roman" w:eastAsia="方正仿宋_GBK" w:cs="仿宋"/>
          <w:sz w:val="32"/>
          <w:szCs w:val="32"/>
          <w:highlight w:val="none"/>
          <w:lang w:bidi="ar-SA"/>
        </w:rPr>
      </w:pPr>
      <w:r>
        <w:rPr>
          <w:rFonts w:hint="eastAsia" w:ascii="Times New Roman" w:hAnsi="Times New Roman" w:eastAsia="方正仿宋_GBK" w:cs="仿宋"/>
          <w:sz w:val="32"/>
          <w:szCs w:val="32"/>
          <w:highlight w:val="none"/>
          <w:lang w:bidi="ar-SA"/>
        </w:rPr>
        <w:t>14.基本支出：指为保障机构正常运转、完成日常工作任务而发生的人员支出和公用支出。</w:t>
      </w:r>
    </w:p>
    <w:p w14:paraId="694EA377">
      <w:pPr>
        <w:pageBreakBefore w:val="0"/>
        <w:widowControl w:val="0"/>
        <w:wordWrap/>
        <w:overflowPunct w:val="0"/>
        <w:topLinePunct w:val="0"/>
        <w:bidi w:val="0"/>
        <w:adjustRightInd w:val="0"/>
        <w:spacing w:line="576" w:lineRule="exact"/>
        <w:ind w:firstLine="640" w:firstLineChars="200"/>
        <w:rPr>
          <w:rFonts w:hint="eastAsia" w:ascii="Times New Roman" w:hAnsi="Times New Roman" w:eastAsia="方正仿宋_GBK" w:cs="仿宋"/>
          <w:sz w:val="32"/>
          <w:szCs w:val="32"/>
          <w:highlight w:val="none"/>
          <w:lang w:bidi="ar-SA"/>
        </w:rPr>
      </w:pPr>
      <w:r>
        <w:rPr>
          <w:rFonts w:hint="eastAsia" w:ascii="Times New Roman" w:hAnsi="Times New Roman" w:eastAsia="方正仿宋_GBK" w:cs="仿宋"/>
          <w:sz w:val="32"/>
          <w:szCs w:val="32"/>
          <w:highlight w:val="none"/>
          <w:lang w:bidi="ar-SA"/>
        </w:rPr>
        <w:t xml:space="preserve">15.项目支出：指在基本支出之外为完成特定行政任务和事业发展目标所发生的支出。 </w:t>
      </w:r>
    </w:p>
    <w:p w14:paraId="40F7D76F">
      <w:pPr>
        <w:pStyle w:val="31"/>
        <w:pageBreakBefore w:val="0"/>
        <w:widowControl w:val="0"/>
        <w:wordWrap/>
        <w:overflowPunct w:val="0"/>
        <w:topLinePunct w:val="0"/>
        <w:bidi w:val="0"/>
        <w:spacing w:line="576" w:lineRule="exact"/>
        <w:ind w:firstLine="640" w:firstLineChars="200"/>
        <w:rPr>
          <w:rFonts w:hint="eastAsia" w:ascii="Times New Roman" w:hAnsi="Times New Roman" w:eastAsia="方正仿宋_GBK"/>
          <w:color w:val="auto"/>
          <w:kern w:val="2"/>
          <w:sz w:val="32"/>
          <w:szCs w:val="32"/>
          <w:highlight w:val="none"/>
        </w:rPr>
      </w:pPr>
      <w:r>
        <w:rPr>
          <w:rFonts w:hint="eastAsia" w:ascii="Times New Roman" w:hAnsi="Times New Roman" w:eastAsia="方正仿宋_GBK"/>
          <w:color w:val="auto"/>
          <w:kern w:val="2"/>
          <w:sz w:val="32"/>
          <w:szCs w:val="32"/>
          <w:highlight w:val="none"/>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B1AD145">
      <w:pPr>
        <w:pStyle w:val="31"/>
        <w:pageBreakBefore w:val="0"/>
        <w:widowControl w:val="0"/>
        <w:wordWrap/>
        <w:overflowPunct w:val="0"/>
        <w:topLinePunct w:val="0"/>
        <w:bidi w:val="0"/>
        <w:spacing w:line="576" w:lineRule="exact"/>
        <w:ind w:firstLine="640" w:firstLineChars="200"/>
        <w:rPr>
          <w:rFonts w:hint="eastAsia" w:ascii="Times New Roman" w:hAnsi="Times New Roman" w:eastAsia="方正仿宋_GBK"/>
          <w:color w:val="auto"/>
          <w:kern w:val="2"/>
          <w:sz w:val="32"/>
          <w:szCs w:val="32"/>
          <w:highlight w:val="none"/>
        </w:rPr>
      </w:pPr>
      <w:r>
        <w:rPr>
          <w:rFonts w:hint="eastAsia" w:ascii="Times New Roman" w:hAnsi="Times New Roman" w:eastAsia="方正仿宋_GBK"/>
          <w:color w:val="auto"/>
          <w:kern w:val="2"/>
          <w:sz w:val="32"/>
          <w:szCs w:val="32"/>
          <w:highlight w:val="none"/>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2E3B327">
      <w:pPr>
        <w:pageBreakBefore w:val="0"/>
        <w:widowControl w:val="0"/>
        <w:wordWrap/>
        <w:overflowPunct w:val="0"/>
        <w:topLinePunct w:val="0"/>
        <w:bidi w:val="0"/>
        <w:spacing w:line="600" w:lineRule="exact"/>
        <w:jc w:val="center"/>
        <w:rPr>
          <w:rStyle w:val="22"/>
          <w:rFonts w:eastAsia="黑体"/>
          <w:b w:val="0"/>
        </w:rPr>
      </w:pPr>
      <w:r>
        <w:rPr>
          <w:rFonts w:hint="eastAsia" w:eastAsia="仿宋_GB2312" w:cs="仿宋_GB2312"/>
          <w:sz w:val="32"/>
          <w:szCs w:val="32"/>
        </w:rPr>
        <w:br w:type="page"/>
      </w:r>
      <w:bookmarkStart w:id="46" w:name="_Toc15396614"/>
      <w:r>
        <w:rPr>
          <w:rFonts w:hint="eastAsia" w:eastAsia="黑体"/>
          <w:sz w:val="44"/>
          <w:szCs w:val="44"/>
        </w:rPr>
        <w:t>第四部分  附件</w:t>
      </w:r>
      <w:bookmarkEnd w:id="46"/>
    </w:p>
    <w:p w14:paraId="4CCDFE94">
      <w:pPr>
        <w:pageBreakBefore w:val="0"/>
        <w:widowControl w:val="0"/>
        <w:wordWrap/>
        <w:overflowPunct w:val="0"/>
        <w:topLinePunct w:val="0"/>
        <w:bidi w:val="0"/>
        <w:spacing w:line="572" w:lineRule="exact"/>
        <w:jc w:val="left"/>
        <w:outlineLvl w:val="0"/>
        <w:rPr>
          <w:rFonts w:eastAsia="黑体" w:cs="黑体"/>
          <w:color w:val="FF0000"/>
          <w:sz w:val="32"/>
          <w:szCs w:val="32"/>
        </w:rPr>
      </w:pPr>
    </w:p>
    <w:p w14:paraId="2D1CFD65">
      <w:pPr>
        <w:pageBreakBefore w:val="0"/>
        <w:widowControl w:val="0"/>
        <w:wordWrap/>
        <w:overflowPunct w:val="0"/>
        <w:topLinePunct w:val="0"/>
        <w:bidi w:val="0"/>
        <w:spacing w:line="572" w:lineRule="exact"/>
        <w:jc w:val="left"/>
        <w:outlineLvl w:val="0"/>
        <w:rPr>
          <w:rFonts w:eastAsia="黑体" w:cs="方正小标宋简体"/>
          <w:sz w:val="44"/>
          <w:szCs w:val="44"/>
        </w:rPr>
      </w:pPr>
      <w:r>
        <w:rPr>
          <w:rFonts w:hint="eastAsia" w:eastAsia="黑体" w:cs="黑体"/>
          <w:sz w:val="32"/>
          <w:szCs w:val="32"/>
        </w:rPr>
        <w:t>附件1</w:t>
      </w:r>
    </w:p>
    <w:p w14:paraId="0ECF5872">
      <w:pPr>
        <w:keepNext w:val="0"/>
        <w:keepLines w:val="0"/>
        <w:pageBreakBefore w:val="0"/>
        <w:widowControl w:val="0"/>
        <w:kinsoku w:val="0"/>
        <w:wordWrap/>
        <w:overflowPunct w:val="0"/>
        <w:topLinePunct w:val="0"/>
        <w:autoSpaceDE w:val="0"/>
        <w:autoSpaceDN w:val="0"/>
        <w:bidi w:val="0"/>
        <w:spacing w:line="576" w:lineRule="exact"/>
        <w:contextualSpacing/>
        <w:jc w:val="center"/>
        <w:rPr>
          <w:rFonts w:hint="eastAsia" w:eastAsia="方正小标宋_GBK"/>
          <w:sz w:val="44"/>
          <w:szCs w:val="44"/>
          <w:shd w:val="clear" w:color="auto" w:fill="auto"/>
        </w:rPr>
      </w:pPr>
      <w:r>
        <w:rPr>
          <w:rFonts w:hint="eastAsia" w:eastAsia="方正小标宋_GBK"/>
          <w:sz w:val="44"/>
          <w:szCs w:val="44"/>
          <w:shd w:val="clear" w:color="auto" w:fill="auto"/>
        </w:rPr>
        <w:t>阿坝州供销合作社联合社</w:t>
      </w:r>
    </w:p>
    <w:p w14:paraId="35AEA9B3">
      <w:pPr>
        <w:keepNext w:val="0"/>
        <w:keepLines w:val="0"/>
        <w:pageBreakBefore w:val="0"/>
        <w:widowControl w:val="0"/>
        <w:kinsoku w:val="0"/>
        <w:wordWrap/>
        <w:overflowPunct w:val="0"/>
        <w:topLinePunct w:val="0"/>
        <w:autoSpaceDE w:val="0"/>
        <w:autoSpaceDN w:val="0"/>
        <w:bidi w:val="0"/>
        <w:spacing w:line="576"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eastAsia="方正小标宋简体" w:cs="Times New Roman"/>
          <w:b w:val="0"/>
          <w:bCs/>
          <w:sz w:val="44"/>
          <w:szCs w:val="44"/>
          <w:highlight w:val="none"/>
          <w:shd w:val="clear" w:color="auto" w:fill="FFFFFF"/>
          <w:lang w:eastAsia="zh-CN"/>
        </w:rPr>
        <w:t>自评</w:t>
      </w:r>
      <w:r>
        <w:rPr>
          <w:rFonts w:hint="default" w:ascii="Times New Roman" w:hAnsi="Times New Roman" w:eastAsia="方正小标宋简体" w:cs="Times New Roman"/>
          <w:b w:val="0"/>
          <w:bCs/>
          <w:sz w:val="44"/>
          <w:szCs w:val="44"/>
          <w:highlight w:val="none"/>
          <w:shd w:val="clear" w:color="auto" w:fill="FFFFFF"/>
        </w:rPr>
        <w:t>报告</w:t>
      </w:r>
    </w:p>
    <w:p w14:paraId="67A4FE2C">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0E8BEC22">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rPr>
        <w:t>一、部门（单位）基本情况</w:t>
      </w:r>
    </w:p>
    <w:p w14:paraId="3D84ABA7">
      <w:pPr>
        <w:keepNext w:val="0"/>
        <w:keepLines w:val="0"/>
        <w:pageBreakBefore w:val="0"/>
        <w:widowControl w:val="0"/>
        <w:kinsoku w:val="0"/>
        <w:wordWrap/>
        <w:overflowPunct w:val="0"/>
        <w:topLinePunct w:val="0"/>
        <w:autoSpaceDE w:val="0"/>
        <w:autoSpaceDN w:val="0"/>
        <w:bidi w:val="0"/>
        <w:adjustRightInd/>
        <w:snapToGrid/>
        <w:spacing w:line="576" w:lineRule="exact"/>
        <w:ind w:left="0" w:firstLine="643" w:firstLineChars="200"/>
        <w:jc w:val="both"/>
        <w:textAlignment w:val="auto"/>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（一）机构组成。</w:t>
      </w:r>
    </w:p>
    <w:p w14:paraId="562DAFDF">
      <w:pPr>
        <w:keepNext w:val="0"/>
        <w:keepLines w:val="0"/>
        <w:pageBreakBefore w:val="0"/>
        <w:widowControl w:val="0"/>
        <w:kinsoku w:val="0"/>
        <w:wordWrap/>
        <w:overflowPunct w:val="0"/>
        <w:topLinePunct w:val="0"/>
        <w:autoSpaceDE w:val="0"/>
        <w:autoSpaceDN w:val="0"/>
        <w:bidi w:val="0"/>
        <w:adjustRightInd/>
        <w:snapToGrid/>
        <w:spacing w:line="576" w:lineRule="exact"/>
        <w:ind w:left="0" w:firstLine="640" w:firstLineChars="200"/>
        <w:jc w:val="both"/>
        <w:textAlignment w:val="auto"/>
        <w:rPr>
          <w:rFonts w:hint="eastAsia" w:ascii="Times New Roman" w:hAnsi="Times New Roman" w:eastAsia="方正仿宋_GBK" w:cs="Times New Roman"/>
          <w:kern w:val="0"/>
          <w:sz w:val="32"/>
          <w:szCs w:val="32"/>
          <w:lang w:val="zh-CN" w:eastAsia="zh-CN" w:bidi="ar-SA"/>
        </w:rPr>
      </w:pPr>
      <w:r>
        <w:rPr>
          <w:rFonts w:hint="eastAsia" w:ascii="Times New Roman" w:hAnsi="Times New Roman" w:eastAsia="方正仿宋_GBK" w:cs="Times New Roman"/>
          <w:kern w:val="0"/>
          <w:sz w:val="32"/>
          <w:szCs w:val="32"/>
          <w:lang w:val="zh-CN" w:eastAsia="zh-CN" w:bidi="ar-SA"/>
        </w:rPr>
        <w:t>我单位202</w:t>
      </w:r>
      <w:r>
        <w:rPr>
          <w:rFonts w:hint="eastAsia" w:ascii="Times New Roman" w:hAnsi="Times New Roman" w:eastAsia="方正仿宋_GBK" w:cs="Times New Roman"/>
          <w:kern w:val="0"/>
          <w:sz w:val="32"/>
          <w:szCs w:val="32"/>
          <w:lang w:val="en-US" w:eastAsia="zh-CN" w:bidi="ar-SA"/>
        </w:rPr>
        <w:t>4</w:t>
      </w:r>
      <w:r>
        <w:rPr>
          <w:rFonts w:hint="eastAsia" w:ascii="Times New Roman" w:hAnsi="Times New Roman" w:eastAsia="方正仿宋_GBK" w:cs="Times New Roman"/>
          <w:kern w:val="0"/>
          <w:sz w:val="32"/>
          <w:szCs w:val="32"/>
          <w:lang w:val="zh-CN" w:eastAsia="zh-CN" w:bidi="ar-SA"/>
        </w:rPr>
        <w:t>年度独立编制机构数共1个，与上年一致；独立核算机构数共1个，与上年一致。</w:t>
      </w:r>
    </w:p>
    <w:p w14:paraId="1FAAE1CF">
      <w:pPr>
        <w:pStyle w:val="17"/>
        <w:keepNext w:val="0"/>
        <w:keepLines w:val="0"/>
        <w:pageBreakBefore w:val="0"/>
        <w:widowControl w:val="0"/>
        <w:numPr>
          <w:ilvl w:val="0"/>
          <w:numId w:val="2"/>
        </w:numPr>
        <w:suppressLineNumbers w:val="0"/>
        <w:kinsoku w:val="0"/>
        <w:wordWrap/>
        <w:overflowPunct w:val="0"/>
        <w:topLinePunct w:val="0"/>
        <w:autoSpaceDE w:val="0"/>
        <w:autoSpaceDN w:val="0"/>
        <w:bidi w:val="0"/>
        <w:adjustRightInd w:val="0"/>
        <w:snapToGrid w:val="0"/>
        <w:spacing w:before="0" w:beforeAutospacing="0" w:after="0" w:afterAutospacing="0" w:line="576" w:lineRule="exact"/>
        <w:ind w:left="0" w:right="0" w:firstLine="643" w:firstLineChars="200"/>
        <w:textAlignment w:val="auto"/>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机构职能。</w:t>
      </w:r>
    </w:p>
    <w:p w14:paraId="0BFEF111">
      <w:pPr>
        <w:pStyle w:val="17"/>
        <w:keepNext w:val="0"/>
        <w:keepLines w:val="0"/>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576" w:lineRule="exact"/>
        <w:ind w:left="0" w:leftChars="0" w:right="0" w:rightChars="0" w:firstLine="640" w:firstLineChars="200"/>
        <w:textAlignment w:val="auto"/>
        <w:rPr>
          <w:rFonts w:hint="eastAsia" w:ascii="Times New Roman" w:hAnsi="Times New Roman" w:eastAsia="方正仿宋_GBK" w:cs="Times New Roman"/>
          <w:szCs w:val="32"/>
          <w:lang w:bidi="ar-SA"/>
        </w:rPr>
      </w:pPr>
      <w:r>
        <w:rPr>
          <w:rFonts w:hint="eastAsia" w:ascii="Times New Roman" w:hAnsi="Times New Roman" w:eastAsia="方正仿宋_GBK" w:cs="Times New Roman"/>
          <w:szCs w:val="32"/>
          <w:lang w:bidi="ar-SA"/>
        </w:rPr>
        <w:t>（1）宣传贯彻中央“三农”工作方针政策和州委、州政府有关决策部署，指导全州供销合作事业发展。</w:t>
      </w:r>
    </w:p>
    <w:p w14:paraId="4D964D09">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576" w:lineRule="exact"/>
        <w:ind w:right="0" w:firstLine="640" w:firstLineChars="200"/>
        <w:textAlignment w:val="auto"/>
        <w:rPr>
          <w:rFonts w:hint="eastAsia" w:ascii="Times New Roman" w:hAnsi="Times New Roman" w:eastAsia="方正仿宋_GBK" w:cs="Times New Roman"/>
          <w:szCs w:val="32"/>
          <w:lang w:bidi="ar-SA"/>
        </w:rPr>
      </w:pPr>
      <w:r>
        <w:rPr>
          <w:rFonts w:hint="eastAsia" w:ascii="Times New Roman" w:hAnsi="Times New Roman" w:eastAsia="方正仿宋_GBK" w:cs="Times New Roman"/>
          <w:szCs w:val="32"/>
          <w:lang w:bidi="ar-SA"/>
        </w:rPr>
        <w:t>（2）负责研究制定全州供销合作社发展规划并组织实施，指导服务全州供销合作社系统改革发展。</w:t>
      </w:r>
    </w:p>
    <w:p w14:paraId="5910E9F9">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cs="Times New Roman"/>
          <w:szCs w:val="32"/>
          <w:lang w:bidi="ar-SA"/>
        </w:rPr>
      </w:pPr>
      <w:r>
        <w:rPr>
          <w:rFonts w:hint="eastAsia" w:ascii="Times New Roman" w:hAnsi="Times New Roman" w:eastAsia="方正仿宋_GBK" w:cs="Times New Roman"/>
          <w:szCs w:val="32"/>
          <w:lang w:bidi="ar-SA"/>
        </w:rPr>
        <w:t>（3）履行社有资产运营指导和监督管理职责，发展社有企业，确保社有企业为农服务方向，落实社有资产保值增值和安全责任。</w:t>
      </w:r>
    </w:p>
    <w:p w14:paraId="47D394E5">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cs="Times New Roman"/>
          <w:szCs w:val="32"/>
          <w:lang w:bidi="ar-SA"/>
        </w:rPr>
      </w:pPr>
      <w:r>
        <w:rPr>
          <w:rFonts w:hint="eastAsia" w:ascii="Times New Roman" w:hAnsi="Times New Roman" w:eastAsia="方正仿宋_GBK" w:cs="Times New Roman"/>
          <w:szCs w:val="32"/>
          <w:lang w:bidi="ar-SA"/>
        </w:rPr>
        <w:t>（4）根据授权对重要生产生活资料的经营、储备进行组织、协调和管理，指导全州县（市）供销合作社承担政府委托的公益性服务和其他任务。</w:t>
      </w:r>
    </w:p>
    <w:p w14:paraId="5B16BC0C">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cs="Times New Roman"/>
          <w:szCs w:val="32"/>
          <w:lang w:bidi="ar-SA"/>
        </w:rPr>
      </w:pPr>
      <w:r>
        <w:rPr>
          <w:rFonts w:hint="eastAsia" w:ascii="Times New Roman" w:hAnsi="Times New Roman" w:eastAsia="方正仿宋_GBK" w:cs="Times New Roman"/>
          <w:szCs w:val="32"/>
          <w:lang w:bidi="ar-SA"/>
        </w:rPr>
        <w:t>（5）指导全州供销合作社开展农业生产经营服务、城乡消费品流通服务、再生资源回收利用服务和生产、供销、信用“三位一体”综合合作等业务活动。</w:t>
      </w:r>
    </w:p>
    <w:p w14:paraId="707C14F3">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cs="Times New Roman"/>
          <w:szCs w:val="32"/>
          <w:lang w:bidi="ar-SA"/>
        </w:rPr>
      </w:pPr>
      <w:r>
        <w:rPr>
          <w:rFonts w:hint="eastAsia" w:ascii="Times New Roman" w:hAnsi="Times New Roman" w:eastAsia="方正仿宋_GBK" w:cs="Times New Roman"/>
          <w:szCs w:val="32"/>
          <w:lang w:bidi="ar-SA"/>
        </w:rPr>
        <w:t>（6）参与公益性农产品市场建设，承担国有控股的农产品批发市场的建设、运营和管护。</w:t>
      </w:r>
    </w:p>
    <w:p w14:paraId="197D62B4">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cs="Times New Roman"/>
          <w:szCs w:val="32"/>
          <w:lang w:bidi="ar-SA"/>
        </w:rPr>
      </w:pPr>
      <w:r>
        <w:rPr>
          <w:rFonts w:hint="eastAsia" w:ascii="Times New Roman" w:hAnsi="Times New Roman" w:eastAsia="方正仿宋_GBK" w:cs="Times New Roman"/>
          <w:szCs w:val="32"/>
          <w:lang w:bidi="ar-SA"/>
        </w:rPr>
        <w:t>（7）领办创办农民专业合作社，发展基层供销合作社，更好履行为农服务职责。</w:t>
      </w:r>
    </w:p>
    <w:p w14:paraId="06B93913">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cs="Times New Roman"/>
          <w:szCs w:val="32"/>
          <w:lang w:bidi="ar-SA"/>
        </w:rPr>
      </w:pPr>
      <w:r>
        <w:rPr>
          <w:rFonts w:hint="eastAsia" w:ascii="Times New Roman" w:hAnsi="Times New Roman" w:eastAsia="方正仿宋_GBK" w:cs="Times New Roman"/>
          <w:szCs w:val="32"/>
          <w:lang w:bidi="ar-SA"/>
        </w:rPr>
        <w:t>（8）推进供销合作社法治建设，研究提出促进农村经济社会和行业发展的政策法规建议，维护全州供销合作社的合法权益。</w:t>
      </w:r>
    </w:p>
    <w:p w14:paraId="6BE792DF">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cs="Times New Roman"/>
          <w:szCs w:val="32"/>
          <w:lang w:bidi="ar-SA"/>
        </w:rPr>
      </w:pPr>
      <w:r>
        <w:rPr>
          <w:rFonts w:hint="eastAsia" w:ascii="Times New Roman" w:hAnsi="Times New Roman" w:eastAsia="方正仿宋_GBK" w:cs="Times New Roman"/>
          <w:szCs w:val="32"/>
          <w:lang w:bidi="ar-SA"/>
        </w:rPr>
        <w:t>（9）指导全州供销合作社开展教育培训工作。</w:t>
      </w:r>
    </w:p>
    <w:p w14:paraId="2F8B6CA6">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cs="Times New Roman"/>
          <w:szCs w:val="32"/>
          <w:lang w:bidi="ar-SA"/>
        </w:rPr>
      </w:pPr>
      <w:r>
        <w:rPr>
          <w:rFonts w:hint="eastAsia" w:ascii="Times New Roman" w:hAnsi="Times New Roman" w:eastAsia="方正仿宋_GBK" w:cs="Times New Roman"/>
          <w:szCs w:val="32"/>
          <w:lang w:bidi="ar-SA"/>
        </w:rPr>
        <w:t>（10）完成州委、州政府交办的其他任务。</w:t>
      </w:r>
    </w:p>
    <w:p w14:paraId="4DE4D33B">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576" w:lineRule="exact"/>
        <w:ind w:left="0" w:firstLine="643" w:firstLineChars="200"/>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（三）人员概况。</w:t>
      </w:r>
    </w:p>
    <w:p w14:paraId="626445BB">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cs="Times New Roman"/>
          <w:szCs w:val="32"/>
          <w:lang w:val="zh-CN" w:eastAsia="zh-CN" w:bidi="ar-SA"/>
        </w:rPr>
      </w:pPr>
      <w:r>
        <w:rPr>
          <w:rFonts w:hint="default" w:ascii="Times New Roman" w:hAnsi="Times New Roman" w:eastAsia="方正仿宋_GBK" w:cs="Times New Roman"/>
          <w:szCs w:val="32"/>
          <w:lang w:bidi="ar-SA"/>
        </w:rPr>
        <w:t>截至202</w:t>
      </w:r>
      <w:r>
        <w:rPr>
          <w:rFonts w:hint="eastAsia" w:ascii="Times New Roman" w:hAnsi="Times New Roman" w:eastAsia="方正仿宋_GBK" w:cs="Times New Roman"/>
          <w:szCs w:val="32"/>
          <w:lang w:val="en-US" w:eastAsia="zh-CN" w:bidi="ar-SA"/>
        </w:rPr>
        <w:t>4</w:t>
      </w:r>
      <w:r>
        <w:rPr>
          <w:rFonts w:hint="default" w:ascii="Times New Roman" w:hAnsi="Times New Roman" w:eastAsia="方正仿宋_GBK" w:cs="Times New Roman"/>
          <w:szCs w:val="32"/>
          <w:lang w:bidi="ar-SA"/>
        </w:rPr>
        <w:t>年末，</w:t>
      </w:r>
      <w:r>
        <w:rPr>
          <w:rFonts w:hint="eastAsia" w:ascii="Times New Roman" w:hAnsi="Times New Roman" w:eastAsia="方正仿宋_GBK" w:cs="Times New Roman"/>
          <w:szCs w:val="32"/>
          <w:lang w:val="zh-CN" w:eastAsia="zh-CN" w:bidi="ar-SA"/>
        </w:rPr>
        <w:t>阿坝州供销社编制21名，与上年一致，人员编制数无变化；在职职工实有人数20人，与上年一致；年末实有退休人数为27人，较上年增加2人。</w:t>
      </w:r>
    </w:p>
    <w:p w14:paraId="1A205D1F">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rPr>
        <w:t>二、</w:t>
      </w:r>
      <w:r>
        <w:rPr>
          <w:rFonts w:hint="default" w:ascii="Times New Roman" w:hAnsi="Times New Roman" w:eastAsia="黑体" w:cs="Times New Roman"/>
          <w:color w:val="000000"/>
          <w:kern w:val="0"/>
          <w:sz w:val="32"/>
          <w:szCs w:val="32"/>
          <w:highlight w:val="none"/>
          <w:shd w:val="clear" w:color="auto" w:fill="FFFFFF"/>
          <w:lang w:eastAsia="zh-CN"/>
        </w:rPr>
        <w:t>部门</w:t>
      </w:r>
      <w:r>
        <w:rPr>
          <w:rFonts w:hint="default" w:ascii="Times New Roman" w:hAnsi="Times New Roman" w:eastAsia="黑体" w:cs="Times New Roman"/>
          <w:color w:val="000000"/>
          <w:kern w:val="0"/>
          <w:sz w:val="32"/>
          <w:szCs w:val="32"/>
          <w:highlight w:val="none"/>
          <w:shd w:val="clear" w:color="auto" w:fill="FFFFFF"/>
        </w:rPr>
        <w:t>资金收支情况</w:t>
      </w:r>
    </w:p>
    <w:p w14:paraId="153EEA1A">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（一）收入情况。</w:t>
      </w:r>
    </w:p>
    <w:p w14:paraId="5D467ED5">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eastAsia" w:ascii="Times New Roman" w:hAnsi="Times New Roman" w:eastAsia="方正仿宋_GBK" w:cs="Times New Roman"/>
          <w:kern w:val="0"/>
          <w:sz w:val="32"/>
          <w:szCs w:val="32"/>
          <w:lang w:val="zh-CN" w:eastAsia="zh-CN" w:bidi="ar-SA"/>
        </w:rPr>
      </w:pPr>
      <w:r>
        <w:rPr>
          <w:rFonts w:hint="eastAsia" w:ascii="Times New Roman" w:hAnsi="Times New Roman" w:eastAsia="方正仿宋_GBK" w:cs="Times New Roman"/>
          <w:kern w:val="0"/>
          <w:sz w:val="32"/>
          <w:szCs w:val="32"/>
          <w:lang w:val="zh-CN" w:eastAsia="zh-CN" w:bidi="ar-SA"/>
        </w:rPr>
        <w:t>我单位本年度收入的年初预算数为68</w:t>
      </w:r>
      <w:r>
        <w:rPr>
          <w:rFonts w:hint="eastAsia" w:ascii="Times New Roman" w:hAnsi="Times New Roman" w:eastAsia="方正仿宋_GBK" w:cs="Times New Roman"/>
          <w:kern w:val="0"/>
          <w:sz w:val="32"/>
          <w:szCs w:val="32"/>
          <w:lang w:val="en-US" w:eastAsia="zh-CN" w:bidi="ar-SA"/>
        </w:rPr>
        <w:t>0.12</w:t>
      </w:r>
      <w:r>
        <w:rPr>
          <w:rFonts w:hint="eastAsia" w:ascii="Times New Roman" w:hAnsi="Times New Roman" w:eastAsia="方正仿宋_GBK" w:cs="Times New Roman"/>
          <w:kern w:val="0"/>
          <w:sz w:val="32"/>
          <w:szCs w:val="32"/>
          <w:lang w:val="zh-CN" w:eastAsia="zh-CN" w:bidi="ar-SA"/>
        </w:rPr>
        <w:t>万元。本年度收入决算数为</w:t>
      </w:r>
      <w:r>
        <w:rPr>
          <w:rFonts w:hint="eastAsia" w:ascii="Times New Roman" w:hAnsi="Times New Roman" w:eastAsia="方正仿宋_GBK" w:cs="Times New Roman"/>
          <w:kern w:val="0"/>
          <w:sz w:val="32"/>
          <w:szCs w:val="32"/>
          <w:lang w:val="en-US" w:eastAsia="zh-CN" w:bidi="ar-SA"/>
        </w:rPr>
        <w:t>801.79</w:t>
      </w:r>
      <w:r>
        <w:rPr>
          <w:rFonts w:hint="eastAsia" w:ascii="Times New Roman" w:hAnsi="Times New Roman" w:eastAsia="方正仿宋_GBK" w:cs="Times New Roman"/>
          <w:kern w:val="0"/>
          <w:sz w:val="32"/>
          <w:szCs w:val="32"/>
          <w:lang w:val="zh-CN" w:eastAsia="zh-CN" w:bidi="ar-SA"/>
        </w:rPr>
        <w:t>万元。其中：一般公共预算财政拨款收入为</w:t>
      </w:r>
      <w:r>
        <w:rPr>
          <w:rFonts w:hint="eastAsia" w:ascii="Times New Roman" w:hAnsi="Times New Roman" w:eastAsia="方正仿宋_GBK" w:cs="Times New Roman"/>
          <w:kern w:val="0"/>
          <w:sz w:val="32"/>
          <w:szCs w:val="32"/>
          <w:lang w:val="en-US" w:eastAsia="zh-CN" w:bidi="ar-SA"/>
        </w:rPr>
        <w:t>801.79</w:t>
      </w:r>
      <w:r>
        <w:rPr>
          <w:rFonts w:hint="eastAsia" w:ascii="Times New Roman" w:hAnsi="Times New Roman" w:eastAsia="方正仿宋_GBK" w:cs="Times New Roman"/>
          <w:kern w:val="0"/>
          <w:sz w:val="32"/>
          <w:szCs w:val="32"/>
          <w:lang w:val="zh-CN" w:eastAsia="zh-CN" w:bidi="ar-SA"/>
        </w:rPr>
        <w:t>万元，占比100.00%。</w:t>
      </w:r>
    </w:p>
    <w:p w14:paraId="2E187A0D">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支出情况。</w:t>
      </w:r>
    </w:p>
    <w:p w14:paraId="754B2583">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576" w:lineRule="exact"/>
        <w:ind w:firstLine="640" w:firstLineChars="200"/>
        <w:jc w:val="left"/>
        <w:rPr>
          <w:rFonts w:hint="eastAsia" w:ascii="Times New Roman" w:hAnsi="Times New Roman" w:eastAsia="方正仿宋_GBK" w:cs="Times New Roman"/>
          <w:kern w:val="0"/>
          <w:sz w:val="32"/>
          <w:szCs w:val="32"/>
          <w:lang w:val="zh-CN" w:eastAsia="zh-CN" w:bidi="ar-SA"/>
        </w:rPr>
      </w:pPr>
      <w:r>
        <w:rPr>
          <w:rFonts w:hint="eastAsia" w:ascii="Times New Roman" w:hAnsi="Times New Roman" w:eastAsia="方正仿宋_GBK" w:cs="Times New Roman"/>
          <w:kern w:val="0"/>
          <w:sz w:val="32"/>
          <w:szCs w:val="32"/>
          <w:lang w:val="zh-CN" w:eastAsia="zh-CN" w:bidi="ar-SA"/>
        </w:rPr>
        <w:t>我单位本年度支出的年初预算数为68</w:t>
      </w:r>
      <w:r>
        <w:rPr>
          <w:rFonts w:hint="eastAsia" w:ascii="Times New Roman" w:hAnsi="Times New Roman" w:eastAsia="方正仿宋_GBK" w:cs="Times New Roman"/>
          <w:kern w:val="0"/>
          <w:sz w:val="32"/>
          <w:szCs w:val="32"/>
          <w:lang w:val="en-US" w:eastAsia="zh-CN" w:bidi="ar-SA"/>
        </w:rPr>
        <w:t>0.12</w:t>
      </w:r>
      <w:r>
        <w:rPr>
          <w:rFonts w:hint="eastAsia" w:ascii="Times New Roman" w:hAnsi="Times New Roman" w:eastAsia="方正仿宋_GBK" w:cs="Times New Roman"/>
          <w:kern w:val="0"/>
          <w:sz w:val="32"/>
          <w:szCs w:val="32"/>
          <w:lang w:val="zh-CN" w:eastAsia="zh-CN" w:bidi="ar-SA"/>
        </w:rPr>
        <w:t>万元，本年度支出决算数为</w:t>
      </w:r>
      <w:r>
        <w:rPr>
          <w:rFonts w:hint="eastAsia" w:ascii="Times New Roman" w:hAnsi="Times New Roman" w:eastAsia="方正仿宋_GBK" w:cs="Times New Roman"/>
          <w:kern w:val="0"/>
          <w:sz w:val="32"/>
          <w:szCs w:val="32"/>
          <w:lang w:val="en-US" w:eastAsia="zh-CN" w:bidi="ar-SA"/>
        </w:rPr>
        <w:t>801.79</w:t>
      </w:r>
      <w:r>
        <w:rPr>
          <w:rFonts w:hint="eastAsia" w:ascii="Times New Roman" w:hAnsi="Times New Roman" w:eastAsia="方正仿宋_GBK" w:cs="Times New Roman"/>
          <w:kern w:val="0"/>
          <w:sz w:val="32"/>
          <w:szCs w:val="32"/>
          <w:lang w:val="zh-CN" w:eastAsia="zh-CN" w:bidi="ar-SA"/>
        </w:rPr>
        <w:t>万元。其中：社会保障和就业支出为</w:t>
      </w:r>
      <w:r>
        <w:rPr>
          <w:rFonts w:hint="eastAsia" w:ascii="Times New Roman" w:hAnsi="Times New Roman" w:eastAsia="方正仿宋_GBK" w:cs="Times New Roman"/>
          <w:kern w:val="0"/>
          <w:sz w:val="32"/>
          <w:szCs w:val="32"/>
          <w:lang w:val="en-US" w:eastAsia="zh-CN" w:bidi="ar-SA"/>
        </w:rPr>
        <w:t>85.27</w:t>
      </w:r>
      <w:r>
        <w:rPr>
          <w:rFonts w:hint="eastAsia" w:ascii="Times New Roman" w:hAnsi="Times New Roman" w:eastAsia="方正仿宋_GBK" w:cs="Times New Roman"/>
          <w:kern w:val="0"/>
          <w:sz w:val="32"/>
          <w:szCs w:val="32"/>
          <w:lang w:val="zh-CN" w:eastAsia="zh-CN" w:bidi="ar-SA"/>
        </w:rPr>
        <w:t>万元，占比</w:t>
      </w:r>
      <w:r>
        <w:rPr>
          <w:rFonts w:hint="eastAsia" w:ascii="Times New Roman" w:hAnsi="Times New Roman" w:eastAsia="方正仿宋_GBK" w:cs="Times New Roman"/>
          <w:kern w:val="0"/>
          <w:sz w:val="32"/>
          <w:szCs w:val="32"/>
          <w:lang w:val="en-US" w:eastAsia="zh-CN" w:bidi="ar-SA"/>
        </w:rPr>
        <w:t>10.63</w:t>
      </w:r>
      <w:r>
        <w:rPr>
          <w:rFonts w:hint="eastAsia" w:ascii="Times New Roman" w:hAnsi="Times New Roman" w:eastAsia="方正仿宋_GBK" w:cs="Times New Roman"/>
          <w:kern w:val="0"/>
          <w:sz w:val="32"/>
          <w:szCs w:val="32"/>
          <w:lang w:val="zh-CN" w:eastAsia="zh-CN" w:bidi="ar-SA"/>
        </w:rPr>
        <w:t>%；卫生健康支出为3</w:t>
      </w:r>
      <w:r>
        <w:rPr>
          <w:rFonts w:hint="eastAsia" w:ascii="Times New Roman" w:hAnsi="Times New Roman" w:eastAsia="方正仿宋_GBK" w:cs="Times New Roman"/>
          <w:kern w:val="0"/>
          <w:sz w:val="32"/>
          <w:szCs w:val="32"/>
          <w:lang w:val="en-US" w:eastAsia="zh-CN" w:bidi="ar-SA"/>
        </w:rPr>
        <w:t>6.55</w:t>
      </w:r>
      <w:r>
        <w:rPr>
          <w:rFonts w:hint="eastAsia" w:ascii="Times New Roman" w:hAnsi="Times New Roman" w:eastAsia="方正仿宋_GBK" w:cs="Times New Roman"/>
          <w:kern w:val="0"/>
          <w:sz w:val="32"/>
          <w:szCs w:val="32"/>
          <w:lang w:val="zh-CN" w:eastAsia="zh-CN" w:bidi="ar-SA"/>
        </w:rPr>
        <w:t>万元，占比4.</w:t>
      </w:r>
      <w:r>
        <w:rPr>
          <w:rFonts w:hint="eastAsia" w:ascii="Times New Roman" w:hAnsi="Times New Roman" w:eastAsia="方正仿宋_GBK" w:cs="Times New Roman"/>
          <w:kern w:val="0"/>
          <w:sz w:val="32"/>
          <w:szCs w:val="32"/>
          <w:lang w:val="en-US" w:eastAsia="zh-CN" w:bidi="ar-SA"/>
        </w:rPr>
        <w:t>56</w:t>
      </w:r>
      <w:r>
        <w:rPr>
          <w:rFonts w:hint="eastAsia" w:ascii="Times New Roman" w:hAnsi="Times New Roman" w:eastAsia="方正仿宋_GBK" w:cs="Times New Roman"/>
          <w:kern w:val="0"/>
          <w:sz w:val="32"/>
          <w:szCs w:val="32"/>
          <w:lang w:val="zh-CN" w:eastAsia="zh-CN" w:bidi="ar-SA"/>
        </w:rPr>
        <w:t>%；商业服务业等支出为</w:t>
      </w:r>
      <w:r>
        <w:rPr>
          <w:rFonts w:hint="eastAsia" w:ascii="Times New Roman" w:hAnsi="Times New Roman" w:eastAsia="方正仿宋_GBK" w:cs="Times New Roman"/>
          <w:kern w:val="0"/>
          <w:sz w:val="32"/>
          <w:szCs w:val="32"/>
          <w:lang w:val="en-US" w:eastAsia="zh-CN" w:bidi="ar-SA"/>
        </w:rPr>
        <w:t>631.79</w:t>
      </w:r>
      <w:r>
        <w:rPr>
          <w:rFonts w:hint="eastAsia" w:ascii="Times New Roman" w:hAnsi="Times New Roman" w:eastAsia="方正仿宋_GBK" w:cs="Times New Roman"/>
          <w:kern w:val="0"/>
          <w:sz w:val="32"/>
          <w:szCs w:val="32"/>
          <w:lang w:val="zh-CN" w:eastAsia="zh-CN" w:bidi="ar-SA"/>
        </w:rPr>
        <w:t>万元，占比7</w:t>
      </w:r>
      <w:r>
        <w:rPr>
          <w:rFonts w:hint="eastAsia" w:ascii="Times New Roman" w:hAnsi="Times New Roman" w:eastAsia="方正仿宋_GBK" w:cs="Times New Roman"/>
          <w:kern w:val="0"/>
          <w:sz w:val="32"/>
          <w:szCs w:val="32"/>
          <w:lang w:val="en-US" w:eastAsia="zh-CN" w:bidi="ar-SA"/>
        </w:rPr>
        <w:t>8.8</w:t>
      </w:r>
      <w:r>
        <w:rPr>
          <w:rFonts w:hint="eastAsia" w:ascii="Times New Roman" w:hAnsi="Times New Roman" w:eastAsia="方正仿宋_GBK" w:cs="Times New Roman"/>
          <w:kern w:val="0"/>
          <w:sz w:val="32"/>
          <w:szCs w:val="32"/>
          <w:lang w:val="zh-CN" w:eastAsia="zh-CN" w:bidi="ar-SA"/>
        </w:rPr>
        <w:t>%；住房保障支出为</w:t>
      </w:r>
      <w:r>
        <w:rPr>
          <w:rFonts w:hint="eastAsia" w:ascii="Times New Roman" w:hAnsi="Times New Roman" w:eastAsia="方正仿宋_GBK" w:cs="Times New Roman"/>
          <w:kern w:val="0"/>
          <w:sz w:val="32"/>
          <w:szCs w:val="32"/>
          <w:lang w:val="en-US" w:eastAsia="zh-CN" w:bidi="ar-SA"/>
        </w:rPr>
        <w:t>48.17</w:t>
      </w:r>
      <w:r>
        <w:rPr>
          <w:rFonts w:hint="eastAsia" w:ascii="Times New Roman" w:hAnsi="Times New Roman" w:eastAsia="方正仿宋_GBK" w:cs="Times New Roman"/>
          <w:kern w:val="0"/>
          <w:sz w:val="32"/>
          <w:szCs w:val="32"/>
          <w:lang w:val="zh-CN" w:eastAsia="zh-CN" w:bidi="ar-SA"/>
        </w:rPr>
        <w:t>万元，占比</w:t>
      </w:r>
      <w:r>
        <w:rPr>
          <w:rFonts w:hint="eastAsia" w:ascii="Times New Roman" w:hAnsi="Times New Roman" w:eastAsia="方正仿宋_GBK" w:cs="Times New Roman"/>
          <w:kern w:val="0"/>
          <w:sz w:val="32"/>
          <w:szCs w:val="32"/>
          <w:lang w:val="en-US" w:eastAsia="zh-CN" w:bidi="ar-SA"/>
        </w:rPr>
        <w:t>6.01</w:t>
      </w:r>
      <w:r>
        <w:rPr>
          <w:rFonts w:hint="eastAsia" w:ascii="Times New Roman" w:hAnsi="Times New Roman" w:eastAsia="方正仿宋_GBK" w:cs="Times New Roman"/>
          <w:kern w:val="0"/>
          <w:sz w:val="32"/>
          <w:szCs w:val="32"/>
          <w:lang w:val="zh-CN" w:eastAsia="zh-CN" w:bidi="ar-SA"/>
        </w:rPr>
        <w:t>%。</w:t>
      </w:r>
    </w:p>
    <w:p w14:paraId="7622BB9B">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eastAsia"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p>
    <w:p w14:paraId="33E46564">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leftChars="200"/>
        <w:contextualSpacing/>
        <w:jc w:val="left"/>
        <w:textAlignment w:val="auto"/>
        <w:outlineLvl w:val="9"/>
        <w:rPr>
          <w:rFonts w:hint="default" w:ascii="Times New Roman" w:hAnsi="Times New Roman" w:eastAsia="方正仿宋_GBK" w:cs="Times New Roman"/>
          <w:kern w:val="0"/>
          <w:sz w:val="32"/>
          <w:szCs w:val="32"/>
          <w:lang w:val="zh-CN" w:eastAsia="zh-CN" w:bidi="ar-SA"/>
        </w:rPr>
      </w:pPr>
      <w:r>
        <w:rPr>
          <w:rFonts w:hint="eastAsia" w:ascii="Times New Roman" w:hAnsi="Times New Roman" w:eastAsia="方正仿宋_GBK" w:cs="Times New Roman"/>
          <w:kern w:val="0"/>
          <w:sz w:val="32"/>
          <w:szCs w:val="32"/>
          <w:lang w:val="en-US" w:eastAsia="zh-CN" w:bidi="ar-SA"/>
        </w:rPr>
        <w:t>我单位</w:t>
      </w:r>
      <w:r>
        <w:rPr>
          <w:rFonts w:hint="default" w:ascii="Times New Roman" w:hAnsi="Times New Roman" w:eastAsia="方正仿宋_GBK" w:cs="Times New Roman"/>
          <w:kern w:val="0"/>
          <w:sz w:val="32"/>
          <w:szCs w:val="32"/>
          <w:lang w:val="en-US" w:eastAsia="zh-CN" w:bidi="ar-SA"/>
        </w:rPr>
        <w:t>202</w:t>
      </w:r>
      <w:r>
        <w:rPr>
          <w:rFonts w:hint="eastAsia" w:ascii="Times New Roman" w:hAnsi="Times New Roman" w:eastAsia="方正仿宋_GBK" w:cs="Times New Roman"/>
          <w:kern w:val="0"/>
          <w:sz w:val="32"/>
          <w:szCs w:val="32"/>
          <w:lang w:val="en-US" w:eastAsia="zh-CN" w:bidi="ar-SA"/>
        </w:rPr>
        <w:t>4</w:t>
      </w:r>
      <w:r>
        <w:rPr>
          <w:rFonts w:hint="default" w:ascii="Times New Roman" w:hAnsi="Times New Roman" w:eastAsia="方正仿宋_GBK" w:cs="Times New Roman"/>
          <w:kern w:val="0"/>
          <w:sz w:val="32"/>
          <w:szCs w:val="32"/>
          <w:lang w:val="en-US" w:eastAsia="zh-CN" w:bidi="ar-SA"/>
        </w:rPr>
        <w:t>年</w:t>
      </w:r>
      <w:r>
        <w:rPr>
          <w:rFonts w:hint="eastAsia" w:ascii="Times New Roman" w:hAnsi="Times New Roman" w:eastAsia="方正仿宋_GBK" w:cs="Times New Roman"/>
          <w:kern w:val="0"/>
          <w:sz w:val="32"/>
          <w:szCs w:val="32"/>
          <w:lang w:val="en-US" w:eastAsia="zh-CN" w:bidi="ar-SA"/>
        </w:rPr>
        <w:t>决算报表无结转结余资金。</w:t>
      </w:r>
    </w:p>
    <w:p w14:paraId="513E2AAB">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eastAsia="zh-CN"/>
        </w:rPr>
      </w:pPr>
      <w:r>
        <w:rPr>
          <w:rFonts w:hint="default" w:ascii="Times New Roman" w:hAnsi="Times New Roman" w:eastAsia="黑体" w:cs="Times New Roman"/>
          <w:color w:val="000000"/>
          <w:kern w:val="0"/>
          <w:sz w:val="32"/>
          <w:szCs w:val="32"/>
          <w:highlight w:val="none"/>
          <w:shd w:val="clear" w:color="auto" w:fill="FFFFFF"/>
          <w:lang w:eastAsia="zh-CN"/>
        </w:rPr>
        <w:t>三、部门预算绩效分析</w:t>
      </w:r>
    </w:p>
    <w:p w14:paraId="1AAAD1C3">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（一）部门预算总体绩效分析。</w:t>
      </w:r>
    </w:p>
    <w:p w14:paraId="3D2272D7">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en-US" w:eastAsia="zh-CN"/>
        </w:rPr>
        <w:t>1.</w:t>
      </w:r>
      <w:r>
        <w:rPr>
          <w:rFonts w:hint="default" w:ascii="Times New Roman" w:hAnsi="Times New Roman" w:eastAsia="楷体_GB2312" w:cs="Times New Roman"/>
          <w:b/>
          <w:bCs/>
          <w:color w:val="000000"/>
          <w:kern w:val="0"/>
          <w:sz w:val="32"/>
          <w:szCs w:val="32"/>
          <w:highlight w:val="none"/>
          <w:shd w:val="clear" w:color="auto" w:fill="FFFFFF"/>
          <w:lang w:val="zh-CN"/>
        </w:rPr>
        <w:t>履职效能。</w:t>
      </w:r>
    </w:p>
    <w:p w14:paraId="61838547">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eastAsia" w:eastAsia="方正仿宋_GBK"/>
          <w:color w:val="000000"/>
          <w:kern w:val="0"/>
          <w:sz w:val="32"/>
          <w:szCs w:val="32"/>
          <w:highlight w:val="none"/>
          <w:shd w:val="clear" w:color="auto" w:fill="auto"/>
          <w:lang w:val="zh-CN" w:eastAsia="zh-CN"/>
        </w:rPr>
      </w:pPr>
      <w:r>
        <w:rPr>
          <w:rFonts w:hint="eastAsia" w:eastAsia="方正仿宋_GBK"/>
          <w:color w:val="000000"/>
          <w:kern w:val="0"/>
          <w:sz w:val="32"/>
          <w:szCs w:val="32"/>
          <w:highlight w:val="none"/>
          <w:shd w:val="clear" w:color="auto" w:fill="auto"/>
          <w:lang w:val="en-US" w:eastAsia="zh-CN"/>
        </w:rPr>
        <w:t>2024年度，我单位部门整体目标实现情况：一是</w:t>
      </w:r>
      <w:r>
        <w:rPr>
          <w:rFonts w:hint="eastAsia" w:eastAsia="方正仿宋_GBK"/>
          <w:color w:val="000000"/>
          <w:kern w:val="0"/>
          <w:sz w:val="32"/>
          <w:szCs w:val="32"/>
          <w:highlight w:val="none"/>
          <w:shd w:val="clear" w:color="auto" w:fill="auto"/>
          <w:lang w:val="zh-CN" w:eastAsia="zh-CN"/>
        </w:rPr>
        <w:t>聚焦改革优结构，通过持续推进为农服务平台建设和“两端两网”建设拓展为农服务综合能力</w:t>
      </w:r>
      <w:r>
        <w:rPr>
          <w:rFonts w:hint="eastAsia" w:eastAsia="方正仿宋_GBK"/>
          <w:color w:val="000000"/>
          <w:kern w:val="0"/>
          <w:sz w:val="32"/>
          <w:szCs w:val="32"/>
          <w:highlight w:val="none"/>
          <w:shd w:val="clear" w:color="auto" w:fill="auto"/>
          <w:lang w:val="en-US" w:eastAsia="zh-CN"/>
        </w:rPr>
        <w:t>提升供销为农服务能力；二是通过</w:t>
      </w:r>
      <w:r>
        <w:rPr>
          <w:rFonts w:hint="eastAsia" w:eastAsia="方正仿宋_GBK"/>
          <w:color w:val="000000"/>
          <w:kern w:val="0"/>
          <w:sz w:val="32"/>
          <w:szCs w:val="32"/>
          <w:highlight w:val="none"/>
          <w:shd w:val="clear" w:color="auto" w:fill="auto"/>
          <w:lang w:val="zh-CN" w:eastAsia="zh-CN"/>
        </w:rPr>
        <w:t>全力抓好农资保供稳价和不断夯实基层服务组织体系来</w:t>
      </w:r>
      <w:r>
        <w:rPr>
          <w:rFonts w:hint="eastAsia" w:eastAsia="方正仿宋_GBK"/>
          <w:color w:val="000000"/>
          <w:kern w:val="0"/>
          <w:sz w:val="32"/>
          <w:szCs w:val="32"/>
          <w:highlight w:val="none"/>
          <w:shd w:val="clear" w:color="auto" w:fill="auto"/>
          <w:lang w:val="en-US" w:eastAsia="zh-CN"/>
        </w:rPr>
        <w:t>提升为农服务质量；三是持续深化供销综合改革，召开了</w:t>
      </w:r>
      <w:r>
        <w:rPr>
          <w:rFonts w:hint="eastAsia" w:eastAsia="方正仿宋_GBK"/>
          <w:color w:val="000000"/>
          <w:kern w:val="0"/>
          <w:sz w:val="32"/>
          <w:szCs w:val="32"/>
          <w:highlight w:val="none"/>
          <w:shd w:val="clear" w:color="auto" w:fill="auto"/>
          <w:lang w:val="zh-CN" w:eastAsia="zh-CN"/>
        </w:rPr>
        <w:t>阿坝州供销合作社第四次代表大会。我单位完成了部门整体支出绩效目标。</w:t>
      </w:r>
    </w:p>
    <w:p w14:paraId="58354C54">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default" w:eastAsia="方正仿宋_GBK"/>
          <w:color w:val="000000"/>
          <w:kern w:val="0"/>
          <w:sz w:val="32"/>
          <w:szCs w:val="32"/>
          <w:highlight w:val="none"/>
          <w:shd w:val="clear" w:color="auto" w:fill="auto"/>
          <w:lang w:val="en-US" w:eastAsia="zh-CN"/>
        </w:rPr>
      </w:pPr>
      <w:r>
        <w:rPr>
          <w:rFonts w:hint="eastAsia" w:eastAsia="方正仿宋_GBK"/>
          <w:color w:val="000000"/>
          <w:kern w:val="0"/>
          <w:sz w:val="32"/>
          <w:szCs w:val="32"/>
          <w:highlight w:val="none"/>
          <w:shd w:val="clear" w:color="auto" w:fill="auto"/>
          <w:lang w:val="zh-CN" w:eastAsia="zh-CN"/>
        </w:rPr>
        <w:t>指标得分=年终完成履职效果目标数量÷年初目标设置总数×100%×指标分值</w:t>
      </w:r>
      <w:r>
        <w:rPr>
          <w:rFonts w:hint="eastAsia" w:eastAsia="方正仿宋_GBK"/>
          <w:color w:val="000000"/>
          <w:kern w:val="0"/>
          <w:sz w:val="32"/>
          <w:szCs w:val="32"/>
          <w:highlight w:val="none"/>
          <w:shd w:val="clear" w:color="auto" w:fill="auto"/>
          <w:lang w:val="en-US" w:eastAsia="zh-CN"/>
        </w:rPr>
        <w:t>=3</w:t>
      </w:r>
      <w:r>
        <w:rPr>
          <w:rFonts w:hint="eastAsia" w:eastAsia="方正仿宋_GBK"/>
          <w:color w:val="000000"/>
          <w:kern w:val="0"/>
          <w:sz w:val="32"/>
          <w:szCs w:val="32"/>
          <w:highlight w:val="none"/>
          <w:shd w:val="clear" w:color="auto" w:fill="auto"/>
          <w:lang w:val="zh-CN" w:eastAsia="zh-CN"/>
        </w:rPr>
        <w:t>÷</w:t>
      </w:r>
      <w:r>
        <w:rPr>
          <w:rFonts w:hint="eastAsia" w:eastAsia="方正仿宋_GBK"/>
          <w:color w:val="000000"/>
          <w:kern w:val="0"/>
          <w:sz w:val="32"/>
          <w:szCs w:val="32"/>
          <w:highlight w:val="none"/>
          <w:shd w:val="clear" w:color="auto" w:fill="auto"/>
          <w:lang w:val="en-US" w:eastAsia="zh-CN"/>
        </w:rPr>
        <w:t>3</w:t>
      </w:r>
      <w:r>
        <w:rPr>
          <w:rFonts w:hint="eastAsia" w:eastAsia="方正仿宋_GBK"/>
          <w:color w:val="000000"/>
          <w:kern w:val="0"/>
          <w:sz w:val="32"/>
          <w:szCs w:val="32"/>
          <w:highlight w:val="none"/>
          <w:shd w:val="clear" w:color="auto" w:fill="auto"/>
          <w:lang w:val="zh-CN" w:eastAsia="zh-CN"/>
        </w:rPr>
        <w:t>×100%×</w:t>
      </w:r>
      <w:r>
        <w:rPr>
          <w:rFonts w:hint="eastAsia" w:eastAsia="方正仿宋_GBK"/>
          <w:color w:val="000000"/>
          <w:kern w:val="0"/>
          <w:sz w:val="32"/>
          <w:szCs w:val="32"/>
          <w:highlight w:val="none"/>
          <w:shd w:val="clear" w:color="auto" w:fill="auto"/>
          <w:lang w:val="en-US" w:eastAsia="zh-CN"/>
        </w:rPr>
        <w:t>15=15分。</w:t>
      </w:r>
    </w:p>
    <w:p w14:paraId="5BB2DA27">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3"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eastAsia" w:ascii="Times New Roman" w:hAnsi="Times New Roman" w:eastAsia="楷体_GB2312" w:cs="Times New Roman"/>
          <w:b/>
          <w:bCs/>
          <w:color w:val="000000"/>
          <w:kern w:val="0"/>
          <w:sz w:val="32"/>
          <w:szCs w:val="32"/>
          <w:highlight w:val="none"/>
          <w:shd w:val="clear" w:color="auto" w:fill="FFFFFF"/>
          <w:lang w:val="en-US" w:eastAsia="zh-CN"/>
        </w:rPr>
        <w:t>2.</w:t>
      </w:r>
      <w:r>
        <w:rPr>
          <w:rFonts w:hint="eastAsia" w:ascii="Times New Roman" w:hAnsi="Times New Roman" w:eastAsia="楷体_GB2312" w:cs="Times New Roman"/>
          <w:b/>
          <w:bCs/>
          <w:color w:val="000000"/>
          <w:kern w:val="0"/>
          <w:sz w:val="32"/>
          <w:szCs w:val="32"/>
          <w:highlight w:val="none"/>
          <w:shd w:val="clear" w:color="auto" w:fill="FFFFFF"/>
          <w:lang w:val="zh-CN" w:eastAsia="zh-CN"/>
        </w:rPr>
        <w:t>预算管理。</w:t>
      </w:r>
    </w:p>
    <w:p w14:paraId="51FD4D6D">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eastAsia" w:eastAsia="方正仿宋_GBK"/>
          <w:color w:val="000000"/>
          <w:kern w:val="0"/>
          <w:sz w:val="32"/>
          <w:szCs w:val="32"/>
          <w:highlight w:val="none"/>
          <w:shd w:val="clear" w:color="auto" w:fill="auto"/>
          <w:lang w:val="zh-CN" w:eastAsia="zh-CN"/>
        </w:rPr>
      </w:pPr>
      <w:r>
        <w:rPr>
          <w:rFonts w:hint="eastAsia" w:eastAsia="方正仿宋_GBK"/>
          <w:color w:val="000000"/>
          <w:kern w:val="0"/>
          <w:sz w:val="32"/>
          <w:szCs w:val="32"/>
          <w:highlight w:val="none"/>
          <w:shd w:val="clear" w:color="auto" w:fill="auto"/>
          <w:lang w:val="zh-CN" w:eastAsia="zh-CN"/>
        </w:rPr>
        <w:t>（</w:t>
      </w:r>
      <w:r>
        <w:rPr>
          <w:rFonts w:hint="eastAsia" w:eastAsia="方正仿宋_GBK"/>
          <w:color w:val="000000"/>
          <w:kern w:val="0"/>
          <w:sz w:val="32"/>
          <w:szCs w:val="32"/>
          <w:highlight w:val="none"/>
          <w:shd w:val="clear" w:color="auto" w:fill="auto"/>
          <w:lang w:val="en-US" w:eastAsia="zh-CN"/>
        </w:rPr>
        <w:t>1</w:t>
      </w:r>
      <w:r>
        <w:rPr>
          <w:rFonts w:hint="eastAsia" w:eastAsia="方正仿宋_GBK"/>
          <w:color w:val="000000"/>
          <w:kern w:val="0"/>
          <w:sz w:val="32"/>
          <w:szCs w:val="32"/>
          <w:highlight w:val="none"/>
          <w:shd w:val="clear" w:color="auto" w:fill="auto"/>
          <w:lang w:val="zh-CN" w:eastAsia="zh-CN"/>
        </w:rPr>
        <w:t>）预算编制质量7.</w:t>
      </w:r>
      <w:r>
        <w:rPr>
          <w:rFonts w:hint="eastAsia" w:eastAsia="方正仿宋_GBK"/>
          <w:color w:val="000000"/>
          <w:kern w:val="0"/>
          <w:sz w:val="32"/>
          <w:szCs w:val="32"/>
          <w:highlight w:val="none"/>
          <w:shd w:val="clear" w:color="auto" w:fill="auto"/>
          <w:lang w:val="en-US" w:eastAsia="zh-CN"/>
        </w:rPr>
        <w:t>20</w:t>
      </w:r>
      <w:r>
        <w:rPr>
          <w:rFonts w:hint="eastAsia" w:eastAsia="方正仿宋_GBK"/>
          <w:color w:val="000000"/>
          <w:kern w:val="0"/>
          <w:sz w:val="32"/>
          <w:szCs w:val="32"/>
          <w:highlight w:val="none"/>
          <w:shd w:val="clear" w:color="auto" w:fill="auto"/>
          <w:lang w:val="zh-CN" w:eastAsia="zh-CN"/>
        </w:rPr>
        <w:t>分，该项指标得分=（1-财政拨款预算偏离度）×100%×4+（1-资产配置预算偏离度）×100%×2+（1-政府采购预算偏离度）×100%×2=</w:t>
      </w:r>
      <w:r>
        <w:rPr>
          <w:rFonts w:hint="eastAsia" w:eastAsia="方正仿宋_GBK"/>
          <w:color w:val="000000"/>
          <w:kern w:val="0"/>
          <w:sz w:val="32"/>
          <w:szCs w:val="32"/>
          <w:highlight w:val="none"/>
          <w:shd w:val="clear" w:color="auto" w:fill="auto"/>
          <w:lang w:val="en-US" w:eastAsia="zh-CN"/>
        </w:rPr>
        <w:t>[</w:t>
      </w:r>
      <w:r>
        <w:rPr>
          <w:rFonts w:hint="eastAsia" w:eastAsia="方正仿宋_GBK"/>
          <w:color w:val="000000"/>
          <w:kern w:val="0"/>
          <w:sz w:val="32"/>
          <w:szCs w:val="32"/>
          <w:highlight w:val="none"/>
          <w:shd w:val="clear" w:color="auto" w:fill="auto"/>
          <w:lang w:val="zh-CN" w:eastAsia="zh-CN"/>
        </w:rPr>
        <w:t>1-(801.79-680.12)</w:t>
      </w:r>
      <w:r>
        <w:rPr>
          <w:rFonts w:hint="default" w:eastAsia="方正仿宋_GBK"/>
          <w:color w:val="000000"/>
          <w:kern w:val="0"/>
          <w:sz w:val="32"/>
          <w:szCs w:val="32"/>
          <w:highlight w:val="none"/>
          <w:shd w:val="clear" w:color="auto" w:fill="auto"/>
          <w:lang w:val="zh-CN" w:eastAsia="zh-CN"/>
        </w:rPr>
        <w:t>÷</w:t>
      </w:r>
      <w:r>
        <w:rPr>
          <w:rFonts w:hint="eastAsia" w:eastAsia="方正仿宋_GBK"/>
          <w:color w:val="000000"/>
          <w:kern w:val="0"/>
          <w:sz w:val="32"/>
          <w:szCs w:val="32"/>
          <w:highlight w:val="none"/>
          <w:shd w:val="clear" w:color="auto" w:fill="auto"/>
          <w:lang w:val="zh-CN" w:eastAsia="zh-CN"/>
        </w:rPr>
        <w:t>680.12</w:t>
      </w:r>
      <w:r>
        <w:rPr>
          <w:rFonts w:hint="eastAsia" w:eastAsia="方正仿宋_GBK"/>
          <w:color w:val="000000"/>
          <w:kern w:val="0"/>
          <w:sz w:val="32"/>
          <w:szCs w:val="32"/>
          <w:highlight w:val="none"/>
          <w:shd w:val="clear" w:color="auto" w:fill="auto"/>
          <w:lang w:val="en-US" w:eastAsia="zh-CN"/>
        </w:rPr>
        <w:t>]</w:t>
      </w:r>
      <w:r>
        <w:rPr>
          <w:rFonts w:hint="eastAsia" w:eastAsia="方正仿宋_GBK"/>
          <w:color w:val="000000"/>
          <w:kern w:val="0"/>
          <w:sz w:val="32"/>
          <w:szCs w:val="32"/>
          <w:highlight w:val="none"/>
          <w:shd w:val="clear" w:color="auto" w:fill="auto"/>
          <w:lang w:val="zh-CN" w:eastAsia="zh-CN"/>
        </w:rPr>
        <w:t>×100%×4+</w:t>
      </w:r>
      <w:r>
        <w:rPr>
          <w:rFonts w:hint="eastAsia" w:eastAsia="方正仿宋_GBK"/>
          <w:color w:val="000000"/>
          <w:kern w:val="0"/>
          <w:sz w:val="32"/>
          <w:szCs w:val="32"/>
          <w:highlight w:val="none"/>
          <w:shd w:val="clear" w:color="auto" w:fill="auto"/>
          <w:lang w:val="en-US" w:eastAsia="zh-CN"/>
        </w:rPr>
        <w:t>[</w:t>
      </w:r>
      <w:r>
        <w:rPr>
          <w:rFonts w:hint="eastAsia" w:eastAsia="方正仿宋_GBK"/>
          <w:color w:val="000000"/>
          <w:kern w:val="0"/>
          <w:sz w:val="32"/>
          <w:szCs w:val="32"/>
          <w:highlight w:val="none"/>
          <w:shd w:val="clear" w:color="auto" w:fill="auto"/>
          <w:lang w:val="zh-CN" w:eastAsia="zh-CN"/>
        </w:rPr>
        <w:t>1-(1.96-1.88)</w:t>
      </w:r>
      <w:r>
        <w:rPr>
          <w:rFonts w:hint="default" w:eastAsia="方正仿宋_GBK"/>
          <w:color w:val="000000"/>
          <w:kern w:val="0"/>
          <w:sz w:val="32"/>
          <w:szCs w:val="32"/>
          <w:highlight w:val="none"/>
          <w:shd w:val="clear" w:color="auto" w:fill="auto"/>
          <w:lang w:val="zh-CN" w:eastAsia="zh-CN"/>
        </w:rPr>
        <w:t>÷</w:t>
      </w:r>
      <w:r>
        <w:rPr>
          <w:rFonts w:hint="eastAsia" w:eastAsia="方正仿宋_GBK"/>
          <w:color w:val="000000"/>
          <w:kern w:val="0"/>
          <w:sz w:val="32"/>
          <w:szCs w:val="32"/>
          <w:highlight w:val="none"/>
          <w:shd w:val="clear" w:color="auto" w:fill="auto"/>
          <w:lang w:val="zh-CN" w:eastAsia="zh-CN"/>
        </w:rPr>
        <w:t>1.88</w:t>
      </w:r>
      <w:r>
        <w:rPr>
          <w:rFonts w:hint="eastAsia" w:eastAsia="方正仿宋_GBK"/>
          <w:color w:val="000000"/>
          <w:kern w:val="0"/>
          <w:sz w:val="32"/>
          <w:szCs w:val="32"/>
          <w:highlight w:val="none"/>
          <w:shd w:val="clear" w:color="auto" w:fill="auto"/>
          <w:lang w:val="en-US" w:eastAsia="zh-CN"/>
        </w:rPr>
        <w:t>]</w:t>
      </w:r>
      <w:r>
        <w:rPr>
          <w:rFonts w:hint="eastAsia" w:eastAsia="方正仿宋_GBK"/>
          <w:color w:val="000000"/>
          <w:kern w:val="0"/>
          <w:sz w:val="32"/>
          <w:szCs w:val="32"/>
          <w:highlight w:val="none"/>
          <w:shd w:val="clear" w:color="auto" w:fill="auto"/>
          <w:lang w:val="zh-CN" w:eastAsia="zh-CN"/>
        </w:rPr>
        <w:t>×100%×2+2=7.</w:t>
      </w:r>
      <w:r>
        <w:rPr>
          <w:rFonts w:hint="eastAsia" w:eastAsia="方正仿宋_GBK"/>
          <w:color w:val="000000"/>
          <w:kern w:val="0"/>
          <w:sz w:val="32"/>
          <w:szCs w:val="32"/>
          <w:highlight w:val="none"/>
          <w:shd w:val="clear" w:color="auto" w:fill="auto"/>
          <w:lang w:val="en-US" w:eastAsia="zh-CN"/>
        </w:rPr>
        <w:t>20</w:t>
      </w:r>
      <w:r>
        <w:rPr>
          <w:rFonts w:hint="eastAsia" w:eastAsia="方正仿宋_GBK"/>
          <w:color w:val="000000"/>
          <w:kern w:val="0"/>
          <w:sz w:val="32"/>
          <w:szCs w:val="32"/>
          <w:highlight w:val="none"/>
          <w:shd w:val="clear" w:color="auto" w:fill="auto"/>
          <w:lang w:val="zh-CN" w:eastAsia="zh-CN"/>
        </w:rPr>
        <w:t>分，主要是因为年初编制预算时未包括目标考核奖30%部分，导致存在财政拨款预算偏离度，从而扣分。</w:t>
      </w:r>
    </w:p>
    <w:p w14:paraId="47E50603">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eastAsia" w:eastAsia="方正仿宋_GBK"/>
          <w:color w:val="000000"/>
          <w:kern w:val="0"/>
          <w:sz w:val="32"/>
          <w:szCs w:val="32"/>
          <w:highlight w:val="none"/>
          <w:shd w:val="clear" w:color="auto" w:fill="auto"/>
          <w:lang w:val="zh-CN" w:eastAsia="zh-CN"/>
        </w:rPr>
      </w:pPr>
      <w:r>
        <w:rPr>
          <w:rFonts w:hint="eastAsia" w:eastAsia="方正仿宋_GBK"/>
          <w:color w:val="000000"/>
          <w:kern w:val="0"/>
          <w:sz w:val="32"/>
          <w:szCs w:val="32"/>
          <w:highlight w:val="none"/>
          <w:shd w:val="clear" w:color="auto" w:fill="auto"/>
          <w:lang w:val="zh-CN" w:eastAsia="zh-CN"/>
        </w:rPr>
        <w:t>（</w:t>
      </w:r>
      <w:r>
        <w:rPr>
          <w:rFonts w:hint="eastAsia" w:eastAsia="方正仿宋_GBK"/>
          <w:color w:val="000000"/>
          <w:kern w:val="0"/>
          <w:sz w:val="32"/>
          <w:szCs w:val="32"/>
          <w:highlight w:val="none"/>
          <w:shd w:val="clear" w:color="auto" w:fill="auto"/>
          <w:lang w:val="en-US" w:eastAsia="zh-CN"/>
        </w:rPr>
        <w:t>2</w:t>
      </w:r>
      <w:r>
        <w:rPr>
          <w:rFonts w:hint="eastAsia" w:eastAsia="方正仿宋_GBK"/>
          <w:color w:val="000000"/>
          <w:kern w:val="0"/>
          <w:sz w:val="32"/>
          <w:szCs w:val="32"/>
          <w:highlight w:val="none"/>
          <w:shd w:val="clear" w:color="auto" w:fill="auto"/>
          <w:lang w:val="zh-CN" w:eastAsia="zh-CN"/>
        </w:rPr>
        <w:t>）单位收入统筹4分，我单位</w:t>
      </w:r>
      <w:r>
        <w:rPr>
          <w:rFonts w:hint="eastAsia" w:eastAsia="方正仿宋_GBK"/>
          <w:color w:val="000000"/>
          <w:kern w:val="0"/>
          <w:sz w:val="32"/>
          <w:szCs w:val="32"/>
          <w:highlight w:val="none"/>
          <w:shd w:val="clear" w:color="auto" w:fill="auto"/>
          <w:lang w:val="en-US" w:eastAsia="zh-CN"/>
        </w:rPr>
        <w:t>2024年</w:t>
      </w:r>
      <w:r>
        <w:rPr>
          <w:rFonts w:hint="eastAsia" w:eastAsia="方正仿宋_GBK"/>
          <w:color w:val="000000"/>
          <w:kern w:val="0"/>
          <w:sz w:val="32"/>
          <w:szCs w:val="32"/>
          <w:highlight w:val="none"/>
          <w:shd w:val="clear" w:color="auto" w:fill="auto"/>
          <w:lang w:val="zh-CN" w:eastAsia="zh-CN"/>
        </w:rPr>
        <w:t>无自有收入。</w:t>
      </w:r>
    </w:p>
    <w:p w14:paraId="0FB24199">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eastAsia" w:eastAsia="方正仿宋_GBK"/>
          <w:color w:val="000000"/>
          <w:kern w:val="0"/>
          <w:sz w:val="32"/>
          <w:szCs w:val="32"/>
          <w:highlight w:val="none"/>
          <w:shd w:val="clear" w:color="auto" w:fill="auto"/>
          <w:lang w:val="zh-CN" w:eastAsia="zh-CN"/>
        </w:rPr>
      </w:pPr>
      <w:r>
        <w:rPr>
          <w:rFonts w:hint="eastAsia" w:eastAsia="方正仿宋_GBK"/>
          <w:color w:val="000000"/>
          <w:kern w:val="0"/>
          <w:sz w:val="32"/>
          <w:szCs w:val="32"/>
          <w:highlight w:val="none"/>
          <w:shd w:val="clear" w:color="auto" w:fill="auto"/>
          <w:lang w:val="zh-CN" w:eastAsia="zh-CN"/>
        </w:rPr>
        <w:t>（</w:t>
      </w:r>
      <w:r>
        <w:rPr>
          <w:rFonts w:hint="eastAsia" w:eastAsia="方正仿宋_GBK"/>
          <w:color w:val="000000"/>
          <w:kern w:val="0"/>
          <w:sz w:val="32"/>
          <w:szCs w:val="32"/>
          <w:highlight w:val="none"/>
          <w:shd w:val="clear" w:color="auto" w:fill="auto"/>
          <w:lang w:val="en-US" w:eastAsia="zh-CN"/>
        </w:rPr>
        <w:t>3</w:t>
      </w:r>
      <w:r>
        <w:rPr>
          <w:rFonts w:hint="eastAsia" w:eastAsia="方正仿宋_GBK"/>
          <w:color w:val="000000"/>
          <w:kern w:val="0"/>
          <w:sz w:val="32"/>
          <w:szCs w:val="32"/>
          <w:highlight w:val="none"/>
          <w:shd w:val="clear" w:color="auto" w:fill="auto"/>
          <w:lang w:val="zh-CN" w:eastAsia="zh-CN"/>
        </w:rPr>
        <w:t>）支出执行进度</w:t>
      </w:r>
      <w:r>
        <w:rPr>
          <w:rFonts w:hint="eastAsia" w:eastAsia="方正仿宋_GBK"/>
          <w:color w:val="000000"/>
          <w:kern w:val="0"/>
          <w:sz w:val="32"/>
          <w:szCs w:val="32"/>
          <w:highlight w:val="none"/>
          <w:shd w:val="clear" w:color="auto" w:fill="auto"/>
          <w:lang w:val="en-US" w:eastAsia="zh-CN"/>
        </w:rPr>
        <w:t>6</w:t>
      </w:r>
      <w:r>
        <w:rPr>
          <w:rFonts w:hint="eastAsia" w:eastAsia="方正仿宋_GBK"/>
          <w:color w:val="000000"/>
          <w:kern w:val="0"/>
          <w:sz w:val="32"/>
          <w:szCs w:val="32"/>
          <w:highlight w:val="none"/>
          <w:shd w:val="clear" w:color="auto" w:fill="auto"/>
          <w:lang w:val="zh-CN" w:eastAsia="zh-CN"/>
        </w:rPr>
        <w:t>分，该项指标得分=（1至6月预算执行数÷（部门预算数×50%）×2）+（1-1至6月支出预警金额占比×0.8-1至6月支出违规金额占比×0.2）+（1至10月预算执行数÷（部门预算数×83.33%）×2）+（1-1至10月支出预警金额占比×0.8-1至10月支出违规金额占比×0.2）=</w:t>
      </w:r>
      <w:r>
        <w:rPr>
          <w:rFonts w:hint="eastAsia" w:eastAsia="方正仿宋_GBK"/>
          <w:color w:val="000000"/>
          <w:kern w:val="0"/>
          <w:sz w:val="32"/>
          <w:szCs w:val="32"/>
          <w:highlight w:val="none"/>
          <w:shd w:val="clear" w:color="auto" w:fill="auto"/>
          <w:lang w:val="en-US" w:eastAsia="zh-CN"/>
        </w:rPr>
        <w:t>[</w:t>
      </w:r>
      <w:r>
        <w:rPr>
          <w:rFonts w:hint="eastAsia" w:eastAsia="方正仿宋_GBK"/>
          <w:color w:val="000000"/>
          <w:kern w:val="0"/>
          <w:sz w:val="32"/>
          <w:szCs w:val="32"/>
          <w:highlight w:val="none"/>
          <w:shd w:val="clear" w:color="auto" w:fill="auto"/>
          <w:lang w:val="zh-CN" w:eastAsia="zh-CN"/>
        </w:rPr>
        <w:t>425.67÷(680.12×50%)×2</w:t>
      </w:r>
      <w:r>
        <w:rPr>
          <w:rFonts w:hint="eastAsia" w:eastAsia="方正仿宋_GBK"/>
          <w:color w:val="000000"/>
          <w:kern w:val="0"/>
          <w:sz w:val="32"/>
          <w:szCs w:val="32"/>
          <w:highlight w:val="none"/>
          <w:shd w:val="clear" w:color="auto" w:fill="auto"/>
          <w:lang w:val="en-US" w:eastAsia="zh-CN"/>
        </w:rPr>
        <w:t>]</w:t>
      </w:r>
      <w:r>
        <w:rPr>
          <w:rFonts w:hint="eastAsia" w:eastAsia="方正仿宋_GBK"/>
          <w:color w:val="000000"/>
          <w:kern w:val="0"/>
          <w:sz w:val="32"/>
          <w:szCs w:val="32"/>
          <w:highlight w:val="none"/>
          <w:shd w:val="clear" w:color="auto" w:fill="auto"/>
          <w:lang w:val="zh-CN" w:eastAsia="zh-CN"/>
        </w:rPr>
        <w:t>+(1-0-0)+</w:t>
      </w:r>
      <w:r>
        <w:rPr>
          <w:rFonts w:hint="eastAsia" w:eastAsia="方正仿宋_GBK"/>
          <w:color w:val="000000"/>
          <w:kern w:val="0"/>
          <w:sz w:val="32"/>
          <w:szCs w:val="32"/>
          <w:highlight w:val="none"/>
          <w:shd w:val="clear" w:color="auto" w:fill="auto"/>
          <w:lang w:val="en-US" w:eastAsia="zh-CN"/>
        </w:rPr>
        <w:t>[</w:t>
      </w:r>
      <w:r>
        <w:rPr>
          <w:rFonts w:hint="eastAsia" w:eastAsia="方正仿宋_GBK"/>
          <w:color w:val="000000"/>
          <w:kern w:val="0"/>
          <w:sz w:val="32"/>
          <w:szCs w:val="32"/>
          <w:highlight w:val="none"/>
          <w:shd w:val="clear" w:color="auto" w:fill="auto"/>
          <w:lang w:val="zh-CN" w:eastAsia="zh-CN"/>
        </w:rPr>
        <w:t>689.87÷(680.12×83.33%)×2</w:t>
      </w:r>
      <w:r>
        <w:rPr>
          <w:rFonts w:hint="eastAsia" w:eastAsia="方正仿宋_GBK"/>
          <w:color w:val="000000"/>
          <w:kern w:val="0"/>
          <w:sz w:val="32"/>
          <w:szCs w:val="32"/>
          <w:highlight w:val="none"/>
          <w:shd w:val="clear" w:color="auto" w:fill="auto"/>
          <w:lang w:val="en-US" w:eastAsia="zh-CN"/>
        </w:rPr>
        <w:t>]</w:t>
      </w:r>
      <w:r>
        <w:rPr>
          <w:rFonts w:hint="eastAsia" w:eastAsia="方正仿宋_GBK"/>
          <w:color w:val="000000"/>
          <w:kern w:val="0"/>
          <w:sz w:val="32"/>
          <w:szCs w:val="32"/>
          <w:highlight w:val="none"/>
          <w:shd w:val="clear" w:color="auto" w:fill="auto"/>
          <w:lang w:val="zh-CN" w:eastAsia="zh-CN"/>
        </w:rPr>
        <w:t>+(1-29.58÷689.87×0.8-0)=6.</w:t>
      </w:r>
      <w:r>
        <w:rPr>
          <w:rFonts w:hint="eastAsia" w:eastAsia="方正仿宋_GBK"/>
          <w:color w:val="000000"/>
          <w:kern w:val="0"/>
          <w:sz w:val="32"/>
          <w:szCs w:val="32"/>
          <w:highlight w:val="none"/>
          <w:shd w:val="clear" w:color="auto" w:fill="auto"/>
          <w:lang w:val="en-US" w:eastAsia="zh-CN"/>
        </w:rPr>
        <w:t>90</w:t>
      </w:r>
      <w:r>
        <w:rPr>
          <w:rFonts w:hint="eastAsia" w:eastAsia="方正仿宋_GBK"/>
          <w:color w:val="000000"/>
          <w:kern w:val="0"/>
          <w:sz w:val="32"/>
          <w:szCs w:val="32"/>
          <w:highlight w:val="none"/>
          <w:shd w:val="clear" w:color="auto" w:fill="auto"/>
          <w:lang w:val="zh-CN" w:eastAsia="zh-CN"/>
        </w:rPr>
        <w:t>分，因满分为6分，故该项指标得6分。</w:t>
      </w:r>
    </w:p>
    <w:p w14:paraId="73EA29AF">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eastAsia" w:eastAsia="方正仿宋_GBK"/>
          <w:color w:val="000000"/>
          <w:kern w:val="0"/>
          <w:sz w:val="32"/>
          <w:szCs w:val="32"/>
          <w:highlight w:val="none"/>
          <w:shd w:val="clear" w:color="auto" w:fill="auto"/>
          <w:lang w:val="zh-CN" w:eastAsia="zh-CN"/>
        </w:rPr>
      </w:pPr>
      <w:r>
        <w:rPr>
          <w:rFonts w:hint="eastAsia" w:eastAsia="方正仿宋_GBK"/>
          <w:color w:val="000000"/>
          <w:kern w:val="0"/>
          <w:sz w:val="32"/>
          <w:szCs w:val="32"/>
          <w:highlight w:val="none"/>
          <w:shd w:val="clear" w:color="auto" w:fill="auto"/>
          <w:lang w:val="zh-CN" w:eastAsia="zh-CN"/>
        </w:rPr>
        <w:t>（</w:t>
      </w:r>
      <w:r>
        <w:rPr>
          <w:rFonts w:hint="eastAsia" w:eastAsia="方正仿宋_GBK"/>
          <w:color w:val="000000"/>
          <w:kern w:val="0"/>
          <w:sz w:val="32"/>
          <w:szCs w:val="32"/>
          <w:highlight w:val="none"/>
          <w:shd w:val="clear" w:color="auto" w:fill="auto"/>
          <w:lang w:val="en-US" w:eastAsia="zh-CN"/>
        </w:rPr>
        <w:t>4</w:t>
      </w:r>
      <w:r>
        <w:rPr>
          <w:rFonts w:hint="eastAsia" w:eastAsia="方正仿宋_GBK"/>
          <w:color w:val="000000"/>
          <w:kern w:val="0"/>
          <w:sz w:val="32"/>
          <w:szCs w:val="32"/>
          <w:highlight w:val="none"/>
          <w:shd w:val="clear" w:color="auto" w:fill="auto"/>
          <w:lang w:val="zh-CN" w:eastAsia="zh-CN"/>
        </w:rPr>
        <w:t>）预算年终结余</w:t>
      </w:r>
      <w:r>
        <w:rPr>
          <w:rFonts w:hint="eastAsia" w:eastAsia="方正仿宋_GBK"/>
          <w:color w:val="000000"/>
          <w:kern w:val="0"/>
          <w:sz w:val="32"/>
          <w:szCs w:val="32"/>
          <w:highlight w:val="none"/>
          <w:shd w:val="clear" w:color="auto" w:fill="auto"/>
          <w:lang w:val="en-US" w:eastAsia="zh-CN"/>
        </w:rPr>
        <w:t>2</w:t>
      </w:r>
      <w:r>
        <w:rPr>
          <w:rFonts w:hint="eastAsia" w:eastAsia="方正仿宋_GBK"/>
          <w:color w:val="000000"/>
          <w:kern w:val="0"/>
          <w:sz w:val="32"/>
          <w:szCs w:val="32"/>
          <w:highlight w:val="none"/>
          <w:shd w:val="clear" w:color="auto" w:fill="auto"/>
          <w:lang w:val="zh-CN" w:eastAsia="zh-CN"/>
        </w:rPr>
        <w:t>分，该项指标得分=（1-部门整体预算结余率）×100%×2=(1-</w:t>
      </w:r>
      <w:r>
        <w:rPr>
          <w:rFonts w:hint="eastAsia" w:eastAsia="方正仿宋_GBK"/>
          <w:color w:val="000000"/>
          <w:kern w:val="0"/>
          <w:sz w:val="32"/>
          <w:szCs w:val="32"/>
          <w:highlight w:val="none"/>
          <w:shd w:val="clear" w:color="auto" w:fill="auto"/>
          <w:lang w:val="en-US" w:eastAsia="zh-CN"/>
        </w:rPr>
        <w:t>1.21</w:t>
      </w:r>
      <w:r>
        <w:rPr>
          <w:rFonts w:hint="eastAsia" w:eastAsia="方正仿宋_GBK"/>
          <w:color w:val="000000"/>
          <w:kern w:val="0"/>
          <w:sz w:val="32"/>
          <w:szCs w:val="32"/>
          <w:highlight w:val="none"/>
          <w:shd w:val="clear" w:color="auto" w:fill="auto"/>
          <w:lang w:val="zh-CN" w:eastAsia="zh-CN"/>
        </w:rPr>
        <w:t>÷</w:t>
      </w:r>
      <w:r>
        <w:rPr>
          <w:rFonts w:hint="eastAsia" w:eastAsia="方正仿宋_GBK"/>
          <w:color w:val="000000"/>
          <w:kern w:val="0"/>
          <w:sz w:val="32"/>
          <w:szCs w:val="32"/>
          <w:highlight w:val="none"/>
          <w:shd w:val="clear" w:color="auto" w:fill="auto"/>
          <w:lang w:val="en-US" w:eastAsia="zh-CN"/>
        </w:rPr>
        <w:t>801.79</w:t>
      </w:r>
      <w:r>
        <w:rPr>
          <w:rFonts w:hint="eastAsia" w:eastAsia="方正仿宋_GBK"/>
          <w:color w:val="000000"/>
          <w:kern w:val="0"/>
          <w:sz w:val="32"/>
          <w:szCs w:val="32"/>
          <w:highlight w:val="none"/>
          <w:shd w:val="clear" w:color="auto" w:fill="auto"/>
          <w:lang w:val="zh-CN" w:eastAsia="zh-CN"/>
        </w:rPr>
        <w:t>)×100%×2=1.99</w:t>
      </w:r>
      <w:r>
        <w:rPr>
          <w:rFonts w:hint="eastAsia" w:eastAsia="方正仿宋_GBK"/>
          <w:color w:val="000000"/>
          <w:kern w:val="0"/>
          <w:sz w:val="32"/>
          <w:szCs w:val="32"/>
          <w:highlight w:val="none"/>
          <w:shd w:val="clear" w:color="auto" w:fill="auto"/>
          <w:lang w:val="en-US" w:eastAsia="zh-CN"/>
        </w:rPr>
        <w:t>6=2</w:t>
      </w:r>
      <w:r>
        <w:rPr>
          <w:rFonts w:hint="eastAsia" w:eastAsia="方正仿宋_GBK"/>
          <w:color w:val="000000"/>
          <w:kern w:val="0"/>
          <w:sz w:val="32"/>
          <w:szCs w:val="32"/>
          <w:highlight w:val="none"/>
          <w:shd w:val="clear" w:color="auto" w:fill="auto"/>
          <w:lang w:val="zh-CN" w:eastAsia="zh-CN"/>
        </w:rPr>
        <w:t>分。</w:t>
      </w:r>
    </w:p>
    <w:p w14:paraId="6D5E1EA9">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default" w:eastAsia="方正仿宋_GBK"/>
          <w:color w:val="000000"/>
          <w:kern w:val="0"/>
          <w:sz w:val="32"/>
          <w:szCs w:val="32"/>
          <w:highlight w:val="none"/>
          <w:shd w:val="clear" w:color="auto" w:fill="auto"/>
          <w:lang w:val="en-US" w:eastAsia="zh-CN"/>
        </w:rPr>
      </w:pPr>
      <w:r>
        <w:rPr>
          <w:rFonts w:hint="eastAsia" w:eastAsia="方正仿宋_GBK"/>
          <w:color w:val="000000"/>
          <w:kern w:val="0"/>
          <w:sz w:val="32"/>
          <w:szCs w:val="32"/>
          <w:highlight w:val="none"/>
          <w:shd w:val="clear" w:color="auto" w:fill="auto"/>
          <w:lang w:val="zh-CN" w:eastAsia="zh-CN"/>
        </w:rPr>
        <w:t>（</w:t>
      </w:r>
      <w:r>
        <w:rPr>
          <w:rFonts w:hint="eastAsia" w:eastAsia="方正仿宋_GBK"/>
          <w:color w:val="000000"/>
          <w:kern w:val="0"/>
          <w:sz w:val="32"/>
          <w:szCs w:val="32"/>
          <w:highlight w:val="none"/>
          <w:shd w:val="clear" w:color="auto" w:fill="auto"/>
          <w:lang w:val="en-US" w:eastAsia="zh-CN"/>
        </w:rPr>
        <w:t>5</w:t>
      </w:r>
      <w:r>
        <w:rPr>
          <w:rFonts w:hint="eastAsia" w:eastAsia="方正仿宋_GBK"/>
          <w:color w:val="000000"/>
          <w:kern w:val="0"/>
          <w:sz w:val="32"/>
          <w:szCs w:val="32"/>
          <w:highlight w:val="none"/>
          <w:shd w:val="clear" w:color="auto" w:fill="auto"/>
          <w:lang w:val="zh-CN" w:eastAsia="zh-CN"/>
        </w:rPr>
        <w:t>）严控一般性支出</w:t>
      </w:r>
      <w:r>
        <w:rPr>
          <w:rFonts w:hint="eastAsia" w:eastAsia="方正仿宋_GBK"/>
          <w:color w:val="000000"/>
          <w:kern w:val="0"/>
          <w:sz w:val="32"/>
          <w:szCs w:val="32"/>
          <w:highlight w:val="none"/>
          <w:shd w:val="clear" w:color="auto" w:fill="auto"/>
          <w:lang w:val="en-US" w:eastAsia="zh-CN"/>
        </w:rPr>
        <w:t>0</w:t>
      </w:r>
      <w:r>
        <w:rPr>
          <w:rFonts w:hint="eastAsia" w:eastAsia="方正仿宋_GBK"/>
          <w:color w:val="000000"/>
          <w:kern w:val="0"/>
          <w:sz w:val="32"/>
          <w:szCs w:val="32"/>
          <w:highlight w:val="none"/>
          <w:shd w:val="clear" w:color="auto" w:fill="auto"/>
          <w:lang w:val="zh-CN" w:eastAsia="zh-CN"/>
        </w:rPr>
        <w:t>分，我单位</w:t>
      </w:r>
      <w:r>
        <w:rPr>
          <w:rFonts w:hint="eastAsia" w:eastAsia="方正仿宋_GBK"/>
          <w:color w:val="000000"/>
          <w:kern w:val="0"/>
          <w:sz w:val="32"/>
          <w:szCs w:val="32"/>
          <w:highlight w:val="none"/>
          <w:shd w:val="clear" w:color="auto" w:fill="auto"/>
          <w:lang w:val="en-US" w:eastAsia="zh-CN"/>
        </w:rPr>
        <w:t>2024年度对车辆进行了大修，故一般性支出预算数及执行数较上年有所增加</w:t>
      </w:r>
      <w:r>
        <w:rPr>
          <w:rFonts w:hint="eastAsia" w:eastAsia="方正仿宋_GBK"/>
          <w:color w:val="000000"/>
          <w:kern w:val="0"/>
          <w:sz w:val="32"/>
          <w:szCs w:val="32"/>
          <w:highlight w:val="none"/>
          <w:shd w:val="clear" w:color="auto" w:fill="auto"/>
          <w:lang w:val="zh-CN" w:eastAsia="zh-CN"/>
        </w:rPr>
        <w:t>，不得分。</w:t>
      </w:r>
    </w:p>
    <w:p w14:paraId="274BE1FC">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en-US" w:eastAsia="zh-CN"/>
        </w:rPr>
        <w:t>3.</w:t>
      </w:r>
      <w:r>
        <w:rPr>
          <w:rFonts w:hint="default" w:ascii="Times New Roman" w:hAnsi="Times New Roman" w:eastAsia="楷体_GB2312" w:cs="Times New Roman"/>
          <w:b/>
          <w:bCs/>
          <w:color w:val="000000"/>
          <w:kern w:val="0"/>
          <w:sz w:val="32"/>
          <w:szCs w:val="32"/>
          <w:highlight w:val="none"/>
          <w:shd w:val="clear" w:color="auto" w:fill="FFFFFF"/>
          <w:lang w:val="zh-CN" w:eastAsia="zh-CN"/>
        </w:rPr>
        <w:t>财务管理。</w:t>
      </w:r>
    </w:p>
    <w:p w14:paraId="4D17954D">
      <w:pPr>
        <w:keepNext w:val="0"/>
        <w:keepLines w:val="0"/>
        <w:pageBreakBefore w:val="0"/>
        <w:widowControl w:val="0"/>
        <w:kinsoku w:val="0"/>
        <w:wordWrap/>
        <w:overflowPunct w:val="0"/>
        <w:topLinePunct w:val="0"/>
        <w:autoSpaceDE w:val="0"/>
        <w:autoSpaceDN w:val="0"/>
        <w:bidi w:val="0"/>
        <w:adjustRightInd/>
        <w:snapToGrid/>
        <w:spacing w:line="576" w:lineRule="exact"/>
        <w:ind w:firstLine="640" w:firstLineChars="200"/>
        <w:contextualSpacing/>
        <w:textAlignment w:val="center"/>
        <w:outlineLvl w:val="9"/>
        <w:rPr>
          <w:rFonts w:hint="eastAsia" w:ascii="Times New Roman" w:hAnsi="Times New Roman" w:eastAsia="方正仿宋_GBK" w:cs="Times New Roman"/>
          <w:color w:val="000000"/>
          <w:kern w:val="0"/>
          <w:sz w:val="32"/>
          <w:szCs w:val="32"/>
          <w:highlight w:val="none"/>
          <w:shd w:val="clear" w:color="auto" w:fill="auto"/>
          <w:lang w:val="en-US" w:eastAsia="zh-CN" w:bidi="ar-SA"/>
        </w:rPr>
      </w:pPr>
      <w:r>
        <w:rPr>
          <w:rFonts w:hint="eastAsia" w:ascii="Times New Roman" w:hAnsi="Times New Roman" w:eastAsia="方正仿宋_GBK" w:cs="Times New Roman"/>
          <w:color w:val="000000"/>
          <w:kern w:val="0"/>
          <w:sz w:val="32"/>
          <w:szCs w:val="32"/>
          <w:highlight w:val="none"/>
          <w:shd w:val="clear" w:color="auto" w:fill="auto"/>
          <w:lang w:val="zh-CN" w:eastAsia="zh-CN" w:bidi="ar-SA"/>
        </w:rPr>
        <w:t>（</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1</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）财务管理制度4分，我单位建立了《阿坝州供销社收支管理内部控制制度》、《阿坝州供销社财务管理制度》等财务管理制度，并将制度落到实处</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w:t>
      </w:r>
    </w:p>
    <w:p w14:paraId="1F570540">
      <w:pPr>
        <w:keepNext w:val="0"/>
        <w:keepLines w:val="0"/>
        <w:pageBreakBefore w:val="0"/>
        <w:widowControl w:val="0"/>
        <w:kinsoku w:val="0"/>
        <w:wordWrap/>
        <w:overflowPunct w:val="0"/>
        <w:topLinePunct w:val="0"/>
        <w:autoSpaceDE w:val="0"/>
        <w:autoSpaceDN w:val="0"/>
        <w:bidi w:val="0"/>
        <w:adjustRightInd/>
        <w:snapToGrid/>
        <w:spacing w:line="576" w:lineRule="exact"/>
        <w:ind w:firstLine="640" w:firstLineChars="200"/>
        <w:contextualSpacing/>
        <w:textAlignment w:val="center"/>
        <w:outlineLvl w:val="9"/>
        <w:rPr>
          <w:rFonts w:hint="eastAsia" w:ascii="Times New Roman" w:hAnsi="Times New Roman" w:eastAsia="方正仿宋_GBK" w:cs="Times New Roman"/>
          <w:color w:val="000000"/>
          <w:kern w:val="0"/>
          <w:sz w:val="32"/>
          <w:szCs w:val="32"/>
          <w:highlight w:val="none"/>
          <w:shd w:val="clear" w:color="auto" w:fill="auto"/>
          <w:lang w:val="zh-CN" w:eastAsia="zh-CN" w:bidi="ar-SA"/>
        </w:rPr>
      </w:pPr>
      <w:r>
        <w:rPr>
          <w:rFonts w:hint="eastAsia" w:ascii="Times New Roman" w:hAnsi="Times New Roman" w:eastAsia="方正仿宋_GBK" w:cs="Times New Roman"/>
          <w:color w:val="000000"/>
          <w:kern w:val="0"/>
          <w:sz w:val="32"/>
          <w:szCs w:val="32"/>
          <w:highlight w:val="none"/>
          <w:shd w:val="clear" w:color="auto" w:fill="auto"/>
          <w:lang w:val="zh-CN" w:eastAsia="zh-CN" w:bidi="ar-SA"/>
        </w:rPr>
        <w:t>（</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2</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）财务岗位设置2分，我单位单独设立了财务科，财务岗位设置符合相关财务管理制度要求，出纳和会计由不同的人担任。</w:t>
      </w:r>
    </w:p>
    <w:p w14:paraId="52901BEF">
      <w:pPr>
        <w:keepNext w:val="0"/>
        <w:keepLines w:val="0"/>
        <w:pageBreakBefore w:val="0"/>
        <w:widowControl w:val="0"/>
        <w:kinsoku w:val="0"/>
        <w:wordWrap/>
        <w:overflowPunct w:val="0"/>
        <w:topLinePunct w:val="0"/>
        <w:autoSpaceDE w:val="0"/>
        <w:autoSpaceDN w:val="0"/>
        <w:bidi w:val="0"/>
        <w:adjustRightInd/>
        <w:snapToGrid/>
        <w:spacing w:line="576" w:lineRule="exact"/>
        <w:ind w:firstLine="640" w:firstLineChars="200"/>
        <w:contextualSpacing/>
        <w:textAlignment w:val="center"/>
        <w:outlineLvl w:val="9"/>
        <w:rPr>
          <w:rFonts w:hint="eastAsia" w:ascii="Times New Roman" w:hAnsi="Times New Roman" w:eastAsia="方正仿宋_GBK" w:cs="Times New Roman"/>
          <w:color w:val="000000"/>
          <w:kern w:val="0"/>
          <w:sz w:val="32"/>
          <w:szCs w:val="32"/>
          <w:highlight w:val="none"/>
          <w:shd w:val="clear" w:color="auto" w:fill="auto"/>
          <w:lang w:val="zh-CN" w:eastAsia="zh-CN" w:bidi="ar-SA"/>
        </w:rPr>
      </w:pPr>
      <w:r>
        <w:rPr>
          <w:rFonts w:hint="eastAsia" w:ascii="Times New Roman" w:hAnsi="Times New Roman" w:eastAsia="方正仿宋_GBK" w:cs="Times New Roman"/>
          <w:color w:val="000000"/>
          <w:kern w:val="0"/>
          <w:sz w:val="32"/>
          <w:szCs w:val="32"/>
          <w:highlight w:val="none"/>
          <w:shd w:val="clear" w:color="auto" w:fill="auto"/>
          <w:lang w:val="zh-CN" w:eastAsia="zh-CN" w:bidi="ar-SA"/>
        </w:rPr>
        <w:t>（</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3</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）资金使用规范4分，我单位严格按照相关财务管理制度要求使用资金。</w:t>
      </w:r>
    </w:p>
    <w:p w14:paraId="432D8CB3">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en-US" w:eastAsia="zh-CN"/>
        </w:rPr>
        <w:t>4.</w:t>
      </w:r>
      <w:r>
        <w:rPr>
          <w:rFonts w:hint="default" w:ascii="Times New Roman" w:hAnsi="Times New Roman" w:eastAsia="楷体_GB2312" w:cs="Times New Roman"/>
          <w:b/>
          <w:bCs/>
          <w:color w:val="000000"/>
          <w:kern w:val="0"/>
          <w:sz w:val="32"/>
          <w:szCs w:val="32"/>
          <w:highlight w:val="none"/>
          <w:shd w:val="clear" w:color="auto" w:fill="FFFFFF"/>
          <w:lang w:val="zh-CN" w:eastAsia="zh-CN"/>
        </w:rPr>
        <w:t>资产管理。</w:t>
      </w:r>
    </w:p>
    <w:p w14:paraId="13FD7F18">
      <w:pPr>
        <w:keepNext w:val="0"/>
        <w:keepLines w:val="0"/>
        <w:pageBreakBefore w:val="0"/>
        <w:widowControl w:val="0"/>
        <w:kinsoku w:val="0"/>
        <w:wordWrap/>
        <w:overflowPunct w:val="0"/>
        <w:topLinePunct w:val="0"/>
        <w:autoSpaceDE w:val="0"/>
        <w:autoSpaceDN w:val="0"/>
        <w:bidi w:val="0"/>
        <w:adjustRightInd/>
        <w:snapToGrid/>
        <w:spacing w:line="576" w:lineRule="exact"/>
        <w:ind w:firstLine="640" w:firstLineChars="200"/>
        <w:contextualSpacing/>
        <w:textAlignment w:val="center"/>
        <w:outlineLvl w:val="9"/>
        <w:rPr>
          <w:rFonts w:hint="default" w:ascii="Times New Roman" w:hAnsi="Times New Roman" w:eastAsia="方正仿宋_GBK" w:cs="Times New Roman"/>
          <w:color w:val="000000"/>
          <w:kern w:val="0"/>
          <w:sz w:val="32"/>
          <w:szCs w:val="32"/>
          <w:highlight w:val="none"/>
          <w:shd w:val="clear" w:color="auto" w:fill="auto"/>
          <w:lang w:val="en-US" w:eastAsia="zh-CN" w:bidi="ar-SA"/>
        </w:rPr>
      </w:pPr>
      <w:r>
        <w:rPr>
          <w:rFonts w:hint="eastAsia" w:ascii="Times New Roman" w:hAnsi="Times New Roman" w:eastAsia="方正仿宋_GBK" w:cs="Times New Roman"/>
          <w:color w:val="000000"/>
          <w:kern w:val="0"/>
          <w:sz w:val="32"/>
          <w:szCs w:val="32"/>
          <w:highlight w:val="none"/>
          <w:shd w:val="clear" w:color="auto" w:fill="auto"/>
          <w:lang w:val="zh-CN" w:eastAsia="zh-CN" w:bidi="ar-SA"/>
        </w:rPr>
        <w:t>（</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1</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）人均资产变化率3分。我单位人均资产变化率为</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-16.49</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%，低于州直行政事业单位人均资产变化率24.28%，该小项得</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1.5分；</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我单位人均资产变化率（</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X</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）为</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-16.49</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州级2024年财政收入增长率-30.5%，X≤0，该小项得1.5分。共计3分。</w:t>
      </w:r>
    </w:p>
    <w:p w14:paraId="11476E89">
      <w:pPr>
        <w:keepNext w:val="0"/>
        <w:keepLines w:val="0"/>
        <w:pageBreakBefore w:val="0"/>
        <w:widowControl w:val="0"/>
        <w:kinsoku w:val="0"/>
        <w:wordWrap/>
        <w:overflowPunct w:val="0"/>
        <w:topLinePunct w:val="0"/>
        <w:autoSpaceDE w:val="0"/>
        <w:autoSpaceDN w:val="0"/>
        <w:bidi w:val="0"/>
        <w:adjustRightInd/>
        <w:snapToGrid/>
        <w:spacing w:line="576" w:lineRule="exact"/>
        <w:ind w:firstLine="640" w:firstLineChars="200"/>
        <w:contextualSpacing/>
        <w:textAlignment w:val="center"/>
        <w:outlineLvl w:val="9"/>
        <w:rPr>
          <w:rFonts w:hint="eastAsia" w:ascii="Times New Roman" w:hAnsi="Times New Roman" w:eastAsia="方正仿宋_GBK" w:cs="Times New Roman"/>
          <w:color w:val="000000"/>
          <w:kern w:val="0"/>
          <w:sz w:val="32"/>
          <w:szCs w:val="32"/>
          <w:highlight w:val="none"/>
          <w:shd w:val="clear" w:color="auto" w:fill="auto"/>
          <w:lang w:val="zh-CN" w:eastAsia="zh-CN" w:bidi="ar-SA"/>
        </w:rPr>
      </w:pPr>
      <w:r>
        <w:rPr>
          <w:rFonts w:hint="eastAsia" w:ascii="Times New Roman" w:hAnsi="Times New Roman" w:eastAsia="方正仿宋_GBK" w:cs="Times New Roman"/>
          <w:color w:val="000000"/>
          <w:kern w:val="0"/>
          <w:sz w:val="32"/>
          <w:szCs w:val="32"/>
          <w:highlight w:val="none"/>
          <w:shd w:val="clear" w:color="auto" w:fill="auto"/>
          <w:lang w:val="en-US" w:eastAsia="zh-CN" w:bidi="ar-SA"/>
        </w:rPr>
        <w:t>（2）</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资产利用率</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1.2</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分。我单位办公家具超最低使用年限资产利用率（</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X</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）=12220÷155570×100</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%=7.85</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州直行政事业单位办公家具资产利用率（N）平均值为10.03%，0.6N＜X≤0.8N，该小项得0.6分；</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我单位办公设备超最低使用年限资产利用率（</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X</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）=33800÷</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97710</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×100</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%=34.59</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州直行政事业单位办公设备资产利用率(N)平均值为47.86%，0.6N＜X≤0.8N，该小项得0.6分</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。共计1.</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2</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分。</w:t>
      </w:r>
    </w:p>
    <w:p w14:paraId="6C624D32">
      <w:pPr>
        <w:keepNext w:val="0"/>
        <w:keepLines w:val="0"/>
        <w:pageBreakBefore w:val="0"/>
        <w:widowControl w:val="0"/>
        <w:kinsoku w:val="0"/>
        <w:wordWrap/>
        <w:overflowPunct w:val="0"/>
        <w:topLinePunct w:val="0"/>
        <w:autoSpaceDE w:val="0"/>
        <w:autoSpaceDN w:val="0"/>
        <w:bidi w:val="0"/>
        <w:adjustRightInd/>
        <w:snapToGrid/>
        <w:spacing w:line="576" w:lineRule="exact"/>
        <w:ind w:firstLine="640" w:firstLineChars="200"/>
        <w:contextualSpacing/>
        <w:textAlignment w:val="center"/>
        <w:outlineLvl w:val="9"/>
        <w:rPr>
          <w:rFonts w:hint="eastAsia" w:ascii="Times New Roman" w:hAnsi="Times New Roman" w:eastAsia="方正仿宋_GBK" w:cs="Times New Roman"/>
          <w:color w:val="000000"/>
          <w:kern w:val="0"/>
          <w:sz w:val="32"/>
          <w:szCs w:val="32"/>
          <w:highlight w:val="none"/>
          <w:shd w:val="clear" w:color="auto" w:fill="auto"/>
          <w:lang w:val="zh-CN" w:eastAsia="zh-CN" w:bidi="ar-SA"/>
        </w:rPr>
      </w:pPr>
      <w:r>
        <w:rPr>
          <w:rFonts w:hint="eastAsia" w:ascii="Times New Roman" w:hAnsi="Times New Roman" w:eastAsia="方正仿宋_GBK" w:cs="Times New Roman"/>
          <w:color w:val="000000"/>
          <w:kern w:val="0"/>
          <w:sz w:val="32"/>
          <w:szCs w:val="32"/>
          <w:highlight w:val="none"/>
          <w:shd w:val="clear" w:color="auto" w:fill="auto"/>
          <w:lang w:val="zh-CN" w:eastAsia="zh-CN" w:bidi="ar-SA"/>
        </w:rPr>
        <w:t>（</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3</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）资产盘活率得3分，我单位无闲置资产，不扣分。</w:t>
      </w:r>
    </w:p>
    <w:p w14:paraId="514F6DBE">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en-US" w:eastAsia="zh-CN"/>
        </w:rPr>
        <w:t>5.</w:t>
      </w:r>
      <w:r>
        <w:rPr>
          <w:rFonts w:hint="default" w:ascii="Times New Roman" w:hAnsi="Times New Roman" w:eastAsia="楷体_GB2312" w:cs="Times New Roman"/>
          <w:b/>
          <w:bCs/>
          <w:color w:val="000000"/>
          <w:kern w:val="0"/>
          <w:sz w:val="32"/>
          <w:szCs w:val="32"/>
          <w:highlight w:val="none"/>
          <w:shd w:val="clear" w:color="auto" w:fill="FFFFFF"/>
          <w:lang w:val="zh-CN" w:eastAsia="zh-CN"/>
        </w:rPr>
        <w:t>采购管理。</w:t>
      </w:r>
    </w:p>
    <w:p w14:paraId="71C0F922">
      <w:pPr>
        <w:keepNext w:val="0"/>
        <w:keepLines w:val="0"/>
        <w:pageBreakBefore w:val="0"/>
        <w:widowControl w:val="0"/>
        <w:kinsoku w:val="0"/>
        <w:wordWrap/>
        <w:overflowPunct w:val="0"/>
        <w:topLinePunct w:val="0"/>
        <w:autoSpaceDE w:val="0"/>
        <w:autoSpaceDN w:val="0"/>
        <w:bidi w:val="0"/>
        <w:adjustRightInd/>
        <w:snapToGrid/>
        <w:spacing w:line="576" w:lineRule="exact"/>
        <w:ind w:firstLine="640" w:firstLineChars="200"/>
        <w:contextualSpacing/>
        <w:textAlignment w:val="center"/>
        <w:outlineLvl w:val="9"/>
        <w:rPr>
          <w:rFonts w:hint="eastAsia" w:ascii="Times New Roman" w:hAnsi="Times New Roman" w:eastAsia="方正仿宋_GBK" w:cs="Times New Roman"/>
          <w:color w:val="000000"/>
          <w:kern w:val="0"/>
          <w:sz w:val="32"/>
          <w:szCs w:val="32"/>
          <w:highlight w:val="none"/>
          <w:shd w:val="clear" w:color="auto" w:fill="auto"/>
          <w:lang w:val="zh-CN" w:eastAsia="zh-CN" w:bidi="ar-SA"/>
        </w:rPr>
      </w:pPr>
      <w:r>
        <w:rPr>
          <w:rFonts w:hint="eastAsia" w:ascii="Times New Roman" w:hAnsi="Times New Roman" w:eastAsia="方正仿宋_GBK" w:cs="Times New Roman"/>
          <w:color w:val="000000"/>
          <w:kern w:val="0"/>
          <w:sz w:val="32"/>
          <w:szCs w:val="32"/>
          <w:highlight w:val="none"/>
          <w:shd w:val="clear" w:color="auto" w:fill="auto"/>
          <w:lang w:val="zh-CN" w:eastAsia="zh-CN" w:bidi="ar-SA"/>
        </w:rPr>
        <w:t>（</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1</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）支持中小企业发展得</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3分，</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我单位严格执行政府采购促进中小企业发展相关管理办法，对适宜由中小企业提供的采购项目和采购包，预留采购份额专门面向中小企业采购，并在采购预算中单独列示。</w:t>
      </w:r>
    </w:p>
    <w:p w14:paraId="6736A50A">
      <w:pPr>
        <w:keepNext w:val="0"/>
        <w:keepLines w:val="0"/>
        <w:pageBreakBefore w:val="0"/>
        <w:widowControl w:val="0"/>
        <w:kinsoku w:val="0"/>
        <w:wordWrap/>
        <w:overflowPunct w:val="0"/>
        <w:topLinePunct w:val="0"/>
        <w:autoSpaceDE w:val="0"/>
        <w:autoSpaceDN w:val="0"/>
        <w:bidi w:val="0"/>
        <w:adjustRightInd/>
        <w:snapToGrid/>
        <w:spacing w:line="576" w:lineRule="exact"/>
        <w:ind w:firstLine="640" w:firstLineChars="200"/>
        <w:contextualSpacing/>
        <w:textAlignment w:val="center"/>
        <w:outlineLvl w:val="9"/>
        <w:rPr>
          <w:rFonts w:hint="default" w:ascii="Times New Roman" w:hAnsi="Times New Roman" w:eastAsia="方正仿宋_GBK" w:cs="Times New Roman"/>
          <w:color w:val="000000"/>
          <w:kern w:val="0"/>
          <w:sz w:val="32"/>
          <w:szCs w:val="32"/>
          <w:highlight w:val="none"/>
          <w:shd w:val="clear" w:color="auto" w:fill="auto"/>
          <w:lang w:val="zh-CN" w:eastAsia="zh-CN" w:bidi="ar-SA"/>
        </w:rPr>
      </w:pPr>
      <w:r>
        <w:rPr>
          <w:rFonts w:hint="eastAsia" w:ascii="Times New Roman" w:hAnsi="Times New Roman" w:eastAsia="方正仿宋_GBK" w:cs="Times New Roman"/>
          <w:color w:val="000000"/>
          <w:kern w:val="0"/>
          <w:sz w:val="32"/>
          <w:szCs w:val="32"/>
          <w:highlight w:val="none"/>
          <w:shd w:val="clear" w:color="auto" w:fill="auto"/>
          <w:lang w:val="zh-CN" w:eastAsia="zh-CN" w:bidi="ar-SA"/>
        </w:rPr>
        <w:t>（</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2</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）采购执行率得</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3</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分，该项指标得分=当年政府采购实际支付总金额÷（当年政府采购总预算数-当年已完成采购项目节约金额）×100%×3</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=12.33</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12.33</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100%</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3=3分</w:t>
      </w:r>
      <w:r>
        <w:rPr>
          <w:rFonts w:hint="default" w:ascii="Times New Roman" w:hAnsi="Times New Roman" w:eastAsia="方正仿宋_GBK" w:cs="Times New Roman"/>
          <w:color w:val="000000"/>
          <w:kern w:val="0"/>
          <w:sz w:val="32"/>
          <w:szCs w:val="32"/>
          <w:highlight w:val="none"/>
          <w:shd w:val="clear" w:color="auto" w:fill="auto"/>
          <w:lang w:val="zh-CN" w:eastAsia="zh-CN" w:bidi="ar-SA"/>
        </w:rPr>
        <w:t>。</w:t>
      </w:r>
    </w:p>
    <w:p w14:paraId="0FDD94AF">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14:paraId="5FEEB3A6">
      <w:pPr>
        <w:keepNext w:val="0"/>
        <w:keepLines w:val="0"/>
        <w:pageBreakBefore w:val="0"/>
        <w:widowControl w:val="0"/>
        <w:kinsoku w:val="0"/>
        <w:wordWrap/>
        <w:overflowPunct w:val="0"/>
        <w:topLinePunct w:val="0"/>
        <w:autoSpaceDE w:val="0"/>
        <w:autoSpaceDN w:val="0"/>
        <w:bidi w:val="0"/>
        <w:adjustRightInd/>
        <w:snapToGrid/>
        <w:spacing w:line="576" w:lineRule="exact"/>
        <w:ind w:firstLine="640" w:firstLineChars="200"/>
        <w:contextualSpacing/>
        <w:textAlignment w:val="center"/>
        <w:outlineLvl w:val="9"/>
        <w:rPr>
          <w:rFonts w:hint="default" w:ascii="Times New Roman" w:hAnsi="Times New Roman" w:eastAsia="方正仿宋_GBK" w:cs="Times New Roman"/>
          <w:color w:val="000000"/>
          <w:kern w:val="0"/>
          <w:sz w:val="32"/>
          <w:szCs w:val="32"/>
          <w:highlight w:val="none"/>
          <w:shd w:val="clear" w:color="auto" w:fill="auto"/>
          <w:lang w:val="zh-CN" w:eastAsia="zh-CN" w:bidi="ar-SA"/>
        </w:rPr>
      </w:pPr>
      <w:r>
        <w:rPr>
          <w:rFonts w:hint="default" w:ascii="Times New Roman" w:hAnsi="Times New Roman" w:eastAsia="方正仿宋_GBK" w:cs="Times New Roman"/>
          <w:color w:val="000000"/>
          <w:kern w:val="0"/>
          <w:sz w:val="32"/>
          <w:szCs w:val="32"/>
          <w:highlight w:val="none"/>
          <w:shd w:val="clear" w:color="auto" w:fill="auto"/>
          <w:lang w:val="en-US" w:eastAsia="zh-CN" w:bidi="ar-SA"/>
        </w:rPr>
        <w:t>常年项目绩效分析。</w:t>
      </w:r>
      <w:r>
        <w:rPr>
          <w:rFonts w:hint="default" w:ascii="Times New Roman" w:hAnsi="Times New Roman" w:eastAsia="方正仿宋_GBK" w:cs="Times New Roman"/>
          <w:color w:val="000000"/>
          <w:kern w:val="0"/>
          <w:sz w:val="32"/>
          <w:szCs w:val="32"/>
          <w:highlight w:val="none"/>
          <w:shd w:val="clear" w:color="auto" w:fill="auto"/>
          <w:lang w:val="zh-CN" w:eastAsia="zh-CN" w:bidi="ar-SA"/>
        </w:rPr>
        <w:t>该类项目总数</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5</w:t>
      </w:r>
      <w:r>
        <w:rPr>
          <w:rFonts w:hint="default" w:ascii="Times New Roman" w:hAnsi="Times New Roman" w:eastAsia="方正仿宋_GBK" w:cs="Times New Roman"/>
          <w:color w:val="000000"/>
          <w:kern w:val="0"/>
          <w:sz w:val="32"/>
          <w:szCs w:val="32"/>
          <w:highlight w:val="none"/>
          <w:shd w:val="clear" w:color="auto" w:fill="auto"/>
          <w:lang w:val="zh-CN" w:eastAsia="zh-CN" w:bidi="ar-SA"/>
        </w:rPr>
        <w:t>个，涉及预算总金额</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16.78</w:t>
      </w:r>
      <w:r>
        <w:rPr>
          <w:rFonts w:hint="default" w:ascii="Times New Roman" w:hAnsi="Times New Roman" w:eastAsia="方正仿宋_GBK" w:cs="Times New Roman"/>
          <w:color w:val="000000"/>
          <w:kern w:val="0"/>
          <w:sz w:val="32"/>
          <w:szCs w:val="32"/>
          <w:highlight w:val="none"/>
          <w:shd w:val="clear" w:color="auto" w:fill="auto"/>
          <w:lang w:val="zh-CN" w:eastAsia="zh-CN" w:bidi="ar-SA"/>
        </w:rPr>
        <w:t>万元，1</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w:t>
      </w:r>
      <w:r>
        <w:rPr>
          <w:rFonts w:hint="default" w:ascii="Times New Roman" w:hAnsi="Times New Roman" w:eastAsia="方正仿宋_GBK" w:cs="Times New Roman"/>
          <w:color w:val="000000"/>
          <w:kern w:val="0"/>
          <w:sz w:val="32"/>
          <w:szCs w:val="32"/>
          <w:highlight w:val="none"/>
          <w:shd w:val="clear" w:color="auto" w:fill="auto"/>
          <w:lang w:val="zh-CN" w:eastAsia="zh-CN" w:bidi="ar-SA"/>
        </w:rPr>
        <w:t>1</w:t>
      </w:r>
      <w:r>
        <w:rPr>
          <w:rFonts w:hint="default" w:ascii="Times New Roman" w:hAnsi="Times New Roman" w:eastAsia="方正仿宋_GBK" w:cs="Times New Roman"/>
          <w:color w:val="000000"/>
          <w:kern w:val="0"/>
          <w:sz w:val="32"/>
          <w:szCs w:val="32"/>
          <w:highlight w:val="none"/>
          <w:shd w:val="clear" w:color="auto" w:fill="auto"/>
          <w:lang w:val="en-US" w:eastAsia="zh-CN" w:bidi="ar-SA"/>
        </w:rPr>
        <w:t>2</w:t>
      </w:r>
      <w:r>
        <w:rPr>
          <w:rFonts w:hint="default" w:ascii="Times New Roman" w:hAnsi="Times New Roman" w:eastAsia="方正仿宋_GBK" w:cs="Times New Roman"/>
          <w:color w:val="000000"/>
          <w:kern w:val="0"/>
          <w:sz w:val="32"/>
          <w:szCs w:val="32"/>
          <w:highlight w:val="none"/>
          <w:shd w:val="clear" w:color="auto" w:fill="auto"/>
          <w:lang w:val="zh-CN" w:eastAsia="zh-CN" w:bidi="ar-SA"/>
        </w:rPr>
        <w:t>月预算执行总体进度为</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100</w:t>
      </w:r>
      <w:r>
        <w:rPr>
          <w:rFonts w:hint="default" w:ascii="Times New Roman" w:hAnsi="Times New Roman" w:eastAsia="方正仿宋_GBK" w:cs="Times New Roman"/>
          <w:color w:val="000000"/>
          <w:kern w:val="0"/>
          <w:sz w:val="32"/>
          <w:szCs w:val="32"/>
          <w:highlight w:val="none"/>
          <w:shd w:val="clear" w:color="auto" w:fill="auto"/>
          <w:lang w:val="en-US" w:eastAsia="zh-CN" w:bidi="ar-SA"/>
        </w:rPr>
        <w:t xml:space="preserve"> </w:t>
      </w:r>
      <w:r>
        <w:rPr>
          <w:rFonts w:hint="default" w:ascii="Times New Roman" w:hAnsi="Times New Roman" w:eastAsia="方正仿宋_GBK" w:cs="Times New Roman"/>
          <w:color w:val="000000"/>
          <w:kern w:val="0"/>
          <w:sz w:val="32"/>
          <w:szCs w:val="32"/>
          <w:highlight w:val="none"/>
          <w:shd w:val="clear" w:color="auto" w:fill="auto"/>
          <w:lang w:val="zh-CN" w:eastAsia="zh-CN" w:bidi="ar-SA"/>
        </w:rPr>
        <w:t>%，其中：预算结余率大于</w:t>
      </w:r>
      <w:r>
        <w:rPr>
          <w:rFonts w:hint="default" w:ascii="Times New Roman" w:hAnsi="Times New Roman" w:eastAsia="方正仿宋_GBK" w:cs="Times New Roman"/>
          <w:color w:val="000000"/>
          <w:kern w:val="0"/>
          <w:sz w:val="32"/>
          <w:szCs w:val="32"/>
          <w:highlight w:val="none"/>
          <w:shd w:val="clear" w:color="auto" w:fill="auto"/>
          <w:lang w:val="en-US" w:eastAsia="zh-CN" w:bidi="ar-SA"/>
        </w:rPr>
        <w:t>10%</w:t>
      </w:r>
      <w:r>
        <w:rPr>
          <w:rFonts w:hint="default" w:ascii="Times New Roman" w:hAnsi="Times New Roman" w:eastAsia="方正仿宋_GBK" w:cs="Times New Roman"/>
          <w:color w:val="000000"/>
          <w:kern w:val="0"/>
          <w:sz w:val="32"/>
          <w:szCs w:val="32"/>
          <w:highlight w:val="none"/>
          <w:shd w:val="clear" w:color="auto" w:fill="auto"/>
          <w:lang w:val="zh-CN" w:eastAsia="zh-CN" w:bidi="ar-SA"/>
        </w:rPr>
        <w:t>的项目共计</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0</w:t>
      </w:r>
      <w:r>
        <w:rPr>
          <w:rFonts w:hint="default" w:ascii="Times New Roman" w:hAnsi="Times New Roman" w:eastAsia="方正仿宋_GBK" w:cs="Times New Roman"/>
          <w:color w:val="000000"/>
          <w:kern w:val="0"/>
          <w:sz w:val="32"/>
          <w:szCs w:val="32"/>
          <w:highlight w:val="none"/>
          <w:shd w:val="clear" w:color="auto" w:fill="auto"/>
          <w:lang w:val="zh-CN" w:eastAsia="zh-CN" w:bidi="ar-SA"/>
        </w:rPr>
        <w:t>个。</w:t>
      </w:r>
    </w:p>
    <w:p w14:paraId="580D667C">
      <w:pPr>
        <w:keepNext w:val="0"/>
        <w:keepLines w:val="0"/>
        <w:pageBreakBefore w:val="0"/>
        <w:widowControl w:val="0"/>
        <w:kinsoku w:val="0"/>
        <w:wordWrap/>
        <w:overflowPunct w:val="0"/>
        <w:topLinePunct w:val="0"/>
        <w:autoSpaceDE w:val="0"/>
        <w:autoSpaceDN w:val="0"/>
        <w:bidi w:val="0"/>
        <w:adjustRightInd/>
        <w:snapToGrid/>
        <w:spacing w:line="576" w:lineRule="exact"/>
        <w:ind w:firstLine="640" w:firstLineChars="200"/>
        <w:contextualSpacing/>
        <w:textAlignment w:val="center"/>
        <w:outlineLvl w:val="9"/>
        <w:rPr>
          <w:rFonts w:hint="default" w:ascii="Times New Roman" w:hAnsi="Times New Roman" w:eastAsia="方正仿宋_GBK" w:cs="Times New Roman"/>
          <w:color w:val="000000"/>
          <w:kern w:val="0"/>
          <w:sz w:val="32"/>
          <w:szCs w:val="32"/>
          <w:highlight w:val="none"/>
          <w:shd w:val="clear" w:color="auto" w:fill="auto"/>
          <w:lang w:val="zh-CN" w:eastAsia="zh-CN" w:bidi="ar-SA"/>
        </w:rPr>
      </w:pPr>
      <w:r>
        <w:rPr>
          <w:rFonts w:hint="default" w:ascii="Times New Roman" w:hAnsi="Times New Roman" w:eastAsia="方正仿宋_GBK" w:cs="Times New Roman"/>
          <w:color w:val="000000"/>
          <w:kern w:val="0"/>
          <w:sz w:val="32"/>
          <w:szCs w:val="32"/>
          <w:highlight w:val="none"/>
          <w:shd w:val="clear" w:color="auto" w:fill="auto"/>
          <w:lang w:val="en-US" w:eastAsia="zh-CN" w:bidi="ar-SA"/>
        </w:rPr>
        <w:t>阶段（</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含</w:t>
      </w:r>
      <w:r>
        <w:rPr>
          <w:rFonts w:hint="default" w:ascii="Times New Roman" w:hAnsi="Times New Roman" w:eastAsia="方正仿宋_GBK" w:cs="Times New Roman"/>
          <w:color w:val="000000"/>
          <w:kern w:val="0"/>
          <w:sz w:val="32"/>
          <w:szCs w:val="32"/>
          <w:highlight w:val="none"/>
          <w:shd w:val="clear" w:color="auto" w:fill="auto"/>
          <w:lang w:val="en-US" w:eastAsia="zh-CN" w:bidi="ar-SA"/>
        </w:rPr>
        <w:t>一次性）项目绩效分析。</w:t>
      </w:r>
      <w:r>
        <w:rPr>
          <w:rFonts w:hint="default" w:ascii="Times New Roman" w:hAnsi="Times New Roman" w:eastAsia="方正仿宋_GBK" w:cs="Times New Roman"/>
          <w:color w:val="000000"/>
          <w:kern w:val="0"/>
          <w:sz w:val="32"/>
          <w:szCs w:val="32"/>
          <w:highlight w:val="none"/>
          <w:shd w:val="clear" w:color="auto" w:fill="auto"/>
          <w:lang w:val="zh-CN" w:eastAsia="zh-CN" w:bidi="ar-SA"/>
        </w:rPr>
        <w:t>该类项目总数</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2</w:t>
      </w:r>
      <w:r>
        <w:rPr>
          <w:rFonts w:hint="default" w:ascii="Times New Roman" w:hAnsi="Times New Roman" w:eastAsia="方正仿宋_GBK" w:cs="Times New Roman"/>
          <w:color w:val="000000"/>
          <w:kern w:val="0"/>
          <w:sz w:val="32"/>
          <w:szCs w:val="32"/>
          <w:highlight w:val="none"/>
          <w:shd w:val="clear" w:color="auto" w:fill="auto"/>
          <w:lang w:val="zh-CN" w:eastAsia="zh-CN" w:bidi="ar-SA"/>
        </w:rPr>
        <w:t>个，涉及预算总金额</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9.81</w:t>
      </w:r>
      <w:r>
        <w:rPr>
          <w:rFonts w:hint="default" w:ascii="Times New Roman" w:hAnsi="Times New Roman" w:eastAsia="方正仿宋_GBK" w:cs="Times New Roman"/>
          <w:color w:val="000000"/>
          <w:kern w:val="0"/>
          <w:sz w:val="32"/>
          <w:szCs w:val="32"/>
          <w:highlight w:val="none"/>
          <w:shd w:val="clear" w:color="auto" w:fill="auto"/>
          <w:lang w:val="zh-CN" w:eastAsia="zh-CN" w:bidi="ar-SA"/>
        </w:rPr>
        <w:t>万元，1</w:t>
      </w:r>
      <w:r>
        <w:rPr>
          <w:rFonts w:hint="eastAsia" w:ascii="Times New Roman" w:hAnsi="Times New Roman" w:eastAsia="方正仿宋_GBK" w:cs="Times New Roman"/>
          <w:color w:val="000000"/>
          <w:kern w:val="0"/>
          <w:sz w:val="32"/>
          <w:szCs w:val="32"/>
          <w:highlight w:val="none"/>
          <w:shd w:val="clear" w:color="auto" w:fill="auto"/>
          <w:lang w:val="zh-CN" w:eastAsia="zh-CN" w:bidi="ar-SA"/>
        </w:rPr>
        <w:t>—</w:t>
      </w:r>
      <w:r>
        <w:rPr>
          <w:rFonts w:hint="default" w:ascii="Times New Roman" w:hAnsi="Times New Roman" w:eastAsia="方正仿宋_GBK" w:cs="Times New Roman"/>
          <w:color w:val="000000"/>
          <w:kern w:val="0"/>
          <w:sz w:val="32"/>
          <w:szCs w:val="32"/>
          <w:highlight w:val="none"/>
          <w:shd w:val="clear" w:color="auto" w:fill="auto"/>
          <w:lang w:val="zh-CN" w:eastAsia="zh-CN" w:bidi="ar-SA"/>
        </w:rPr>
        <w:t>1</w:t>
      </w:r>
      <w:r>
        <w:rPr>
          <w:rFonts w:hint="default" w:ascii="Times New Roman" w:hAnsi="Times New Roman" w:eastAsia="方正仿宋_GBK" w:cs="Times New Roman"/>
          <w:color w:val="000000"/>
          <w:kern w:val="0"/>
          <w:sz w:val="32"/>
          <w:szCs w:val="32"/>
          <w:highlight w:val="none"/>
          <w:shd w:val="clear" w:color="auto" w:fill="auto"/>
          <w:lang w:val="en-US" w:eastAsia="zh-CN" w:bidi="ar-SA"/>
        </w:rPr>
        <w:t>2</w:t>
      </w:r>
      <w:r>
        <w:rPr>
          <w:rFonts w:hint="default" w:ascii="Times New Roman" w:hAnsi="Times New Roman" w:eastAsia="方正仿宋_GBK" w:cs="Times New Roman"/>
          <w:color w:val="000000"/>
          <w:kern w:val="0"/>
          <w:sz w:val="32"/>
          <w:szCs w:val="32"/>
          <w:highlight w:val="none"/>
          <w:shd w:val="clear" w:color="auto" w:fill="auto"/>
          <w:lang w:val="zh-CN" w:eastAsia="zh-CN" w:bidi="ar-SA"/>
        </w:rPr>
        <w:t>月预算执行总体进度为</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100</w:t>
      </w:r>
      <w:r>
        <w:rPr>
          <w:rFonts w:hint="default" w:ascii="Times New Roman" w:hAnsi="Times New Roman" w:eastAsia="方正仿宋_GBK" w:cs="Times New Roman"/>
          <w:color w:val="000000"/>
          <w:kern w:val="0"/>
          <w:sz w:val="32"/>
          <w:szCs w:val="32"/>
          <w:highlight w:val="none"/>
          <w:shd w:val="clear" w:color="auto" w:fill="auto"/>
          <w:lang w:val="zh-CN" w:eastAsia="zh-CN" w:bidi="ar-SA"/>
        </w:rPr>
        <w:t>%，其中：预算结余率大于</w:t>
      </w:r>
      <w:r>
        <w:rPr>
          <w:rFonts w:hint="default" w:ascii="Times New Roman" w:hAnsi="Times New Roman" w:eastAsia="方正仿宋_GBK" w:cs="Times New Roman"/>
          <w:color w:val="000000"/>
          <w:kern w:val="0"/>
          <w:sz w:val="32"/>
          <w:szCs w:val="32"/>
          <w:highlight w:val="none"/>
          <w:shd w:val="clear" w:color="auto" w:fill="auto"/>
          <w:lang w:val="en-US" w:eastAsia="zh-CN" w:bidi="ar-SA"/>
        </w:rPr>
        <w:t>10%</w:t>
      </w:r>
      <w:r>
        <w:rPr>
          <w:rFonts w:hint="default" w:ascii="Times New Roman" w:hAnsi="Times New Roman" w:eastAsia="方正仿宋_GBK" w:cs="Times New Roman"/>
          <w:color w:val="000000"/>
          <w:kern w:val="0"/>
          <w:sz w:val="32"/>
          <w:szCs w:val="32"/>
          <w:highlight w:val="none"/>
          <w:shd w:val="clear" w:color="auto" w:fill="auto"/>
          <w:lang w:val="zh-CN" w:eastAsia="zh-CN" w:bidi="ar-SA"/>
        </w:rPr>
        <w:t>的项目共计</w:t>
      </w:r>
      <w:r>
        <w:rPr>
          <w:rFonts w:hint="eastAsia" w:ascii="Times New Roman" w:hAnsi="Times New Roman" w:eastAsia="方正仿宋_GBK" w:cs="Times New Roman"/>
          <w:color w:val="000000"/>
          <w:kern w:val="0"/>
          <w:sz w:val="32"/>
          <w:szCs w:val="32"/>
          <w:highlight w:val="none"/>
          <w:shd w:val="clear" w:color="auto" w:fill="auto"/>
          <w:lang w:val="en-US" w:eastAsia="zh-CN" w:bidi="ar-SA"/>
        </w:rPr>
        <w:t>0</w:t>
      </w:r>
      <w:r>
        <w:rPr>
          <w:rFonts w:hint="default" w:ascii="Times New Roman" w:hAnsi="Times New Roman" w:eastAsia="方正仿宋_GBK" w:cs="Times New Roman"/>
          <w:color w:val="000000"/>
          <w:kern w:val="0"/>
          <w:sz w:val="32"/>
          <w:szCs w:val="32"/>
          <w:highlight w:val="none"/>
          <w:shd w:val="clear" w:color="auto" w:fill="auto"/>
          <w:lang w:val="zh-CN" w:eastAsia="zh-CN" w:bidi="ar-SA"/>
        </w:rPr>
        <w:t>个。</w:t>
      </w:r>
    </w:p>
    <w:p w14:paraId="3760FF57">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left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eastAsia" w:ascii="Times New Roman" w:hAnsi="Times New Roman" w:eastAsia="楷体_GB2312" w:cs="Times New Roman"/>
          <w:b/>
          <w:bCs/>
          <w:color w:val="000000"/>
          <w:kern w:val="0"/>
          <w:sz w:val="32"/>
          <w:szCs w:val="32"/>
          <w:highlight w:val="none"/>
          <w:shd w:val="clear" w:color="auto" w:fill="FFFFFF"/>
          <w:lang w:val="en-US" w:eastAsia="zh-CN"/>
        </w:rPr>
        <w:t>1.</w:t>
      </w:r>
      <w:r>
        <w:rPr>
          <w:rFonts w:hint="default" w:ascii="Times New Roman" w:hAnsi="Times New Roman" w:eastAsia="楷体_GB2312" w:cs="Times New Roman"/>
          <w:b/>
          <w:bCs/>
          <w:color w:val="000000"/>
          <w:kern w:val="0"/>
          <w:sz w:val="32"/>
          <w:szCs w:val="32"/>
          <w:highlight w:val="none"/>
          <w:shd w:val="clear" w:color="auto" w:fill="FFFFFF"/>
          <w:lang w:val="zh-CN" w:eastAsia="zh-CN"/>
        </w:rPr>
        <w:t>项目决策。</w:t>
      </w:r>
    </w:p>
    <w:p w14:paraId="15679366">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eastAsia" w:eastAsia="方正仿宋_GBK" w:cs="楷体_GB2312"/>
          <w:bCs/>
          <w:color w:val="000000"/>
          <w:kern w:val="0"/>
          <w:sz w:val="32"/>
          <w:szCs w:val="32"/>
          <w:shd w:val="clear" w:color="auto" w:fill="auto"/>
          <w:lang w:val="zh-CN"/>
        </w:rPr>
      </w:pPr>
      <w:r>
        <w:rPr>
          <w:rFonts w:hint="eastAsia" w:eastAsia="方正仿宋_GBK" w:cs="楷体_GB2312"/>
          <w:bCs/>
          <w:color w:val="000000"/>
          <w:kern w:val="0"/>
          <w:sz w:val="32"/>
          <w:szCs w:val="32"/>
          <w:shd w:val="clear" w:color="auto" w:fill="auto"/>
          <w:lang w:val="zh-CN"/>
        </w:rPr>
        <w:t>（</w:t>
      </w:r>
      <w:r>
        <w:rPr>
          <w:rFonts w:hint="eastAsia" w:eastAsia="方正仿宋_GBK" w:cs="楷体_GB2312"/>
          <w:bCs/>
          <w:color w:val="000000"/>
          <w:kern w:val="0"/>
          <w:sz w:val="32"/>
          <w:szCs w:val="32"/>
          <w:shd w:val="clear" w:color="auto" w:fill="auto"/>
          <w:lang w:val="en-US" w:eastAsia="zh-CN"/>
        </w:rPr>
        <w:t>1</w:t>
      </w:r>
      <w:r>
        <w:rPr>
          <w:rFonts w:hint="eastAsia" w:eastAsia="方正仿宋_GBK" w:cs="楷体_GB2312"/>
          <w:bCs/>
          <w:color w:val="000000"/>
          <w:kern w:val="0"/>
          <w:sz w:val="32"/>
          <w:szCs w:val="32"/>
          <w:shd w:val="clear" w:color="auto" w:fill="auto"/>
          <w:lang w:val="zh-CN"/>
        </w:rPr>
        <w:t>）决策程序4分，我单位所有项目均履行事前评估程序，不扣分。</w:t>
      </w:r>
    </w:p>
    <w:p w14:paraId="250BE59A">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eastAsia" w:eastAsia="方正仿宋_GBK" w:cs="楷体_GB2312"/>
          <w:bCs/>
          <w:color w:val="000000"/>
          <w:kern w:val="0"/>
          <w:sz w:val="32"/>
          <w:szCs w:val="32"/>
          <w:shd w:val="clear" w:color="auto" w:fill="auto"/>
          <w:lang w:val="en-US" w:eastAsia="zh-CN"/>
        </w:rPr>
      </w:pPr>
      <w:r>
        <w:rPr>
          <w:rFonts w:hint="eastAsia" w:eastAsia="方正仿宋_GBK" w:cs="楷体_GB2312"/>
          <w:bCs/>
          <w:color w:val="000000"/>
          <w:kern w:val="0"/>
          <w:sz w:val="32"/>
          <w:szCs w:val="32"/>
          <w:shd w:val="clear" w:color="auto" w:fill="auto"/>
          <w:lang w:val="zh-CN"/>
        </w:rPr>
        <w:t>（</w:t>
      </w:r>
      <w:r>
        <w:rPr>
          <w:rFonts w:hint="eastAsia" w:eastAsia="方正仿宋_GBK" w:cs="楷体_GB2312"/>
          <w:bCs/>
          <w:color w:val="000000"/>
          <w:kern w:val="0"/>
          <w:sz w:val="32"/>
          <w:szCs w:val="32"/>
          <w:shd w:val="clear" w:color="auto" w:fill="auto"/>
          <w:lang w:val="en-US" w:eastAsia="zh-CN"/>
        </w:rPr>
        <w:t>2</w:t>
      </w:r>
      <w:r>
        <w:rPr>
          <w:rFonts w:hint="eastAsia" w:eastAsia="方正仿宋_GBK" w:cs="楷体_GB2312"/>
          <w:bCs/>
          <w:color w:val="000000"/>
          <w:kern w:val="0"/>
          <w:sz w:val="32"/>
          <w:szCs w:val="32"/>
          <w:shd w:val="clear" w:color="auto" w:fill="auto"/>
          <w:lang w:val="zh-CN"/>
        </w:rPr>
        <w:t>）目标设置4分，我单位绩效目标与计划期内的任务量、预算安排匹配，不扣分</w:t>
      </w:r>
      <w:r>
        <w:rPr>
          <w:rFonts w:hint="eastAsia" w:eastAsia="方正仿宋_GBK" w:cs="楷体_GB2312"/>
          <w:bCs/>
          <w:color w:val="000000"/>
          <w:kern w:val="0"/>
          <w:sz w:val="32"/>
          <w:szCs w:val="32"/>
          <w:shd w:val="clear" w:color="auto" w:fill="auto"/>
          <w:lang w:val="en-US" w:eastAsia="zh-CN"/>
        </w:rPr>
        <w:t>。</w:t>
      </w:r>
    </w:p>
    <w:p w14:paraId="5A39F9ED">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eastAsia" w:eastAsia="方正仿宋_GBK" w:cs="楷体_GB2312"/>
          <w:bCs/>
          <w:color w:val="000000"/>
          <w:kern w:val="0"/>
          <w:sz w:val="32"/>
          <w:szCs w:val="32"/>
          <w:shd w:val="clear" w:color="auto" w:fill="auto"/>
          <w:lang w:val="zh-CN"/>
        </w:rPr>
      </w:pPr>
      <w:r>
        <w:rPr>
          <w:rFonts w:hint="eastAsia" w:eastAsia="方正仿宋_GBK" w:cs="楷体_GB2312"/>
          <w:bCs/>
          <w:color w:val="000000"/>
          <w:kern w:val="0"/>
          <w:sz w:val="32"/>
          <w:szCs w:val="32"/>
          <w:shd w:val="clear" w:color="auto" w:fill="auto"/>
          <w:lang w:val="en-US" w:eastAsia="zh-CN"/>
        </w:rPr>
        <w:t>（3）</w:t>
      </w:r>
      <w:r>
        <w:rPr>
          <w:rFonts w:hint="eastAsia" w:eastAsia="方正仿宋_GBK" w:cs="楷体_GB2312"/>
          <w:bCs/>
          <w:color w:val="000000"/>
          <w:kern w:val="0"/>
          <w:sz w:val="32"/>
          <w:szCs w:val="32"/>
          <w:shd w:val="clear" w:color="auto" w:fill="auto"/>
          <w:lang w:val="zh-CN"/>
        </w:rPr>
        <w:t>项目入库</w:t>
      </w:r>
      <w:r>
        <w:rPr>
          <w:rFonts w:hint="eastAsia" w:eastAsia="方正仿宋_GBK" w:cs="楷体_GB2312"/>
          <w:bCs/>
          <w:color w:val="000000"/>
          <w:kern w:val="0"/>
          <w:sz w:val="32"/>
          <w:szCs w:val="32"/>
          <w:shd w:val="clear" w:color="auto" w:fill="auto"/>
          <w:lang w:val="en-US" w:eastAsia="zh-CN"/>
        </w:rPr>
        <w:t>4</w:t>
      </w:r>
      <w:r>
        <w:rPr>
          <w:rFonts w:hint="eastAsia" w:eastAsia="方正仿宋_GBK" w:cs="楷体_GB2312"/>
          <w:bCs/>
          <w:color w:val="000000"/>
          <w:kern w:val="0"/>
          <w:sz w:val="32"/>
          <w:szCs w:val="32"/>
          <w:shd w:val="clear" w:color="auto" w:fill="auto"/>
          <w:lang w:val="zh-CN"/>
        </w:rPr>
        <w:t>分，我单位所有项目均在财政局要求时间内完成项目入库，不扣分。</w:t>
      </w:r>
    </w:p>
    <w:p w14:paraId="19955006">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left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en-US" w:eastAsia="zh-CN"/>
        </w:rPr>
        <w:t>2.项目执行</w:t>
      </w: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p>
    <w:p w14:paraId="0F41DAAF">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eastAsia" w:eastAsia="方正仿宋_GBK" w:cs="楷体_GB2312"/>
          <w:bCs/>
          <w:color w:val="000000"/>
          <w:kern w:val="0"/>
          <w:sz w:val="32"/>
          <w:szCs w:val="32"/>
          <w:shd w:val="clear" w:color="auto" w:fill="auto"/>
          <w:lang w:val="zh-CN"/>
        </w:rPr>
      </w:pPr>
      <w:r>
        <w:rPr>
          <w:rFonts w:hint="eastAsia" w:eastAsia="方正仿宋_GBK" w:cs="楷体_GB2312"/>
          <w:bCs/>
          <w:color w:val="000000"/>
          <w:kern w:val="0"/>
          <w:sz w:val="32"/>
          <w:szCs w:val="32"/>
          <w:shd w:val="clear" w:color="auto" w:fill="auto"/>
          <w:lang w:val="zh-CN"/>
        </w:rPr>
        <w:t>（</w:t>
      </w:r>
      <w:r>
        <w:rPr>
          <w:rFonts w:hint="eastAsia" w:eastAsia="方正仿宋_GBK" w:cs="楷体_GB2312"/>
          <w:bCs/>
          <w:color w:val="000000"/>
          <w:kern w:val="0"/>
          <w:sz w:val="32"/>
          <w:szCs w:val="32"/>
          <w:shd w:val="clear" w:color="auto" w:fill="auto"/>
          <w:lang w:val="en-US" w:eastAsia="zh-CN"/>
        </w:rPr>
        <w:t>1</w:t>
      </w:r>
      <w:r>
        <w:rPr>
          <w:rFonts w:hint="eastAsia" w:eastAsia="方正仿宋_GBK" w:cs="楷体_GB2312"/>
          <w:bCs/>
          <w:color w:val="000000"/>
          <w:kern w:val="0"/>
          <w:sz w:val="32"/>
          <w:szCs w:val="32"/>
          <w:shd w:val="clear" w:color="auto" w:fill="auto"/>
          <w:lang w:val="zh-CN"/>
        </w:rPr>
        <w:t>）资金执行同向4分，我单位项目实际列支内容与绩效目标设置方向相符，不扣分。</w:t>
      </w:r>
    </w:p>
    <w:p w14:paraId="0DF4FFF0">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eastAsia" w:eastAsia="方正仿宋_GBK" w:cs="楷体_GB2312"/>
          <w:bCs/>
          <w:color w:val="000000"/>
          <w:kern w:val="0"/>
          <w:sz w:val="32"/>
          <w:szCs w:val="32"/>
          <w:shd w:val="clear" w:color="auto" w:fill="auto"/>
          <w:lang w:val="en-US" w:eastAsia="zh-CN"/>
        </w:rPr>
      </w:pPr>
      <w:r>
        <w:rPr>
          <w:rFonts w:hint="eastAsia" w:eastAsia="方正仿宋_GBK" w:cs="楷体_GB2312"/>
          <w:bCs/>
          <w:color w:val="000000"/>
          <w:kern w:val="0"/>
          <w:sz w:val="32"/>
          <w:szCs w:val="32"/>
          <w:shd w:val="clear" w:color="auto" w:fill="auto"/>
          <w:lang w:val="zh-CN"/>
        </w:rPr>
        <w:t>（</w:t>
      </w:r>
      <w:r>
        <w:rPr>
          <w:rFonts w:hint="eastAsia" w:eastAsia="方正仿宋_GBK" w:cs="楷体_GB2312"/>
          <w:bCs/>
          <w:color w:val="000000"/>
          <w:kern w:val="0"/>
          <w:sz w:val="32"/>
          <w:szCs w:val="32"/>
          <w:shd w:val="clear" w:color="auto" w:fill="auto"/>
          <w:lang w:val="en-US" w:eastAsia="zh-CN"/>
        </w:rPr>
        <w:t>2</w:t>
      </w:r>
      <w:r>
        <w:rPr>
          <w:rFonts w:hint="eastAsia" w:eastAsia="方正仿宋_GBK" w:cs="楷体_GB2312"/>
          <w:bCs/>
          <w:color w:val="000000"/>
          <w:kern w:val="0"/>
          <w:sz w:val="32"/>
          <w:szCs w:val="32"/>
          <w:shd w:val="clear" w:color="auto" w:fill="auto"/>
          <w:lang w:val="zh-CN"/>
        </w:rPr>
        <w:t>）项目调整</w:t>
      </w:r>
      <w:r>
        <w:rPr>
          <w:rFonts w:hint="eastAsia" w:eastAsia="方正仿宋_GBK" w:cs="楷体_GB2312"/>
          <w:bCs/>
          <w:color w:val="000000"/>
          <w:kern w:val="0"/>
          <w:sz w:val="32"/>
          <w:szCs w:val="32"/>
          <w:shd w:val="clear" w:color="auto" w:fill="auto"/>
          <w:lang w:val="en-US" w:eastAsia="zh-CN"/>
        </w:rPr>
        <w:t>4</w:t>
      </w:r>
      <w:r>
        <w:rPr>
          <w:rFonts w:hint="eastAsia" w:eastAsia="方正仿宋_GBK" w:cs="楷体_GB2312"/>
          <w:bCs/>
          <w:color w:val="000000"/>
          <w:kern w:val="0"/>
          <w:sz w:val="32"/>
          <w:szCs w:val="32"/>
          <w:shd w:val="clear" w:color="auto" w:fill="auto"/>
          <w:lang w:val="zh-CN"/>
        </w:rPr>
        <w:t>分，该项指标得分=4-应采取未采取收回预算、调整目标等处置措施的部门预算阶段项目（含一次性项目）数量÷应采取收回预算、调整目标等处置措施的部门预算阶段项目（含一次性项目）总数×100%×4=4-</w:t>
      </w:r>
      <w:r>
        <w:rPr>
          <w:rFonts w:hint="eastAsia" w:eastAsia="方正仿宋_GBK" w:cs="楷体_GB2312"/>
          <w:bCs/>
          <w:color w:val="000000"/>
          <w:kern w:val="0"/>
          <w:sz w:val="32"/>
          <w:szCs w:val="32"/>
          <w:shd w:val="clear" w:color="auto" w:fill="auto"/>
          <w:lang w:val="en-US" w:eastAsia="zh-CN"/>
        </w:rPr>
        <w:t>1</w:t>
      </w:r>
      <w:r>
        <w:rPr>
          <w:rFonts w:hint="eastAsia" w:eastAsia="方正仿宋_GBK" w:cs="楷体_GB2312"/>
          <w:bCs/>
          <w:color w:val="000000"/>
          <w:kern w:val="0"/>
          <w:sz w:val="32"/>
          <w:szCs w:val="32"/>
          <w:shd w:val="clear" w:color="auto" w:fill="auto"/>
          <w:lang w:val="zh-CN"/>
        </w:rPr>
        <w:t>÷</w:t>
      </w:r>
      <w:r>
        <w:rPr>
          <w:rFonts w:hint="eastAsia" w:eastAsia="方正仿宋_GBK" w:cs="楷体_GB2312"/>
          <w:bCs/>
          <w:color w:val="000000"/>
          <w:kern w:val="0"/>
          <w:sz w:val="32"/>
          <w:szCs w:val="32"/>
          <w:shd w:val="clear" w:color="auto" w:fill="auto"/>
          <w:lang w:val="en-US" w:eastAsia="zh-CN"/>
        </w:rPr>
        <w:t>7</w:t>
      </w:r>
      <w:r>
        <w:rPr>
          <w:rFonts w:hint="eastAsia" w:eastAsia="方正仿宋_GBK" w:cs="楷体_GB2312"/>
          <w:bCs/>
          <w:color w:val="000000"/>
          <w:kern w:val="0"/>
          <w:sz w:val="32"/>
          <w:szCs w:val="32"/>
          <w:shd w:val="clear" w:color="auto" w:fill="auto"/>
          <w:lang w:val="zh-CN"/>
        </w:rPr>
        <w:t>×100%×4=</w:t>
      </w:r>
      <w:r>
        <w:rPr>
          <w:rFonts w:hint="eastAsia" w:eastAsia="方正仿宋_GBK" w:cs="楷体_GB2312"/>
          <w:bCs/>
          <w:color w:val="000000"/>
          <w:kern w:val="0"/>
          <w:sz w:val="32"/>
          <w:szCs w:val="32"/>
          <w:shd w:val="clear" w:color="auto" w:fill="auto"/>
          <w:lang w:val="en-US" w:eastAsia="zh-CN"/>
        </w:rPr>
        <w:t>3.42</w:t>
      </w:r>
      <w:r>
        <w:rPr>
          <w:rFonts w:hint="eastAsia" w:eastAsia="方正仿宋_GBK" w:cs="楷体_GB2312"/>
          <w:bCs/>
          <w:color w:val="000000"/>
          <w:kern w:val="0"/>
          <w:sz w:val="32"/>
          <w:szCs w:val="32"/>
          <w:shd w:val="clear" w:color="auto" w:fill="auto"/>
          <w:lang w:val="zh-CN"/>
        </w:rPr>
        <w:t>分</w:t>
      </w:r>
      <w:r>
        <w:rPr>
          <w:rFonts w:hint="eastAsia" w:eastAsia="方正仿宋_GBK" w:cs="楷体_GB2312"/>
          <w:bCs/>
          <w:color w:val="000000"/>
          <w:kern w:val="0"/>
          <w:sz w:val="32"/>
          <w:szCs w:val="32"/>
          <w:shd w:val="clear" w:color="auto" w:fill="auto"/>
          <w:lang w:val="en-US" w:eastAsia="zh-CN"/>
        </w:rPr>
        <w:t>。</w:t>
      </w:r>
    </w:p>
    <w:p w14:paraId="400DA244">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eastAsia" w:eastAsia="方正仿宋_GBK" w:cs="楷体_GB2312"/>
          <w:bCs/>
          <w:color w:val="000000"/>
          <w:kern w:val="0"/>
          <w:sz w:val="32"/>
          <w:szCs w:val="32"/>
          <w:shd w:val="clear" w:color="auto" w:fill="auto"/>
          <w:lang w:val="zh-CN"/>
        </w:rPr>
      </w:pPr>
      <w:r>
        <w:rPr>
          <w:rFonts w:hint="eastAsia" w:eastAsia="方正仿宋_GBK" w:cs="楷体_GB2312"/>
          <w:bCs/>
          <w:color w:val="000000"/>
          <w:kern w:val="0"/>
          <w:sz w:val="32"/>
          <w:szCs w:val="32"/>
          <w:shd w:val="clear" w:color="auto" w:fill="auto"/>
          <w:lang w:val="zh-CN"/>
        </w:rPr>
        <w:t>（</w:t>
      </w:r>
      <w:r>
        <w:rPr>
          <w:rFonts w:hint="eastAsia" w:eastAsia="方正仿宋_GBK" w:cs="楷体_GB2312"/>
          <w:bCs/>
          <w:color w:val="000000"/>
          <w:kern w:val="0"/>
          <w:sz w:val="32"/>
          <w:szCs w:val="32"/>
          <w:shd w:val="clear" w:color="auto" w:fill="auto"/>
          <w:lang w:val="en-US" w:eastAsia="zh-CN"/>
        </w:rPr>
        <w:t>3</w:t>
      </w:r>
      <w:r>
        <w:rPr>
          <w:rFonts w:hint="eastAsia" w:eastAsia="方正仿宋_GBK" w:cs="楷体_GB2312"/>
          <w:bCs/>
          <w:color w:val="000000"/>
          <w:kern w:val="0"/>
          <w:sz w:val="32"/>
          <w:szCs w:val="32"/>
          <w:shd w:val="clear" w:color="auto" w:fill="auto"/>
          <w:lang w:val="zh-CN"/>
        </w:rPr>
        <w:t>）执行结果</w:t>
      </w:r>
      <w:r>
        <w:rPr>
          <w:rFonts w:hint="eastAsia" w:eastAsia="方正仿宋_GBK" w:cs="楷体_GB2312"/>
          <w:bCs/>
          <w:color w:val="000000"/>
          <w:kern w:val="0"/>
          <w:sz w:val="32"/>
          <w:szCs w:val="32"/>
          <w:shd w:val="clear" w:color="auto" w:fill="auto"/>
          <w:lang w:val="en-US" w:eastAsia="zh-CN"/>
        </w:rPr>
        <w:t>4</w:t>
      </w:r>
      <w:r>
        <w:rPr>
          <w:rFonts w:hint="eastAsia" w:eastAsia="方正仿宋_GBK" w:cs="楷体_GB2312"/>
          <w:bCs/>
          <w:color w:val="000000"/>
          <w:kern w:val="0"/>
          <w:sz w:val="32"/>
          <w:szCs w:val="32"/>
          <w:shd w:val="clear" w:color="auto" w:fill="auto"/>
          <w:lang w:val="zh-CN"/>
        </w:rPr>
        <w:t>分，该项指标得分=预算结余率小于10%的常年项目数量÷部门预算常年项目总数×100%×2+预算结余率小于10%的一次性项目和阶段项目数量÷部门预算一次性项目和阶段项目总数×100%×2=</w:t>
      </w:r>
      <w:r>
        <w:rPr>
          <w:rFonts w:hint="eastAsia" w:eastAsia="方正仿宋_GBK" w:cs="楷体_GB2312"/>
          <w:bCs/>
          <w:color w:val="000000"/>
          <w:kern w:val="0"/>
          <w:sz w:val="32"/>
          <w:szCs w:val="32"/>
          <w:shd w:val="clear" w:color="auto" w:fill="auto"/>
          <w:lang w:val="en-US" w:eastAsia="zh-CN"/>
        </w:rPr>
        <w:t>5</w:t>
      </w:r>
      <w:r>
        <w:rPr>
          <w:rFonts w:hint="eastAsia" w:eastAsia="方正仿宋_GBK" w:cs="楷体_GB2312"/>
          <w:bCs/>
          <w:color w:val="000000"/>
          <w:kern w:val="0"/>
          <w:sz w:val="32"/>
          <w:szCs w:val="32"/>
          <w:shd w:val="clear" w:color="auto" w:fill="auto"/>
          <w:lang w:val="zh-CN"/>
        </w:rPr>
        <w:t>÷5×100%×2+</w:t>
      </w:r>
      <w:r>
        <w:rPr>
          <w:rFonts w:hint="eastAsia" w:eastAsia="方正仿宋_GBK" w:cs="楷体_GB2312"/>
          <w:bCs/>
          <w:color w:val="000000"/>
          <w:kern w:val="0"/>
          <w:sz w:val="32"/>
          <w:szCs w:val="32"/>
          <w:shd w:val="clear" w:color="auto" w:fill="auto"/>
          <w:lang w:val="en-US" w:eastAsia="zh-CN"/>
        </w:rPr>
        <w:t>2</w:t>
      </w:r>
      <w:r>
        <w:rPr>
          <w:rFonts w:hint="eastAsia" w:eastAsia="方正仿宋_GBK" w:cs="楷体_GB2312"/>
          <w:bCs/>
          <w:color w:val="000000"/>
          <w:kern w:val="0"/>
          <w:sz w:val="32"/>
          <w:szCs w:val="32"/>
          <w:shd w:val="clear" w:color="auto" w:fill="auto"/>
          <w:lang w:val="zh-CN"/>
        </w:rPr>
        <w:t>÷</w:t>
      </w:r>
      <w:r>
        <w:rPr>
          <w:rFonts w:hint="eastAsia" w:eastAsia="方正仿宋_GBK" w:cs="楷体_GB2312"/>
          <w:bCs/>
          <w:color w:val="000000"/>
          <w:kern w:val="0"/>
          <w:sz w:val="32"/>
          <w:szCs w:val="32"/>
          <w:shd w:val="clear" w:color="auto" w:fill="auto"/>
          <w:lang w:val="en-US" w:eastAsia="zh-CN"/>
        </w:rPr>
        <w:t>2</w:t>
      </w:r>
      <w:r>
        <w:rPr>
          <w:rFonts w:hint="eastAsia" w:eastAsia="方正仿宋_GBK" w:cs="楷体_GB2312"/>
          <w:bCs/>
          <w:color w:val="000000"/>
          <w:kern w:val="0"/>
          <w:sz w:val="32"/>
          <w:szCs w:val="32"/>
          <w:shd w:val="clear" w:color="auto" w:fill="auto"/>
          <w:lang w:val="zh-CN"/>
        </w:rPr>
        <w:t>×100%×2=</w:t>
      </w:r>
      <w:r>
        <w:rPr>
          <w:rFonts w:hint="eastAsia" w:eastAsia="方正仿宋_GBK" w:cs="楷体_GB2312"/>
          <w:bCs/>
          <w:color w:val="000000"/>
          <w:kern w:val="0"/>
          <w:sz w:val="32"/>
          <w:szCs w:val="32"/>
          <w:shd w:val="clear" w:color="auto" w:fill="auto"/>
          <w:lang w:val="en-US" w:eastAsia="zh-CN"/>
        </w:rPr>
        <w:t>4</w:t>
      </w:r>
      <w:r>
        <w:rPr>
          <w:rFonts w:hint="eastAsia" w:eastAsia="方正仿宋_GBK" w:cs="楷体_GB2312"/>
          <w:bCs/>
          <w:color w:val="000000"/>
          <w:kern w:val="0"/>
          <w:sz w:val="32"/>
          <w:szCs w:val="32"/>
          <w:shd w:val="clear" w:color="auto" w:fill="auto"/>
          <w:lang w:val="zh-CN"/>
        </w:rPr>
        <w:t>分。</w:t>
      </w:r>
    </w:p>
    <w:p w14:paraId="18FF800A">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left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en-US" w:eastAsia="zh-CN"/>
        </w:rPr>
        <w:t>3.</w:t>
      </w:r>
      <w:r>
        <w:rPr>
          <w:rFonts w:hint="default" w:ascii="Times New Roman" w:hAnsi="Times New Roman" w:eastAsia="楷体_GB2312" w:cs="Times New Roman"/>
          <w:b/>
          <w:bCs/>
          <w:color w:val="000000"/>
          <w:kern w:val="0"/>
          <w:sz w:val="32"/>
          <w:szCs w:val="32"/>
          <w:highlight w:val="none"/>
          <w:shd w:val="clear" w:color="auto" w:fill="FFFFFF"/>
          <w:lang w:val="zh-CN" w:eastAsia="zh-CN"/>
        </w:rPr>
        <w:t>目标实现。</w:t>
      </w:r>
    </w:p>
    <w:p w14:paraId="4039F17D">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eastAsia" w:eastAsia="方正仿宋_GBK" w:cs="楷体_GB2312"/>
          <w:bCs/>
          <w:color w:val="000000"/>
          <w:kern w:val="0"/>
          <w:sz w:val="32"/>
          <w:szCs w:val="32"/>
          <w:shd w:val="clear" w:color="auto" w:fill="auto"/>
          <w:lang w:val="zh-CN"/>
        </w:rPr>
      </w:pPr>
      <w:r>
        <w:rPr>
          <w:rFonts w:hint="eastAsia" w:eastAsia="方正仿宋_GBK" w:cs="楷体_GB2312"/>
          <w:bCs/>
          <w:color w:val="000000"/>
          <w:kern w:val="0"/>
          <w:sz w:val="32"/>
          <w:szCs w:val="32"/>
          <w:shd w:val="clear" w:color="auto" w:fill="auto"/>
          <w:lang w:val="zh-CN"/>
        </w:rPr>
        <w:t>（</w:t>
      </w:r>
      <w:r>
        <w:rPr>
          <w:rFonts w:hint="eastAsia" w:eastAsia="方正仿宋_GBK" w:cs="楷体_GB2312"/>
          <w:bCs/>
          <w:color w:val="000000"/>
          <w:kern w:val="0"/>
          <w:sz w:val="32"/>
          <w:szCs w:val="32"/>
          <w:shd w:val="clear" w:color="auto" w:fill="auto"/>
          <w:lang w:val="en-US" w:eastAsia="zh-CN"/>
        </w:rPr>
        <w:t>1</w:t>
      </w:r>
      <w:r>
        <w:rPr>
          <w:rFonts w:hint="eastAsia" w:eastAsia="方正仿宋_GBK" w:cs="楷体_GB2312"/>
          <w:bCs/>
          <w:color w:val="000000"/>
          <w:kern w:val="0"/>
          <w:sz w:val="32"/>
          <w:szCs w:val="32"/>
          <w:shd w:val="clear" w:color="auto" w:fill="auto"/>
          <w:lang w:val="zh-CN"/>
        </w:rPr>
        <w:t>）目标完成4分，部门预算项目绩效目标数量指标均已完成，不扣分、</w:t>
      </w:r>
    </w:p>
    <w:p w14:paraId="00C72C7C">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eastAsia" w:eastAsia="方正仿宋_GBK" w:cs="楷体_GB2312"/>
          <w:bCs/>
          <w:color w:val="000000"/>
          <w:kern w:val="0"/>
          <w:sz w:val="32"/>
          <w:szCs w:val="32"/>
          <w:shd w:val="clear" w:color="auto" w:fill="auto"/>
          <w:lang w:val="en-US" w:eastAsia="zh-CN"/>
        </w:rPr>
      </w:pPr>
      <w:r>
        <w:rPr>
          <w:rFonts w:hint="eastAsia" w:eastAsia="方正仿宋_GBK" w:cs="楷体_GB2312"/>
          <w:bCs/>
          <w:color w:val="000000"/>
          <w:kern w:val="0"/>
          <w:sz w:val="32"/>
          <w:szCs w:val="32"/>
          <w:shd w:val="clear" w:color="auto" w:fill="auto"/>
          <w:lang w:val="zh-CN"/>
        </w:rPr>
        <w:t>（</w:t>
      </w:r>
      <w:r>
        <w:rPr>
          <w:rFonts w:hint="eastAsia" w:eastAsia="方正仿宋_GBK" w:cs="楷体_GB2312"/>
          <w:bCs/>
          <w:color w:val="000000"/>
          <w:kern w:val="0"/>
          <w:sz w:val="32"/>
          <w:szCs w:val="32"/>
          <w:shd w:val="clear" w:color="auto" w:fill="auto"/>
          <w:lang w:val="en-US" w:eastAsia="zh-CN"/>
        </w:rPr>
        <w:t>2</w:t>
      </w:r>
      <w:r>
        <w:rPr>
          <w:rFonts w:hint="eastAsia" w:eastAsia="方正仿宋_GBK" w:cs="楷体_GB2312"/>
          <w:bCs/>
          <w:color w:val="000000"/>
          <w:kern w:val="0"/>
          <w:sz w:val="32"/>
          <w:szCs w:val="32"/>
          <w:shd w:val="clear" w:color="auto" w:fill="auto"/>
          <w:lang w:val="zh-CN"/>
        </w:rPr>
        <w:t>）目标偏离4分，我单位已完成预期指标值的数量指标中偏离度在30%内的指标个数=已完成预期指标值的数量指标个数，不扣分</w:t>
      </w:r>
      <w:r>
        <w:rPr>
          <w:rFonts w:hint="eastAsia" w:eastAsia="方正仿宋_GBK" w:cs="楷体_GB2312"/>
          <w:bCs/>
          <w:color w:val="000000"/>
          <w:kern w:val="0"/>
          <w:sz w:val="32"/>
          <w:szCs w:val="32"/>
          <w:shd w:val="clear" w:color="auto" w:fill="auto"/>
          <w:lang w:val="en-US" w:eastAsia="zh-CN"/>
        </w:rPr>
        <w:t>。</w:t>
      </w:r>
    </w:p>
    <w:p w14:paraId="3A4E58F2">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eastAsia" w:eastAsia="方正仿宋_GBK" w:cs="楷体_GB2312"/>
          <w:bCs/>
          <w:color w:val="000000"/>
          <w:kern w:val="0"/>
          <w:sz w:val="32"/>
          <w:szCs w:val="32"/>
          <w:shd w:val="clear" w:color="auto" w:fill="auto"/>
          <w:lang w:val="zh-CN"/>
        </w:rPr>
      </w:pPr>
      <w:r>
        <w:rPr>
          <w:rFonts w:hint="eastAsia" w:eastAsia="方正仿宋_GBK" w:cs="楷体_GB2312"/>
          <w:bCs/>
          <w:color w:val="000000"/>
          <w:kern w:val="0"/>
          <w:sz w:val="32"/>
          <w:szCs w:val="32"/>
          <w:shd w:val="clear" w:color="auto" w:fill="auto"/>
          <w:lang w:val="en-US" w:eastAsia="zh-CN"/>
        </w:rPr>
        <w:t>（3）</w:t>
      </w:r>
      <w:r>
        <w:rPr>
          <w:rFonts w:hint="eastAsia" w:eastAsia="方正仿宋_GBK" w:cs="楷体_GB2312"/>
          <w:bCs/>
          <w:color w:val="000000"/>
          <w:kern w:val="0"/>
          <w:sz w:val="32"/>
          <w:szCs w:val="32"/>
          <w:shd w:val="clear" w:color="auto" w:fill="auto"/>
          <w:lang w:val="zh-CN"/>
        </w:rPr>
        <w:t>实现效果3分，我单位完成绩效目标效益指标的部门预算项目等于部门预算项目总数，不扣分。</w:t>
      </w:r>
    </w:p>
    <w:p w14:paraId="4FA69BDF">
      <w:pPr>
        <w:keepNext w:val="0"/>
        <w:keepLines w:val="0"/>
        <w:pageBreakBefore w:val="0"/>
        <w:widowControl w:val="0"/>
        <w:kinsoku w:val="0"/>
        <w:wordWrap/>
        <w:overflowPunct w:val="0"/>
        <w:topLinePunct w:val="0"/>
        <w:autoSpaceDE w:val="0"/>
        <w:autoSpaceDN w:val="0"/>
        <w:bidi w:val="0"/>
        <w:snapToGrid w:val="0"/>
        <w:spacing w:line="576" w:lineRule="exact"/>
        <w:ind w:firstLine="643" w:firstLineChars="200"/>
        <w:textAlignment w:val="auto"/>
        <w:rPr>
          <w:rFonts w:hint="default" w:ascii="Times New Roman" w:hAnsi="Times New Roman" w:eastAsia="楷体_GB2312" w:cs="Times New Roman"/>
          <w:b/>
          <w:bCs/>
          <w:sz w:val="32"/>
          <w:szCs w:val="32"/>
          <w:lang w:val="zh-CN"/>
        </w:rPr>
      </w:pPr>
      <w:r>
        <w:rPr>
          <w:rFonts w:hint="default" w:ascii="Times New Roman" w:hAnsi="Times New Roman" w:eastAsia="楷体_GB2312" w:cs="Times New Roman"/>
          <w:b/>
          <w:bCs/>
          <w:sz w:val="32"/>
          <w:szCs w:val="32"/>
          <w:lang w:val="zh-CN"/>
        </w:rPr>
        <w:t>（三）绩效结果应用情况。</w:t>
      </w:r>
    </w:p>
    <w:p w14:paraId="2ADF558E">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left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eastAsia" w:ascii="Times New Roman" w:hAnsi="Times New Roman" w:eastAsia="楷体_GB2312" w:cs="Times New Roman"/>
          <w:b/>
          <w:bCs/>
          <w:color w:val="000000"/>
          <w:kern w:val="0"/>
          <w:sz w:val="32"/>
          <w:szCs w:val="32"/>
          <w:highlight w:val="none"/>
          <w:shd w:val="clear" w:color="auto" w:fill="FFFFFF"/>
          <w:lang w:val="zh-CN" w:eastAsia="zh-CN"/>
        </w:rPr>
        <w:t>1.内部应用。</w:t>
      </w:r>
    </w:p>
    <w:p w14:paraId="4E8CA906">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default" w:eastAsia="方正仿宋_GBK" w:cs="楷体_GB2312"/>
          <w:bCs/>
          <w:color w:val="000000"/>
          <w:kern w:val="0"/>
          <w:sz w:val="32"/>
          <w:szCs w:val="32"/>
          <w:shd w:val="clear" w:color="auto" w:fill="auto"/>
          <w:lang w:val="en-US" w:eastAsia="zh-CN"/>
        </w:rPr>
      </w:pPr>
      <w:r>
        <w:rPr>
          <w:rFonts w:hint="eastAsia" w:eastAsia="方正仿宋_GBK" w:cs="楷体_GB2312"/>
          <w:bCs/>
          <w:color w:val="000000"/>
          <w:kern w:val="0"/>
          <w:sz w:val="32"/>
          <w:szCs w:val="32"/>
          <w:shd w:val="clear" w:color="auto" w:fill="auto"/>
          <w:lang w:val="zh-CN"/>
        </w:rPr>
        <w:t>我单位无下属单位，各内设科室积极沟通，不断</w:t>
      </w:r>
      <w:r>
        <w:rPr>
          <w:rFonts w:hint="eastAsia" w:eastAsia="方正仿宋_GBK" w:cs="楷体_GB2312"/>
          <w:bCs/>
          <w:color w:val="000000"/>
          <w:kern w:val="0"/>
          <w:sz w:val="32"/>
          <w:szCs w:val="32"/>
          <w:shd w:val="clear" w:color="auto" w:fill="auto"/>
          <w:lang w:val="zh-CN" w:eastAsia="zh-CN"/>
        </w:rPr>
        <w:t>提高预算事前绩效评估、绩效监控和绩效自评能力。针对</w:t>
      </w:r>
      <w:r>
        <w:rPr>
          <w:rFonts w:hint="eastAsia" w:eastAsia="方正仿宋_GBK" w:cs="楷体_GB2312"/>
          <w:bCs/>
          <w:color w:val="000000"/>
          <w:kern w:val="0"/>
          <w:sz w:val="32"/>
          <w:szCs w:val="32"/>
          <w:shd w:val="clear" w:color="auto" w:fill="auto"/>
          <w:lang w:val="en-US" w:eastAsia="zh-CN"/>
        </w:rPr>
        <w:t>2024年部门预算绩效自评发现的问题</w:t>
      </w:r>
      <w:r>
        <w:rPr>
          <w:rFonts w:hint="eastAsia" w:eastAsia="方正仿宋_GBK" w:cs="楷体_GB2312"/>
          <w:bCs/>
          <w:color w:val="000000"/>
          <w:kern w:val="0"/>
          <w:sz w:val="32"/>
          <w:szCs w:val="32"/>
          <w:shd w:val="clear" w:color="auto" w:fill="auto"/>
          <w:lang w:val="zh-CN" w:eastAsia="zh-CN"/>
        </w:rPr>
        <w:t>，</w:t>
      </w:r>
      <w:r>
        <w:rPr>
          <w:rFonts w:hint="eastAsia" w:eastAsia="方正仿宋_GBK" w:cs="楷体_GB2312"/>
          <w:bCs/>
          <w:color w:val="000000"/>
          <w:kern w:val="0"/>
          <w:sz w:val="32"/>
          <w:szCs w:val="32"/>
          <w:shd w:val="clear" w:color="auto" w:fill="auto"/>
          <w:lang w:val="en-US" w:eastAsia="zh-CN"/>
        </w:rPr>
        <w:t>2024年及时对项目资金进行调减，避免再次出现支出进度较低的问题。</w:t>
      </w:r>
    </w:p>
    <w:p w14:paraId="48390A0E">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left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eastAsia" w:ascii="Times New Roman" w:hAnsi="Times New Roman" w:eastAsia="楷体_GB2312" w:cs="Times New Roman"/>
          <w:b/>
          <w:bCs/>
          <w:color w:val="000000"/>
          <w:kern w:val="0"/>
          <w:sz w:val="32"/>
          <w:szCs w:val="32"/>
          <w:highlight w:val="none"/>
          <w:shd w:val="clear" w:color="auto" w:fill="FFFFFF"/>
          <w:lang w:val="zh-CN" w:eastAsia="zh-CN"/>
        </w:rPr>
        <w:t>2.信息公开。</w:t>
      </w:r>
    </w:p>
    <w:p w14:paraId="07F61C6A">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eastAsia" w:eastAsia="方正仿宋_GBK" w:cs="楷体_GB2312"/>
          <w:bCs/>
          <w:color w:val="000000"/>
          <w:kern w:val="0"/>
          <w:sz w:val="32"/>
          <w:szCs w:val="32"/>
          <w:shd w:val="clear" w:color="auto" w:fill="auto"/>
          <w:lang w:val="zh-CN" w:eastAsia="zh-CN"/>
        </w:rPr>
      </w:pPr>
      <w:r>
        <w:rPr>
          <w:rFonts w:hint="eastAsia" w:eastAsia="方正仿宋_GBK" w:cs="楷体_GB2312"/>
          <w:bCs/>
          <w:color w:val="000000"/>
          <w:kern w:val="0"/>
          <w:sz w:val="32"/>
          <w:szCs w:val="32"/>
          <w:shd w:val="clear" w:color="auto" w:fill="auto"/>
          <w:lang w:val="zh-CN" w:eastAsia="zh-CN"/>
        </w:rPr>
        <w:t>我单位严格按照州财政局要求，按绩效自评公开要求将相关绩效信息随同决算公开。</w:t>
      </w:r>
    </w:p>
    <w:p w14:paraId="0A829DA9">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left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eastAsia" w:ascii="Times New Roman" w:hAnsi="Times New Roman" w:eastAsia="楷体_GB2312" w:cs="Times New Roman"/>
          <w:b/>
          <w:bCs/>
          <w:color w:val="000000"/>
          <w:kern w:val="0"/>
          <w:sz w:val="32"/>
          <w:szCs w:val="32"/>
          <w:highlight w:val="none"/>
          <w:shd w:val="clear" w:color="auto" w:fill="FFFFFF"/>
          <w:lang w:val="zh-CN" w:eastAsia="zh-CN"/>
        </w:rPr>
        <w:t>3.整改反馈。</w:t>
      </w:r>
    </w:p>
    <w:p w14:paraId="7C9558F9">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eastAsia" w:eastAsia="方正仿宋_GBK" w:cs="楷体_GB2312"/>
          <w:bCs/>
          <w:color w:val="000000"/>
          <w:kern w:val="0"/>
          <w:sz w:val="32"/>
          <w:szCs w:val="32"/>
          <w:shd w:val="clear" w:color="auto" w:fill="auto"/>
          <w:lang w:val="zh-CN" w:eastAsia="zh-CN"/>
        </w:rPr>
      </w:pPr>
      <w:r>
        <w:rPr>
          <w:rFonts w:hint="eastAsia" w:eastAsia="方正仿宋_GBK" w:cs="楷体_GB2312"/>
          <w:bCs/>
          <w:color w:val="000000"/>
          <w:kern w:val="0"/>
          <w:sz w:val="32"/>
          <w:szCs w:val="32"/>
          <w:shd w:val="clear" w:color="auto" w:fill="auto"/>
          <w:lang w:val="zh-CN" w:eastAsia="zh-CN"/>
        </w:rPr>
        <w:t>（</w:t>
      </w:r>
      <w:r>
        <w:rPr>
          <w:rFonts w:hint="eastAsia" w:eastAsia="方正仿宋_GBK" w:cs="楷体_GB2312"/>
          <w:bCs/>
          <w:color w:val="000000"/>
          <w:kern w:val="0"/>
          <w:sz w:val="32"/>
          <w:szCs w:val="32"/>
          <w:shd w:val="clear" w:color="auto" w:fill="auto"/>
          <w:lang w:val="en-US" w:eastAsia="zh-CN"/>
        </w:rPr>
        <w:t>1</w:t>
      </w:r>
      <w:r>
        <w:rPr>
          <w:rFonts w:hint="eastAsia" w:eastAsia="方正仿宋_GBK" w:cs="楷体_GB2312"/>
          <w:bCs/>
          <w:color w:val="000000"/>
          <w:kern w:val="0"/>
          <w:sz w:val="32"/>
          <w:szCs w:val="32"/>
          <w:shd w:val="clear" w:color="auto" w:fill="auto"/>
          <w:lang w:val="zh-CN" w:eastAsia="zh-CN"/>
        </w:rPr>
        <w:t>）202</w:t>
      </w:r>
      <w:r>
        <w:rPr>
          <w:rFonts w:hint="eastAsia" w:eastAsia="方正仿宋_GBK" w:cs="楷体_GB2312"/>
          <w:bCs/>
          <w:color w:val="000000"/>
          <w:kern w:val="0"/>
          <w:sz w:val="32"/>
          <w:szCs w:val="32"/>
          <w:shd w:val="clear" w:color="auto" w:fill="auto"/>
          <w:lang w:val="en-US" w:eastAsia="zh-CN"/>
        </w:rPr>
        <w:t>4</w:t>
      </w:r>
      <w:r>
        <w:rPr>
          <w:rFonts w:hint="eastAsia" w:eastAsia="方正仿宋_GBK" w:cs="楷体_GB2312"/>
          <w:bCs/>
          <w:color w:val="000000"/>
          <w:kern w:val="0"/>
          <w:sz w:val="32"/>
          <w:szCs w:val="32"/>
          <w:shd w:val="clear" w:color="auto" w:fill="auto"/>
          <w:lang w:val="zh-CN" w:eastAsia="zh-CN"/>
        </w:rPr>
        <w:t>年度州财政未对我单位开展重点绩效评价，针对绩效目标监控提出的问题，已按要求进行了整改，并及时向财政反馈了整改结果。</w:t>
      </w:r>
    </w:p>
    <w:p w14:paraId="69543072">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eastAsia" w:eastAsia="方正仿宋_GBK" w:cs="楷体_GB2312"/>
          <w:bCs/>
          <w:color w:val="000000"/>
          <w:kern w:val="0"/>
          <w:sz w:val="32"/>
          <w:szCs w:val="32"/>
          <w:shd w:val="clear" w:color="auto" w:fill="auto"/>
          <w:lang w:val="zh-CN" w:eastAsia="zh-CN"/>
        </w:rPr>
      </w:pPr>
      <w:r>
        <w:rPr>
          <w:rFonts w:hint="eastAsia" w:eastAsia="方正仿宋_GBK" w:cs="楷体_GB2312"/>
          <w:bCs/>
          <w:color w:val="000000"/>
          <w:kern w:val="0"/>
          <w:sz w:val="32"/>
          <w:szCs w:val="32"/>
          <w:shd w:val="clear" w:color="auto" w:fill="auto"/>
          <w:lang w:val="en-US" w:eastAsia="zh-CN"/>
        </w:rPr>
        <w:t>（2）2024年我单位接受了巡察，巡察反馈州供销社机关存在预算管理、财务管理、资产管理、采购管理、项目绩效等方面的问题4个，均已</w:t>
      </w:r>
      <w:r>
        <w:rPr>
          <w:rFonts w:hint="eastAsia" w:eastAsia="方正仿宋_GBK" w:cs="楷体_GB2312"/>
          <w:bCs/>
          <w:color w:val="000000"/>
          <w:kern w:val="0"/>
          <w:sz w:val="32"/>
          <w:szCs w:val="32"/>
          <w:shd w:val="clear" w:color="auto" w:fill="auto"/>
          <w:lang w:val="zh-CN" w:eastAsia="zh-CN"/>
        </w:rPr>
        <w:t>立行立改，并将长期坚持。</w:t>
      </w:r>
    </w:p>
    <w:p w14:paraId="41994CEA">
      <w:pPr>
        <w:keepNext w:val="0"/>
        <w:keepLines w:val="0"/>
        <w:pageBreakBefore w:val="0"/>
        <w:widowControl w:val="0"/>
        <w:kinsoku w:val="0"/>
        <w:wordWrap/>
        <w:overflowPunct w:val="0"/>
        <w:topLinePunct w:val="0"/>
        <w:autoSpaceDE w:val="0"/>
        <w:autoSpaceDN w:val="0"/>
        <w:bidi w:val="0"/>
        <w:spacing w:line="576" w:lineRule="exact"/>
        <w:rPr>
          <w:rFonts w:hint="default" w:ascii="Times New Roman" w:hAnsi="Times New Roman" w:eastAsia="黑体" w:cs="Times New Roman"/>
          <w:color w:val="000000"/>
          <w:kern w:val="0"/>
          <w:sz w:val="32"/>
          <w:szCs w:val="32"/>
          <w:highlight w:val="none"/>
          <w:shd w:val="clear" w:color="auto" w:fill="FFFFFF"/>
        </w:rPr>
      </w:pPr>
      <w:r>
        <w:rPr>
          <w:rFonts w:hint="eastAsia" w:ascii="Times New Roman" w:hAnsi="Times New Roman" w:eastAsia="方正仿宋_GBK" w:cs="Times New Roman"/>
          <w:sz w:val="32"/>
          <w:szCs w:val="32"/>
          <w:lang w:val="en-US" w:eastAsia="zh-CN" w:bidi="ar-SA"/>
        </w:rPr>
        <w:t xml:space="preserve">    </w:t>
      </w:r>
      <w:r>
        <w:rPr>
          <w:rFonts w:hint="default" w:ascii="Times New Roman" w:hAnsi="Times New Roman" w:eastAsia="黑体" w:cs="Times New Roman"/>
          <w:color w:val="000000"/>
          <w:kern w:val="0"/>
          <w:sz w:val="32"/>
          <w:szCs w:val="32"/>
          <w:highlight w:val="none"/>
          <w:shd w:val="clear" w:color="auto" w:fill="FFFFFF"/>
          <w:lang w:eastAsia="zh-CN"/>
        </w:rPr>
        <w:t>四、</w:t>
      </w:r>
      <w:r>
        <w:rPr>
          <w:rFonts w:hint="default" w:ascii="Times New Roman" w:hAnsi="Times New Roman" w:eastAsia="黑体" w:cs="Times New Roman"/>
          <w:color w:val="000000"/>
          <w:kern w:val="0"/>
          <w:sz w:val="32"/>
          <w:szCs w:val="32"/>
          <w:highlight w:val="none"/>
          <w:shd w:val="clear" w:color="auto" w:fill="FFFFFF"/>
        </w:rPr>
        <w:t>评价结论及建议</w:t>
      </w:r>
    </w:p>
    <w:p w14:paraId="5C49726D">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p>
    <w:p w14:paraId="030B5359">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eastAsia" w:eastAsia="方正仿宋_GBK" w:cs="楷体_GB2312"/>
          <w:bCs/>
          <w:color w:val="000000"/>
          <w:kern w:val="0"/>
          <w:sz w:val="32"/>
          <w:szCs w:val="32"/>
          <w:shd w:val="clear" w:color="auto" w:fill="auto"/>
          <w:lang w:val="zh-CN" w:eastAsia="zh-CN"/>
        </w:rPr>
      </w:pPr>
      <w:r>
        <w:rPr>
          <w:rFonts w:hint="eastAsia" w:eastAsia="方正仿宋_GBK" w:cs="楷体_GB2312"/>
          <w:bCs/>
          <w:color w:val="000000"/>
          <w:kern w:val="0"/>
          <w:sz w:val="32"/>
          <w:szCs w:val="32"/>
          <w:shd w:val="clear" w:color="auto" w:fill="auto"/>
          <w:lang w:val="zh-CN" w:eastAsia="zh-CN"/>
        </w:rPr>
        <w:t>我单位部门整体和特定目标类项目均如期完成各项绩效指标，按照绩效评价相关文件规定和指标体系，根据部门整体及特定目标类项目绩效目标任务完成情况，如实开展自评打分，自评分数</w:t>
      </w:r>
      <w:r>
        <w:rPr>
          <w:rFonts w:hint="eastAsia" w:eastAsia="方正仿宋_GBK" w:cs="楷体_GB2312"/>
          <w:bCs/>
          <w:color w:val="000000"/>
          <w:kern w:val="0"/>
          <w:sz w:val="32"/>
          <w:szCs w:val="32"/>
          <w:shd w:val="clear" w:color="auto" w:fill="auto"/>
          <w:lang w:val="en-US" w:eastAsia="zh-CN"/>
        </w:rPr>
        <w:t>87.82</w:t>
      </w:r>
      <w:r>
        <w:rPr>
          <w:rFonts w:hint="eastAsia" w:eastAsia="方正仿宋_GBK" w:cs="楷体_GB2312"/>
          <w:bCs/>
          <w:color w:val="000000"/>
          <w:kern w:val="0"/>
          <w:sz w:val="32"/>
          <w:szCs w:val="32"/>
          <w:shd w:val="clear" w:color="auto" w:fill="auto"/>
          <w:lang w:val="zh-CN" w:eastAsia="zh-CN"/>
        </w:rPr>
        <w:t>分。</w:t>
      </w:r>
    </w:p>
    <w:p w14:paraId="21BDB675">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p>
    <w:p w14:paraId="3C57A359">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76" w:lineRule="exact"/>
        <w:ind w:firstLine="640" w:firstLineChars="200"/>
        <w:contextualSpacing/>
        <w:jc w:val="left"/>
        <w:textAlignment w:val="auto"/>
        <w:outlineLvl w:val="9"/>
        <w:rPr>
          <w:rFonts w:hint="eastAsia" w:eastAsia="方正仿宋_GBK" w:cs="楷体_GB2312"/>
          <w:bCs/>
          <w:color w:val="000000"/>
          <w:kern w:val="0"/>
          <w:sz w:val="32"/>
          <w:szCs w:val="32"/>
          <w:shd w:val="clear" w:color="auto" w:fill="auto"/>
          <w:lang w:val="zh-CN" w:eastAsia="zh-CN"/>
        </w:rPr>
      </w:pPr>
      <w:r>
        <w:rPr>
          <w:rFonts w:hint="eastAsia" w:eastAsia="方正仿宋_GBK" w:cs="楷体_GB2312"/>
          <w:bCs/>
          <w:color w:val="000000"/>
          <w:kern w:val="0"/>
          <w:sz w:val="32"/>
          <w:szCs w:val="32"/>
          <w:shd w:val="clear" w:color="auto" w:fill="auto"/>
          <w:lang w:val="zh-CN" w:eastAsia="zh-CN"/>
        </w:rPr>
        <w:t>一是预算编制准确度有待提高，存在中期追加、期末追减情况；二是对一般性支出的压减还不够，因公车大修的原因导致一般性支出较上年增加；三是人均资产利用率较低。</w:t>
      </w:r>
    </w:p>
    <w:p w14:paraId="74673543">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p>
    <w:p w14:paraId="4674A4C3">
      <w:pPr>
        <w:pStyle w:val="17"/>
        <w:keepNext w:val="0"/>
        <w:keepLines w:val="0"/>
        <w:pageBreakBefore w:val="0"/>
        <w:widowControl w:val="0"/>
        <w:suppressLineNumbers w:val="0"/>
        <w:kinsoku w:val="0"/>
        <w:wordWrap/>
        <w:overflowPunct w:val="0"/>
        <w:topLinePunct w:val="0"/>
        <w:autoSpaceDE w:val="0"/>
        <w:autoSpaceDN w:val="0"/>
        <w:bidi w:val="0"/>
        <w:adjustRightInd/>
        <w:snapToGrid w:val="0"/>
        <w:spacing w:before="0" w:beforeAutospacing="0" w:after="0" w:afterAutospacing="0" w:line="576" w:lineRule="exact"/>
        <w:ind w:left="0" w:right="0" w:firstLine="640"/>
        <w:jc w:val="both"/>
        <w:textAlignment w:val="auto"/>
        <w:rPr>
          <w:rFonts w:hint="eastAsia" w:ascii="Times New Roman" w:hAnsi="Times New Roman" w:eastAsia="方正仿宋_GBK" w:cs="楷体_GB2312"/>
          <w:bCs/>
          <w:color w:val="000000"/>
          <w:kern w:val="0"/>
          <w:sz w:val="32"/>
          <w:szCs w:val="32"/>
          <w:shd w:val="clear" w:color="auto" w:fill="auto"/>
          <w:lang w:val="zh-CN" w:eastAsia="zh-CN" w:bidi="ar-SA"/>
        </w:rPr>
      </w:pPr>
      <w:r>
        <w:rPr>
          <w:rFonts w:hint="eastAsia" w:ascii="Times New Roman" w:hAnsi="Times New Roman" w:eastAsia="方正仿宋_GBK" w:cs="楷体_GB2312"/>
          <w:bCs/>
          <w:color w:val="000000"/>
          <w:kern w:val="0"/>
          <w:sz w:val="32"/>
          <w:szCs w:val="32"/>
          <w:shd w:val="clear" w:color="auto" w:fill="auto"/>
          <w:lang w:val="zh-CN" w:eastAsia="zh-CN" w:bidi="ar-SA"/>
        </w:rPr>
        <w:t>一是进一步细化预算编制工作，认真做好预算编制，不断提高预算编制的科学性、严谨性；二是进一步压实预算绩效管理责任，强化预算绩效监督，及时对绩效指标值进行修正；三是提高预算执行进度，确保资金使用规范。</w:t>
      </w:r>
    </w:p>
    <w:p w14:paraId="7C47D2F8">
      <w:pPr>
        <w:keepNext w:val="0"/>
        <w:keepLines w:val="0"/>
        <w:pageBreakBefore w:val="0"/>
        <w:widowControl w:val="0"/>
        <w:kinsoku w:val="0"/>
        <w:wordWrap/>
        <w:overflowPunct w:val="0"/>
        <w:topLinePunct w:val="0"/>
        <w:autoSpaceDE w:val="0"/>
        <w:autoSpaceDN w:val="0"/>
        <w:bidi w:val="0"/>
        <w:spacing w:line="576" w:lineRule="exact"/>
        <w:contextualSpacing/>
        <w:textAlignment w:val="auto"/>
        <w:outlineLvl w:val="9"/>
        <w:rPr>
          <w:rFonts w:hint="default" w:ascii="Times New Roman" w:hAnsi="Times New Roman" w:eastAsia="黑体" w:cs="Times New Roman"/>
          <w:szCs w:val="32"/>
          <w:highlight w:val="none"/>
          <w:lang w:val="en-US" w:eastAsia="zh-CN"/>
        </w:rPr>
      </w:pPr>
    </w:p>
    <w:p w14:paraId="47AFCF39">
      <w:pPr>
        <w:keepNext w:val="0"/>
        <w:keepLines w:val="0"/>
        <w:pageBreakBefore w:val="0"/>
        <w:widowControl w:val="0"/>
        <w:kinsoku w:val="0"/>
        <w:wordWrap/>
        <w:overflowPunct w:val="0"/>
        <w:topLinePunct w:val="0"/>
        <w:autoSpaceDE w:val="0"/>
        <w:autoSpaceDN w:val="0"/>
        <w:bidi w:val="0"/>
        <w:spacing w:line="576" w:lineRule="exact"/>
        <w:ind w:firstLine="640" w:firstLineChars="200"/>
        <w:textAlignment w:val="auto"/>
        <w:rPr>
          <w:rFonts w:hint="eastAsia" w:ascii="Times New Roman" w:hAnsi="Times New Roman" w:eastAsia="仿宋_GB2312" w:cs="Times New Roman"/>
          <w:strike w:val="0"/>
          <w:sz w:val="32"/>
          <w:szCs w:val="32"/>
          <w:u w:val="none"/>
          <w:lang w:val="en-US" w:eastAsia="zh-CN" w:bidi="ar"/>
        </w:rPr>
      </w:pPr>
      <w:r>
        <w:rPr>
          <w:rFonts w:hint="default" w:ascii="Times New Roman" w:hAnsi="Times New Roman" w:eastAsia="仿宋_GB2312" w:cs="Times New Roman"/>
          <w:strike w:val="0"/>
          <w:sz w:val="32"/>
          <w:szCs w:val="32"/>
          <w:u w:val="none"/>
          <w:lang w:val="en-US" w:eastAsia="zh-CN" w:bidi="ar"/>
        </w:rPr>
        <w:t>附表：</w:t>
      </w:r>
      <w:r>
        <w:rPr>
          <w:rFonts w:hint="eastAsia" w:ascii="Times New Roman" w:hAnsi="Times New Roman" w:eastAsia="仿宋_GB2312" w:cs="Times New Roman"/>
          <w:strike w:val="0"/>
          <w:sz w:val="32"/>
          <w:szCs w:val="32"/>
          <w:u w:val="none"/>
          <w:lang w:val="en-US" w:eastAsia="zh-CN" w:bidi="ar"/>
        </w:rPr>
        <w:t>1.部门预算绩效自评打分表</w:t>
      </w:r>
    </w:p>
    <w:p w14:paraId="2A73E5FB">
      <w:pPr>
        <w:keepNext w:val="0"/>
        <w:keepLines w:val="0"/>
        <w:pageBreakBefore w:val="0"/>
        <w:widowControl w:val="0"/>
        <w:kinsoku w:val="0"/>
        <w:wordWrap/>
        <w:overflowPunct w:val="0"/>
        <w:topLinePunct w:val="0"/>
        <w:autoSpaceDE w:val="0"/>
        <w:autoSpaceDN w:val="0"/>
        <w:bidi w:val="0"/>
        <w:spacing w:line="576" w:lineRule="exact"/>
        <w:ind w:firstLine="1600" w:firstLineChars="500"/>
        <w:textAlignment w:val="auto"/>
        <w:rPr>
          <w:rFonts w:hint="default" w:ascii="Times New Roman" w:hAnsi="Times New Roman" w:eastAsia="仿宋_GB2312" w:cs="Times New Roman"/>
          <w:strike w:val="0"/>
          <w:sz w:val="32"/>
          <w:szCs w:val="32"/>
          <w:u w:val="none"/>
          <w:lang w:val="en-US" w:eastAsia="zh-CN" w:bidi="ar"/>
        </w:rPr>
      </w:pPr>
      <w:r>
        <w:rPr>
          <w:rFonts w:hint="eastAsia" w:ascii="Times New Roman" w:hAnsi="Times New Roman" w:eastAsia="仿宋_GB2312" w:cs="Times New Roman"/>
          <w:strike w:val="0"/>
          <w:sz w:val="32"/>
          <w:szCs w:val="32"/>
          <w:u w:val="none"/>
          <w:lang w:val="en-US" w:eastAsia="zh-CN" w:bidi="ar"/>
        </w:rPr>
        <w:t>2.</w:t>
      </w:r>
      <w:r>
        <w:rPr>
          <w:rFonts w:hint="default" w:ascii="Times New Roman" w:hAnsi="Times New Roman" w:eastAsia="仿宋_GB2312" w:cs="Times New Roman"/>
          <w:strike w:val="0"/>
          <w:sz w:val="32"/>
          <w:szCs w:val="32"/>
          <w:u w:val="none"/>
          <w:lang w:val="en-US" w:eastAsia="zh-CN" w:bidi="ar"/>
        </w:rPr>
        <w:t>部门整体绩效目标完成情况自评表</w:t>
      </w:r>
    </w:p>
    <w:p w14:paraId="0216C807">
      <w:pPr>
        <w:keepNext w:val="0"/>
        <w:keepLines w:val="0"/>
        <w:pageBreakBefore w:val="0"/>
        <w:widowControl w:val="0"/>
        <w:kinsoku w:val="0"/>
        <w:wordWrap/>
        <w:overflowPunct w:val="0"/>
        <w:topLinePunct w:val="0"/>
        <w:autoSpaceDE w:val="0"/>
        <w:autoSpaceDN w:val="0"/>
        <w:bidi w:val="0"/>
        <w:spacing w:line="576" w:lineRule="exact"/>
        <w:ind w:firstLine="1600" w:firstLineChars="500"/>
        <w:textAlignment w:val="auto"/>
        <w:rPr>
          <w:rFonts w:hint="default" w:ascii="Times New Roman" w:hAnsi="Times New Roman" w:eastAsia="仿宋_GB2312" w:cs="Times New Roman"/>
          <w:strike w:val="0"/>
          <w:sz w:val="32"/>
          <w:szCs w:val="32"/>
          <w:u w:val="none"/>
          <w:lang w:val="en-US" w:eastAsia="zh-CN" w:bidi="ar"/>
        </w:rPr>
      </w:pPr>
      <w:r>
        <w:rPr>
          <w:rFonts w:hint="eastAsia" w:ascii="Times New Roman" w:hAnsi="Times New Roman" w:eastAsia="仿宋_GB2312" w:cs="Times New Roman"/>
          <w:strike w:val="0"/>
          <w:sz w:val="32"/>
          <w:szCs w:val="32"/>
          <w:u w:val="none"/>
          <w:lang w:val="en-US" w:eastAsia="zh-CN" w:bidi="ar"/>
        </w:rPr>
        <w:t>3.</w:t>
      </w:r>
      <w:r>
        <w:rPr>
          <w:rFonts w:hint="default" w:ascii="Times New Roman" w:hAnsi="Times New Roman" w:eastAsia="仿宋_GB2312" w:cs="Times New Roman"/>
          <w:strike w:val="0"/>
          <w:sz w:val="32"/>
          <w:szCs w:val="32"/>
          <w:u w:val="none"/>
          <w:lang w:val="en-US" w:eastAsia="zh-CN" w:bidi="ar"/>
        </w:rPr>
        <w:t>部门预算项目支出绩效评价表（2024年度）</w:t>
      </w:r>
    </w:p>
    <w:p w14:paraId="35B2420A">
      <w:pPr>
        <w:pStyle w:val="37"/>
        <w:keepNext w:val="0"/>
        <w:keepLines w:val="0"/>
        <w:pageBreakBefore w:val="0"/>
        <w:widowControl w:val="0"/>
        <w:wordWrap/>
        <w:overflowPunct w:val="0"/>
        <w:topLinePunct w:val="0"/>
        <w:bidi w:val="0"/>
        <w:rPr>
          <w:rFonts w:hint="default" w:ascii="Times New Roman" w:hAnsi="Times New Roman" w:eastAsia="仿宋_GB2312" w:cs="Times New Roman"/>
          <w:strike w:val="0"/>
          <w:sz w:val="32"/>
          <w:szCs w:val="32"/>
          <w:u w:val="none"/>
          <w:lang w:eastAsia="zh-CN" w:bidi="ar"/>
        </w:rPr>
      </w:pPr>
    </w:p>
    <w:p w14:paraId="7DAB75B9">
      <w:pPr>
        <w:pageBreakBefore w:val="0"/>
        <w:widowControl w:val="0"/>
        <w:wordWrap/>
        <w:overflowPunct w:val="0"/>
        <w:topLinePunct w:val="0"/>
        <w:bidi w:val="0"/>
        <w:spacing w:line="578" w:lineRule="exact"/>
        <w:contextualSpacing/>
        <w:jc w:val="center"/>
        <w:rPr>
          <w:rFonts w:eastAsia="方正小标宋简体"/>
          <w:bCs/>
          <w:sz w:val="44"/>
          <w:szCs w:val="44"/>
          <w:shd w:val="clear" w:color="auto" w:fill="FFFFFF"/>
        </w:rPr>
      </w:pPr>
    </w:p>
    <w:p w14:paraId="08572A18">
      <w:pPr>
        <w:pStyle w:val="2"/>
        <w:rPr>
          <w:rFonts w:eastAsia="方正小标宋简体"/>
          <w:bCs/>
          <w:sz w:val="44"/>
          <w:szCs w:val="44"/>
          <w:shd w:val="clear" w:color="auto" w:fill="FFFFFF"/>
        </w:rPr>
      </w:pPr>
    </w:p>
    <w:p w14:paraId="48E3DE1B">
      <w:pPr>
        <w:rPr>
          <w:rFonts w:eastAsia="方正小标宋简体"/>
          <w:bCs/>
          <w:sz w:val="44"/>
          <w:szCs w:val="44"/>
          <w:shd w:val="clear" w:color="auto" w:fill="FFFFFF"/>
        </w:rPr>
      </w:pPr>
    </w:p>
    <w:p w14:paraId="3AE7575E">
      <w:pPr>
        <w:pStyle w:val="2"/>
        <w:rPr>
          <w:rFonts w:eastAsia="方正小标宋简体"/>
          <w:bCs/>
          <w:sz w:val="44"/>
          <w:szCs w:val="44"/>
          <w:shd w:val="clear" w:color="auto" w:fill="FFFFFF"/>
        </w:rPr>
      </w:pPr>
    </w:p>
    <w:p w14:paraId="0CBD356F">
      <w:pPr>
        <w:rPr>
          <w:rFonts w:eastAsia="方正小标宋简体"/>
          <w:bCs/>
          <w:sz w:val="44"/>
          <w:szCs w:val="44"/>
          <w:shd w:val="clear" w:color="auto" w:fill="FFFFFF"/>
        </w:rPr>
      </w:pPr>
    </w:p>
    <w:p w14:paraId="5070A0A0">
      <w:pPr>
        <w:pStyle w:val="2"/>
        <w:rPr>
          <w:rFonts w:eastAsia="方正小标宋简体"/>
          <w:bCs/>
          <w:sz w:val="44"/>
          <w:szCs w:val="44"/>
          <w:shd w:val="clear" w:color="auto" w:fill="FFFFFF"/>
        </w:rPr>
      </w:pPr>
    </w:p>
    <w:p w14:paraId="0589AC8D">
      <w:pPr>
        <w:rPr>
          <w:rFonts w:eastAsia="方正小标宋简体"/>
          <w:bCs/>
          <w:sz w:val="44"/>
          <w:szCs w:val="44"/>
          <w:shd w:val="clear" w:color="auto" w:fill="FFFFFF"/>
        </w:rPr>
      </w:pPr>
    </w:p>
    <w:p w14:paraId="2110CF5A">
      <w:pPr>
        <w:pStyle w:val="2"/>
        <w:rPr>
          <w:rFonts w:eastAsia="方正小标宋简体"/>
          <w:bCs/>
          <w:sz w:val="44"/>
          <w:szCs w:val="44"/>
          <w:shd w:val="clear" w:color="auto" w:fill="FFFFFF"/>
        </w:rPr>
      </w:pPr>
    </w:p>
    <w:p w14:paraId="161F8706">
      <w:pPr>
        <w:rPr>
          <w:rFonts w:eastAsia="方正小标宋简体"/>
          <w:bCs/>
          <w:sz w:val="44"/>
          <w:szCs w:val="44"/>
          <w:shd w:val="clear" w:color="auto" w:fill="FFFFFF"/>
        </w:rPr>
      </w:pPr>
    </w:p>
    <w:p w14:paraId="67977E26">
      <w:pPr>
        <w:keepNext w:val="0"/>
        <w:keepLines w:val="0"/>
        <w:pageBreakBefore w:val="0"/>
        <w:kinsoku/>
        <w:wordWrap/>
        <w:overflowPunct/>
        <w:topLinePunct w:val="0"/>
        <w:autoSpaceDE/>
        <w:autoSpaceDN/>
        <w:bidi w:val="0"/>
        <w:spacing w:line="578" w:lineRule="exact"/>
        <w:jc w:val="left"/>
        <w:textAlignment w:val="auto"/>
        <w:rPr>
          <w:rFonts w:hint="eastAsia"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1</w:t>
      </w:r>
    </w:p>
    <w:p w14:paraId="60EF763C">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bidi="ar"/>
        </w:rPr>
      </w:pPr>
      <w:r>
        <w:rPr>
          <w:rFonts w:hint="eastAsia" w:ascii="Times New Roman" w:hAnsi="Times New Roman" w:eastAsia="方正小标宋简体" w:cs="Times New Roman"/>
          <w:i w:val="0"/>
          <w:color w:val="000000"/>
          <w:kern w:val="0"/>
          <w:sz w:val="44"/>
          <w:szCs w:val="44"/>
          <w:u w:val="none"/>
          <w:lang w:val="en-US" w:eastAsia="zh-CN" w:bidi="ar"/>
        </w:rPr>
        <w:t>部门预算绩效自评打分表</w:t>
      </w:r>
    </w:p>
    <w:tbl>
      <w:tblPr>
        <w:tblStyle w:val="18"/>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
        <w:gridCol w:w="900"/>
        <w:gridCol w:w="11"/>
        <w:gridCol w:w="964"/>
        <w:gridCol w:w="498"/>
        <w:gridCol w:w="582"/>
        <w:gridCol w:w="1083"/>
        <w:gridCol w:w="720"/>
        <w:gridCol w:w="327"/>
        <w:gridCol w:w="810"/>
        <w:gridCol w:w="1050"/>
        <w:gridCol w:w="855"/>
        <w:gridCol w:w="570"/>
        <w:gridCol w:w="930"/>
        <w:gridCol w:w="192"/>
        <w:gridCol w:w="756"/>
        <w:gridCol w:w="478"/>
      </w:tblGrid>
      <w:tr w14:paraId="6E209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85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4376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绩效评价指标指标分值</w:t>
            </w:r>
          </w:p>
        </w:tc>
        <w:tc>
          <w:tcPr>
            <w:tcW w:w="4734"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291D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19485E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1A64C5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137C6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tcBorders>
              <w:top w:val="single" w:color="000000" w:sz="4" w:space="0"/>
              <w:left w:val="single" w:color="000000" w:sz="4" w:space="0"/>
              <w:bottom w:val="single" w:color="000000" w:sz="4" w:space="0"/>
              <w:right w:val="nil"/>
            </w:tcBorders>
            <w:shd w:val="clear" w:color="auto" w:fill="auto"/>
            <w:vAlign w:val="center"/>
          </w:tcPr>
          <w:p w14:paraId="0BF37F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71D6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D1CC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A93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4734"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88E35">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2BB532B5">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257DDDB6">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776E0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D731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D29D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履职效能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（15分）</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3C6C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供销社履职效果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597FE9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E1148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F3F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26F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2909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CE2E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6959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（25分）</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90F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11D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5AD4B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5B1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A4D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9D90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AE8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35C5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2337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316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F2793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42E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AE1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E268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310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8C03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E621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522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1CA5B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F99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841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171B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658F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E04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5A3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1CF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983DC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3F9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AE6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7644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3E7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18F2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C576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FF7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ECDCE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1F9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89C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BC43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68A3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2163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财务管理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854C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0AF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A3920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BB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802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7ED6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13BF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9CA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EA40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721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E3748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7BB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AD3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C800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767A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F8A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1EBD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B3E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1F716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17D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76F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14D0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0B6D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8191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8BF9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EB1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870B4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7F2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293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526B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CA9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464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0EF3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141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893BD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2B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5E2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EFDA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7460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DB03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C973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B63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957E7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E5A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2B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DA87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AFA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C18C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采购管理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（6分）</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2AF5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965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BC6E0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06F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86B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8376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11C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E1C0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CF6E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8EC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A1605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D0B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A9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5577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1221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（35分）</w:t>
            </w:r>
          </w:p>
        </w:tc>
        <w:tc>
          <w:tcPr>
            <w:tcW w:w="1462"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02674F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项目决策</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D411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636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7B97B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37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247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D12A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260D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61A014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8D6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9B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7A5CF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702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E1C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6195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983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6952ED5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895D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3CA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73E21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0AF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B43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8128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B850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3A7127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项目执行</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2D59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7FC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1FE07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0A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908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1839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397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15AA24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gridSpan w:val="2"/>
            <w:tcBorders>
              <w:top w:val="single" w:color="000000" w:sz="4" w:space="0"/>
              <w:left w:val="single" w:color="000000" w:sz="4" w:space="0"/>
              <w:bottom w:val="nil"/>
              <w:right w:val="single" w:color="000000" w:sz="4" w:space="0"/>
            </w:tcBorders>
            <w:shd w:val="clear" w:color="auto" w:fill="auto"/>
            <w:vAlign w:val="center"/>
          </w:tcPr>
          <w:p w14:paraId="3B81E0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25D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B49E0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54D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3.42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851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6D2A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D695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5EDA3A1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A009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FA7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2CCBF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B08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2FB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52A2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478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35CF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目标实现</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（11分）</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31B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086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9184E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72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2F6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A23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4B22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B6C5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4EE9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BE6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BD478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EBD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AA5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8B9B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029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3437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E10D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874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06BF9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0B1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5E7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1C3D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vMerge w:val="restart"/>
            <w:tcBorders>
              <w:top w:val="single" w:color="000000" w:sz="4" w:space="0"/>
              <w:left w:val="single" w:color="000000" w:sz="4" w:space="0"/>
              <w:right w:val="single" w:color="000000" w:sz="4" w:space="0"/>
            </w:tcBorders>
            <w:shd w:val="clear" w:color="auto" w:fill="auto"/>
            <w:vAlign w:val="center"/>
          </w:tcPr>
          <w:p w14:paraId="57DB55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扣分项</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312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3180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27F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3DAEA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50A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380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6C04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04" w:type="dxa"/>
            <w:gridSpan w:val="3"/>
            <w:vMerge w:val="continue"/>
            <w:tcBorders>
              <w:left w:val="single" w:color="000000" w:sz="4" w:space="0"/>
              <w:right w:val="single" w:color="000000" w:sz="4" w:space="0"/>
            </w:tcBorders>
            <w:shd w:val="clear" w:color="auto" w:fill="auto"/>
            <w:vAlign w:val="center"/>
          </w:tcPr>
          <w:p w14:paraId="08E13A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312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C570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预算绩效存在问题</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6E6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9BED2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预算管理和绩效管理工作存在问题</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AD6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E81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BAFA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gridSpan w:val="3"/>
            <w:tcBorders>
              <w:left w:val="single" w:color="000000" w:sz="4" w:space="0"/>
              <w:bottom w:val="single" w:color="000000" w:sz="4" w:space="0"/>
              <w:right w:val="single" w:color="000000" w:sz="4" w:space="0"/>
            </w:tcBorders>
            <w:shd w:val="clear" w:color="auto" w:fill="auto"/>
            <w:vAlign w:val="center"/>
          </w:tcPr>
          <w:p w14:paraId="2F05D4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合计</w:t>
            </w:r>
          </w:p>
        </w:tc>
        <w:tc>
          <w:tcPr>
            <w:tcW w:w="312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092D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1D4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4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BC050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C75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87.82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CA9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8A06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3"/>
          <w:wBefore w:w="93" w:type="dxa"/>
          <w:wAfter w:w="1426" w:type="dxa"/>
          <w:trHeight w:val="784" w:hRule="atLeast"/>
          <w:jc w:val="center"/>
        </w:trPr>
        <w:tc>
          <w:tcPr>
            <w:tcW w:w="8370" w:type="dxa"/>
            <w:gridSpan w:val="12"/>
            <w:tcBorders>
              <w:top w:val="nil"/>
              <w:left w:val="nil"/>
              <w:bottom w:val="nil"/>
              <w:right w:val="nil"/>
            </w:tcBorders>
            <w:shd w:val="clear" w:color="auto" w:fill="auto"/>
            <w:vAlign w:val="center"/>
          </w:tcPr>
          <w:p w14:paraId="6F909CA2">
            <w:pPr>
              <w:keepNext w:val="0"/>
              <w:keepLines w:val="0"/>
              <w:pageBreakBefore w:val="0"/>
              <w:kinsoku/>
              <w:wordWrap/>
              <w:overflowPunct/>
              <w:topLinePunct w:val="0"/>
              <w:autoSpaceDE/>
              <w:autoSpaceDN/>
              <w:bidi w:val="0"/>
              <w:spacing w:line="578" w:lineRule="exact"/>
              <w:jc w:val="left"/>
              <w:textAlignment w:val="auto"/>
              <w:rPr>
                <w:rFonts w:hint="eastAsia"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eastAsia="黑体" w:cs="Times New Roman"/>
                <w:kern w:val="2"/>
                <w:sz w:val="32"/>
                <w:szCs w:val="24"/>
                <w:highlight w:val="none"/>
                <w:lang w:val="en-US" w:eastAsia="zh-CN" w:bidi="ar-SA"/>
              </w:rPr>
              <w:t>2</w:t>
            </w:r>
          </w:p>
          <w:p w14:paraId="56E4B3C8">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default" w:ascii="黑体" w:hAnsi="宋体" w:eastAsia="黑体" w:cs="黑体"/>
                <w:i w:val="0"/>
                <w:iCs w:val="0"/>
                <w:color w:val="000000"/>
                <w:kern w:val="0"/>
                <w:sz w:val="30"/>
                <w:szCs w:val="30"/>
                <w:u w:val="none"/>
                <w:lang w:val="en-US" w:eastAsia="zh-CN" w:bidi="ar"/>
              </w:rPr>
              <w:t>部门整体支出绩效目标完成情况自评表</w:t>
            </w:r>
          </w:p>
        </w:tc>
        <w:tc>
          <w:tcPr>
            <w:tcW w:w="930" w:type="dxa"/>
            <w:tcBorders>
              <w:top w:val="nil"/>
              <w:left w:val="nil"/>
              <w:bottom w:val="nil"/>
              <w:right w:val="nil"/>
            </w:tcBorders>
            <w:shd w:val="clear" w:color="auto" w:fill="auto"/>
            <w:vAlign w:val="center"/>
          </w:tcPr>
          <w:p w14:paraId="1AF7C0BD">
            <w:pPr>
              <w:rPr>
                <w:rFonts w:hint="eastAsia" w:ascii="宋体" w:hAnsi="宋体" w:eastAsia="宋体" w:cs="宋体"/>
                <w:i w:val="0"/>
                <w:iCs w:val="0"/>
                <w:color w:val="000000"/>
                <w:sz w:val="22"/>
                <w:szCs w:val="22"/>
                <w:u w:val="none"/>
              </w:rPr>
            </w:pPr>
          </w:p>
        </w:tc>
      </w:tr>
      <w:tr w14:paraId="4FA1E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1426" w:type="dxa"/>
          <w:trHeight w:val="474" w:hRule="atLeast"/>
          <w:jc w:val="center"/>
        </w:trPr>
        <w:tc>
          <w:tcPr>
            <w:tcW w:w="8370" w:type="dxa"/>
            <w:gridSpan w:val="12"/>
            <w:tcBorders>
              <w:top w:val="nil"/>
              <w:left w:val="nil"/>
              <w:bottom w:val="nil"/>
              <w:right w:val="nil"/>
            </w:tcBorders>
            <w:shd w:val="clear" w:color="auto" w:fill="auto"/>
            <w:vAlign w:val="center"/>
          </w:tcPr>
          <w:p w14:paraId="26BD0C1B">
            <w:pPr>
              <w:keepNext w:val="0"/>
              <w:keepLines w:val="0"/>
              <w:widowControl/>
              <w:suppressLineNumbers w:val="0"/>
              <w:ind w:firstLine="3600" w:firstLineChars="200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（2024年度）</w:t>
            </w:r>
            <w:r>
              <w:rPr>
                <w:rFonts w:hint="eastAsia" w:ascii="宋体" w:hAnsi="宋体" w:eastAsia="宋体" w:cs="宋体"/>
                <w:i w:val="0"/>
                <w:iCs w:val="0"/>
                <w:color w:val="000000"/>
                <w:kern w:val="0"/>
                <w:sz w:val="18"/>
                <w:szCs w:val="18"/>
                <w:u w:val="none"/>
                <w:lang w:val="en-US" w:eastAsia="zh-CN" w:bidi="ar"/>
              </w:rPr>
              <w:t xml:space="preserve">                    </w:t>
            </w:r>
            <w:r>
              <w:rPr>
                <w:rFonts w:ascii="宋体" w:hAnsi="宋体" w:eastAsia="宋体" w:cs="宋体"/>
                <w:i w:val="0"/>
                <w:iCs w:val="0"/>
                <w:color w:val="000000"/>
                <w:kern w:val="0"/>
                <w:sz w:val="18"/>
                <w:szCs w:val="18"/>
                <w:u w:val="none"/>
                <w:lang w:val="en-US" w:eastAsia="zh-CN" w:bidi="ar"/>
              </w:rPr>
              <w:t>金额单位：万元</w:t>
            </w:r>
          </w:p>
        </w:tc>
        <w:tc>
          <w:tcPr>
            <w:tcW w:w="930" w:type="dxa"/>
            <w:tcBorders>
              <w:top w:val="nil"/>
              <w:left w:val="nil"/>
              <w:bottom w:val="nil"/>
              <w:right w:val="nil"/>
            </w:tcBorders>
            <w:shd w:val="clear" w:color="auto" w:fill="auto"/>
            <w:vAlign w:val="center"/>
          </w:tcPr>
          <w:p w14:paraId="6DE896CB">
            <w:pPr>
              <w:rPr>
                <w:rFonts w:hint="eastAsia" w:ascii="宋体" w:hAnsi="宋体" w:eastAsia="宋体" w:cs="宋体"/>
                <w:i w:val="0"/>
                <w:iCs w:val="0"/>
                <w:color w:val="000000"/>
                <w:sz w:val="22"/>
                <w:szCs w:val="22"/>
                <w:u w:val="none"/>
              </w:rPr>
            </w:pPr>
          </w:p>
        </w:tc>
      </w:tr>
      <w:tr w14:paraId="4F5CD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1426" w:type="dxa"/>
          <w:trHeight w:val="409" w:hRule="atLeast"/>
          <w:jc w:val="center"/>
        </w:trPr>
        <w:tc>
          <w:tcPr>
            <w:tcW w:w="29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8D37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63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4BC3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州供销社部门</w:t>
            </w:r>
          </w:p>
        </w:tc>
      </w:tr>
      <w:tr w14:paraId="2FD0A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1426" w:type="dxa"/>
          <w:trHeight w:val="398" w:hRule="atLeast"/>
          <w:jc w:val="center"/>
        </w:trPr>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A8C5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6"/>
                <w:szCs w:val="16"/>
                <w:u w:val="none"/>
                <w:lang w:val="en-US" w:eastAsia="zh-CN" w:bidi="ar"/>
              </w:rPr>
              <w:t>年度部门整体支出预算</w:t>
            </w:r>
          </w:p>
        </w:tc>
        <w:tc>
          <w:tcPr>
            <w:tcW w:w="20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FBFA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29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54B7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34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1FE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14:paraId="41981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1426" w:type="dxa"/>
          <w:trHeight w:val="5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25176">
            <w:pPr>
              <w:jc w:val="center"/>
              <w:rPr>
                <w:rFonts w:hint="eastAsia" w:ascii="宋体" w:hAnsi="宋体" w:eastAsia="宋体" w:cs="宋体"/>
                <w:i w:val="0"/>
                <w:iCs w:val="0"/>
                <w:color w:val="000000"/>
                <w:sz w:val="18"/>
                <w:szCs w:val="18"/>
                <w:u w:val="none"/>
              </w:rPr>
            </w:pPr>
          </w:p>
        </w:tc>
        <w:tc>
          <w:tcPr>
            <w:tcW w:w="20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8F90F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801.79</w:t>
            </w:r>
          </w:p>
        </w:tc>
        <w:tc>
          <w:tcPr>
            <w:tcW w:w="29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B901F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801.79</w:t>
            </w:r>
          </w:p>
        </w:tc>
        <w:tc>
          <w:tcPr>
            <w:tcW w:w="34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1D78A3">
            <w:pPr>
              <w:jc w:val="center"/>
              <w:rPr>
                <w:rFonts w:hint="eastAsia" w:ascii="宋体" w:hAnsi="宋体" w:eastAsia="宋体" w:cs="宋体"/>
                <w:i w:val="0"/>
                <w:iCs w:val="0"/>
                <w:color w:val="000000"/>
                <w:sz w:val="18"/>
                <w:szCs w:val="18"/>
                <w:u w:val="none"/>
              </w:rPr>
            </w:pPr>
          </w:p>
        </w:tc>
      </w:tr>
      <w:tr w14:paraId="2107A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1426" w:type="dxa"/>
          <w:trHeight w:val="780" w:hRule="atLeast"/>
          <w:jc w:val="center"/>
        </w:trPr>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859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840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F27DC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全面深入推进综合改革，提升为农服务能力;完成好上级主管部门、州委州政府交办的其他工作;</w:t>
            </w:r>
          </w:p>
        </w:tc>
      </w:tr>
      <w:tr w14:paraId="561FE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1426" w:type="dxa"/>
          <w:trHeight w:val="454" w:hRule="atLeast"/>
          <w:jc w:val="center"/>
        </w:trPr>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9923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20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B79C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63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A5E8F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14:paraId="36F74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1426" w:type="dxa"/>
          <w:trHeight w:val="569"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400B5">
            <w:pPr>
              <w:jc w:val="center"/>
              <w:rPr>
                <w:rFonts w:hint="eastAsia" w:ascii="宋体" w:hAnsi="宋体" w:eastAsia="宋体" w:cs="宋体"/>
                <w:i w:val="0"/>
                <w:iCs w:val="0"/>
                <w:color w:val="000000"/>
                <w:sz w:val="18"/>
                <w:szCs w:val="18"/>
                <w:u w:val="none"/>
              </w:rPr>
            </w:pPr>
          </w:p>
        </w:tc>
        <w:tc>
          <w:tcPr>
            <w:tcW w:w="20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B87B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提升供销为农服务能力</w:t>
            </w:r>
          </w:p>
        </w:tc>
        <w:tc>
          <w:tcPr>
            <w:tcW w:w="63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96BE9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深入贯彻落实《关于持续深化供销合作社综合改革加快建设为农服务综合平台带实施方案的通知》</w:t>
            </w:r>
          </w:p>
        </w:tc>
      </w:tr>
      <w:tr w14:paraId="4554B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1426" w:type="dxa"/>
          <w:trHeight w:val="569"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EAF5D">
            <w:pPr>
              <w:jc w:val="center"/>
              <w:rPr>
                <w:rFonts w:hint="eastAsia" w:ascii="宋体" w:hAnsi="宋体" w:eastAsia="宋体" w:cs="宋体"/>
                <w:i w:val="0"/>
                <w:iCs w:val="0"/>
                <w:color w:val="000000"/>
                <w:sz w:val="18"/>
                <w:szCs w:val="18"/>
                <w:u w:val="none"/>
              </w:rPr>
            </w:pPr>
          </w:p>
        </w:tc>
        <w:tc>
          <w:tcPr>
            <w:tcW w:w="20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E93D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提升为农服务质量</w:t>
            </w:r>
          </w:p>
        </w:tc>
        <w:tc>
          <w:tcPr>
            <w:tcW w:w="63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B4641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提升农业社会化服务水平和联农带农发展能力</w:t>
            </w:r>
          </w:p>
        </w:tc>
      </w:tr>
      <w:tr w14:paraId="70435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1426" w:type="dxa"/>
          <w:trHeight w:val="569"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69211">
            <w:pPr>
              <w:jc w:val="center"/>
              <w:rPr>
                <w:rFonts w:hint="eastAsia" w:ascii="宋体" w:hAnsi="宋体" w:eastAsia="宋体" w:cs="宋体"/>
                <w:i w:val="0"/>
                <w:iCs w:val="0"/>
                <w:color w:val="000000"/>
                <w:sz w:val="18"/>
                <w:szCs w:val="18"/>
                <w:u w:val="none"/>
              </w:rPr>
            </w:pPr>
          </w:p>
        </w:tc>
        <w:tc>
          <w:tcPr>
            <w:tcW w:w="20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5D39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持续深化供销综合改革</w:t>
            </w:r>
          </w:p>
        </w:tc>
        <w:tc>
          <w:tcPr>
            <w:tcW w:w="63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7A91B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持续深化供销社综合改革、增强为农服务能力</w:t>
            </w:r>
          </w:p>
        </w:tc>
      </w:tr>
      <w:tr w14:paraId="0C258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1426" w:type="dxa"/>
          <w:trHeight w:val="569" w:hRule="atLeast"/>
          <w:jc w:val="center"/>
        </w:trPr>
        <w:tc>
          <w:tcPr>
            <w:tcW w:w="900" w:type="dxa"/>
            <w:vMerge w:val="restart"/>
            <w:tcBorders>
              <w:top w:val="nil"/>
              <w:left w:val="single" w:color="000000" w:sz="4" w:space="0"/>
              <w:bottom w:val="single" w:color="000000" w:sz="4" w:space="0"/>
              <w:right w:val="single" w:color="000000" w:sz="4" w:space="0"/>
            </w:tcBorders>
            <w:shd w:val="clear" w:color="auto" w:fill="auto"/>
            <w:vAlign w:val="center"/>
          </w:tcPr>
          <w:p w14:paraId="0ED1FA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975" w:type="dxa"/>
            <w:gridSpan w:val="2"/>
            <w:tcBorders>
              <w:top w:val="nil"/>
              <w:left w:val="single" w:color="000000" w:sz="4" w:space="0"/>
              <w:bottom w:val="single" w:color="000000" w:sz="4" w:space="0"/>
              <w:right w:val="single" w:color="000000" w:sz="4" w:space="0"/>
            </w:tcBorders>
            <w:shd w:val="clear" w:color="auto" w:fill="auto"/>
            <w:vAlign w:val="center"/>
          </w:tcPr>
          <w:p w14:paraId="5E11E1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80" w:type="dxa"/>
            <w:gridSpan w:val="2"/>
            <w:tcBorders>
              <w:top w:val="nil"/>
              <w:left w:val="single" w:color="000000" w:sz="4" w:space="0"/>
              <w:bottom w:val="single" w:color="000000" w:sz="4" w:space="0"/>
              <w:right w:val="single" w:color="000000" w:sz="4" w:space="0"/>
            </w:tcBorders>
            <w:shd w:val="clear" w:color="auto" w:fill="auto"/>
            <w:vAlign w:val="center"/>
          </w:tcPr>
          <w:p w14:paraId="32B6FB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130" w:type="dxa"/>
            <w:gridSpan w:val="3"/>
            <w:tcBorders>
              <w:top w:val="nil"/>
              <w:left w:val="single" w:color="000000" w:sz="4" w:space="0"/>
              <w:bottom w:val="single" w:color="000000" w:sz="4" w:space="0"/>
              <w:right w:val="single" w:color="000000" w:sz="4" w:space="0"/>
            </w:tcBorders>
            <w:shd w:val="clear" w:color="auto" w:fill="auto"/>
            <w:vAlign w:val="center"/>
          </w:tcPr>
          <w:p w14:paraId="179385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10" w:type="dxa"/>
            <w:tcBorders>
              <w:top w:val="nil"/>
              <w:left w:val="single" w:color="000000" w:sz="4" w:space="0"/>
              <w:bottom w:val="single" w:color="000000" w:sz="4" w:space="0"/>
              <w:right w:val="single" w:color="000000" w:sz="4" w:space="0"/>
            </w:tcBorders>
            <w:shd w:val="clear" w:color="auto" w:fill="auto"/>
            <w:vAlign w:val="center"/>
          </w:tcPr>
          <w:p w14:paraId="2BEFF3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1050" w:type="dxa"/>
            <w:tcBorders>
              <w:top w:val="nil"/>
              <w:left w:val="single" w:color="000000" w:sz="4" w:space="0"/>
              <w:bottom w:val="single" w:color="000000" w:sz="4" w:space="0"/>
              <w:right w:val="single" w:color="000000" w:sz="4" w:space="0"/>
            </w:tcBorders>
            <w:shd w:val="clear" w:color="auto" w:fill="auto"/>
            <w:vAlign w:val="center"/>
          </w:tcPr>
          <w:p w14:paraId="31BCE6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855" w:type="dxa"/>
            <w:tcBorders>
              <w:top w:val="nil"/>
              <w:left w:val="single" w:color="000000" w:sz="4" w:space="0"/>
              <w:bottom w:val="single" w:color="000000" w:sz="4" w:space="0"/>
              <w:right w:val="single" w:color="000000" w:sz="4" w:space="0"/>
            </w:tcBorders>
            <w:shd w:val="clear" w:color="auto" w:fill="auto"/>
            <w:vAlign w:val="center"/>
          </w:tcPr>
          <w:p w14:paraId="590536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570" w:type="dxa"/>
            <w:tcBorders>
              <w:top w:val="nil"/>
              <w:left w:val="single" w:color="000000" w:sz="4" w:space="0"/>
              <w:bottom w:val="single" w:color="000000" w:sz="4" w:space="0"/>
              <w:right w:val="single" w:color="000000" w:sz="4" w:space="0"/>
            </w:tcBorders>
            <w:shd w:val="clear" w:color="auto" w:fill="auto"/>
            <w:vAlign w:val="center"/>
          </w:tcPr>
          <w:p w14:paraId="34C1F2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930" w:type="dxa"/>
            <w:tcBorders>
              <w:top w:val="nil"/>
              <w:left w:val="single" w:color="000000" w:sz="4" w:space="0"/>
              <w:bottom w:val="single" w:color="000000" w:sz="4" w:space="0"/>
              <w:right w:val="single" w:color="000000" w:sz="4" w:space="0"/>
            </w:tcBorders>
            <w:shd w:val="clear" w:color="auto" w:fill="auto"/>
            <w:vAlign w:val="center"/>
          </w:tcPr>
          <w:p w14:paraId="7C5863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实际完成指标值</w:t>
            </w:r>
          </w:p>
        </w:tc>
      </w:tr>
      <w:tr w14:paraId="0212E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1426" w:type="dxa"/>
          <w:trHeight w:val="569" w:hRule="atLeast"/>
          <w:jc w:val="center"/>
        </w:trPr>
        <w:tc>
          <w:tcPr>
            <w:tcW w:w="900" w:type="dxa"/>
            <w:vMerge w:val="continue"/>
            <w:tcBorders>
              <w:top w:val="nil"/>
              <w:left w:val="single" w:color="000000" w:sz="4" w:space="0"/>
              <w:bottom w:val="single" w:color="000000" w:sz="4" w:space="0"/>
              <w:right w:val="single" w:color="000000" w:sz="4" w:space="0"/>
            </w:tcBorders>
            <w:shd w:val="clear" w:color="auto" w:fill="auto"/>
            <w:vAlign w:val="center"/>
          </w:tcPr>
          <w:p w14:paraId="194AFAEC">
            <w:pPr>
              <w:jc w:val="center"/>
              <w:rPr>
                <w:rFonts w:hint="eastAsia" w:ascii="宋体" w:hAnsi="宋体" w:eastAsia="宋体" w:cs="宋体"/>
                <w:i w:val="0"/>
                <w:iCs w:val="0"/>
                <w:color w:val="000000"/>
                <w:sz w:val="18"/>
                <w:szCs w:val="18"/>
                <w:u w:val="none"/>
              </w:rPr>
            </w:pPr>
          </w:p>
        </w:tc>
        <w:tc>
          <w:tcPr>
            <w:tcW w:w="9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0E5B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979A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1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D173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全州系统实现销售总额</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8D4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01F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98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亿元</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2D4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0C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1.57亿元</w:t>
            </w:r>
          </w:p>
        </w:tc>
      </w:tr>
      <w:tr w14:paraId="3B258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1426" w:type="dxa"/>
          <w:trHeight w:val="569" w:hRule="atLeast"/>
          <w:jc w:val="center"/>
        </w:trPr>
        <w:tc>
          <w:tcPr>
            <w:tcW w:w="900" w:type="dxa"/>
            <w:vMerge w:val="continue"/>
            <w:tcBorders>
              <w:top w:val="nil"/>
              <w:left w:val="single" w:color="000000" w:sz="4" w:space="0"/>
              <w:bottom w:val="single" w:color="000000" w:sz="4" w:space="0"/>
              <w:right w:val="single" w:color="000000" w:sz="4" w:space="0"/>
            </w:tcBorders>
            <w:shd w:val="clear" w:color="auto" w:fill="auto"/>
            <w:vAlign w:val="center"/>
          </w:tcPr>
          <w:p w14:paraId="0B3975C1">
            <w:pPr>
              <w:jc w:val="center"/>
              <w:rPr>
                <w:rFonts w:hint="eastAsia" w:ascii="宋体" w:hAnsi="宋体" w:eastAsia="宋体" w:cs="宋体"/>
                <w:i w:val="0"/>
                <w:iCs w:val="0"/>
                <w:color w:val="000000"/>
                <w:sz w:val="18"/>
                <w:szCs w:val="18"/>
                <w:u w:val="none"/>
              </w:rPr>
            </w:pPr>
          </w:p>
        </w:tc>
        <w:tc>
          <w:tcPr>
            <w:tcW w:w="9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F8FF5">
            <w:pPr>
              <w:jc w:val="left"/>
              <w:rPr>
                <w:rFonts w:hint="eastAsia" w:ascii="宋体" w:hAnsi="宋体" w:eastAsia="宋体" w:cs="宋体"/>
                <w:i w:val="0"/>
                <w:iCs w:val="0"/>
                <w:color w:val="000000"/>
                <w:sz w:val="18"/>
                <w:szCs w:val="18"/>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75835">
            <w:pPr>
              <w:jc w:val="left"/>
              <w:rPr>
                <w:rFonts w:hint="eastAsia" w:ascii="宋体" w:hAnsi="宋体" w:eastAsia="宋体" w:cs="宋体"/>
                <w:i w:val="0"/>
                <w:iCs w:val="0"/>
                <w:color w:val="000000"/>
                <w:sz w:val="18"/>
                <w:szCs w:val="18"/>
                <w:u w:val="none"/>
              </w:rPr>
            </w:pPr>
          </w:p>
        </w:tc>
        <w:tc>
          <w:tcPr>
            <w:tcW w:w="21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BCF7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新建示范社数量</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829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F18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71A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个（套）</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190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0BD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14:paraId="09A57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1426" w:type="dxa"/>
          <w:trHeight w:val="569" w:hRule="atLeast"/>
          <w:jc w:val="center"/>
        </w:trPr>
        <w:tc>
          <w:tcPr>
            <w:tcW w:w="900" w:type="dxa"/>
            <w:vMerge w:val="continue"/>
            <w:tcBorders>
              <w:top w:val="nil"/>
              <w:left w:val="single" w:color="000000" w:sz="4" w:space="0"/>
              <w:bottom w:val="single" w:color="000000" w:sz="4" w:space="0"/>
              <w:right w:val="single" w:color="000000" w:sz="4" w:space="0"/>
            </w:tcBorders>
            <w:shd w:val="clear" w:color="auto" w:fill="auto"/>
            <w:vAlign w:val="center"/>
          </w:tcPr>
          <w:p w14:paraId="088D0132">
            <w:pPr>
              <w:jc w:val="center"/>
              <w:rPr>
                <w:rFonts w:hint="eastAsia" w:ascii="宋体" w:hAnsi="宋体" w:eastAsia="宋体" w:cs="宋体"/>
                <w:i w:val="0"/>
                <w:iCs w:val="0"/>
                <w:color w:val="000000"/>
                <w:sz w:val="18"/>
                <w:szCs w:val="18"/>
                <w:u w:val="none"/>
              </w:rPr>
            </w:pPr>
          </w:p>
        </w:tc>
        <w:tc>
          <w:tcPr>
            <w:tcW w:w="9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8FFB9">
            <w:pPr>
              <w:jc w:val="left"/>
              <w:rPr>
                <w:rFonts w:hint="eastAsia" w:ascii="宋体" w:hAnsi="宋体" w:eastAsia="宋体" w:cs="宋体"/>
                <w:i w:val="0"/>
                <w:iCs w:val="0"/>
                <w:color w:val="000000"/>
                <w:sz w:val="18"/>
                <w:szCs w:val="18"/>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27DE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1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73A8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农业社会化服务能力</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4BB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F41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11DFA">
            <w:pPr>
              <w:jc w:val="left"/>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71D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6F1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r>
      <w:tr w14:paraId="20810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1426" w:type="dxa"/>
          <w:trHeight w:val="569" w:hRule="atLeast"/>
          <w:jc w:val="center"/>
        </w:trPr>
        <w:tc>
          <w:tcPr>
            <w:tcW w:w="900" w:type="dxa"/>
            <w:vMerge w:val="continue"/>
            <w:tcBorders>
              <w:top w:val="nil"/>
              <w:left w:val="single" w:color="000000" w:sz="4" w:space="0"/>
              <w:bottom w:val="single" w:color="000000" w:sz="4" w:space="0"/>
              <w:right w:val="single" w:color="000000" w:sz="4" w:space="0"/>
            </w:tcBorders>
            <w:shd w:val="clear" w:color="auto" w:fill="auto"/>
            <w:vAlign w:val="center"/>
          </w:tcPr>
          <w:p w14:paraId="5DCD201B">
            <w:pPr>
              <w:jc w:val="center"/>
              <w:rPr>
                <w:rFonts w:hint="eastAsia" w:ascii="宋体" w:hAnsi="宋体" w:eastAsia="宋体" w:cs="宋体"/>
                <w:i w:val="0"/>
                <w:iCs w:val="0"/>
                <w:color w:val="000000"/>
                <w:sz w:val="18"/>
                <w:szCs w:val="18"/>
                <w:u w:val="none"/>
              </w:rPr>
            </w:pPr>
          </w:p>
        </w:tc>
        <w:tc>
          <w:tcPr>
            <w:tcW w:w="9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7CA06">
            <w:pPr>
              <w:jc w:val="left"/>
              <w:rPr>
                <w:rFonts w:hint="eastAsia" w:ascii="宋体" w:hAnsi="宋体" w:eastAsia="宋体" w:cs="宋体"/>
                <w:i w:val="0"/>
                <w:iCs w:val="0"/>
                <w:color w:val="000000"/>
                <w:sz w:val="18"/>
                <w:szCs w:val="18"/>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552A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1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9F9C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“示范社”建设完成时限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E5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9E0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2024年12月底前</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F39C4">
            <w:pPr>
              <w:jc w:val="left"/>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D1C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DB4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2024年12月底前</w:t>
            </w:r>
          </w:p>
        </w:tc>
      </w:tr>
      <w:tr w14:paraId="1A0E5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1426" w:type="dxa"/>
          <w:trHeight w:val="569" w:hRule="atLeast"/>
          <w:jc w:val="center"/>
        </w:trPr>
        <w:tc>
          <w:tcPr>
            <w:tcW w:w="900" w:type="dxa"/>
            <w:vMerge w:val="continue"/>
            <w:tcBorders>
              <w:top w:val="nil"/>
              <w:left w:val="single" w:color="000000" w:sz="4" w:space="0"/>
              <w:bottom w:val="single" w:color="000000" w:sz="4" w:space="0"/>
              <w:right w:val="single" w:color="000000" w:sz="4" w:space="0"/>
            </w:tcBorders>
            <w:shd w:val="clear" w:color="auto" w:fill="auto"/>
            <w:vAlign w:val="center"/>
          </w:tcPr>
          <w:p w14:paraId="27DFC3B5">
            <w:pPr>
              <w:jc w:val="center"/>
              <w:rPr>
                <w:rFonts w:hint="eastAsia" w:ascii="宋体" w:hAnsi="宋体" w:eastAsia="宋体" w:cs="宋体"/>
                <w:i w:val="0"/>
                <w:iCs w:val="0"/>
                <w:color w:val="000000"/>
                <w:sz w:val="18"/>
                <w:szCs w:val="18"/>
                <w:u w:val="none"/>
              </w:rPr>
            </w:pPr>
          </w:p>
        </w:tc>
        <w:tc>
          <w:tcPr>
            <w:tcW w:w="9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5C30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C5F8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1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A398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确保农资供应</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45B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D25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农资安全供应</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EBF72">
            <w:pPr>
              <w:jc w:val="left"/>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35E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AEA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农资安全供应</w:t>
            </w:r>
          </w:p>
        </w:tc>
      </w:tr>
      <w:tr w14:paraId="330F2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1426" w:type="dxa"/>
          <w:trHeight w:val="569" w:hRule="atLeast"/>
          <w:jc w:val="center"/>
        </w:trPr>
        <w:tc>
          <w:tcPr>
            <w:tcW w:w="900" w:type="dxa"/>
            <w:vMerge w:val="continue"/>
            <w:tcBorders>
              <w:top w:val="nil"/>
              <w:left w:val="single" w:color="000000" w:sz="4" w:space="0"/>
              <w:bottom w:val="single" w:color="000000" w:sz="4" w:space="0"/>
              <w:right w:val="single" w:color="000000" w:sz="4" w:space="0"/>
            </w:tcBorders>
            <w:shd w:val="clear" w:color="auto" w:fill="auto"/>
            <w:vAlign w:val="center"/>
          </w:tcPr>
          <w:p w14:paraId="580F98A3">
            <w:pPr>
              <w:jc w:val="center"/>
              <w:rPr>
                <w:rFonts w:hint="eastAsia" w:ascii="宋体" w:hAnsi="宋体" w:eastAsia="宋体" w:cs="宋体"/>
                <w:i w:val="0"/>
                <w:iCs w:val="0"/>
                <w:color w:val="000000"/>
                <w:sz w:val="18"/>
                <w:szCs w:val="18"/>
                <w:u w:val="none"/>
              </w:rPr>
            </w:pPr>
          </w:p>
        </w:tc>
        <w:tc>
          <w:tcPr>
            <w:tcW w:w="9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D3A7E">
            <w:pPr>
              <w:jc w:val="left"/>
              <w:rPr>
                <w:rFonts w:hint="eastAsia" w:ascii="宋体" w:hAnsi="宋体" w:eastAsia="宋体" w:cs="宋体"/>
                <w:i w:val="0"/>
                <w:iCs w:val="0"/>
                <w:color w:val="000000"/>
                <w:sz w:val="18"/>
                <w:szCs w:val="18"/>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1DD3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1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07F1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提升群众对供销社认可度</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418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9B5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15C04">
            <w:pPr>
              <w:jc w:val="left"/>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C05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6EB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r>
      <w:tr w14:paraId="44AFE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1426" w:type="dxa"/>
          <w:trHeight w:val="569" w:hRule="atLeast"/>
          <w:jc w:val="center"/>
        </w:trPr>
        <w:tc>
          <w:tcPr>
            <w:tcW w:w="900" w:type="dxa"/>
            <w:vMerge w:val="continue"/>
            <w:tcBorders>
              <w:top w:val="nil"/>
              <w:left w:val="single" w:color="000000" w:sz="4" w:space="0"/>
              <w:bottom w:val="single" w:color="000000" w:sz="4" w:space="0"/>
              <w:right w:val="single" w:color="000000" w:sz="4" w:space="0"/>
            </w:tcBorders>
            <w:shd w:val="clear" w:color="auto" w:fill="auto"/>
            <w:vAlign w:val="center"/>
          </w:tcPr>
          <w:p w14:paraId="5DCCF278">
            <w:pPr>
              <w:jc w:val="center"/>
              <w:rPr>
                <w:rFonts w:hint="eastAsia" w:ascii="宋体" w:hAnsi="宋体" w:eastAsia="宋体" w:cs="宋体"/>
                <w:i w:val="0"/>
                <w:iCs w:val="0"/>
                <w:color w:val="000000"/>
                <w:sz w:val="18"/>
                <w:szCs w:val="18"/>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D9D5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8223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1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A5F4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农民满意度</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1DF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8E3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0F4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3EE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F51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r>
      <w:tr w14:paraId="03F91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1426" w:type="dxa"/>
          <w:trHeight w:val="569" w:hRule="atLeast"/>
          <w:jc w:val="center"/>
        </w:trPr>
        <w:tc>
          <w:tcPr>
            <w:tcW w:w="900" w:type="dxa"/>
            <w:vMerge w:val="continue"/>
            <w:tcBorders>
              <w:top w:val="nil"/>
              <w:left w:val="single" w:color="000000" w:sz="4" w:space="0"/>
              <w:bottom w:val="single" w:color="000000" w:sz="4" w:space="0"/>
              <w:right w:val="single" w:color="000000" w:sz="4" w:space="0"/>
            </w:tcBorders>
            <w:shd w:val="clear" w:color="auto" w:fill="auto"/>
            <w:vAlign w:val="center"/>
          </w:tcPr>
          <w:p w14:paraId="69F8CC9D">
            <w:pPr>
              <w:jc w:val="center"/>
              <w:rPr>
                <w:rFonts w:hint="eastAsia" w:ascii="宋体" w:hAnsi="宋体" w:eastAsia="宋体" w:cs="宋体"/>
                <w:i w:val="0"/>
                <w:iCs w:val="0"/>
                <w:color w:val="000000"/>
                <w:sz w:val="18"/>
                <w:szCs w:val="18"/>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501D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267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1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044B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开展综合改革培训伙食费</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B57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9D6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B49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元/天</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FC2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2C1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100元</w:t>
            </w:r>
          </w:p>
        </w:tc>
      </w:tr>
    </w:tbl>
    <w:p w14:paraId="51E5CCE7">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sectPr>
          <w:footerReference r:id="rId7" w:type="first"/>
          <w:footerReference r:id="rId6" w:type="default"/>
          <w:pgSz w:w="11906" w:h="16838"/>
          <w:pgMar w:top="2098" w:right="1531" w:bottom="1984" w:left="1531" w:header="851" w:footer="992" w:gutter="0"/>
          <w:pgNumType w:fmt="numberInDash" w:start="1"/>
          <w:cols w:space="425" w:num="1"/>
          <w:titlePg/>
          <w:docGrid w:type="lines" w:linePitch="312" w:charSpace="0"/>
        </w:sectPr>
      </w:pPr>
    </w:p>
    <w:p w14:paraId="37A87B25">
      <w:pPr>
        <w:keepNext w:val="0"/>
        <w:keepLines w:val="0"/>
        <w:pageBreakBefore w:val="0"/>
        <w:kinsoku/>
        <w:wordWrap/>
        <w:overflowPunct/>
        <w:topLinePunct w:val="0"/>
        <w:autoSpaceDE/>
        <w:autoSpaceDN/>
        <w:bidi w:val="0"/>
        <w:spacing w:line="578" w:lineRule="exact"/>
        <w:jc w:val="left"/>
        <w:textAlignment w:val="auto"/>
        <w:rPr>
          <w:rFonts w:hint="eastAsia" w:eastAsia="黑体" w:cs="Times New Roman"/>
          <w:kern w:val="2"/>
          <w:sz w:val="32"/>
          <w:szCs w:val="24"/>
          <w:highlight w:val="none"/>
          <w:lang w:val="en-US" w:eastAsia="zh-CN" w:bidi="ar-SA"/>
        </w:rPr>
      </w:pPr>
      <w:r>
        <w:rPr>
          <w:rFonts w:hint="eastAsia" w:eastAsia="黑体"/>
          <w:lang w:eastAsia="zh-CN"/>
        </w:rPr>
        <w:drawing>
          <wp:anchor distT="0" distB="0" distL="114300" distR="114300" simplePos="0" relativeHeight="251665408" behindDoc="0" locked="0" layoutInCell="1" allowOverlap="1">
            <wp:simplePos x="0" y="0"/>
            <wp:positionH relativeFrom="column">
              <wp:posOffset>-12700</wp:posOffset>
            </wp:positionH>
            <wp:positionV relativeFrom="paragraph">
              <wp:posOffset>354965</wp:posOffset>
            </wp:positionV>
            <wp:extent cx="9098915" cy="5727700"/>
            <wp:effectExtent l="0" t="0" r="6985" b="6350"/>
            <wp:wrapNone/>
            <wp:docPr id="8" name="图片 8" descr="附表3州供销社部门预算项目支出绩效自评表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附表3州供销社部门预算项目支出绩效自评表_页面_1"/>
                    <pic:cNvPicPr>
                      <a:picLocks noChangeAspect="1"/>
                    </pic:cNvPicPr>
                  </pic:nvPicPr>
                  <pic:blipFill>
                    <a:blip r:embed="rId16"/>
                    <a:srcRect l="-422" t="3539" r="422" b="7455"/>
                    <a:stretch>
                      <a:fillRect/>
                    </a:stretch>
                  </pic:blipFill>
                  <pic:spPr>
                    <a:xfrm>
                      <a:off x="0" y="0"/>
                      <a:ext cx="9098915" cy="5727700"/>
                    </a:xfrm>
                    <a:prstGeom prst="rect">
                      <a:avLst/>
                    </a:prstGeom>
                  </pic:spPr>
                </pic:pic>
              </a:graphicData>
            </a:graphic>
          </wp:anchor>
        </w:drawing>
      </w:r>
      <w:r>
        <w:rPr>
          <w:rFonts w:hint="default" w:ascii="Times New Roman" w:hAnsi="Times New Roman" w:eastAsia="黑体" w:cs="Times New Roman"/>
          <w:kern w:val="2"/>
          <w:sz w:val="32"/>
          <w:szCs w:val="24"/>
          <w:highlight w:val="none"/>
          <w:lang w:val="en-US" w:eastAsia="zh-CN" w:bidi="ar-SA"/>
        </w:rPr>
        <w:t>附表</w:t>
      </w:r>
      <w:r>
        <w:rPr>
          <w:rFonts w:hint="eastAsia" w:eastAsia="黑体" w:cs="Times New Roman"/>
          <w:kern w:val="2"/>
          <w:sz w:val="32"/>
          <w:szCs w:val="24"/>
          <w:highlight w:val="none"/>
          <w:lang w:val="en-US" w:eastAsia="zh-CN" w:bidi="ar-SA"/>
        </w:rPr>
        <w:t xml:space="preserve"> 3</w:t>
      </w:r>
      <w:bookmarkStart w:id="47" w:name="_Toc15396618"/>
    </w:p>
    <w:p w14:paraId="0B0183B2">
      <w:pPr>
        <w:pStyle w:val="2"/>
        <w:rPr>
          <w:rFonts w:hint="eastAsia"/>
        </w:rPr>
      </w:pPr>
      <w:r>
        <w:rPr>
          <w:rFonts w:hint="eastAsia"/>
        </w:rPr>
        <w:br w:type="page"/>
      </w:r>
    </w:p>
    <w:p w14:paraId="5DF2A779">
      <w:pPr>
        <w:pStyle w:val="2"/>
        <w:rPr>
          <w:rFonts w:hint="eastAsia" w:eastAsia="黑体"/>
          <w:lang w:eastAsia="zh-CN"/>
        </w:rPr>
      </w:pPr>
      <w:r>
        <w:rPr>
          <w:rFonts w:hint="eastAsia" w:eastAsia="黑体"/>
          <w:lang w:eastAsia="zh-CN"/>
        </w:rPr>
        <w:drawing>
          <wp:anchor distT="0" distB="0" distL="114300" distR="114300" simplePos="0" relativeHeight="251666432" behindDoc="0" locked="0" layoutInCell="1" allowOverlap="1">
            <wp:simplePos x="0" y="0"/>
            <wp:positionH relativeFrom="column">
              <wp:posOffset>38100</wp:posOffset>
            </wp:positionH>
            <wp:positionV relativeFrom="paragraph">
              <wp:posOffset>-117475</wp:posOffset>
            </wp:positionV>
            <wp:extent cx="9136380" cy="6062345"/>
            <wp:effectExtent l="0" t="0" r="7620" b="14605"/>
            <wp:wrapNone/>
            <wp:docPr id="12" name="图片 12" descr="附表3州供销社部门预算项目支出绩效自评表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附表3州供销社部门预算项目支出绩效自评表_页面_2"/>
                    <pic:cNvPicPr>
                      <a:picLocks noChangeAspect="1"/>
                    </pic:cNvPicPr>
                  </pic:nvPicPr>
                  <pic:blipFill>
                    <a:blip r:embed="rId17"/>
                    <a:srcRect b="6190"/>
                    <a:stretch>
                      <a:fillRect/>
                    </a:stretch>
                  </pic:blipFill>
                  <pic:spPr>
                    <a:xfrm>
                      <a:off x="0" y="0"/>
                      <a:ext cx="9136380" cy="6062345"/>
                    </a:xfrm>
                    <a:prstGeom prst="rect">
                      <a:avLst/>
                    </a:prstGeom>
                  </pic:spPr>
                </pic:pic>
              </a:graphicData>
            </a:graphic>
          </wp:anchor>
        </w:drawing>
      </w:r>
    </w:p>
    <w:p w14:paraId="4B5CE4B6">
      <w:pPr>
        <w:pStyle w:val="2"/>
        <w:rPr>
          <w:rFonts w:hint="eastAsia" w:eastAsia="黑体"/>
          <w:lang w:eastAsia="zh-CN"/>
        </w:rPr>
      </w:pPr>
      <w:r>
        <w:rPr>
          <w:rFonts w:hint="eastAsia" w:eastAsia="黑体"/>
          <w:lang w:eastAsia="zh-CN"/>
        </w:rPr>
        <w:br w:type="page"/>
      </w:r>
    </w:p>
    <w:p w14:paraId="756667F5">
      <w:pPr>
        <w:rPr>
          <w:rFonts w:hint="eastAsia"/>
          <w:lang w:eastAsia="zh-CN"/>
        </w:rPr>
      </w:pPr>
      <w:r>
        <w:rPr>
          <w:rFonts w:hint="eastAsia" w:eastAsia="黑体"/>
          <w:sz w:val="44"/>
          <w:szCs w:val="44"/>
        </w:rPr>
        <w:drawing>
          <wp:anchor distT="0" distB="0" distL="114300" distR="114300" simplePos="0" relativeHeight="251667456" behindDoc="0" locked="0" layoutInCell="1" allowOverlap="1">
            <wp:simplePos x="0" y="0"/>
            <wp:positionH relativeFrom="column">
              <wp:posOffset>-127000</wp:posOffset>
            </wp:positionH>
            <wp:positionV relativeFrom="paragraph">
              <wp:posOffset>-344805</wp:posOffset>
            </wp:positionV>
            <wp:extent cx="9220200" cy="6165215"/>
            <wp:effectExtent l="0" t="0" r="0" b="6985"/>
            <wp:wrapNone/>
            <wp:docPr id="13" name="图片 13" descr="附表3州供销社部门预算项目支出绩效自评表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附表3州供销社部门预算项目支出绩效自评表_页面_3"/>
                    <pic:cNvPicPr>
                      <a:picLocks noChangeAspect="1"/>
                    </pic:cNvPicPr>
                  </pic:nvPicPr>
                  <pic:blipFill>
                    <a:blip r:embed="rId18"/>
                    <a:srcRect b="5462"/>
                    <a:stretch>
                      <a:fillRect/>
                    </a:stretch>
                  </pic:blipFill>
                  <pic:spPr>
                    <a:xfrm>
                      <a:off x="0" y="0"/>
                      <a:ext cx="9220200" cy="6165215"/>
                    </a:xfrm>
                    <a:prstGeom prst="rect">
                      <a:avLst/>
                    </a:prstGeom>
                  </pic:spPr>
                </pic:pic>
              </a:graphicData>
            </a:graphic>
          </wp:anchor>
        </w:drawing>
      </w:r>
    </w:p>
    <w:p w14:paraId="386EBC0A">
      <w:pPr>
        <w:rPr>
          <w:rFonts w:hint="eastAsia"/>
        </w:rPr>
      </w:pPr>
    </w:p>
    <w:p w14:paraId="4E6EC0AC">
      <w:pPr>
        <w:pageBreakBefore w:val="0"/>
        <w:widowControl w:val="0"/>
        <w:wordWrap/>
        <w:overflowPunct w:val="0"/>
        <w:topLinePunct w:val="0"/>
        <w:bidi w:val="0"/>
        <w:jc w:val="center"/>
        <w:rPr>
          <w:rFonts w:hint="eastAsia" w:eastAsia="黑体"/>
          <w:sz w:val="44"/>
          <w:szCs w:val="44"/>
        </w:rPr>
      </w:pPr>
    </w:p>
    <w:p w14:paraId="4A78F134">
      <w:pPr>
        <w:pageBreakBefore w:val="0"/>
        <w:widowControl w:val="0"/>
        <w:wordWrap/>
        <w:overflowPunct w:val="0"/>
        <w:topLinePunct w:val="0"/>
        <w:bidi w:val="0"/>
        <w:jc w:val="center"/>
        <w:rPr>
          <w:rFonts w:hint="eastAsia" w:eastAsia="黑体"/>
          <w:sz w:val="44"/>
          <w:szCs w:val="44"/>
        </w:rPr>
      </w:pPr>
      <w:r>
        <w:rPr>
          <w:rFonts w:hint="eastAsia" w:eastAsia="黑体"/>
          <w:sz w:val="44"/>
          <w:szCs w:val="44"/>
        </w:rPr>
        <w:br w:type="page"/>
      </w:r>
    </w:p>
    <w:p w14:paraId="0CFA3668">
      <w:pPr>
        <w:pStyle w:val="2"/>
        <w:rPr>
          <w:rFonts w:hint="eastAsia"/>
        </w:rPr>
      </w:pPr>
      <w:r>
        <w:rPr>
          <w:rFonts w:hint="eastAsia" w:eastAsia="黑体"/>
          <w:lang w:eastAsia="zh-CN"/>
        </w:rPr>
        <w:drawing>
          <wp:anchor distT="0" distB="0" distL="114300" distR="114300" simplePos="0" relativeHeight="251668480" behindDoc="0" locked="0" layoutInCell="1" allowOverlap="1">
            <wp:simplePos x="0" y="0"/>
            <wp:positionH relativeFrom="column">
              <wp:posOffset>-60325</wp:posOffset>
            </wp:positionH>
            <wp:positionV relativeFrom="paragraph">
              <wp:posOffset>-384810</wp:posOffset>
            </wp:positionV>
            <wp:extent cx="9379585" cy="6271895"/>
            <wp:effectExtent l="0" t="0" r="12065" b="14605"/>
            <wp:wrapNone/>
            <wp:docPr id="14" name="图片 14" descr="附表3州供销社部门预算项目支出绩效自评表_页面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附表3州供销社部门预算项目支出绩效自评表_页面_4"/>
                    <pic:cNvPicPr>
                      <a:picLocks noChangeAspect="1"/>
                    </pic:cNvPicPr>
                  </pic:nvPicPr>
                  <pic:blipFill>
                    <a:blip r:embed="rId19"/>
                    <a:srcRect b="5462"/>
                    <a:stretch>
                      <a:fillRect/>
                    </a:stretch>
                  </pic:blipFill>
                  <pic:spPr>
                    <a:xfrm>
                      <a:off x="0" y="0"/>
                      <a:ext cx="9379585" cy="6271895"/>
                    </a:xfrm>
                    <a:prstGeom prst="rect">
                      <a:avLst/>
                    </a:prstGeom>
                  </pic:spPr>
                </pic:pic>
              </a:graphicData>
            </a:graphic>
          </wp:anchor>
        </w:drawing>
      </w:r>
      <w:r>
        <w:rPr>
          <w:rFonts w:hint="eastAsia"/>
        </w:rPr>
        <w:br w:type="page"/>
      </w:r>
    </w:p>
    <w:p w14:paraId="2310AEE1">
      <w:pPr>
        <w:pStyle w:val="2"/>
        <w:rPr>
          <w:rFonts w:hint="eastAsia" w:eastAsia="黑体"/>
          <w:lang w:eastAsia="zh-CN"/>
        </w:rPr>
      </w:pPr>
      <w:r>
        <w:rPr>
          <w:rFonts w:hint="eastAsia" w:eastAsia="宋体"/>
          <w:lang w:eastAsia="zh-CN"/>
        </w:rPr>
        <w:drawing>
          <wp:anchor distT="0" distB="0" distL="114300" distR="114300" simplePos="0" relativeHeight="251669504" behindDoc="0" locked="0" layoutInCell="1" allowOverlap="1">
            <wp:simplePos x="0" y="0"/>
            <wp:positionH relativeFrom="column">
              <wp:posOffset>-250825</wp:posOffset>
            </wp:positionH>
            <wp:positionV relativeFrom="paragraph">
              <wp:posOffset>-432435</wp:posOffset>
            </wp:positionV>
            <wp:extent cx="9525635" cy="6304280"/>
            <wp:effectExtent l="0" t="0" r="18415" b="1270"/>
            <wp:wrapNone/>
            <wp:docPr id="15" name="图片 15" descr="附表3州供销社部门预算项目支出绩效自评表_页面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附表3州供销社部门预算项目支出绩效自评表_页面_5"/>
                    <pic:cNvPicPr>
                      <a:picLocks noChangeAspect="1"/>
                    </pic:cNvPicPr>
                  </pic:nvPicPr>
                  <pic:blipFill>
                    <a:blip r:embed="rId20"/>
                    <a:srcRect b="6426"/>
                    <a:stretch>
                      <a:fillRect/>
                    </a:stretch>
                  </pic:blipFill>
                  <pic:spPr>
                    <a:xfrm>
                      <a:off x="0" y="0"/>
                      <a:ext cx="9525635" cy="6304280"/>
                    </a:xfrm>
                    <a:prstGeom prst="rect">
                      <a:avLst/>
                    </a:prstGeom>
                  </pic:spPr>
                </pic:pic>
              </a:graphicData>
            </a:graphic>
          </wp:anchor>
        </w:drawing>
      </w:r>
    </w:p>
    <w:p w14:paraId="03F6BFEB">
      <w:pPr>
        <w:rPr>
          <w:rFonts w:hint="eastAsia"/>
        </w:rPr>
      </w:pPr>
      <w:r>
        <w:rPr>
          <w:rFonts w:hint="eastAsia"/>
        </w:rPr>
        <w:br w:type="page"/>
      </w:r>
    </w:p>
    <w:p w14:paraId="3DD9B8E6">
      <w:pPr>
        <w:rPr>
          <w:rFonts w:hint="eastAsia" w:eastAsia="宋体"/>
          <w:lang w:eastAsia="zh-CN"/>
        </w:rPr>
      </w:pPr>
      <w:r>
        <w:rPr>
          <w:rFonts w:hint="eastAsia" w:eastAsia="黑体"/>
          <w:lang w:eastAsia="zh-CN"/>
        </w:rPr>
        <w:drawing>
          <wp:anchor distT="0" distB="0" distL="114300" distR="114300" simplePos="0" relativeHeight="251670528" behindDoc="0" locked="0" layoutInCell="1" allowOverlap="1">
            <wp:simplePos x="0" y="0"/>
            <wp:positionH relativeFrom="column">
              <wp:posOffset>-98425</wp:posOffset>
            </wp:positionH>
            <wp:positionV relativeFrom="paragraph">
              <wp:posOffset>-422910</wp:posOffset>
            </wp:positionV>
            <wp:extent cx="9373235" cy="6309995"/>
            <wp:effectExtent l="0" t="0" r="18415" b="14605"/>
            <wp:wrapNone/>
            <wp:docPr id="16" name="图片 16" descr="附表3州供销社部门预算项目支出绩效自评表_页面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附表3州供销社部门预算项目支出绩效自评表_页面_6"/>
                    <pic:cNvPicPr>
                      <a:picLocks noChangeAspect="1"/>
                    </pic:cNvPicPr>
                  </pic:nvPicPr>
                  <pic:blipFill>
                    <a:blip r:embed="rId21"/>
                    <a:srcRect b="4820"/>
                    <a:stretch>
                      <a:fillRect/>
                    </a:stretch>
                  </pic:blipFill>
                  <pic:spPr>
                    <a:xfrm>
                      <a:off x="0" y="0"/>
                      <a:ext cx="9373235" cy="6309995"/>
                    </a:xfrm>
                    <a:prstGeom prst="rect">
                      <a:avLst/>
                    </a:prstGeom>
                  </pic:spPr>
                </pic:pic>
              </a:graphicData>
            </a:graphic>
          </wp:anchor>
        </w:drawing>
      </w:r>
    </w:p>
    <w:p w14:paraId="6C3087EE">
      <w:pPr>
        <w:pStyle w:val="2"/>
        <w:rPr>
          <w:rFonts w:hint="eastAsia"/>
        </w:rPr>
      </w:pPr>
      <w:r>
        <w:rPr>
          <w:rFonts w:hint="eastAsia"/>
        </w:rPr>
        <w:br w:type="page"/>
      </w:r>
    </w:p>
    <w:p w14:paraId="08EB3749">
      <w:pPr>
        <w:pStyle w:val="2"/>
        <w:rPr>
          <w:rFonts w:hint="eastAsia" w:eastAsia="黑体"/>
          <w:lang w:eastAsia="zh-CN"/>
        </w:rPr>
      </w:pPr>
      <w:r>
        <w:rPr>
          <w:rFonts w:hint="eastAsia" w:eastAsia="宋体"/>
          <w:lang w:eastAsia="zh-CN"/>
        </w:rPr>
        <w:drawing>
          <wp:anchor distT="0" distB="0" distL="114300" distR="114300" simplePos="0" relativeHeight="251671552" behindDoc="0" locked="0" layoutInCell="1" allowOverlap="1">
            <wp:simplePos x="0" y="0"/>
            <wp:positionH relativeFrom="column">
              <wp:posOffset>-190500</wp:posOffset>
            </wp:positionH>
            <wp:positionV relativeFrom="paragraph">
              <wp:posOffset>-393065</wp:posOffset>
            </wp:positionV>
            <wp:extent cx="9429750" cy="6369685"/>
            <wp:effectExtent l="0" t="0" r="0" b="12065"/>
            <wp:wrapNone/>
            <wp:docPr id="17" name="图片 17" descr="附表3州供销社部门预算项目支出绩效自评表_页面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附表3州供销社部门预算项目支出绩效自评表_页面_7"/>
                    <pic:cNvPicPr>
                      <a:picLocks noChangeAspect="1"/>
                    </pic:cNvPicPr>
                  </pic:nvPicPr>
                  <pic:blipFill>
                    <a:blip r:embed="rId22"/>
                    <a:srcRect b="4498"/>
                    <a:stretch>
                      <a:fillRect/>
                    </a:stretch>
                  </pic:blipFill>
                  <pic:spPr>
                    <a:xfrm>
                      <a:off x="0" y="0"/>
                      <a:ext cx="9429750" cy="6369685"/>
                    </a:xfrm>
                    <a:prstGeom prst="rect">
                      <a:avLst/>
                    </a:prstGeom>
                  </pic:spPr>
                </pic:pic>
              </a:graphicData>
            </a:graphic>
          </wp:anchor>
        </w:drawing>
      </w:r>
    </w:p>
    <w:p w14:paraId="387940AF">
      <w:pPr>
        <w:rPr>
          <w:rFonts w:hint="eastAsia" w:eastAsia="宋体"/>
          <w:lang w:eastAsia="zh-CN"/>
        </w:rPr>
        <w:sectPr>
          <w:pgSz w:w="16838" w:h="11906" w:orient="landscape"/>
          <w:pgMar w:top="1134" w:right="1134" w:bottom="1134" w:left="1134" w:header="851" w:footer="992" w:gutter="0"/>
          <w:pgNumType w:fmt="numberInDash"/>
          <w:cols w:space="0" w:num="1"/>
          <w:titlePg/>
          <w:rtlGutter w:val="0"/>
          <w:docGrid w:type="lines" w:linePitch="321" w:charSpace="0"/>
        </w:sectPr>
      </w:pPr>
    </w:p>
    <w:p w14:paraId="26E63453">
      <w:pPr>
        <w:pageBreakBefore w:val="0"/>
        <w:widowControl w:val="0"/>
        <w:wordWrap/>
        <w:overflowPunct w:val="0"/>
        <w:topLinePunct w:val="0"/>
        <w:bidi w:val="0"/>
        <w:jc w:val="center"/>
        <w:rPr>
          <w:rFonts w:eastAsia="仿宋"/>
        </w:rPr>
      </w:pPr>
      <w:r>
        <w:rPr>
          <w:rFonts w:hint="eastAsia" w:eastAsia="黑体"/>
          <w:sz w:val="44"/>
          <w:szCs w:val="44"/>
        </w:rPr>
        <w:t>第</w:t>
      </w:r>
      <w:r>
        <w:rPr>
          <w:rStyle w:val="22"/>
          <w:rFonts w:hint="eastAsia" w:eastAsia="黑体"/>
          <w:b w:val="0"/>
        </w:rPr>
        <w:t>五部分 附表</w:t>
      </w:r>
      <w:bookmarkEnd w:id="45"/>
      <w:bookmarkEnd w:id="47"/>
      <w:bookmarkStart w:id="48" w:name="_Toc15396619"/>
    </w:p>
    <w:p w14:paraId="5EB473C4">
      <w:pPr>
        <w:pStyle w:val="16"/>
        <w:pageBreakBefore w:val="0"/>
        <w:widowControl w:val="0"/>
        <w:wordWrap/>
        <w:overflowPunct w:val="0"/>
        <w:topLinePunct w:val="0"/>
        <w:bidi w:val="0"/>
        <w:adjustRightInd w:val="0"/>
        <w:snapToGrid w:val="0"/>
        <w:spacing w:line="560" w:lineRule="exact"/>
        <w:jc w:val="left"/>
        <w:rPr>
          <w:rFonts w:eastAsia="仿宋_GB2312" w:cs="仿宋_GB2312"/>
          <w:sz w:val="32"/>
          <w:szCs w:val="32"/>
        </w:rPr>
      </w:pPr>
    </w:p>
    <w:p w14:paraId="27CAA392">
      <w:pPr>
        <w:pStyle w:val="16"/>
        <w:pageBreakBefore w:val="0"/>
        <w:widowControl w:val="0"/>
        <w:wordWrap/>
        <w:overflowPunct w:val="0"/>
        <w:topLinePunct w:val="0"/>
        <w:bidi w:val="0"/>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48"/>
    </w:p>
    <w:p w14:paraId="072B4FB6">
      <w:pPr>
        <w:pStyle w:val="16"/>
        <w:pageBreakBefore w:val="0"/>
        <w:widowControl w:val="0"/>
        <w:wordWrap/>
        <w:overflowPunct w:val="0"/>
        <w:topLinePunct w:val="0"/>
        <w:bidi w:val="0"/>
        <w:adjustRightInd w:val="0"/>
        <w:snapToGrid w:val="0"/>
        <w:spacing w:line="560" w:lineRule="exact"/>
        <w:jc w:val="left"/>
        <w:rPr>
          <w:rFonts w:eastAsia="仿宋_GB2312" w:cs="仿宋_GB2312"/>
          <w:sz w:val="32"/>
          <w:szCs w:val="32"/>
        </w:rPr>
      </w:pPr>
      <w:bookmarkStart w:id="49" w:name="_Toc15396620"/>
      <w:r>
        <w:rPr>
          <w:rFonts w:hint="eastAsia" w:eastAsia="仿宋_GB2312" w:cs="仿宋_GB2312"/>
          <w:sz w:val="32"/>
          <w:szCs w:val="32"/>
        </w:rPr>
        <w:t>二、收入决算表</w:t>
      </w:r>
      <w:bookmarkEnd w:id="49"/>
    </w:p>
    <w:p w14:paraId="40870FC8">
      <w:pPr>
        <w:pStyle w:val="16"/>
        <w:pageBreakBefore w:val="0"/>
        <w:widowControl w:val="0"/>
        <w:wordWrap/>
        <w:overflowPunct w:val="0"/>
        <w:topLinePunct w:val="0"/>
        <w:bidi w:val="0"/>
        <w:adjustRightInd w:val="0"/>
        <w:snapToGrid w:val="0"/>
        <w:spacing w:line="560" w:lineRule="exact"/>
        <w:jc w:val="left"/>
        <w:rPr>
          <w:rFonts w:eastAsia="仿宋_GB2312" w:cs="仿宋_GB2312"/>
          <w:sz w:val="32"/>
          <w:szCs w:val="32"/>
        </w:rPr>
      </w:pPr>
      <w:bookmarkStart w:id="50" w:name="_Toc15396621"/>
      <w:r>
        <w:rPr>
          <w:rFonts w:hint="eastAsia" w:eastAsia="仿宋_GB2312" w:cs="仿宋_GB2312"/>
          <w:sz w:val="32"/>
          <w:szCs w:val="32"/>
        </w:rPr>
        <w:t>三、支出决算表</w:t>
      </w:r>
      <w:bookmarkEnd w:id="50"/>
    </w:p>
    <w:p w14:paraId="52126F95">
      <w:pPr>
        <w:pStyle w:val="16"/>
        <w:pageBreakBefore w:val="0"/>
        <w:widowControl w:val="0"/>
        <w:wordWrap/>
        <w:overflowPunct w:val="0"/>
        <w:topLinePunct w:val="0"/>
        <w:bidi w:val="0"/>
        <w:adjustRightInd w:val="0"/>
        <w:snapToGrid w:val="0"/>
        <w:spacing w:line="560" w:lineRule="exact"/>
        <w:jc w:val="left"/>
        <w:rPr>
          <w:rFonts w:eastAsia="仿宋_GB2312" w:cs="仿宋_GB2312"/>
          <w:sz w:val="32"/>
          <w:szCs w:val="32"/>
        </w:rPr>
      </w:pPr>
      <w:bookmarkStart w:id="51" w:name="_Toc15396622"/>
      <w:r>
        <w:rPr>
          <w:rFonts w:hint="eastAsia" w:eastAsia="仿宋_GB2312" w:cs="仿宋_GB2312"/>
          <w:sz w:val="32"/>
          <w:szCs w:val="32"/>
        </w:rPr>
        <w:t>四、财政拨款收入支出决算总表</w:t>
      </w:r>
      <w:bookmarkEnd w:id="51"/>
    </w:p>
    <w:p w14:paraId="6EB2E1FC">
      <w:pPr>
        <w:pStyle w:val="16"/>
        <w:pageBreakBefore w:val="0"/>
        <w:widowControl w:val="0"/>
        <w:wordWrap/>
        <w:overflowPunct w:val="0"/>
        <w:topLinePunct w:val="0"/>
        <w:bidi w:val="0"/>
        <w:adjustRightInd w:val="0"/>
        <w:snapToGrid w:val="0"/>
        <w:spacing w:line="560" w:lineRule="exact"/>
        <w:jc w:val="left"/>
        <w:rPr>
          <w:rFonts w:eastAsia="仿宋_GB2312" w:cs="仿宋_GB2312"/>
          <w:sz w:val="32"/>
          <w:szCs w:val="32"/>
        </w:rPr>
      </w:pPr>
      <w:bookmarkStart w:id="52" w:name="_Toc15396623"/>
      <w:r>
        <w:rPr>
          <w:rFonts w:hint="eastAsia" w:eastAsia="仿宋_GB2312" w:cs="仿宋_GB2312"/>
          <w:sz w:val="32"/>
          <w:szCs w:val="32"/>
        </w:rPr>
        <w:t>五、财政拨款支出决算明细表</w:t>
      </w:r>
      <w:bookmarkEnd w:id="52"/>
      <w:bookmarkStart w:id="53" w:name="_Toc15396624"/>
    </w:p>
    <w:p w14:paraId="60B77A14">
      <w:pPr>
        <w:pStyle w:val="16"/>
        <w:pageBreakBefore w:val="0"/>
        <w:widowControl w:val="0"/>
        <w:wordWrap/>
        <w:overflowPunct w:val="0"/>
        <w:topLinePunct w:val="0"/>
        <w:bidi w:val="0"/>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3"/>
    </w:p>
    <w:p w14:paraId="59B800CE">
      <w:pPr>
        <w:pStyle w:val="16"/>
        <w:pageBreakBefore w:val="0"/>
        <w:widowControl w:val="0"/>
        <w:wordWrap/>
        <w:overflowPunct w:val="0"/>
        <w:topLinePunct w:val="0"/>
        <w:bidi w:val="0"/>
        <w:adjustRightInd w:val="0"/>
        <w:snapToGrid w:val="0"/>
        <w:spacing w:line="560" w:lineRule="exact"/>
        <w:jc w:val="left"/>
        <w:rPr>
          <w:rFonts w:eastAsia="仿宋_GB2312" w:cs="仿宋_GB2312"/>
          <w:sz w:val="32"/>
          <w:szCs w:val="32"/>
        </w:rPr>
      </w:pPr>
      <w:bookmarkStart w:id="54" w:name="_Toc15396625"/>
      <w:r>
        <w:rPr>
          <w:rFonts w:hint="eastAsia" w:eastAsia="仿宋_GB2312" w:cs="仿宋_GB2312"/>
          <w:sz w:val="32"/>
          <w:szCs w:val="32"/>
        </w:rPr>
        <w:t>七、一般公共预算财政拨款支出决算明细表</w:t>
      </w:r>
      <w:bookmarkEnd w:id="54"/>
    </w:p>
    <w:p w14:paraId="5FA16D18">
      <w:pPr>
        <w:pStyle w:val="16"/>
        <w:pageBreakBefore w:val="0"/>
        <w:widowControl w:val="0"/>
        <w:wordWrap/>
        <w:overflowPunct w:val="0"/>
        <w:topLinePunct w:val="0"/>
        <w:bidi w:val="0"/>
        <w:adjustRightInd w:val="0"/>
        <w:snapToGrid w:val="0"/>
        <w:spacing w:line="560" w:lineRule="exact"/>
        <w:jc w:val="left"/>
        <w:rPr>
          <w:rFonts w:eastAsia="仿宋_GB2312" w:cs="仿宋_GB2312"/>
          <w:sz w:val="32"/>
          <w:szCs w:val="32"/>
        </w:rPr>
      </w:pPr>
      <w:bookmarkStart w:id="55" w:name="_Toc15396626"/>
      <w:r>
        <w:rPr>
          <w:rFonts w:hint="eastAsia" w:eastAsia="仿宋_GB2312" w:cs="仿宋_GB2312"/>
          <w:sz w:val="32"/>
          <w:szCs w:val="32"/>
        </w:rPr>
        <w:t>八、一般公共预算财政拨款基本支出决算表</w:t>
      </w:r>
      <w:bookmarkEnd w:id="55"/>
    </w:p>
    <w:p w14:paraId="1F0D3D76">
      <w:pPr>
        <w:pStyle w:val="16"/>
        <w:pageBreakBefore w:val="0"/>
        <w:widowControl w:val="0"/>
        <w:wordWrap/>
        <w:overflowPunct w:val="0"/>
        <w:topLinePunct w:val="0"/>
        <w:bidi w:val="0"/>
        <w:adjustRightInd w:val="0"/>
        <w:snapToGrid w:val="0"/>
        <w:spacing w:line="560" w:lineRule="exact"/>
        <w:jc w:val="left"/>
        <w:rPr>
          <w:rFonts w:eastAsia="仿宋_GB2312" w:cs="仿宋_GB2312"/>
          <w:sz w:val="32"/>
          <w:szCs w:val="32"/>
        </w:rPr>
      </w:pPr>
      <w:bookmarkStart w:id="56" w:name="_Toc15396627"/>
      <w:r>
        <w:rPr>
          <w:rFonts w:hint="eastAsia" w:eastAsia="仿宋_GB2312" w:cs="仿宋_GB2312"/>
          <w:sz w:val="32"/>
          <w:szCs w:val="32"/>
        </w:rPr>
        <w:t>九、一般公共预算财政拨款项目支出决算表</w:t>
      </w:r>
      <w:bookmarkEnd w:id="56"/>
    </w:p>
    <w:p w14:paraId="29AADB44">
      <w:pPr>
        <w:pStyle w:val="16"/>
        <w:pageBreakBefore w:val="0"/>
        <w:widowControl w:val="0"/>
        <w:wordWrap/>
        <w:overflowPunct w:val="0"/>
        <w:topLinePunct w:val="0"/>
        <w:bidi w:val="0"/>
        <w:adjustRightInd w:val="0"/>
        <w:snapToGrid w:val="0"/>
        <w:spacing w:line="560" w:lineRule="exact"/>
        <w:jc w:val="left"/>
        <w:rPr>
          <w:rFonts w:eastAsia="仿宋_GB2312" w:cs="仿宋_GB2312"/>
          <w:sz w:val="32"/>
          <w:szCs w:val="32"/>
        </w:rPr>
      </w:pPr>
      <w:bookmarkStart w:id="57" w:name="_Toc15396628"/>
      <w:r>
        <w:rPr>
          <w:rFonts w:hint="eastAsia" w:eastAsia="仿宋_GB2312" w:cs="仿宋_GB2312"/>
          <w:sz w:val="32"/>
          <w:szCs w:val="32"/>
        </w:rPr>
        <w:t>十、</w:t>
      </w:r>
      <w:bookmarkEnd w:id="57"/>
      <w:r>
        <w:rPr>
          <w:rFonts w:hint="eastAsia" w:eastAsia="仿宋_GB2312" w:cs="仿宋_GB2312"/>
          <w:sz w:val="32"/>
          <w:szCs w:val="32"/>
        </w:rPr>
        <w:t>政府性基金预算财政拨款收入支出决算表</w:t>
      </w:r>
    </w:p>
    <w:p w14:paraId="3D7444BA">
      <w:pPr>
        <w:pStyle w:val="16"/>
        <w:pageBreakBefore w:val="0"/>
        <w:widowControl w:val="0"/>
        <w:wordWrap/>
        <w:overflowPunct w:val="0"/>
        <w:topLinePunct w:val="0"/>
        <w:bidi w:val="0"/>
        <w:adjustRightInd w:val="0"/>
        <w:snapToGrid w:val="0"/>
        <w:spacing w:line="560" w:lineRule="exact"/>
        <w:jc w:val="left"/>
        <w:rPr>
          <w:rFonts w:eastAsia="仿宋_GB2312" w:cs="仿宋_GB2312"/>
          <w:sz w:val="32"/>
          <w:szCs w:val="32"/>
        </w:rPr>
      </w:pPr>
      <w:bookmarkStart w:id="58" w:name="_Toc15396629"/>
      <w:r>
        <w:rPr>
          <w:rFonts w:hint="eastAsia" w:eastAsia="仿宋_GB2312" w:cs="仿宋_GB2312"/>
          <w:sz w:val="32"/>
          <w:szCs w:val="32"/>
        </w:rPr>
        <w:t>十一、</w:t>
      </w:r>
      <w:bookmarkEnd w:id="58"/>
      <w:r>
        <w:rPr>
          <w:rFonts w:hint="eastAsia" w:eastAsia="仿宋_GB2312" w:cs="仿宋_GB2312"/>
          <w:sz w:val="32"/>
          <w:szCs w:val="32"/>
        </w:rPr>
        <w:t>国有资本经营预算财政拨款收入支出决算表</w:t>
      </w:r>
    </w:p>
    <w:p w14:paraId="6D8F7A38">
      <w:pPr>
        <w:pStyle w:val="16"/>
        <w:pageBreakBefore w:val="0"/>
        <w:widowControl w:val="0"/>
        <w:wordWrap/>
        <w:overflowPunct w:val="0"/>
        <w:topLinePunct w:val="0"/>
        <w:bidi w:val="0"/>
        <w:adjustRightInd w:val="0"/>
        <w:snapToGrid w:val="0"/>
        <w:spacing w:line="560" w:lineRule="exact"/>
        <w:jc w:val="left"/>
        <w:rPr>
          <w:rFonts w:eastAsia="仿宋_GB2312" w:cs="仿宋_GB2312"/>
          <w:sz w:val="32"/>
          <w:szCs w:val="32"/>
        </w:rPr>
      </w:pPr>
      <w:bookmarkStart w:id="59" w:name="_Toc15396630"/>
      <w:r>
        <w:rPr>
          <w:rFonts w:hint="eastAsia" w:eastAsia="仿宋_GB2312" w:cs="仿宋_GB2312"/>
          <w:sz w:val="32"/>
          <w:szCs w:val="32"/>
        </w:rPr>
        <w:t>十二、</w:t>
      </w:r>
      <w:bookmarkEnd w:id="59"/>
      <w:r>
        <w:rPr>
          <w:rFonts w:hint="eastAsia" w:eastAsia="仿宋_GB2312" w:cs="仿宋_GB2312"/>
          <w:sz w:val="32"/>
          <w:szCs w:val="32"/>
        </w:rPr>
        <w:t>国有资本经营预算财政拨款支出决算表</w:t>
      </w:r>
    </w:p>
    <w:p w14:paraId="7D69D7D0">
      <w:pPr>
        <w:pStyle w:val="16"/>
        <w:pageBreakBefore w:val="0"/>
        <w:widowControl w:val="0"/>
        <w:wordWrap/>
        <w:overflowPunct w:val="0"/>
        <w:topLinePunct w:val="0"/>
        <w:bidi w:val="0"/>
        <w:adjustRightInd w:val="0"/>
        <w:snapToGrid w:val="0"/>
        <w:spacing w:line="560" w:lineRule="exact"/>
        <w:jc w:val="left"/>
        <w:rPr>
          <w:rFonts w:eastAsia="仿宋_GB2312" w:cs="仿宋_GB2312"/>
          <w:sz w:val="32"/>
          <w:szCs w:val="32"/>
        </w:rPr>
      </w:pPr>
      <w:bookmarkStart w:id="60" w:name="_Toc15396631"/>
      <w:r>
        <w:rPr>
          <w:rFonts w:hint="eastAsia" w:eastAsia="仿宋_GB2312" w:cs="仿宋_GB2312"/>
          <w:sz w:val="32"/>
          <w:szCs w:val="32"/>
        </w:rPr>
        <w:t>十三、</w:t>
      </w:r>
      <w:bookmarkEnd w:id="60"/>
      <w:r>
        <w:rPr>
          <w:rFonts w:hint="eastAsia" w:eastAsia="仿宋_GB2312" w:cs="仿宋_GB2312"/>
          <w:sz w:val="32"/>
          <w:szCs w:val="32"/>
        </w:rPr>
        <w:t>财政拨款“三公”经费支出决算表</w:t>
      </w:r>
    </w:p>
    <w:p w14:paraId="63A677D8">
      <w:pPr>
        <w:pageBreakBefore w:val="0"/>
        <w:widowControl w:val="0"/>
        <w:wordWrap/>
        <w:overflowPunct w:val="0"/>
        <w:topLinePunct w:val="0"/>
        <w:bidi w:val="0"/>
      </w:pPr>
    </w:p>
    <w:sectPr>
      <w:pgSz w:w="11906" w:h="16838"/>
      <w:pgMar w:top="2098" w:right="1531" w:bottom="1984" w:left="1531"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黑体_GBK">
    <w:panose1 w:val="02000000000000000000"/>
    <w:charset w:val="86"/>
    <w:family w:val="auto"/>
    <w:pitch w:val="default"/>
    <w:sig w:usb0="A00002BF" w:usb1="38CF7CFA" w:usb2="00082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国标仿宋"/>
    <w:panose1 w:val="00000000000000000000"/>
    <w:charset w:val="00"/>
    <w:family w:val="roman"/>
    <w:pitch w:val="default"/>
    <w:sig w:usb0="00000000" w:usb1="00000000" w:usb2="00000000" w:usb3="00000000" w:csb0="00000000" w:csb1="00000000"/>
  </w:font>
  <w:font w:name="国标仿宋">
    <w:panose1 w:val="02000500000000000000"/>
    <w:charset w:val="86"/>
    <w:family w:val="auto"/>
    <w:pitch w:val="default"/>
    <w:sig w:usb0="A00002BF" w:usb1="38C77CFA" w:usb2="00000016" w:usb3="00000000" w:csb0="00060007"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方正宋体S-超大字符集(SIP)">
    <w:panose1 w:val="03000509000000000000"/>
    <w:charset w:val="86"/>
    <w:family w:val="auto"/>
    <w:pitch w:val="default"/>
    <w:sig w:usb0="00000003" w:usb1="0A0E0800" w:usb2="00000006" w:usb3="00000000" w:csb0="00040001" w:csb1="00000000"/>
  </w:font>
  <w:font w:name="noto sans thai">
    <w:panose1 w:val="020B0502040504020204"/>
    <w:charset w:val="00"/>
    <w:family w:val="auto"/>
    <w:pitch w:val="default"/>
    <w:sig w:usb0="81000063" w:usb1="00002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89EEB">
    <w:pPr>
      <w:pStyle w:val="11"/>
      <w:jc w:val="center"/>
    </w:pPr>
  </w:p>
  <w:p w14:paraId="10775459">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86F22">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E7B8B1">
                          <w:pPr>
                            <w:pStyle w:val="1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EE7B8B1">
                    <w:pPr>
                      <w:pStyle w:val="11"/>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B3BB9">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6ABBF3">
                          <w:pPr>
                            <w:pStyle w:val="11"/>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- 2 -</w:t>
                          </w:r>
                          <w:r>
                            <w:rPr>
                              <w:rFonts w:hint="eastAsia" w:ascii="方正仿宋_GBK" w:hAnsi="方正仿宋_GBK" w:eastAsia="方正仿宋_GBK" w:cs="方正仿宋_GBK"/>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A6ABBF3">
                    <w:pPr>
                      <w:pStyle w:val="11"/>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- 2 -</w:t>
                    </w:r>
                    <w:r>
                      <w:rPr>
                        <w:rFonts w:hint="eastAsia" w:ascii="方正仿宋_GBK" w:hAnsi="方正仿宋_GBK" w:eastAsia="方正仿宋_GBK" w:cs="方正仿宋_GBK"/>
                        <w:sz w:val="28"/>
                        <w:szCs w:val="28"/>
                      </w:rPr>
                      <w:fldChar w:fldCharType="end"/>
                    </w:r>
                  </w:p>
                </w:txbxContent>
              </v:textbox>
            </v:shape>
          </w:pict>
        </mc:Fallback>
      </mc:AlternateContent>
    </w:r>
  </w:p>
  <w:p w14:paraId="5DAD32BE">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BEAD2">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302A35">
                          <w:pPr>
                            <w:pStyle w:val="11"/>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6302A35">
                    <w:pPr>
                      <w:pStyle w:val="11"/>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E2B42">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F3687"/>
    <w:multiLevelType w:val="singleLevel"/>
    <w:tmpl w:val="BFFF3687"/>
    <w:lvl w:ilvl="0" w:tentative="0">
      <w:start w:val="1"/>
      <w:numFmt w:val="chineseCounting"/>
      <w:suff w:val="nothing"/>
      <w:lvlText w:val="%1、"/>
      <w:lvlJc w:val="left"/>
      <w:rPr>
        <w:rFonts w:hint="eastAsia"/>
      </w:rPr>
    </w:lvl>
  </w:abstractNum>
  <w:abstractNum w:abstractNumId="1">
    <w:nsid w:val="D6EE6077"/>
    <w:multiLevelType w:val="singleLevel"/>
    <w:tmpl w:val="D6EE6077"/>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07004"/>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3795B"/>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2A3"/>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2FE1"/>
    <w:rsid w:val="00D114F0"/>
    <w:rsid w:val="00D20620"/>
    <w:rsid w:val="00D254F7"/>
    <w:rsid w:val="00D26091"/>
    <w:rsid w:val="00D2685C"/>
    <w:rsid w:val="00D34E7C"/>
    <w:rsid w:val="00D35489"/>
    <w:rsid w:val="00D36AFE"/>
    <w:rsid w:val="00D51276"/>
    <w:rsid w:val="00D5444D"/>
    <w:rsid w:val="00D7035F"/>
    <w:rsid w:val="00DA634F"/>
    <w:rsid w:val="00DA65AC"/>
    <w:rsid w:val="00DB1913"/>
    <w:rsid w:val="00DC2C99"/>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CC6347C"/>
    <w:rsid w:val="1D155CEE"/>
    <w:rsid w:val="1D1638FE"/>
    <w:rsid w:val="1D9F3A4F"/>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9F8ED6"/>
    <w:rsid w:val="2FAE5751"/>
    <w:rsid w:val="2FB1A395"/>
    <w:rsid w:val="2FD9A7D8"/>
    <w:rsid w:val="2FDBF714"/>
    <w:rsid w:val="30AB6865"/>
    <w:rsid w:val="319F7F4E"/>
    <w:rsid w:val="32BD1EF1"/>
    <w:rsid w:val="3304709D"/>
    <w:rsid w:val="33A773CB"/>
    <w:rsid w:val="349D6851"/>
    <w:rsid w:val="35E6413B"/>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ADD842"/>
    <w:rsid w:val="3CEBA265"/>
    <w:rsid w:val="3D98207C"/>
    <w:rsid w:val="3DEE7CF3"/>
    <w:rsid w:val="3E740A63"/>
    <w:rsid w:val="3E78745D"/>
    <w:rsid w:val="3EE17838"/>
    <w:rsid w:val="3F55381A"/>
    <w:rsid w:val="3F57077C"/>
    <w:rsid w:val="3F7F7599"/>
    <w:rsid w:val="3F7F9AB8"/>
    <w:rsid w:val="3FD77665"/>
    <w:rsid w:val="3FDF143F"/>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97F64D2"/>
    <w:rsid w:val="5AF92295"/>
    <w:rsid w:val="5B250254"/>
    <w:rsid w:val="5BDD79E6"/>
    <w:rsid w:val="5BF561CA"/>
    <w:rsid w:val="5BFF5DFC"/>
    <w:rsid w:val="5CD71FC4"/>
    <w:rsid w:val="5D1F11B5"/>
    <w:rsid w:val="5D695134"/>
    <w:rsid w:val="5DAE1B18"/>
    <w:rsid w:val="5DE7D9E5"/>
    <w:rsid w:val="5ECEC941"/>
    <w:rsid w:val="5FBF3266"/>
    <w:rsid w:val="5FBF9FF3"/>
    <w:rsid w:val="5FCD4E2C"/>
    <w:rsid w:val="5FEE10E3"/>
    <w:rsid w:val="5FEF394A"/>
    <w:rsid w:val="5FF67715"/>
    <w:rsid w:val="62BF3928"/>
    <w:rsid w:val="63B3701E"/>
    <w:rsid w:val="647F5392"/>
    <w:rsid w:val="65E66580"/>
    <w:rsid w:val="664B1D71"/>
    <w:rsid w:val="664B4E8E"/>
    <w:rsid w:val="67277B67"/>
    <w:rsid w:val="67AA3209"/>
    <w:rsid w:val="698D0931"/>
    <w:rsid w:val="69FF5A55"/>
    <w:rsid w:val="6A7FE5F3"/>
    <w:rsid w:val="6B053271"/>
    <w:rsid w:val="6BDD78B3"/>
    <w:rsid w:val="6BFFD36A"/>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1FFC8B5"/>
    <w:rsid w:val="72233669"/>
    <w:rsid w:val="72734D90"/>
    <w:rsid w:val="73160E6D"/>
    <w:rsid w:val="7332FE48"/>
    <w:rsid w:val="73AB61DA"/>
    <w:rsid w:val="73AD73D5"/>
    <w:rsid w:val="73B6EB34"/>
    <w:rsid w:val="73FA497D"/>
    <w:rsid w:val="744731E5"/>
    <w:rsid w:val="74BBD01D"/>
    <w:rsid w:val="74ED5379"/>
    <w:rsid w:val="75DEEEC2"/>
    <w:rsid w:val="75E32345"/>
    <w:rsid w:val="767F0BBD"/>
    <w:rsid w:val="76CB6388"/>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56126C"/>
    <w:rsid w:val="7B6C7DFB"/>
    <w:rsid w:val="7BBFBED0"/>
    <w:rsid w:val="7BC3E394"/>
    <w:rsid w:val="7C1F3737"/>
    <w:rsid w:val="7CBFC87B"/>
    <w:rsid w:val="7CEE8ED1"/>
    <w:rsid w:val="7CFE0F48"/>
    <w:rsid w:val="7D272ABC"/>
    <w:rsid w:val="7D7EC23E"/>
    <w:rsid w:val="7D7EDE8D"/>
    <w:rsid w:val="7DB2BF70"/>
    <w:rsid w:val="7DB7DE46"/>
    <w:rsid w:val="7E8ADEBF"/>
    <w:rsid w:val="7EEF11D3"/>
    <w:rsid w:val="7EF6AAF0"/>
    <w:rsid w:val="7EFE4840"/>
    <w:rsid w:val="7F0971A6"/>
    <w:rsid w:val="7F1D62E7"/>
    <w:rsid w:val="7F3F679B"/>
    <w:rsid w:val="7F4FC4EF"/>
    <w:rsid w:val="7F5E4D54"/>
    <w:rsid w:val="7F6E0135"/>
    <w:rsid w:val="7F79F205"/>
    <w:rsid w:val="7F9FF4EA"/>
    <w:rsid w:val="7FA30C79"/>
    <w:rsid w:val="7FA79C44"/>
    <w:rsid w:val="7FAF8ABF"/>
    <w:rsid w:val="7FB7269E"/>
    <w:rsid w:val="7FC96657"/>
    <w:rsid w:val="7FDA9588"/>
    <w:rsid w:val="7FDF220F"/>
    <w:rsid w:val="7FEC5D21"/>
    <w:rsid w:val="7FEDC5F7"/>
    <w:rsid w:val="7FEDD9DE"/>
    <w:rsid w:val="7FF5890D"/>
    <w:rsid w:val="7FF93490"/>
    <w:rsid w:val="99FF2014"/>
    <w:rsid w:val="A6DD0D7F"/>
    <w:rsid w:val="AAFF33CA"/>
    <w:rsid w:val="ABE7F81A"/>
    <w:rsid w:val="ACFF4FBB"/>
    <w:rsid w:val="ADC6F725"/>
    <w:rsid w:val="B7CF06AB"/>
    <w:rsid w:val="B7CFA926"/>
    <w:rsid w:val="B7F8786B"/>
    <w:rsid w:val="B8BE2BC8"/>
    <w:rsid w:val="BABB6AA1"/>
    <w:rsid w:val="BB2F4199"/>
    <w:rsid w:val="BCEFF25E"/>
    <w:rsid w:val="BCFFB442"/>
    <w:rsid w:val="BD079C78"/>
    <w:rsid w:val="BD733540"/>
    <w:rsid w:val="BDBDDC95"/>
    <w:rsid w:val="BF3735D5"/>
    <w:rsid w:val="BF6B5D40"/>
    <w:rsid w:val="BF7AB74D"/>
    <w:rsid w:val="BF7F09AC"/>
    <w:rsid w:val="BFD475C3"/>
    <w:rsid w:val="BFDE5EA6"/>
    <w:rsid w:val="CF6FC6F3"/>
    <w:rsid w:val="CFD3D3D7"/>
    <w:rsid w:val="CFDF1009"/>
    <w:rsid w:val="D7D7B16A"/>
    <w:rsid w:val="D8D6DB89"/>
    <w:rsid w:val="DB6F4CAB"/>
    <w:rsid w:val="DB777682"/>
    <w:rsid w:val="DD155747"/>
    <w:rsid w:val="DD1FB521"/>
    <w:rsid w:val="DEFBFEAE"/>
    <w:rsid w:val="DF1F3B80"/>
    <w:rsid w:val="DF6F9789"/>
    <w:rsid w:val="DFE9BE81"/>
    <w:rsid w:val="DFF90020"/>
    <w:rsid w:val="DFFFA9E8"/>
    <w:rsid w:val="E5F4E9DC"/>
    <w:rsid w:val="E6FF2AC8"/>
    <w:rsid w:val="E70FE695"/>
    <w:rsid w:val="E7B7D2D9"/>
    <w:rsid w:val="EB2E368B"/>
    <w:rsid w:val="ECFED1BC"/>
    <w:rsid w:val="ED1D69BB"/>
    <w:rsid w:val="ED7FD312"/>
    <w:rsid w:val="EF2E1AC6"/>
    <w:rsid w:val="EF53993F"/>
    <w:rsid w:val="EF6FD633"/>
    <w:rsid w:val="EFBFB2F4"/>
    <w:rsid w:val="EFBFFA21"/>
    <w:rsid w:val="F2BEBCB8"/>
    <w:rsid w:val="F36FB518"/>
    <w:rsid w:val="F3DE1A04"/>
    <w:rsid w:val="F3F722E5"/>
    <w:rsid w:val="F4FBCD07"/>
    <w:rsid w:val="F72F9456"/>
    <w:rsid w:val="FA5F1E70"/>
    <w:rsid w:val="FA5FDB97"/>
    <w:rsid w:val="FB7F486A"/>
    <w:rsid w:val="FBFC10B4"/>
    <w:rsid w:val="FBFF5B2E"/>
    <w:rsid w:val="FD7FFE2B"/>
    <w:rsid w:val="FDEE196B"/>
    <w:rsid w:val="FDFE6575"/>
    <w:rsid w:val="FEDFDDC2"/>
    <w:rsid w:val="FEED32F6"/>
    <w:rsid w:val="FEF781DD"/>
    <w:rsid w:val="FF3F7E3F"/>
    <w:rsid w:val="FFAD899B"/>
    <w:rsid w:val="FFBA12D7"/>
    <w:rsid w:val="FFCBD314"/>
    <w:rsid w:val="FFDFF91C"/>
    <w:rsid w:val="FFDFFAEE"/>
    <w:rsid w:val="FFEF6777"/>
    <w:rsid w:val="FFF62B81"/>
    <w:rsid w:val="FFF6E220"/>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4"/>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Body Text"/>
    <w:basedOn w:val="1"/>
    <w:link w:val="30"/>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4"/>
    <w:semiHidden/>
    <w:unhideWhenUsed/>
    <w:qFormat/>
    <w:uiPriority w:val="99"/>
    <w:rPr>
      <w:sz w:val="18"/>
      <w:szCs w:val="18"/>
    </w:rPr>
  </w:style>
  <w:style w:type="paragraph" w:styleId="11">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List"/>
    <w:basedOn w:val="6"/>
    <w:qFormat/>
    <w:uiPriority w:val="0"/>
  </w:style>
  <w:style w:type="paragraph" w:styleId="15">
    <w:name w:val="footnote text"/>
    <w:basedOn w:val="1"/>
    <w:next w:val="8"/>
    <w:semiHidden/>
    <w:qFormat/>
    <w:uiPriority w:val="0"/>
    <w:pPr>
      <w:snapToGrid w:val="0"/>
      <w:jc w:val="left"/>
    </w:pPr>
    <w:rPr>
      <w:sz w:val="18"/>
      <w:szCs w:val="18"/>
    </w:r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qFormat/>
    <w:uiPriority w:val="0"/>
    <w:pPr>
      <w:spacing w:before="100" w:beforeAutospacing="1" w:after="100" w:afterAutospacing="1"/>
      <w:ind w:left="0" w:right="0"/>
      <w:jc w:val="left"/>
    </w:pPr>
    <w:rPr>
      <w:rFonts w:ascii="宋体" w:eastAsia="宋体" w:cs="宋体"/>
      <w:kern w:val="0"/>
      <w:sz w:val="32"/>
      <w:szCs w:val="24"/>
      <w:lang w:val="en-US" w:eastAsia="zh-CN" w:bidi="ar-SA"/>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character" w:customStyle="1" w:styleId="22">
    <w:name w:val="标题 1 字符"/>
    <w:basedOn w:val="19"/>
    <w:link w:val="3"/>
    <w:qFormat/>
    <w:uiPriority w:val="9"/>
    <w:rPr>
      <w:rFonts w:ascii="Times New Roman" w:hAnsi="Times New Roman"/>
      <w:b/>
      <w:bCs/>
      <w:kern w:val="44"/>
      <w:sz w:val="44"/>
      <w:szCs w:val="44"/>
    </w:rPr>
  </w:style>
  <w:style w:type="character" w:customStyle="1" w:styleId="23">
    <w:name w:val="标题 2 字符"/>
    <w:basedOn w:val="19"/>
    <w:link w:val="4"/>
    <w:qFormat/>
    <w:uiPriority w:val="9"/>
    <w:rPr>
      <w:rFonts w:asciiTheme="majorHAnsi" w:hAnsiTheme="majorHAnsi" w:eastAsiaTheme="majorEastAsia" w:cstheme="majorBidi"/>
      <w:b/>
      <w:bCs/>
      <w:kern w:val="2"/>
      <w:sz w:val="32"/>
      <w:szCs w:val="32"/>
    </w:rPr>
  </w:style>
  <w:style w:type="character" w:customStyle="1" w:styleId="24">
    <w:name w:val="标题 3 字符"/>
    <w:basedOn w:val="19"/>
    <w:link w:val="5"/>
    <w:qFormat/>
    <w:uiPriority w:val="9"/>
    <w:rPr>
      <w:rFonts w:ascii="Times New Roman" w:hAnsi="Times New Roman"/>
      <w:b/>
      <w:bCs/>
      <w:kern w:val="2"/>
      <w:sz w:val="32"/>
      <w:szCs w:val="32"/>
    </w:rPr>
  </w:style>
  <w:style w:type="character" w:customStyle="1" w:styleId="25">
    <w:name w:val="Header Char"/>
    <w:basedOn w:val="19"/>
    <w:semiHidden/>
    <w:qFormat/>
    <w:uiPriority w:val="99"/>
    <w:rPr>
      <w:rFonts w:ascii="Times New Roman" w:hAnsi="Times New Roman"/>
      <w:sz w:val="18"/>
      <w:szCs w:val="18"/>
    </w:rPr>
  </w:style>
  <w:style w:type="character" w:customStyle="1" w:styleId="26">
    <w:name w:val="页眉 字符"/>
    <w:link w:val="12"/>
    <w:semiHidden/>
    <w:qFormat/>
    <w:locked/>
    <w:uiPriority w:val="99"/>
    <w:rPr>
      <w:sz w:val="18"/>
    </w:rPr>
  </w:style>
  <w:style w:type="character" w:customStyle="1" w:styleId="27">
    <w:name w:val="Footer Char"/>
    <w:basedOn w:val="19"/>
    <w:semiHidden/>
    <w:qFormat/>
    <w:uiPriority w:val="99"/>
    <w:rPr>
      <w:rFonts w:ascii="Times New Roman" w:hAnsi="Times New Roman"/>
      <w:sz w:val="18"/>
      <w:szCs w:val="18"/>
    </w:rPr>
  </w:style>
  <w:style w:type="character" w:customStyle="1" w:styleId="28">
    <w:name w:val="页脚 字符"/>
    <w:link w:val="11"/>
    <w:qFormat/>
    <w:locked/>
    <w:uiPriority w:val="99"/>
    <w:rPr>
      <w:sz w:val="18"/>
    </w:rPr>
  </w:style>
  <w:style w:type="character" w:customStyle="1" w:styleId="29">
    <w:name w:val="Body Text Char"/>
    <w:basedOn w:val="19"/>
    <w:semiHidden/>
    <w:qFormat/>
    <w:uiPriority w:val="99"/>
    <w:rPr>
      <w:rFonts w:ascii="Times New Roman" w:hAnsi="Times New Roman"/>
      <w:szCs w:val="24"/>
    </w:rPr>
  </w:style>
  <w:style w:type="character" w:customStyle="1" w:styleId="30">
    <w:name w:val="正文文本 字符"/>
    <w:link w:val="6"/>
    <w:qFormat/>
    <w:locked/>
    <w:uiPriority w:val="99"/>
    <w:rPr>
      <w:rFonts w:ascii="仿宋_GB2312" w:hAnsi="Times New Roman" w:eastAsia="仿宋_GB2312"/>
      <w:sz w:val="24"/>
    </w:rPr>
  </w:style>
  <w:style w:type="paragraph" w:customStyle="1" w:styleId="3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2">
    <w:name w:val="List Paragraph"/>
    <w:basedOn w:val="1"/>
    <w:qFormat/>
    <w:uiPriority w:val="34"/>
    <w:pPr>
      <w:ind w:firstLine="420" w:firstLineChars="200"/>
    </w:p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字符"/>
    <w:basedOn w:val="19"/>
    <w:link w:val="10"/>
    <w:semiHidden/>
    <w:qFormat/>
    <w:uiPriority w:val="99"/>
    <w:rPr>
      <w:rFonts w:ascii="Times New Roman" w:hAnsi="Times New Roman"/>
      <w:kern w:val="2"/>
      <w:sz w:val="18"/>
      <w:szCs w:val="18"/>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paragraph" w:customStyle="1" w:styleId="37">
    <w:name w:val="文档正文"/>
    <w:basedOn w:val="1"/>
    <w:qFormat/>
    <w:uiPriority w:val="0"/>
    <w:pPr>
      <w:widowControl w:val="0"/>
      <w:adjustRightInd w:val="0"/>
      <w:spacing w:line="480" w:lineRule="atLeast"/>
      <w:jc w:val="both"/>
      <w:textAlignment w:val="baseline"/>
    </w:pPr>
    <w:rPr>
      <w:rFonts w:ascii="Arial" w:hAnsi="Arial" w:eastAsia="仿宋_GB2312" w:cs="Times New Roman"/>
      <w:kern w:val="0"/>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7.jpeg"/><Relationship Id="rId21" Type="http://schemas.openxmlformats.org/officeDocument/2006/relationships/image" Target="media/image6.jpeg"/><Relationship Id="rId20" Type="http://schemas.openxmlformats.org/officeDocument/2006/relationships/image" Target="media/image5.jpeg"/><Relationship Id="rId2" Type="http://schemas.openxmlformats.org/officeDocument/2006/relationships/settings" Target="settings.xml"/><Relationship Id="rId19" Type="http://schemas.openxmlformats.org/officeDocument/2006/relationships/image" Target="media/image4.jpeg"/><Relationship Id="rId18" Type="http://schemas.openxmlformats.org/officeDocument/2006/relationships/image" Target="media/image3.jpeg"/><Relationship Id="rId17" Type="http://schemas.openxmlformats.org/officeDocument/2006/relationships/image" Target="media/image2.jpeg"/><Relationship Id="rId16" Type="http://schemas.openxmlformats.org/officeDocument/2006/relationships/image" Target="media/image1.jpeg"/><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010872191351"/>
          <c:y val="0.0371865703357416"/>
          <c:w val="0.805460256100507"/>
          <c:h val="0.631576710582235"/>
        </c:manualLayout>
      </c:layout>
      <c:barChart>
        <c:barDir val="col"/>
        <c:grouping val="clustered"/>
        <c:varyColors val="0"/>
        <c:ser>
          <c:idx val="0"/>
          <c:order val="0"/>
          <c:tx>
            <c:strRef>
              <c:f>Sheet1!$B$1</c:f>
              <c:strCache>
                <c:ptCount val="1"/>
                <c:pt idx="0">
                  <c:v>2023年度</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收入决算</c:v>
                </c:pt>
                <c:pt idx="1">
                  <c:v>支出决算</c:v>
                </c:pt>
              </c:strCache>
            </c:strRef>
          </c:cat>
          <c:val>
            <c:numRef>
              <c:f>Sheet1!$B$2:$B$3</c:f>
              <c:numCache>
                <c:formatCode>General</c:formatCode>
                <c:ptCount val="2"/>
                <c:pt idx="0">
                  <c:v>714.05</c:v>
                </c:pt>
                <c:pt idx="1">
                  <c:v>714.05</c:v>
                </c:pt>
              </c:numCache>
            </c:numRef>
          </c:val>
        </c:ser>
        <c:ser>
          <c:idx val="1"/>
          <c:order val="1"/>
          <c:tx>
            <c:strRef>
              <c:f>Sheet1!$C$1</c:f>
              <c:strCache>
                <c:ptCount val="1"/>
                <c:pt idx="0">
                  <c:v>2024年度</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收入决算</c:v>
                </c:pt>
                <c:pt idx="1">
                  <c:v>支出决算</c:v>
                </c:pt>
              </c:strCache>
            </c:strRef>
          </c:cat>
          <c:val>
            <c:numRef>
              <c:f>Sheet1!$C$2:$C$3</c:f>
              <c:numCache>
                <c:formatCode>General</c:formatCode>
                <c:ptCount val="2"/>
                <c:pt idx="0">
                  <c:v>801.79</c:v>
                </c:pt>
                <c:pt idx="1">
                  <c:v>801.79</c:v>
                </c:pt>
              </c:numCache>
            </c:numRef>
          </c:val>
        </c:ser>
        <c:dLbls>
          <c:showLegendKey val="0"/>
          <c:showVal val="1"/>
          <c:showCatName val="0"/>
          <c:showSerName val="0"/>
          <c:showPercent val="0"/>
          <c:showBubbleSize val="0"/>
        </c:dLbls>
        <c:gapWidth val="246"/>
        <c:overlap val="-28"/>
        <c:axId val="536270278"/>
        <c:axId val="590391273"/>
      </c:barChart>
      <c:catAx>
        <c:axId val="53627027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0391273"/>
        <c:crosses val="autoZero"/>
        <c:auto val="1"/>
        <c:lblAlgn val="ctr"/>
        <c:lblOffset val="100"/>
        <c:noMultiLvlLbl val="0"/>
      </c:catAx>
      <c:valAx>
        <c:axId val="590391273"/>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627027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5bc7748-78ea-43f0-bc88-9474fc6f9bd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801.79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fe71497-7750-456c-b8dc-2000ce03cd7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791.79</c:v>
                </c:pt>
                <c:pt idx="1">
                  <c:v>10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1751026818072"/>
          <c:y val="0.9228644283892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816fa96-b7fc-4591-9f5c-409ad1bc1e8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2023年度</c:v>
                </c:pt>
              </c:strCache>
            </c:strRef>
          </c:tx>
          <c:spPr>
            <a:solidFill>
              <a:schemeClr val="accent1"/>
            </a:solidFill>
            <a:ln>
              <a:noFill/>
            </a:ln>
            <a:effectLst/>
          </c:spPr>
          <c:invertIfNegative val="0"/>
          <c:dLbls>
            <c:delete val="1"/>
          </c:dLbls>
          <c:cat>
            <c:strRef>
              <c:f>Sheet1!$A$2:$A$3</c:f>
              <c:strCache>
                <c:ptCount val="2"/>
                <c:pt idx="0">
                  <c:v>财政拨款收入决算</c:v>
                </c:pt>
                <c:pt idx="1">
                  <c:v>财务拨款支出决算</c:v>
                </c:pt>
              </c:strCache>
            </c:strRef>
          </c:cat>
          <c:val>
            <c:numRef>
              <c:f>Sheet1!$B$2:$B$3</c:f>
              <c:numCache>
                <c:formatCode>General</c:formatCode>
                <c:ptCount val="2"/>
                <c:pt idx="0">
                  <c:v>714.05</c:v>
                </c:pt>
                <c:pt idx="1">
                  <c:v>714.05</c:v>
                </c:pt>
              </c:numCache>
            </c:numRef>
          </c:val>
        </c:ser>
        <c:ser>
          <c:idx val="1"/>
          <c:order val="1"/>
          <c:tx>
            <c:strRef>
              <c:f>Sheet1!$C$1</c:f>
              <c:strCache>
                <c:ptCount val="1"/>
                <c:pt idx="0">
                  <c:v>2024年度</c:v>
                </c:pt>
              </c:strCache>
            </c:strRef>
          </c:tx>
          <c:spPr>
            <a:solidFill>
              <a:schemeClr val="accent2"/>
            </a:solidFill>
            <a:ln>
              <a:noFill/>
            </a:ln>
            <a:effectLst/>
          </c:spPr>
          <c:invertIfNegative val="0"/>
          <c:dLbls>
            <c:delete val="1"/>
          </c:dLbls>
          <c:cat>
            <c:strRef>
              <c:f>Sheet1!$A$2:$A$3</c:f>
              <c:strCache>
                <c:ptCount val="2"/>
                <c:pt idx="0">
                  <c:v>财政拨款收入决算</c:v>
                </c:pt>
                <c:pt idx="1">
                  <c:v>财务拨款支出决算</c:v>
                </c:pt>
              </c:strCache>
            </c:strRef>
          </c:cat>
          <c:val>
            <c:numRef>
              <c:f>Sheet1!$C$2:$C$3</c:f>
              <c:numCache>
                <c:formatCode>General</c:formatCode>
                <c:ptCount val="2"/>
                <c:pt idx="0">
                  <c:v>801.79</c:v>
                </c:pt>
                <c:pt idx="1">
                  <c:v>801.79</c:v>
                </c:pt>
              </c:numCache>
            </c:numRef>
          </c:val>
        </c:ser>
        <c:dLbls>
          <c:showLegendKey val="0"/>
          <c:showVal val="0"/>
          <c:showCatName val="0"/>
          <c:showSerName val="0"/>
          <c:showPercent val="0"/>
          <c:showBubbleSize val="0"/>
        </c:dLbls>
        <c:gapWidth val="246"/>
        <c:overlap val="-28"/>
        <c:axId val="295309210"/>
        <c:axId val="58866460"/>
      </c:barChart>
      <c:catAx>
        <c:axId val="29530921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866460"/>
        <c:crosses val="autoZero"/>
        <c:auto val="1"/>
        <c:lblAlgn val="ctr"/>
        <c:lblOffset val="100"/>
        <c:noMultiLvlLbl val="0"/>
      </c:catAx>
      <c:valAx>
        <c:axId val="5886646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530921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16d1993-2614-4bbb-92b5-dee1a8d7cef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2023年度</c:v>
                </c:pt>
              </c:strCache>
            </c:strRef>
          </c:tx>
          <c:spPr>
            <a:solidFill>
              <a:schemeClr val="accent1"/>
            </a:solidFill>
            <a:ln>
              <a:noFill/>
            </a:ln>
            <a:effectLst/>
          </c:spPr>
          <c:invertIfNegative val="0"/>
          <c:dLbls>
            <c:delete val="1"/>
          </c:dLbls>
          <c:cat>
            <c:strRef>
              <c:f>Sheet1!$A$2</c:f>
              <c:strCache>
                <c:ptCount val="1"/>
                <c:pt idx="0">
                  <c:v>一般公共预算财政拨款支出</c:v>
                </c:pt>
              </c:strCache>
            </c:strRef>
          </c:cat>
          <c:val>
            <c:numRef>
              <c:f>Sheet1!$B$2</c:f>
              <c:numCache>
                <c:formatCode>General</c:formatCode>
                <c:ptCount val="1"/>
                <c:pt idx="0">
                  <c:v>714.05</c:v>
                </c:pt>
              </c:numCache>
            </c:numRef>
          </c:val>
        </c:ser>
        <c:ser>
          <c:idx val="1"/>
          <c:order val="1"/>
          <c:tx>
            <c:strRef>
              <c:f>Sheet1!$C$1</c:f>
              <c:strCache>
                <c:ptCount val="1"/>
                <c:pt idx="0">
                  <c:v>2024年度</c:v>
                </c:pt>
              </c:strCache>
            </c:strRef>
          </c:tx>
          <c:spPr>
            <a:solidFill>
              <a:schemeClr val="accent2"/>
            </a:solidFill>
            <a:ln>
              <a:noFill/>
            </a:ln>
            <a:effectLst/>
          </c:spPr>
          <c:invertIfNegative val="0"/>
          <c:dLbls>
            <c:delete val="1"/>
          </c:dLbls>
          <c:cat>
            <c:strRef>
              <c:f>Sheet1!$A$2</c:f>
              <c:strCache>
                <c:ptCount val="1"/>
                <c:pt idx="0">
                  <c:v>一般公共预算财政拨款支出</c:v>
                </c:pt>
              </c:strCache>
            </c:strRef>
          </c:cat>
          <c:val>
            <c:numRef>
              <c:f>Sheet1!$C$2</c:f>
              <c:numCache>
                <c:formatCode>General</c:formatCode>
                <c:ptCount val="1"/>
                <c:pt idx="0">
                  <c:v>801.79</c:v>
                </c:pt>
              </c:numCache>
            </c:numRef>
          </c:val>
        </c:ser>
        <c:dLbls>
          <c:showLegendKey val="0"/>
          <c:showVal val="0"/>
          <c:showCatName val="0"/>
          <c:showSerName val="0"/>
          <c:showPercent val="0"/>
          <c:showBubbleSize val="0"/>
        </c:dLbls>
        <c:gapWidth val="246"/>
        <c:overlap val="-28"/>
        <c:axId val="534692896"/>
        <c:axId val="367511476"/>
      </c:barChart>
      <c:catAx>
        <c:axId val="5346928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7511476"/>
        <c:crosses val="autoZero"/>
        <c:auto val="1"/>
        <c:lblAlgn val="ctr"/>
        <c:lblOffset val="100"/>
        <c:noMultiLvlLbl val="0"/>
      </c:catAx>
      <c:valAx>
        <c:axId val="36751147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46928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b52c4c1-6e71-41e0-a62d-2f06274ab0e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manualLayout>
          <c:layoutTarget val="inner"/>
          <c:xMode val="edge"/>
          <c:yMode val="edge"/>
          <c:x val="0.324324716115004"/>
          <c:y val="0.236136846578836"/>
          <c:w val="0.34772650398647"/>
          <c:h val="0.611661708457289"/>
        </c:manualLayout>
      </c:layout>
      <c:pieChart>
        <c:varyColors val="1"/>
        <c:ser>
          <c:idx val="0"/>
          <c:order val="0"/>
          <c:tx>
            <c:strRef>
              <c:f>Sheet1!$B$1</c:f>
              <c:strCache>
                <c:ptCount val="1"/>
                <c:pt idx="0">
                  <c:v>一般公共预算财政拨款支出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社会保障和就业支出</c:v>
                </c:pt>
                <c:pt idx="1">
                  <c:v>卫生健康支出</c:v>
                </c:pt>
                <c:pt idx="2">
                  <c:v>商业服务业等支出</c:v>
                </c:pt>
                <c:pt idx="3">
                  <c:v>住房保障支出</c:v>
                </c:pt>
              </c:strCache>
            </c:strRef>
          </c:cat>
          <c:val>
            <c:numRef>
              <c:f>Sheet1!$B$2:$B$5</c:f>
              <c:numCache>
                <c:formatCode>General</c:formatCode>
                <c:ptCount val="4"/>
                <c:pt idx="0">
                  <c:v>85.27</c:v>
                </c:pt>
                <c:pt idx="1">
                  <c:v>36.55</c:v>
                </c:pt>
                <c:pt idx="2">
                  <c:v>631.79</c:v>
                </c:pt>
                <c:pt idx="3">
                  <c:v>48.17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2312756704518"/>
          <c:y val="0.13110922226944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274bb96-c8be-427e-bb0b-7121f732d61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Lbl>
              <c:idx val="2"/>
              <c:layout>
                <c:manualLayout>
                  <c:x val="0.127654335850309"/>
                  <c:y val="-0.0014749080714496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19.44</c:v>
                </c:pt>
                <c:pt idx="2">
                  <c:v>0.15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258456148828219"/>
          <c:y val="0.11835954101147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01a3a77-0b0c-4472-ba6e-e9de117463a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38</Pages>
  <Words>1281</Words>
  <Characters>7302</Characters>
  <Lines>60</Lines>
  <Paragraphs>17</Paragraphs>
  <TotalTime>474</TotalTime>
  <ScaleCrop>false</ScaleCrop>
  <LinksUpToDate>false</LinksUpToDate>
  <CharactersWithSpaces>8566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2020-08-11T17:49:00Z</dcterms:created>
  <dc:creator>曹颖</dc:creator>
  <cp:lastModifiedBy>晴月</cp:lastModifiedBy>
  <cp:lastPrinted>2025-09-15T11:24:22Z</cp:lastPrinted>
  <dcterms:modified xsi:type="dcterms:W3CDTF">2025-09-15T16:34:28Z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97261B547DAD289E94CFC7687CB4D73D_43</vt:lpwstr>
  </property>
  <property fmtid="{D5CDD505-2E9C-101B-9397-08002B2CF9AE}" pid="4" name="KSOTemplateDocerSaveRecord">
    <vt:lpwstr>eyJoZGlkIjoiNzcxZDY4MmI1OTBjMjE1Nzk5NThjZGNlYmQwYzNkMjQifQ==</vt:lpwstr>
  </property>
</Properties>
</file>