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overflowPunct w:val="0"/>
        <w:adjustRightInd w:val="0"/>
        <w:snapToGrid w:val="0"/>
        <w:spacing w:line="576" w:lineRule="exact"/>
        <w:rPr>
          <w:rFonts w:ascii="Times New Roman" w:hAnsi="Times New Roman"/>
        </w:rPr>
      </w:pPr>
    </w:p>
    <w:p>
      <w:pPr>
        <w:overflowPunct w:val="0"/>
        <w:adjustRightInd w:val="0"/>
        <w:snapToGrid w:val="0"/>
        <w:spacing w:line="576" w:lineRule="exact"/>
        <w:rPr>
          <w:rFonts w:ascii="Times New Roman" w:hAnsi="Times New Roman"/>
        </w:rPr>
      </w:pPr>
    </w:p>
    <w:p>
      <w:pPr>
        <w:overflowPunct w:val="0"/>
        <w:adjustRightInd w:val="0"/>
        <w:snapToGrid w:val="0"/>
        <w:spacing w:line="576" w:lineRule="exact"/>
        <w:rPr>
          <w:rFonts w:ascii="Times New Roman" w:hAnsi="Times New Roman"/>
        </w:rPr>
      </w:pPr>
    </w:p>
    <w:p>
      <w:pPr>
        <w:overflowPunct w:val="0"/>
        <w:adjustRightInd w:val="0"/>
        <w:snapToGrid w:val="0"/>
        <w:spacing w:line="576" w:lineRule="exact"/>
        <w:ind w:firstLineChars="500" w:firstLine="1050"/>
        <w:rPr>
          <w:rFonts w:ascii="Times New Roman" w:hAnsi="Times New Roman"/>
        </w:rPr>
      </w:pPr>
    </w:p>
    <w:p>
      <w:pPr>
        <w:overflowPunct w:val="0"/>
        <w:adjustRightInd w:val="0"/>
        <w:snapToGrid w:val="0"/>
        <w:spacing w:line="576" w:lineRule="exact"/>
        <w:ind w:firstLineChars="500" w:firstLine="1050"/>
        <w:rPr>
          <w:rFonts w:ascii="Times New Roman" w:hAnsi="Times New Roman"/>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pStyle w:val="16"/>
        <w:tabs>
          <w:tab w:val="left" w:pos="960"/>
        </w:tabs>
        <w:overflowPunct w:val="0"/>
        <w:spacing w:line="540" w:lineRule="exact"/>
        <w:ind w:firstLineChars="200" w:firstLine="640"/>
      </w:pPr>
    </w:p>
    <w:p>
      <w:pPr>
        <w:overflowPunct w:val="0"/>
        <w:adjustRightInd w:val="0"/>
        <w:snapToGrid w:val="0"/>
        <w:spacing w:line="576" w:lineRule="exact"/>
        <w:jc w:val="center"/>
        <w:rPr>
          <w:rFonts w:ascii="Times New Roman" w:eastAsia="方正小标宋_GBK" w:hAnsi="Times New Roman"/>
          <w:sz w:val="44"/>
          <w:szCs w:val="44"/>
          <w:shd w:val="clear" w:color="auto" w:fill="auto"/>
          <w:lang w:val="en-US" w:eastAsia="zh-CN"/>
        </w:rPr>
      </w:pPr>
      <w:r>
        <w:rPr>
          <w:rFonts w:ascii="Times New Roman" w:eastAsia="方正小标宋_GBK" w:hAnsi="Times New Roman"/>
          <w:sz w:val="44"/>
          <w:szCs w:val="44"/>
          <w:shd w:val="clear" w:color="auto" w:fill="auto"/>
          <w:lang w:val="en-US" w:eastAsia="zh-CN"/>
        </w:rPr>
        <w:t>阿坝州供销社</w:t>
      </w:r>
    </w:p>
    <w:p>
      <w:pPr>
        <w:overflowPunct w:val="0"/>
        <w:adjustRightInd w:val="0"/>
        <w:snapToGrid w:val="0"/>
        <w:spacing w:line="576" w:lineRule="exact"/>
        <w:jc w:val="center"/>
        <w:rPr>
          <w:rFonts w:ascii="Times New Roman" w:eastAsia="方正小标宋_GBK" w:hAnsi="Times New Roman"/>
          <w:sz w:val="44"/>
          <w:szCs w:val="44"/>
          <w:shd w:val="clear" w:color="auto" w:fill="auto"/>
        </w:rPr>
      </w:pPr>
      <w:r>
        <w:rPr>
          <w:rFonts w:ascii="Times New Roman" w:eastAsia="方正小标宋_GBK" w:hAnsi="Times New Roman"/>
          <w:sz w:val="44"/>
          <w:szCs w:val="44"/>
          <w:shd w:val="clear" w:color="auto" w:fill="auto"/>
        </w:rPr>
        <w:t>2024年部门预算</w:t>
      </w: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pStyle w:val="16"/>
        <w:tabs>
          <w:tab w:val="left" w:pos="960"/>
        </w:tabs>
        <w:overflowPunct w:val="0"/>
        <w:spacing w:line="540" w:lineRule="exact"/>
        <w:ind w:firstLineChars="200" w:firstLine="640"/>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ind w:firstLineChars="400" w:firstLine="1760"/>
        <w:rPr>
          <w:rFonts w:ascii="Times New Roman" w:eastAsia="黑体" w:hAnsi="Times New Roman"/>
          <w:sz w:val="44"/>
          <w:szCs w:val="44"/>
        </w:rPr>
      </w:pPr>
    </w:p>
    <w:p>
      <w:pPr>
        <w:overflowPunct w:val="0"/>
        <w:adjustRightInd w:val="0"/>
        <w:snapToGrid w:val="0"/>
        <w:spacing w:line="576" w:lineRule="exact"/>
        <w:rPr>
          <w:rFonts w:ascii="Times New Roman" w:eastAsia="黑体" w:hAnsi="Times New Roman"/>
          <w:sz w:val="44"/>
          <w:szCs w:val="44"/>
        </w:rPr>
      </w:pPr>
    </w:p>
    <w:p>
      <w:pPr>
        <w:overflowPunct w:val="0"/>
        <w:adjustRightInd w:val="0"/>
        <w:snapToGrid w:val="0"/>
        <w:spacing w:line="576" w:lineRule="exact"/>
        <w:ind w:left="0"/>
        <w:jc w:val="center"/>
        <w:rPr>
          <w:rFonts w:ascii="Times New Roman" w:eastAsia="方正小标宋_GBK" w:hAnsi="Times New Roman"/>
          <w:sz w:val="44"/>
          <w:szCs w:val="44"/>
          <w:shd w:val="clear" w:color="auto" w:fill="auto"/>
        </w:rPr>
      </w:pPr>
      <w:r>
        <w:rPr>
          <w:rFonts w:ascii="Times New Roman" w:eastAsia="方正小标宋_GBK" w:hAnsi="Times New Roman"/>
          <w:sz w:val="44"/>
          <w:szCs w:val="44"/>
          <w:shd w:val="clear" w:color="auto" w:fill="auto"/>
        </w:rPr>
        <w:t>目录</w:t>
      </w:r>
    </w:p>
    <w:p>
      <w:pPr>
        <w:overflowPunct w:val="0"/>
        <w:adjustRightInd w:val="0"/>
        <w:snapToGrid w:val="0"/>
        <w:spacing w:line="576" w:lineRule="exact"/>
        <w:ind w:firstLineChars="700" w:firstLine="3080"/>
        <w:rPr>
          <w:rFonts w:ascii="Times New Roman" w:eastAsia="黑体" w:hAnsi="Times New Roman"/>
          <w:sz w:val="44"/>
          <w:szCs w:val="44"/>
        </w:rPr>
      </w:pPr>
    </w:p>
    <w:p>
      <w:pPr>
        <w:pStyle w:val="20"/>
        <w:overflowPunct w:val="0"/>
        <w:adjustRightInd w:val="0"/>
        <w:snapToGrid w:val="0"/>
        <w:spacing w:line="576" w:lineRule="exact"/>
        <w:ind w:firstLineChars="0" w:firstLine="0"/>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一、基本职能及主要工作</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（一）部门职能简介</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（二）2024年重点工作</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二、部门预算单位构成</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三、收支预算情况说明</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（一）收入预算情况</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（二）支出预算情况</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四、财政拨款收支预算情况说明</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五、一般公共预算当年拨款情况说明</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eastAsia="zh-CN"/>
        </w:rPr>
      </w:pPr>
      <w:r>
        <w:rPr>
          <w:rFonts w:ascii="Times New Roman" w:eastAsia="方正楷体_GBK" w:hAnsi="Times New Roman"/>
          <w:b/>
          <w:bCs/>
          <w:color w:val="000000"/>
          <w:kern w:val="0"/>
          <w:sz w:val="32"/>
          <w:szCs w:val="32"/>
          <w:shd w:val="clear" w:color="auto" w:fill="FFFFFF"/>
          <w:lang w:val="zh-CN"/>
        </w:rPr>
        <w:t>（一）一般公共预算当年拨款规模变化情况</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eastAsia="zh-CN"/>
        </w:rPr>
      </w:pPr>
      <w:r>
        <w:rPr>
          <w:rFonts w:ascii="Times New Roman" w:eastAsia="方正楷体_GBK" w:hAnsi="Times New Roman"/>
          <w:b/>
          <w:bCs/>
          <w:color w:val="000000"/>
          <w:kern w:val="0"/>
          <w:sz w:val="32"/>
          <w:szCs w:val="32"/>
          <w:shd w:val="clear" w:color="auto" w:fill="FFFFFF"/>
          <w:lang w:val="zh-CN"/>
        </w:rPr>
        <w:t>（二）一般公共预算当年拨款结构情况</w:t>
      </w:r>
    </w:p>
    <w:p>
      <w:pPr>
        <w:overflowPunct w:val="0"/>
        <w:adjustRightInd w:val="0"/>
        <w:snapToGrid w:val="0"/>
        <w:spacing w:line="576" w:lineRule="exact"/>
        <w:rPr>
          <w:rFonts w:ascii="Times New Roman" w:eastAsia="方正楷体_GBK" w:hAnsi="Times New Roman"/>
          <w:b/>
          <w:bCs/>
          <w:color w:val="000000"/>
          <w:kern w:val="0"/>
          <w:sz w:val="32"/>
          <w:szCs w:val="32"/>
          <w:shd w:val="clear" w:color="auto" w:fill="FFFFFF"/>
          <w:lang w:val="zh-CN" w:eastAsia="zh-CN"/>
        </w:rPr>
      </w:pPr>
      <w:r>
        <w:rPr>
          <w:rFonts w:ascii="Times New Roman" w:eastAsia="方正楷体_GBK" w:hAnsi="Times New Roman"/>
          <w:b/>
          <w:bCs/>
          <w:color w:val="000000"/>
          <w:kern w:val="0"/>
          <w:sz w:val="32"/>
          <w:szCs w:val="32"/>
          <w:shd w:val="clear" w:color="auto" w:fill="FFFFFF"/>
          <w:lang w:val="zh-CN"/>
        </w:rPr>
        <w:t>（三）一般公共预算当年拨款具体使用情况</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eastAsia="zh-CN"/>
        </w:rPr>
      </w:pPr>
      <w:r>
        <w:rPr>
          <w:rFonts w:ascii="Times New Roman" w:eastAsia="方正黑体_GBK" w:hAnsi="Times New Roman"/>
          <w:color w:val="000000"/>
          <w:kern w:val="0"/>
          <w:sz w:val="32"/>
          <w:szCs w:val="32"/>
          <w:shd w:val="clear" w:color="auto" w:fill="FFFFFF"/>
          <w:lang w:val="zh-CN"/>
        </w:rPr>
        <w:t>六、一般公共预算基本支出情况说明</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eastAsia="zh-CN"/>
        </w:rPr>
      </w:pPr>
      <w:r>
        <w:rPr>
          <w:rFonts w:ascii="Times New Roman" w:eastAsia="方正黑体_GBK" w:hAnsi="Times New Roman"/>
          <w:color w:val="000000"/>
          <w:kern w:val="0"/>
          <w:sz w:val="32"/>
          <w:szCs w:val="32"/>
          <w:shd w:val="clear" w:color="auto" w:fill="FFFFFF"/>
          <w:lang w:val="zh-CN"/>
        </w:rPr>
        <w:t>七、“三公”经费财政拨款预算安排情况说明</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eastAsia="zh-CN"/>
        </w:rPr>
      </w:pPr>
      <w:r>
        <w:rPr>
          <w:rFonts w:ascii="Times New Roman" w:eastAsia="方正黑体_GBK" w:hAnsi="Times New Roman"/>
          <w:color w:val="000000"/>
          <w:kern w:val="0"/>
          <w:sz w:val="32"/>
          <w:szCs w:val="32"/>
          <w:shd w:val="clear" w:color="auto" w:fill="FFFFFF"/>
          <w:lang w:val="zh-CN"/>
        </w:rPr>
        <w:t>八、政府性基金预算支出情况说明</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eastAsia="zh-CN"/>
        </w:rPr>
      </w:pPr>
      <w:r>
        <w:rPr>
          <w:rFonts w:ascii="Times New Roman" w:eastAsia="方正黑体_GBK" w:hAnsi="Times New Roman"/>
          <w:color w:val="000000"/>
          <w:kern w:val="0"/>
          <w:sz w:val="32"/>
          <w:szCs w:val="32"/>
          <w:shd w:val="clear" w:color="auto" w:fill="FFFFFF"/>
          <w:lang w:val="zh-CN"/>
        </w:rPr>
        <w:t>九、其他重要事项的情况说明</w:t>
      </w:r>
    </w:p>
    <w:p>
      <w:pPr>
        <w:overflowPunct w:val="0"/>
        <w:adjustRightInd w:val="0"/>
        <w:snapToGrid w:val="0"/>
        <w:spacing w:line="576" w:lineRule="exact"/>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十、名称解释</w:t>
      </w:r>
    </w:p>
    <w:p>
      <w:pPr>
        <w:overflowPunct w:val="0"/>
        <w:adjustRightInd w:val="0"/>
        <w:snapToGrid w:val="0"/>
        <w:spacing w:line="576" w:lineRule="exact"/>
        <w:rPr>
          <w:rFonts w:ascii="Times New Roman" w:eastAsia="黑体" w:hAnsi="Times New Roman"/>
          <w:sz w:val="32"/>
          <w:szCs w:val="32"/>
        </w:rPr>
      </w:pPr>
    </w:p>
    <w:p>
      <w:pPr>
        <w:pStyle w:val="16"/>
        <w:tabs>
          <w:tab w:val="left" w:pos="960"/>
        </w:tabs>
        <w:overflowPunct w:val="0"/>
        <w:spacing w:line="540" w:lineRule="exact"/>
      </w:pPr>
    </w:p>
    <w:p>
      <w:pPr>
        <w:overflowPunct w:val="0"/>
        <w:sectPr>
          <w:headerReference w:type="default" r:id="rId2"/>
          <w:footerReference w:type="default" r:id="rId3"/>
          <w:footerReference w:type="even" r:id="rId4"/>
          <w:pgSz w:w="11907" w:h="16840"/>
          <w:pgMar w:top="2098" w:right="1474" w:bottom="1985" w:left="1588" w:header="851" w:footer="992" w:gutter="0"/>
          <w:pgNumType w:fmt="numberInDash" w:start="1"/>
          <w:docGrid w:type="lines" w:linePitch="312" w:charSpace="0"/>
        </w:sectPr>
      </w:pPr>
    </w:p>
    <w:p>
      <w:pPr>
        <w:overflowPunct w:val="0"/>
        <w:adjustRightInd w:val="0"/>
        <w:snapToGrid w:val="0"/>
        <w:spacing w:line="576" w:lineRule="exact"/>
        <w:ind w:firstLineChars="200" w:firstLine="640"/>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一、基本职能及主要工作</w:t>
      </w:r>
    </w:p>
    <w:p>
      <w:pPr>
        <w:overflowPunct w:val="0"/>
        <w:adjustRightInd w:val="0"/>
        <w:snapToGrid w:val="0"/>
        <w:spacing w:line="576" w:lineRule="exact"/>
        <w:ind w:firstLineChars="150" w:firstLine="480"/>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（一）部门职能简介</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1.宣传贯彻党中央、国务院、省委、省政府和州委、州政府有关农业、农村经济工作和社会发展的方针、政策。</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2.研究制定全州供销合作社发展规划；指导全州供销合作社的改革和发展，加快体制、机制创新，探索社会主义市场经济条件下合作经济的多种形式。</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3.受政府委托，负责对重要农业生产资料、重要农畜产品和政策性商品经营资格审定、质量监督和行业管理及有关救灾物资的组织、储备、调运工作。</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4.协调同政府有关部门、社会组织的关系，研究供销合作经济运行中的重大问题；了解、反映供销合作社系统和农牧民群众的意见和要求，维护合作经济组织的合法权益。</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5.组织全州供销社系统参与和推进农业产业化经营，加强农畜产品市场调查研究，培育农畜产品市场，组织发展专业合作社、消费合作社等中介服务组织，培育龙头产业，加强商品供求、市场、信息服务体系建设。</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6.指导农村社会化服务体系建设，推进建立现代流通体系和现代营销方式，发展社区性、综合性、便民性社区综合服务社，满足农牧民生产、生活等社会化服务的需要。</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7.监督和管理社有资产，确保社有资产的保值、增值，对直属企业行使出资人的职权，依法享有资产受益、重大决策和选择经营管理者等权利。</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8.积极参与供销合作经济对外交流活动。</w:t>
      </w:r>
    </w:p>
    <w:p>
      <w:pPr>
        <w:keepNext w:val="0"/>
        <w:keepLines w:val="0"/>
        <w:pageBreakBefore w:val="0"/>
        <w:widowControl w:val="0"/>
        <w:kinsoku/>
        <w:wordWrap/>
        <w:overflowPunct w:val="0"/>
        <w:topLinePunct w:val="0"/>
        <w:autoSpaceDE/>
        <w:autoSpaceDN/>
        <w:bidi w:val="0"/>
        <w:adjustRightInd w:val="0"/>
        <w:snapToGrid w:val="0"/>
        <w:spacing w:line="576" w:lineRule="exact"/>
        <w:ind w:firstLineChars="200" w:firstLine="640"/>
        <w:textAlignment w:val="auto"/>
        <w:rPr>
          <w:rFonts w:ascii="Times New Roman" w:eastAsia="方正仿宋_GBK" w:hAnsi="Times New Roman"/>
          <w:color w:val="000000"/>
          <w:kern w:val="0"/>
          <w:sz w:val="32"/>
          <w:szCs w:val="32"/>
          <w:shd w:val="clear" w:color="auto" w:fill="auto"/>
          <w:lang w:val="zh-CN"/>
        </w:rPr>
      </w:pPr>
      <w:r>
        <w:rPr>
          <w:rFonts w:ascii="Times New Roman" w:eastAsia="方正仿宋_GBK" w:hAnsi="Times New Roman"/>
          <w:color w:val="000000"/>
          <w:kern w:val="0"/>
          <w:sz w:val="32"/>
          <w:szCs w:val="32"/>
          <w:shd w:val="clear" w:color="auto" w:fill="auto"/>
          <w:lang w:val="zh-CN"/>
        </w:rPr>
        <w:t>9.承担州政府交办的其他事项。</w:t>
      </w:r>
    </w:p>
    <w:p>
      <w:pPr>
        <w:overflowPunct w:val="0"/>
        <w:adjustRightInd w:val="0"/>
        <w:snapToGrid w:val="0"/>
        <w:spacing w:line="576" w:lineRule="exact"/>
        <w:ind w:firstLineChars="200" w:firstLine="640"/>
        <w:rPr>
          <w:rFonts w:ascii="Times New Roman" w:eastAsia="方正楷体_GBK" w:hAnsi="Times New Roman"/>
          <w:b/>
          <w:bCs/>
          <w:color w:val="000000"/>
          <w:kern w:val="0"/>
          <w:sz w:val="32"/>
          <w:szCs w:val="32"/>
          <w:shd w:val="clear" w:color="auto" w:fill="FFFFFF"/>
          <w:lang w:val="zh-CN"/>
        </w:rPr>
      </w:pPr>
      <w:r>
        <w:rPr>
          <w:rFonts w:ascii="Times New Roman" w:eastAsia="方正楷体_GBK" w:hAnsi="Times New Roman"/>
          <w:b/>
          <w:bCs/>
          <w:color w:val="000000"/>
          <w:kern w:val="0"/>
          <w:sz w:val="32"/>
          <w:szCs w:val="32"/>
          <w:shd w:val="clear" w:color="auto" w:fill="FFFFFF"/>
          <w:lang w:val="zh-CN"/>
        </w:rPr>
        <w:t>（二）2024年重点工作</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一是</w:t>
      </w:r>
      <w:r>
        <w:rPr>
          <w:rStyle w:val="0"/>
          <w:rFonts w:ascii="Times New Roman" w:eastAsia="方正仿宋_GBK" w:hAnsi="Times New Roman"/>
          <w:color w:val="000000"/>
          <w:kern w:val="0"/>
          <w:sz w:val="32"/>
          <w:szCs w:val="32"/>
          <w:shd w:val="clear" w:color="auto" w:fill="auto"/>
          <w:lang w:val="zh-CN" w:eastAsia="zh-CN" w:bidi="ar-SA"/>
        </w:rPr>
        <w:t>持续深化供销合作社综合改革加快建设为农服务综合平。以改革为工作总牵引，按照“1+13+40+N”改革总要求，高质量完成2024年目标任务。</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二是</w:t>
      </w:r>
      <w:r>
        <w:rPr>
          <w:rStyle w:val="0"/>
          <w:rFonts w:ascii="Times New Roman" w:eastAsia="方正仿宋_GBK" w:hAnsi="Times New Roman"/>
          <w:color w:val="000000"/>
          <w:kern w:val="0"/>
          <w:sz w:val="32"/>
          <w:szCs w:val="32"/>
          <w:shd w:val="clear" w:color="auto" w:fill="auto"/>
          <w:lang w:val="zh-CN" w:eastAsia="zh-CN" w:bidi="ar-SA"/>
        </w:rPr>
        <w:t>进一步深化联合社机关改革、理顺社企关系、强化行业指导，建立监事会为重点，加快健全完善阿坝州供销合作社系统行业指导体系及“三会制度”。</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三是</w:t>
      </w:r>
      <w:r>
        <w:rPr>
          <w:rStyle w:val="0"/>
          <w:rFonts w:ascii="Times New Roman" w:eastAsia="方正仿宋_GBK" w:hAnsi="Times New Roman"/>
          <w:color w:val="000000"/>
          <w:kern w:val="0"/>
          <w:sz w:val="32"/>
          <w:szCs w:val="32"/>
          <w:shd w:val="clear" w:color="auto" w:fill="auto"/>
          <w:lang w:val="zh-CN" w:eastAsia="zh-CN" w:bidi="ar-SA"/>
        </w:rPr>
        <w:t>加强供销人才队伍建设，选拔对农民群众有感情、对合作事业有热情、对干事创业有激情和素质高、能力强的干部充实到各级供销社队伍，广泛吸纳各类经营管理和专业技术人才。</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四是</w:t>
      </w:r>
      <w:r>
        <w:rPr>
          <w:rStyle w:val="0"/>
          <w:rFonts w:ascii="Times New Roman" w:eastAsia="方正仿宋_GBK" w:hAnsi="Times New Roman"/>
          <w:color w:val="000000"/>
          <w:kern w:val="0"/>
          <w:sz w:val="32"/>
          <w:szCs w:val="32"/>
          <w:shd w:val="clear" w:color="auto" w:fill="auto"/>
          <w:lang w:val="zh-CN" w:eastAsia="zh-CN" w:bidi="ar-SA"/>
        </w:rPr>
        <w:t>持续抓好安全生产保障。指导推动全系统统筹做好经济社会发展各项工作，确保农资、农产品等商品市场安全供应。</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五是</w:t>
      </w:r>
      <w:r>
        <w:rPr>
          <w:rStyle w:val="0"/>
          <w:rFonts w:ascii="Times New Roman" w:eastAsia="方正仿宋_GBK" w:hAnsi="Times New Roman"/>
          <w:color w:val="000000"/>
          <w:kern w:val="0"/>
          <w:sz w:val="32"/>
          <w:szCs w:val="32"/>
          <w:shd w:val="clear" w:color="auto" w:fill="auto"/>
          <w:lang w:val="zh-CN" w:eastAsia="zh-CN" w:bidi="ar-SA"/>
        </w:rPr>
        <w:t>继续推进全面从严管党治社根本，坚持从严、从细、从实标准，努力打造清廉供销队伍。</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六是</w:t>
      </w:r>
      <w:r>
        <w:rPr>
          <w:rStyle w:val="0"/>
          <w:rFonts w:ascii="Times New Roman" w:eastAsia="方正仿宋_GBK" w:hAnsi="Times New Roman"/>
          <w:color w:val="000000"/>
          <w:kern w:val="0"/>
          <w:sz w:val="32"/>
          <w:szCs w:val="32"/>
          <w:shd w:val="clear" w:color="auto" w:fill="auto"/>
          <w:lang w:val="zh-CN" w:eastAsia="zh-CN" w:bidi="ar-SA"/>
        </w:rPr>
        <w:t>奋力推进“三社融合”试点工作和落实全州两项改革“后半篇”文章部署，围绕基层组织治理，深化与农民利益联结机制，积极推进供销流通合作社体系建设。</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七是</w:t>
      </w:r>
      <w:r>
        <w:rPr>
          <w:rStyle w:val="0"/>
          <w:rFonts w:ascii="Times New Roman" w:eastAsia="方正仿宋_GBK" w:hAnsi="Times New Roman"/>
          <w:color w:val="000000"/>
          <w:kern w:val="0"/>
          <w:sz w:val="32"/>
          <w:szCs w:val="32"/>
          <w:shd w:val="clear" w:color="auto" w:fill="auto"/>
          <w:lang w:val="zh-CN" w:eastAsia="zh-CN" w:bidi="ar-SA"/>
        </w:rPr>
        <w:t>积极开展“两联一进”群众工作全覆盖，帮助联系村制定发展规划，理清发展思路，助力乡村振兴。</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color w:val="000000"/>
          <w:kern w:val="0"/>
          <w:sz w:val="32"/>
          <w:szCs w:val="32"/>
          <w:shd w:val="clear" w:color="auto" w:fill="auto"/>
          <w:lang w:val="zh-CN" w:eastAsia="zh-CN" w:bidi="ar-SA"/>
        </w:rPr>
      </w:pPr>
      <w:r>
        <w:rPr>
          <w:rStyle w:val="0"/>
          <w:rFonts w:ascii="Times New Roman" w:eastAsia="方正仿宋_GBK" w:hAnsi="Times New Roman"/>
          <w:b/>
          <w:bCs/>
          <w:color w:val="000000"/>
          <w:kern w:val="0"/>
          <w:sz w:val="32"/>
          <w:szCs w:val="32"/>
          <w:shd w:val="clear" w:color="auto" w:fill="auto"/>
          <w:lang w:val="zh-CN" w:eastAsia="zh-CN" w:bidi="ar-SA"/>
        </w:rPr>
        <w:t>八是</w:t>
      </w:r>
      <w:r>
        <w:rPr>
          <w:rStyle w:val="0"/>
          <w:rFonts w:ascii="Times New Roman" w:eastAsia="方正仿宋_GBK" w:hAnsi="Times New Roman"/>
          <w:color w:val="000000"/>
          <w:kern w:val="0"/>
          <w:sz w:val="32"/>
          <w:szCs w:val="32"/>
          <w:shd w:val="clear" w:color="auto" w:fill="auto"/>
          <w:lang w:val="zh-CN" w:eastAsia="zh-CN" w:bidi="ar-SA"/>
        </w:rPr>
        <w:t>继续做好“天府乡村”公益品牌审核管理工作，做好特色农产品销售工作，发挥供销社系统基层社和阿坝州云背篓农业科技有限公司平台优势，特色农产品销售有明显突破，通过电子商务拓展农产品营销渠道，提升为农服务能力。</w:t>
      </w:r>
    </w:p>
    <w:p>
      <w:pPr>
        <w:pStyle w:val="20"/>
        <w:numPr>
          <w:ilvl w:val="0"/>
          <w:numId w:val="1"/>
        </w:numPr>
        <w:overflowPunct w:val="0"/>
        <w:adjustRightInd w:val="0"/>
        <w:snapToGrid w:val="0"/>
        <w:spacing w:line="576" w:lineRule="exact"/>
        <w:ind w:firstLineChars="0"/>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部门预算单位构成</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Fonts w:ascii="Times New Roman" w:hAnsi="Times New Roman"/>
        </w:rPr>
      </w:pPr>
      <w:r>
        <w:rPr>
          <w:rStyle w:val="0"/>
          <w:rFonts w:ascii="Times New Roman" w:eastAsia="方正仿宋_GBK" w:hAnsi="Times New Roman"/>
          <w:bCs/>
          <w:color w:val="000000"/>
          <w:kern w:val="0"/>
          <w:sz w:val="32"/>
          <w:szCs w:val="32"/>
          <w:shd w:val="clear" w:color="auto" w:fill="auto"/>
          <w:lang w:val="zh-CN"/>
        </w:rPr>
        <w:t>阿坝州供销社属一级预算单位，无下属二级预算单位。属参照公务员管理的事业单位。</w:t>
      </w:r>
    </w:p>
    <w:p>
      <w:pPr>
        <w:pStyle w:val="20"/>
        <w:overflowPunct w:val="0"/>
        <w:adjustRightInd w:val="0"/>
        <w:snapToGrid w:val="0"/>
        <w:spacing w:line="576" w:lineRule="exact"/>
        <w:ind w:firstLineChars="200" w:firstLine="640"/>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三、收支预算情况说明</w:t>
      </w:r>
    </w:p>
    <w:p>
      <w:pPr>
        <w:overflowPunct w:val="0"/>
        <w:adjustRightInd w:val="0"/>
        <w:snapToGrid w:val="0"/>
        <w:spacing w:line="576" w:lineRule="exact"/>
        <w:ind w:firstLineChars="200" w:firstLine="640"/>
        <w:rPr>
          <w:rFonts w:ascii="Times New Roman" w:eastAsia="方正楷体_GBK" w:hAnsi="Times New Roman"/>
          <w:b/>
          <w:bCs/>
          <w:color w:val="000000"/>
          <w:kern w:val="0"/>
          <w:sz w:val="32"/>
          <w:szCs w:val="32"/>
          <w:shd w:val="clear" w:color="auto" w:fill="FFFFFF"/>
          <w:lang w:val="zh-CN" w:eastAsia="zh-CN"/>
        </w:rPr>
      </w:pPr>
      <w:r>
        <w:rPr>
          <w:rFonts w:ascii="Times New Roman" w:eastAsia="方正楷体_GBK" w:hAnsi="Times New Roman"/>
          <w:b/>
          <w:bCs/>
          <w:color w:val="000000"/>
          <w:kern w:val="0"/>
          <w:sz w:val="32"/>
          <w:szCs w:val="32"/>
          <w:shd w:val="clear" w:color="auto" w:fill="FFFFFF"/>
          <w:lang w:val="zh-CN"/>
        </w:rPr>
        <w:t>（一）收入预算情况</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rPr>
      </w:pPr>
      <w:r>
        <w:rPr>
          <w:rStyle w:val="0"/>
          <w:rFonts w:ascii="Times New Roman" w:eastAsia="方正仿宋_GBK" w:hAnsi="Times New Roman"/>
          <w:bCs/>
          <w:color w:val="000000"/>
          <w:kern w:val="0"/>
          <w:sz w:val="32"/>
          <w:szCs w:val="32"/>
          <w:shd w:val="clear" w:color="auto" w:fill="auto"/>
          <w:lang w:val="zh-CN" w:eastAsia="zh-CN" w:bidi="ar-SA"/>
        </w:rPr>
        <w:t>阿坝州供销社2024年收入预算680.12万元，其中：一般公共预算拨款收入680.12万元，占100%。</w:t>
      </w:r>
    </w:p>
    <w:p>
      <w:pPr>
        <w:overflowPunct w:val="0"/>
        <w:adjustRightInd w:val="0"/>
        <w:snapToGrid w:val="0"/>
        <w:spacing w:line="576" w:lineRule="exact"/>
        <w:ind w:firstLineChars="200" w:firstLine="640"/>
        <w:rPr>
          <w:rFonts w:ascii="Times New Roman" w:eastAsia="方正楷体_GBK" w:hAnsi="Times New Roman"/>
          <w:b/>
          <w:bCs/>
          <w:color w:val="000000"/>
          <w:kern w:val="0"/>
          <w:sz w:val="32"/>
          <w:szCs w:val="32"/>
          <w:shd w:val="clear" w:color="auto" w:fill="FFFFFF"/>
          <w:lang w:val="zh-CN" w:eastAsia="zh-CN"/>
        </w:rPr>
      </w:pPr>
      <w:r>
        <w:rPr>
          <w:rFonts w:ascii="Times New Roman" w:eastAsia="方正楷体_GBK" w:hAnsi="Times New Roman"/>
          <w:b/>
          <w:bCs/>
          <w:color w:val="000000"/>
          <w:kern w:val="0"/>
          <w:sz w:val="32"/>
          <w:szCs w:val="32"/>
          <w:shd w:val="clear" w:color="auto" w:fill="FFFFFF"/>
          <w:lang w:val="zh-CN"/>
        </w:rPr>
        <w:t>（二）支出预算情况</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阿坝州供销社2024年支出预算680.12万元，其中：基本支出651.77万元，占比95.83%；项目支出28.35万元，占比4.17%。</w:t>
      </w:r>
    </w:p>
    <w:p>
      <w:pPr>
        <w:overflowPunct w:val="0"/>
        <w:adjustRightInd w:val="0"/>
        <w:snapToGrid w:val="0"/>
        <w:spacing w:line="576" w:lineRule="exact"/>
        <w:ind w:leftChars="304" w:left="638"/>
        <w:rPr>
          <w:rFonts w:ascii="Times New Roman" w:eastAsia="方正黑体_GBK" w:hAnsi="Times New Roman"/>
          <w:color w:val="000000"/>
          <w:kern w:val="0"/>
          <w:sz w:val="32"/>
          <w:szCs w:val="32"/>
          <w:shd w:val="clear" w:color="auto" w:fill="FFFFFF"/>
          <w:lang w:val="zh-CN" w:eastAsia="zh-CN"/>
        </w:rPr>
      </w:pPr>
      <w:r>
        <w:rPr>
          <w:rFonts w:ascii="Times New Roman" w:eastAsia="方正黑体_GBK" w:hAnsi="Times New Roman"/>
          <w:color w:val="000000"/>
          <w:kern w:val="0"/>
          <w:sz w:val="32"/>
          <w:szCs w:val="32"/>
          <w:shd w:val="clear" w:color="auto" w:fill="FFFFFF"/>
          <w:lang w:val="zh-CN"/>
        </w:rPr>
        <w:t>四、财政拨款收支预算情况说明</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bidi="ar-SA"/>
        </w:rPr>
      </w:pPr>
      <w:r>
        <w:rPr>
          <w:rStyle w:val="0"/>
          <w:rFonts w:ascii="Times New Roman" w:eastAsia="方正仿宋_GBK" w:hAnsi="Times New Roman"/>
          <w:bCs/>
          <w:color w:val="000000"/>
          <w:kern w:val="0"/>
          <w:sz w:val="32"/>
          <w:szCs w:val="32"/>
          <w:shd w:val="clear" w:color="auto" w:fill="auto"/>
          <w:lang w:val="zh-CN" w:eastAsia="zh-CN" w:bidi="ar-SA"/>
        </w:rPr>
        <w:t>阿坝州供销社2024年财政拨款收支总预算680.12万元,比2023年财政拨款收支总预算减少2.64万元，主要原因为2024年纳入预算申报的人数为20人，较上年减少一人。</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bidi="ar-SA"/>
        </w:rPr>
      </w:pPr>
      <w:r>
        <w:rPr>
          <w:rStyle w:val="0"/>
          <w:rFonts w:ascii="Times New Roman" w:eastAsia="方正仿宋_GBK" w:hAnsi="Times New Roman"/>
          <w:bCs/>
          <w:color w:val="000000"/>
          <w:kern w:val="0"/>
          <w:sz w:val="32"/>
          <w:szCs w:val="32"/>
          <w:shd w:val="clear" w:color="auto" w:fill="auto"/>
          <w:lang w:val="zh-CN" w:eastAsia="zh-CN" w:bidi="ar-SA"/>
        </w:rPr>
        <w:t>收入包括：一般公共预算拨款收入680.12万元。</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bidi="ar-SA"/>
        </w:rPr>
      </w:pPr>
      <w:r>
        <w:rPr>
          <w:rStyle w:val="0"/>
          <w:rFonts w:ascii="Times New Roman" w:eastAsia="方正仿宋_GBK" w:hAnsi="Times New Roman"/>
          <w:bCs/>
          <w:color w:val="000000"/>
          <w:kern w:val="0"/>
          <w:sz w:val="32"/>
          <w:szCs w:val="32"/>
          <w:shd w:val="clear" w:color="auto" w:fill="auto"/>
          <w:lang w:val="zh-CN" w:eastAsia="zh-CN" w:bidi="ar-SA"/>
        </w:rPr>
        <w:t>支出包括：社会保障和就业支出80.79万元，卫生健康支出33.30万元，住房保障支出39.32万元，商业服务业等支出526.71万元。</w:t>
      </w:r>
    </w:p>
    <w:p>
      <w:pPr>
        <w:overflowPunct w:val="0"/>
        <w:adjustRightInd w:val="0"/>
        <w:snapToGrid w:val="0"/>
        <w:spacing w:line="576" w:lineRule="exact"/>
        <w:ind w:firstLineChars="200" w:firstLine="640"/>
        <w:rPr>
          <w:rFonts w:ascii="Times New Roman" w:eastAsia="方正黑体_GBK" w:hAnsi="Times New Roman"/>
          <w:color w:val="000000"/>
          <w:kern w:val="0"/>
          <w:sz w:val="32"/>
          <w:szCs w:val="32"/>
          <w:shd w:val="clear" w:color="auto" w:fill="FFFFFF"/>
          <w:lang w:val="zh-CN"/>
        </w:rPr>
      </w:pPr>
      <w:r>
        <w:rPr>
          <w:rFonts w:ascii="Times New Roman" w:eastAsia="方正黑体_GBK" w:hAnsi="Times New Roman"/>
          <w:color w:val="000000"/>
          <w:kern w:val="0"/>
          <w:sz w:val="32"/>
          <w:szCs w:val="32"/>
          <w:shd w:val="clear" w:color="auto" w:fill="FFFFFF"/>
          <w:lang w:val="zh-CN"/>
        </w:rPr>
        <w:t>五、一般公共预算当年拨款情况说明</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（一）一般公共预算当年拨款规模变化情况</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阿坝州供销社2024年一般公共预算当年拨680.12万元,比2023年财政拨款收支总预算减少2.64万元，主要原因为2024年纳入预算申报的人数为20人，较上年减少一人。</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eastAsia="zh-CN"/>
        </w:rPr>
      </w:pPr>
      <w:r>
        <w:rPr>
          <w:rFonts w:ascii="Times New Roman" w:eastAsia="方正楷体_GBK" w:hAnsi="Times New Roman"/>
          <w:b/>
          <w:bCs/>
          <w:color w:val="000000"/>
          <w:sz w:val="32"/>
          <w:szCs w:val="32"/>
          <w:shd w:val="clear" w:color="auto" w:fill="FFFFFF"/>
          <w:lang w:val="zh-CN"/>
        </w:rPr>
        <w:t>（二）一般公共预算当年拨款结构情况</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rPr>
      </w:pPr>
      <w:r>
        <w:rPr>
          <w:rStyle w:val="0"/>
          <w:rFonts w:ascii="Times New Roman" w:eastAsia="方正仿宋_GBK" w:hAnsi="Times New Roman"/>
          <w:bCs/>
          <w:color w:val="000000"/>
          <w:kern w:val="0"/>
          <w:sz w:val="32"/>
          <w:szCs w:val="32"/>
          <w:shd w:val="clear" w:color="auto" w:fill="auto"/>
          <w:lang w:val="zh-CN" w:eastAsia="zh-CN"/>
        </w:rPr>
        <w:t>社会保障和就业支出</w:t>
      </w:r>
      <w:r>
        <w:rPr>
          <w:rStyle w:val="0"/>
          <w:rFonts w:ascii="Times New Roman" w:eastAsia="方正仿宋_GBK" w:hAnsi="Times New Roman"/>
          <w:bCs/>
          <w:color w:val="000000"/>
          <w:kern w:val="0"/>
          <w:sz w:val="32"/>
          <w:szCs w:val="32"/>
          <w:shd w:val="clear" w:color="auto" w:fill="auto"/>
          <w:lang w:val="zh-CN" w:eastAsia="zh-CN" w:bidi="ar-SA"/>
        </w:rPr>
        <w:t>80.79万元</w:t>
      </w:r>
      <w:r>
        <w:rPr>
          <w:rStyle w:val="0"/>
          <w:rFonts w:ascii="Times New Roman" w:eastAsia="方正仿宋_GBK" w:hAnsi="Times New Roman"/>
          <w:bCs/>
          <w:color w:val="000000"/>
          <w:kern w:val="0"/>
          <w:sz w:val="32"/>
          <w:szCs w:val="32"/>
          <w:shd w:val="clear" w:color="auto" w:fill="auto"/>
          <w:lang w:val="zh-CN" w:eastAsia="zh-CN"/>
        </w:rPr>
        <w:t>，占11.88%；卫生健康支出</w:t>
      </w:r>
      <w:r>
        <w:rPr>
          <w:rStyle w:val="0"/>
          <w:rFonts w:ascii="Times New Roman" w:eastAsia="方正仿宋_GBK" w:hAnsi="Times New Roman"/>
          <w:bCs/>
          <w:color w:val="000000"/>
          <w:kern w:val="0"/>
          <w:sz w:val="32"/>
          <w:szCs w:val="32"/>
          <w:shd w:val="clear" w:color="auto" w:fill="auto"/>
          <w:lang w:val="zh-CN" w:eastAsia="zh-CN" w:bidi="ar-SA"/>
        </w:rPr>
        <w:t>33.30</w:t>
      </w:r>
      <w:r>
        <w:rPr>
          <w:rStyle w:val="0"/>
          <w:rFonts w:ascii="Times New Roman" w:eastAsia="方正仿宋_GBK" w:hAnsi="Times New Roman"/>
          <w:bCs/>
          <w:color w:val="000000"/>
          <w:kern w:val="0"/>
          <w:sz w:val="32"/>
          <w:szCs w:val="32"/>
          <w:shd w:val="clear" w:color="auto" w:fill="auto"/>
          <w:lang w:val="zh-CN" w:eastAsia="zh-CN"/>
        </w:rPr>
        <w:t>万元，占4.9%；住房保障支出</w:t>
      </w:r>
      <w:r>
        <w:rPr>
          <w:rStyle w:val="0"/>
          <w:rFonts w:ascii="Times New Roman" w:eastAsia="方正仿宋_GBK" w:hAnsi="Times New Roman"/>
          <w:bCs/>
          <w:color w:val="000000"/>
          <w:kern w:val="0"/>
          <w:sz w:val="32"/>
          <w:szCs w:val="32"/>
          <w:shd w:val="clear" w:color="auto" w:fill="auto"/>
          <w:lang w:val="zh-CN" w:eastAsia="zh-CN" w:bidi="ar-SA"/>
        </w:rPr>
        <w:t>39.32</w:t>
      </w:r>
      <w:r>
        <w:rPr>
          <w:rStyle w:val="0"/>
          <w:rFonts w:ascii="Times New Roman" w:eastAsia="方正仿宋_GBK" w:hAnsi="Times New Roman"/>
          <w:bCs/>
          <w:color w:val="000000"/>
          <w:kern w:val="0"/>
          <w:sz w:val="32"/>
          <w:szCs w:val="32"/>
          <w:shd w:val="clear" w:color="auto" w:fill="auto"/>
          <w:lang w:val="zh-CN" w:eastAsia="zh-CN"/>
        </w:rPr>
        <w:t>万元，占5.78%；商业服务业等支出</w:t>
      </w:r>
      <w:r>
        <w:rPr>
          <w:rStyle w:val="0"/>
          <w:rFonts w:ascii="Times New Roman" w:eastAsia="方正仿宋_GBK" w:hAnsi="Times New Roman"/>
          <w:bCs/>
          <w:color w:val="000000"/>
          <w:kern w:val="0"/>
          <w:sz w:val="32"/>
          <w:szCs w:val="32"/>
          <w:shd w:val="clear" w:color="auto" w:fill="auto"/>
          <w:lang w:val="zh-CN" w:eastAsia="zh-CN" w:bidi="ar-SA"/>
        </w:rPr>
        <w:t>526.71</w:t>
      </w:r>
      <w:r>
        <w:rPr>
          <w:rStyle w:val="0"/>
          <w:rFonts w:ascii="Times New Roman" w:eastAsia="方正仿宋_GBK" w:hAnsi="Times New Roman"/>
          <w:bCs/>
          <w:color w:val="000000"/>
          <w:kern w:val="0"/>
          <w:sz w:val="32"/>
          <w:szCs w:val="32"/>
          <w:shd w:val="clear" w:color="auto" w:fill="auto"/>
          <w:lang w:val="zh-CN" w:eastAsia="zh-CN"/>
        </w:rPr>
        <w:t>万元，占77.44%。</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（三）一般公共预算当年拨款具体使用情况</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 xml:space="preserve"> 1.社会保障和就业支出（类）行政事业单位离退休（款）机关事业单位基本养老保险缴费支出（项目）2024年预算数为53.86万元，主要用于按规定缴纳在职职工单位应承担的养老保险。</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2．社会保障和就业支出（类）行政事业单位离退休（款）机关事业单位职业年金缴费支出（项目）2024年预算数为26.93万元，主要用于按规定缴纳在职职工单位应承担的职业年金。</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3.卫生健康支出（类）行政事业单位医疗（款）行政单位医疗（项目）2024年预算数为23.57万元，主要用于缴纳职工的医疗保险单位应缴部分。</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rPr>
      </w:pPr>
      <w:r>
        <w:rPr>
          <w:rStyle w:val="0"/>
          <w:rFonts w:ascii="Times New Roman" w:eastAsia="方正仿宋_GBK" w:hAnsi="Times New Roman"/>
          <w:bCs/>
          <w:color w:val="000000"/>
          <w:kern w:val="0"/>
          <w:sz w:val="32"/>
          <w:szCs w:val="32"/>
          <w:shd w:val="clear" w:color="auto" w:fill="auto"/>
          <w:lang w:val="zh-CN"/>
        </w:rPr>
        <w:t>4.卫生健康支出（类）行政事业单位医疗（款）公务员医疗补助（项目）2024年预算数为9.74万元，主要用于缴纳在职及退休职工的补充医疗保险。</w:t>
      </w:r>
    </w:p>
    <w:p>
      <w:pPr>
        <w:keepNext w:val="0"/>
        <w:keepLines w:val="0"/>
        <w:pageBreakBefore w:val="0"/>
        <w:widowControl w:val="0"/>
        <w:kinsoku/>
        <w:wordWrap/>
        <w:overflowPunct w:val="0"/>
        <w:topLinePunct w:val="0"/>
        <w:autoSpaceDE/>
        <w:autoSpaceDN/>
        <w:adjustRightInd w:val="0"/>
        <w:snapToGrid w:val="0"/>
        <w:spacing w:line="576" w:lineRule="exact"/>
        <w:ind w:firstLineChars="200" w:firstLine="640"/>
        <w:rPr>
          <w:rStyle w:val="0"/>
          <w:rFonts w:ascii="Times New Roman" w:eastAsia="方正仿宋_GBK" w:hAnsi="Times New Roman"/>
          <w:bCs/>
          <w:color w:val="000000"/>
          <w:kern w:val="0"/>
          <w:sz w:val="32"/>
          <w:szCs w:val="32"/>
          <w:shd w:val="clear" w:color="auto" w:fill="auto"/>
          <w:lang w:val="zh-CN" w:eastAsia="zh-CN"/>
        </w:rPr>
      </w:pPr>
      <w:r>
        <w:rPr>
          <w:rStyle w:val="0"/>
          <w:rFonts w:ascii="Times New Roman" w:eastAsia="方正仿宋_GBK" w:hAnsi="Times New Roman"/>
          <w:bCs/>
          <w:color w:val="000000"/>
          <w:kern w:val="0"/>
          <w:sz w:val="32"/>
          <w:szCs w:val="32"/>
          <w:shd w:val="clear" w:color="auto" w:fill="auto"/>
          <w:lang w:val="zh-CN"/>
        </w:rPr>
        <w:t>5.商业服务业等支出（类）商业流通事务（款）行政运行（项目）2024年预算数为516.71万元，主要用于职工的工资薪金和单位的日常办公经费、</w:t>
      </w:r>
      <w:r>
        <w:rPr>
          <w:rStyle w:val="0"/>
          <w:rFonts w:ascii="Times New Roman" w:eastAsia="方正仿宋_GBK" w:hAnsi="Times New Roman"/>
          <w:bCs/>
          <w:color w:val="000000"/>
          <w:kern w:val="0"/>
          <w:sz w:val="32"/>
          <w:szCs w:val="32"/>
          <w:shd w:val="clear" w:color="auto" w:fill="auto"/>
          <w:lang w:val="zh-CN" w:eastAsia="zh-CN"/>
        </w:rPr>
        <w:t>培训费、“三公”经费、办公设备购置等费用。</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eastAsia="zh-CN"/>
        </w:rPr>
      </w:pPr>
      <w:r>
        <w:rPr>
          <w:rFonts w:ascii="Times New Roman" w:eastAsia="方正仿宋_GBK" w:hAnsi="Times New Roman"/>
          <w:bCs/>
          <w:color w:val="000000"/>
          <w:sz w:val="32"/>
          <w:szCs w:val="32"/>
          <w:shd w:val="clear" w:color="auto" w:fill="auto"/>
          <w:lang w:val="zh-CN" w:eastAsia="zh-CN"/>
        </w:rPr>
        <w:t>6.商业服务业等支出（类）商业流通事务（款）其他商业流通事务支出（项目）2024年预算数为10万元，主要用于壮大供销合作发展基金。</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eastAsia="zh-CN"/>
        </w:rPr>
      </w:pPr>
      <w:r>
        <w:rPr>
          <w:rFonts w:ascii="Times New Roman" w:eastAsia="方正仿宋_GBK" w:hAnsi="Times New Roman"/>
          <w:bCs/>
          <w:color w:val="000000"/>
          <w:sz w:val="32"/>
          <w:szCs w:val="32"/>
          <w:shd w:val="clear" w:color="auto" w:fill="auto"/>
          <w:lang w:val="zh-CN" w:eastAsia="zh-CN"/>
        </w:rPr>
        <w:t>7.住房保障支出（类）住房改革支出（款）住房公积金（项目）2024年预算数为39.32万元，主要用于缴纳职工住房公积金单位应缴部分。</w:t>
      </w:r>
    </w:p>
    <w:p>
      <w:pPr>
        <w:overflowPunct w:val="0"/>
        <w:adjustRightInd w:val="0"/>
        <w:snapToGrid w:val="0"/>
        <w:spacing w:line="576" w:lineRule="exact"/>
        <w:ind w:firstLineChars="200" w:firstLine="640"/>
        <w:rPr>
          <w:rStyle w:val="0"/>
          <w:rFonts w:ascii="Times New Roman" w:eastAsia="方正黑体_GBK" w:hAnsi="Times New Roman"/>
          <w:color w:val="000000"/>
          <w:kern w:val="0"/>
          <w:sz w:val="32"/>
          <w:szCs w:val="32"/>
          <w:shd w:val="clear" w:color="auto" w:fill="FFFFFF"/>
          <w:lang w:val="zh-CN"/>
        </w:rPr>
      </w:pPr>
      <w:r>
        <w:rPr>
          <w:rStyle w:val="0"/>
          <w:rFonts w:ascii="Times New Roman" w:eastAsia="方正黑体_GBK" w:hAnsi="Times New Roman"/>
          <w:color w:val="000000"/>
          <w:kern w:val="0"/>
          <w:sz w:val="32"/>
          <w:szCs w:val="32"/>
          <w:shd w:val="clear" w:color="auto" w:fill="FFFFFF"/>
          <w:lang w:val="zh-CN"/>
        </w:rPr>
        <w:t>六、一般公共预算基本支出情况说明</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 xml:space="preserve"> 阿坝州供销社2024年一般公共预算基本支出651.77万元，其中：人员经费575.16万元，</w:t>
      </w:r>
      <w:r>
        <w:rPr>
          <w:rFonts w:ascii="Times New Roman" w:eastAsia="方正仿宋_GBK" w:hAnsi="Times New Roman"/>
          <w:bCs/>
          <w:color w:val="000000"/>
          <w:sz w:val="32"/>
          <w:szCs w:val="32"/>
          <w:shd w:val="clear" w:color="auto" w:fill="auto"/>
          <w:lang w:val="zh-CN"/>
        </w:rPr>
        <w:t>主要包括：基本工资108.27万元、津贴补贴220.70万元、奖金9.02万元、其他社会保障缴费6.33万元、机关事业单位基本养老保险缴费53.86万元、职业年金缴费26.93万元、其他工资福利支出7.20万元、</w:t>
      </w:r>
      <w:r>
        <w:rPr>
          <w:rFonts w:ascii="Times New Roman" w:eastAsia="方正仿宋_GBK" w:hAnsi="Times New Roman"/>
          <w:bCs/>
          <w:color w:val="000000"/>
          <w:sz w:val="32"/>
          <w:szCs w:val="32"/>
          <w:shd w:val="clear" w:color="auto" w:fill="auto"/>
          <w:lang w:val="zh-CN" w:bidi="ar-SA"/>
        </w:rPr>
        <w:t>职工基本医疗保险缴费23.57万元、公务员医疗补助缴费9.74万元、</w:t>
      </w:r>
      <w:r>
        <w:rPr>
          <w:rFonts w:ascii="Times New Roman" w:eastAsia="方正仿宋_GBK" w:hAnsi="Times New Roman"/>
          <w:bCs/>
          <w:color w:val="000000"/>
          <w:sz w:val="32"/>
          <w:szCs w:val="32"/>
          <w:shd w:val="clear" w:color="auto" w:fill="auto"/>
          <w:lang w:val="zh-CN"/>
        </w:rPr>
        <w:t>住房公积金39.32万元、生活补助69.24万元、奖励金0.01万元、离退休人员公用经费等0.97万元。</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公用经费76.61万元，主要包括：办公费2.16万元、水费0.65万元、邮电费5.76万元、取暖费0.86万元、差旅费19.16万元、维修（护）费0.19万元、培训费4.43万元、接待费1.13万元、福利费2.71万元、体检费6.96万元、公务用车运行维护费11.52万元、其他商品和服务支出21.09万元。</w:t>
      </w:r>
    </w:p>
    <w:p>
      <w:pPr>
        <w:overflowPunct w:val="0"/>
        <w:adjustRightInd w:val="0"/>
        <w:snapToGrid w:val="0"/>
        <w:spacing w:line="576" w:lineRule="exact"/>
        <w:ind w:firstLineChars="200" w:firstLine="640"/>
        <w:rPr>
          <w:rStyle w:val="0"/>
          <w:rFonts w:ascii="Times New Roman" w:eastAsia="方正黑体_GBK" w:hAnsi="Times New Roman"/>
          <w:bCs/>
          <w:color w:val="000000"/>
          <w:kern w:val="0"/>
          <w:sz w:val="32"/>
          <w:szCs w:val="32"/>
          <w:shd w:val="clear" w:color="auto" w:fill="FFFFFF"/>
          <w:lang w:val="zh-CN"/>
        </w:rPr>
      </w:pPr>
      <w:r>
        <w:rPr>
          <w:rStyle w:val="0"/>
          <w:rFonts w:ascii="Times New Roman" w:eastAsia="方正黑体_GBK" w:hAnsi="Times New Roman"/>
          <w:bCs/>
          <w:color w:val="000000"/>
          <w:kern w:val="0"/>
          <w:sz w:val="32"/>
          <w:szCs w:val="32"/>
          <w:shd w:val="clear" w:color="auto" w:fill="FFFFFF"/>
          <w:lang w:val="zh-CN"/>
        </w:rPr>
        <w:t>七、“三公”经费财政拨款预算安排情况说明</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2024年“三公”经费财政拨款预算数20.65万元，其中：因公出国（境）经费0万元，公务接待费1.13万元，公务用车购置及运行维护费19.52万元。</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（一）2024年因公出国（境）经费0万元。</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（二）2024年公务接待费1.13万元。较2023年预算经费增加0.01万元，增长0.89%，原因为在职人员津补贴及基本工资等上涨导致基数增加，从而公务接待费增加。</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left="0"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三）2024年公务用车购置及运行维护费19.52万元。较2023年预算经费增加8万元，增长69.44%，原因为我单位于2010年购买的车辆行驶公里数已超过32万公里，随着行驶公里路不断增加，安全性能大幅下降，为保证公务用车安全出行，2024年需对该车进行大修。</w:t>
      </w:r>
    </w:p>
    <w:p>
      <w:pPr>
        <w:overflowPunct w:val="0"/>
        <w:adjustRightInd w:val="0"/>
        <w:snapToGrid w:val="0"/>
        <w:spacing w:line="576" w:lineRule="exact"/>
        <w:ind w:firstLineChars="200" w:firstLine="640"/>
        <w:rPr>
          <w:rStyle w:val="0"/>
          <w:rFonts w:ascii="Times New Roman" w:eastAsia="方正黑体_GBK" w:hAnsi="Times New Roman"/>
          <w:bCs/>
          <w:color w:val="000000"/>
          <w:kern w:val="0"/>
          <w:sz w:val="32"/>
          <w:szCs w:val="32"/>
          <w:shd w:val="clear" w:color="auto" w:fill="FFFFFF"/>
          <w:lang w:val="zh-CN"/>
        </w:rPr>
      </w:pPr>
      <w:r>
        <w:rPr>
          <w:rStyle w:val="0"/>
          <w:rFonts w:ascii="Times New Roman" w:eastAsia="方正黑体_GBK" w:hAnsi="Times New Roman"/>
          <w:bCs/>
          <w:color w:val="000000"/>
          <w:kern w:val="0"/>
          <w:sz w:val="32"/>
          <w:szCs w:val="32"/>
          <w:shd w:val="clear" w:color="auto" w:fill="FFFFFF"/>
          <w:lang w:val="zh-CN"/>
        </w:rPr>
        <w:t>八、政府性基金预算支出情况说明</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2024年政府性基金预算拨款安排的支出0万元。</w:t>
      </w:r>
    </w:p>
    <w:p>
      <w:pPr>
        <w:overflowPunct w:val="0"/>
        <w:adjustRightInd w:val="0"/>
        <w:snapToGrid w:val="0"/>
        <w:spacing w:line="576" w:lineRule="exact"/>
        <w:ind w:firstLineChars="200" w:firstLine="640"/>
        <w:rPr>
          <w:rStyle w:val="0"/>
          <w:rFonts w:ascii="Times New Roman" w:eastAsia="方正黑体_GBK" w:hAnsi="Times New Roman"/>
          <w:bCs/>
          <w:color w:val="000000"/>
          <w:kern w:val="0"/>
          <w:sz w:val="32"/>
          <w:szCs w:val="32"/>
          <w:shd w:val="clear" w:color="auto" w:fill="FFFFFF"/>
          <w:lang w:val="zh-CN"/>
        </w:rPr>
      </w:pPr>
      <w:r>
        <w:rPr>
          <w:rStyle w:val="0"/>
          <w:rFonts w:ascii="Times New Roman" w:eastAsia="方正黑体_GBK" w:hAnsi="Times New Roman"/>
          <w:bCs/>
          <w:color w:val="000000"/>
          <w:kern w:val="0"/>
          <w:sz w:val="32"/>
          <w:szCs w:val="32"/>
          <w:shd w:val="clear" w:color="auto" w:fill="FFFFFF"/>
          <w:lang w:val="zh-CN"/>
        </w:rPr>
        <w:t>九、其他重要事项的情况说明</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（一）机关运行经费</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 xml:space="preserve">2024年机关运行经费财政拨款预算为76.61万元，比2023 年预算增加3.13万元，增长4.26%。主要原因为职工体检费的标准增加。 </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（二）政府采购情况</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2024年政府采购预算金额为1.96万元，用于国产电脑的更新。</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（三）国有资产占有使用情况</w:t>
      </w:r>
    </w:p>
    <w:p>
      <w:pPr>
        <w:pStyle w:val="21"/>
        <w:keepNext w:val="0"/>
        <w:keepLines w:val="0"/>
        <w:pageBreakBefore w:val="0"/>
        <w:widowControl w:val="0"/>
        <w:kinsoku/>
        <w:wordWrap/>
        <w:overflowPunct w:val="0"/>
        <w:topLinePunct w:val="0"/>
        <w:autoSpaceDE/>
        <w:autoSpaceDN/>
        <w:bidi w:val="0"/>
        <w:adjustRightInd w:val="0"/>
        <w:snapToGrid w:val="0"/>
        <w:spacing w:before="0" w:line="576" w:lineRule="exact"/>
        <w:ind w:firstLineChars="200" w:firstLine="640"/>
        <w:textAlignment w:val="auto"/>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截至2023年12月31日，</w:t>
      </w: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固定资产原值202.01万元，无形资产原值5.01万元。</w:t>
      </w:r>
    </w:p>
    <w:p>
      <w:pPr>
        <w:pStyle w:val="21"/>
        <w:overflowPunct w:val="0"/>
        <w:adjustRightInd w:val="0"/>
        <w:snapToGrid w:val="0"/>
        <w:spacing w:before="0" w:line="576" w:lineRule="exact"/>
        <w:ind w:firstLine="660"/>
        <w:rPr>
          <w:rFonts w:ascii="Times New Roman" w:eastAsia="方正楷体_GBK" w:hAnsi="Times New Roman"/>
          <w:b/>
          <w:bCs/>
          <w:color w:val="000000"/>
          <w:sz w:val="32"/>
          <w:szCs w:val="32"/>
          <w:shd w:val="clear" w:color="auto" w:fill="FFFFFF"/>
          <w:lang w:val="zh-CN"/>
        </w:rPr>
      </w:pPr>
      <w:r>
        <w:rPr>
          <w:rFonts w:ascii="Times New Roman" w:eastAsia="方正楷体_GBK" w:hAnsi="Times New Roman"/>
          <w:b/>
          <w:bCs/>
          <w:color w:val="000000"/>
          <w:sz w:val="32"/>
          <w:szCs w:val="32"/>
          <w:shd w:val="clear" w:color="auto" w:fill="FFFFFF"/>
          <w:lang w:val="zh-CN"/>
        </w:rPr>
        <w:t>（四）绩效目标设置情况</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bidi="ar-SA"/>
        </w:rPr>
        <w:t>阿坝州供销社</w:t>
      </w:r>
      <w:r>
        <w:rPr>
          <w:rFonts w:ascii="Times New Roman" w:eastAsia="方正仿宋_GBK" w:hAnsi="Times New Roman"/>
          <w:bCs/>
          <w:color w:val="000000"/>
          <w:sz w:val="32"/>
          <w:szCs w:val="32"/>
          <w:shd w:val="clear" w:color="auto" w:fill="auto"/>
          <w:lang w:val="zh-CN"/>
        </w:rPr>
        <w:t>2024年通用项目和专用项目均按要求实行绩效目标管理，涉及一般公共预算当年拨款680.12万元。</w:t>
      </w:r>
    </w:p>
    <w:p>
      <w:pPr>
        <w:overflowPunct w:val="0"/>
        <w:adjustRightInd w:val="0"/>
        <w:snapToGrid w:val="0"/>
        <w:spacing w:line="576" w:lineRule="exact"/>
        <w:ind w:firstLineChars="200" w:firstLine="640"/>
        <w:rPr>
          <w:rStyle w:val="0"/>
          <w:rFonts w:ascii="Times New Roman" w:eastAsia="方正黑体_GBK" w:hAnsi="Times New Roman"/>
          <w:bCs/>
          <w:color w:val="000000"/>
          <w:kern w:val="0"/>
          <w:sz w:val="32"/>
          <w:szCs w:val="32"/>
          <w:shd w:val="clear" w:color="auto" w:fill="FFFFFF"/>
          <w:lang w:val="zh-CN"/>
        </w:rPr>
      </w:pPr>
      <w:r>
        <w:rPr>
          <w:rStyle w:val="0"/>
          <w:rFonts w:ascii="Times New Roman" w:eastAsia="方正黑体_GBK" w:hAnsi="Times New Roman"/>
          <w:bCs/>
          <w:color w:val="000000"/>
          <w:kern w:val="0"/>
          <w:sz w:val="32"/>
          <w:szCs w:val="32"/>
          <w:shd w:val="clear" w:color="auto" w:fill="FFFFFF"/>
          <w:lang w:val="zh-CN"/>
        </w:rPr>
        <w:t xml:space="preserve">十、名称解释 </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（一）财政拨款收入：指由财政拨款形成的部门收入。按现行管理制度，部门预算中反映的财政拨款仅包括一般公共预算拨款和政府性基金预算拨款。</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（二）事业收入：指所属事业单位开展专业业务活动及辅助活动所取得的收入。</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（三）事业单位经营收入：指所属事业单位在专业业务活动及其辅助活动之外开展非独立核算经营活动取得的收入。</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（四）其他收入：指除上述“财政拨款收入”、“事业收入”、“事业单位经营收入”等以外的收入，主要是所属行政事业单位按规定动用的售房收入、存款利息收入等。</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pStyle w:val="21"/>
        <w:overflowPunct w:val="0"/>
        <w:adjustRightInd w:val="0"/>
        <w:snapToGrid w:val="0"/>
        <w:spacing w:before="0" w:line="576" w:lineRule="exact"/>
        <w:ind w:firstLineChars="200" w:firstLine="640"/>
        <w:rPr>
          <w:rFonts w:ascii="Times New Roman" w:eastAsia="方正仿宋_GBK" w:hAnsi="Times New Roman"/>
          <w:bCs/>
          <w:color w:val="000000"/>
          <w:sz w:val="32"/>
          <w:szCs w:val="32"/>
          <w:shd w:val="clear" w:color="auto" w:fill="auto"/>
          <w:lang w:val="zh-CN"/>
        </w:rPr>
      </w:pPr>
      <w:r>
        <w:rPr>
          <w:rFonts w:ascii="Times New Roman" w:eastAsia="方正仿宋_GBK" w:hAnsi="Times New Roman"/>
          <w:bCs/>
          <w:color w:val="000000"/>
          <w:sz w:val="32"/>
          <w:szCs w:val="32"/>
          <w:shd w:val="clear" w:color="auto" w:fill="auto"/>
          <w:lang w:val="zh-CN"/>
        </w:rPr>
        <w:t>（六）上年结转：指所属行政事业单位以前年度尚未完成、结转至本年按原规定用途继续使用的资金和以前年度已完成项目剩余资金经批准用于新用途使用的资金。</w:t>
      </w:r>
    </w:p>
    <w:p>
      <w:pPr>
        <w:overflowPunct w:val="0"/>
        <w:adjustRightInd w:val="0"/>
        <w:snapToGrid w:val="0"/>
        <w:spacing w:line="576" w:lineRule="exact"/>
        <w:rPr>
          <w:rStyle w:val="0"/>
          <w:rFonts w:ascii="Times New Roman" w:eastAsia="方正仿宋_GBK" w:hAnsi="Times New Roman"/>
          <w:bCs/>
          <w:color w:val="000000"/>
          <w:kern w:val="0"/>
          <w:sz w:val="32"/>
          <w:szCs w:val="32"/>
          <w:shd w:val="clear" w:color="auto" w:fill="auto"/>
          <w:lang w:val="zh-CN"/>
        </w:rPr>
      </w:pPr>
      <w:bookmarkStart w:id="0" w:name="_GoBack"/>
      <w:bookmarkEnd w:id="0"/>
    </w:p>
    <w:sectPr>
      <w:footerReference w:type="default" r:id="rId5"/>
      <w:pgSz w:w="11907" w:h="16840"/>
      <w:pgMar w:top="2098" w:right="1474" w:bottom="1985" w:left="1588"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50"/>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top w:val="none" w:sz="0" w:space="0" w:color="auto"/>
        <w:left w:val="none" w:sz="0" w:space="0" w:color="auto"/>
        <w:bottom w:val="none" w:sz="0" w:space="0" w:color="auto"/>
        <w:right w:val="none" w:sz="0" w:space="0" w:color="auto"/>
      </w:pBdr>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22"/>
      </w:rPr>
      <w:fldChar w:fldCharType="begin"/>
    </w:r>
    <w:r>
      <w:rPr>
        <w:rStyle w:val="22"/>
      </w:rPr>
      <w:instrText>Page</w:instrText>
    </w:r>
    <w:r>
      <w:rPr>
        <w:rStyle w:val="22"/>
      </w:rPr>
      <w:fldChar w:fldCharType="separate"/>
    </w:r>
    <w:r>
      <w:rPr>
        <w:rStyle w:val="22"/>
      </w:rPr>
      <w:t>- 1 -</w:t>
    </w:r>
    <w:r>
      <w:rPr>
        <w:rStyle w:val="22"/>
      </w:rPr>
      <w:fldChar w:fldCharType="end"/>
    </w:r>
  </w:p>
  <w:p>
    <w:pPr>
      <w:pStyle w:val="19"/>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ind w:right="360"/>
    </w:pPr>
    <w:r>
      <w:rPr>
        <w:rStyle w:val="22"/>
      </w:rPr>
      <w:fldChar w:fldCharType="begin"/>
    </w:r>
    <w:r>
      <w:rPr>
        <w:rStyle w:val="22"/>
      </w:rPr>
      <w:instrText>Page</w:instrText>
    </w:r>
    <w:r>
      <w:rPr>
        <w:rStyle w:val="22"/>
      </w:rPr>
      <w:fldChar w:fldCharType="separate"/>
    </w:r>
    <w:r>
      <w:rPr>
        <w:rStyle w:val="22"/>
      </w:rPr>
      <w:t>- 1 -</w:t>
    </w:r>
    <w:r>
      <w:rPr>
        <w:rStyle w:val="22"/>
      </w:rPr>
      <w:fldChar w:fldCharType="end"/>
    </w:r>
  </w:p>
  <w:p>
    <w:pPr>
      <w:pStyle w:val="19"/>
      <w:tabs>
        <w:tab w:val="center" w:pos="4153"/>
        <w:tab w:val="right" w:pos="8306"/>
      </w:tabs>
      <w:ind w:right="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22"/>
      </w:rPr>
      <w:fldChar w:fldCharType="begin"/>
    </w:r>
    <w:r>
      <w:rPr>
        <w:rStyle w:val="22"/>
      </w:rPr>
      <w:instrText>Page</w:instrText>
    </w:r>
    <w:r>
      <w:rPr>
        <w:rStyle w:val="22"/>
      </w:rPr>
      <w:fldChar w:fldCharType="separate"/>
    </w:r>
    <w:r>
      <w:rPr>
        <w:rStyle w:val="22"/>
      </w:rPr>
      <w:t>- 1 -</w:t>
    </w:r>
    <w:r>
      <w:rPr>
        <w:rStyle w:val="22"/>
      </w:rPr>
      <w:fldChar w:fldCharType="end"/>
    </w:r>
  </w:p>
  <w:p>
    <w:pPr>
      <w:pStyle w:val="19"/>
      <w:pBdr>
        <w:top w:val="none" w:sz="0" w:space="0" w:color="auto"/>
        <w:left w:val="none" w:sz="0" w:space="0" w:color="auto"/>
        <w:bottom w:val="none" w:sz="0" w:space="0" w:color="auto"/>
        <w:right w:val="none" w:sz="0" w:space="0" w:color="auto"/>
      </w:pBdr>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TBlMjYxODIwMDZhNjE1OTJmYzA4YjEwNzMyMmJlZW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Body Text Indent"/>
    <w:basedOn w:val="0"/>
    <w:next w:val="16"/>
    <w:pPr>
      <w:tabs>
        <w:tab w:val="left" w:pos="960"/>
      </w:tabs>
      <w:spacing w:line="540" w:lineRule="exact"/>
      <w:ind w:firstLineChars="1700" w:firstLine="1700"/>
    </w:pPr>
    <w:rPr>
      <w:sz w:val="32"/>
      <w:szCs w:val="32"/>
    </w:rPr>
  </w:style>
  <w:style w:type="paragraph" w:styleId="16">
    <w:name w:val="Body Text First Indent 2"/>
    <w:basedOn w:val="15"/>
    <w:next w:val="0"/>
    <w:pPr>
      <w:tabs>
        <w:tab w:val="left" w:pos="960"/>
      </w:tabs>
      <w:ind w:firstLineChars="200" w:firstLine="200"/>
    </w:pPr>
  </w:style>
  <w:style w:type="paragraph" w:styleId="17">
    <w:name w:val="Normal Indent"/>
    <w:basedOn w:val="0"/>
    <w:next w:val="18"/>
    <w:pPr>
      <w:ind w:firstLineChars="200" w:firstLine="200"/>
    </w:pPr>
    <w:rPr>
      <w:rFonts w:ascii="Calibri" w:hAnsi="Calibri"/>
      <w:szCs w:val="22"/>
    </w:rPr>
  </w:style>
  <w:style w:type="paragraph" w:styleId="18">
    <w:name w:val="header"/>
    <w:basedOn w:val="0"/>
    <w:autoRedefine/>
    <w:pPr>
      <w:pBdr>
        <w:bottom w:val="single" w:sz="6" w:space="1" w:color="auto"/>
      </w:pBdr>
      <w:tabs>
        <w:tab w:val="center" w:pos="4153"/>
        <w:tab w:val="right" w:pos="8306"/>
      </w:tabs>
      <w:snapToGrid w:val="0"/>
      <w:jc w:val="center"/>
    </w:pPr>
    <w:rPr>
      <w:sz w:val="18"/>
      <w:szCs w:val="18"/>
    </w:rPr>
  </w:style>
  <w:style w:type="paragraph" w:styleId="19">
    <w:name w:val="footer"/>
    <w:basedOn w:val="0"/>
    <w:autoRedefine/>
    <w:pPr>
      <w:tabs>
        <w:tab w:val="center" w:pos="4153"/>
        <w:tab w:val="right" w:pos="8306"/>
      </w:tabs>
      <w:snapToGrid w:val="0"/>
      <w:jc w:val="right"/>
    </w:pPr>
    <w:rPr>
      <w:rFonts w:ascii="Times New Roman" w:hAnsi="Times New Roman"/>
      <w:sz w:val="28"/>
      <w:szCs w:val="28"/>
    </w:rPr>
  </w:style>
  <w:style w:type="paragraph" w:styleId="20">
    <w:name w:val="List Paragraph"/>
    <w:basedOn w:val="0"/>
    <w:autoRedefine/>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 w:type="character" w:styleId="22">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567</TotalTime>
  <Application>Yozo_Office27021597764231179</Application>
  <Pages>10</Pages>
  <Words>3541</Words>
  <Characters>3964</Characters>
  <Lines>205</Lines>
  <Paragraphs>90</Paragraphs>
  <CharactersWithSpaces>3969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cp:lastModifiedBy>
  <cp:revision>4</cp:revision>
  <cp:lastPrinted>2024-01-24T03:41:33Z</cp:lastPrinted>
  <dcterms:created xsi:type="dcterms:W3CDTF">2022-12-30T09:44:00Z</dcterms:created>
  <dcterms:modified xsi:type="dcterms:W3CDTF">2024-01-24T03:44:29Z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4CDEB7B9431C482D82F69F3676260F7F_13</vt:lpwstr>
  </property>
</Properties>
</file>