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E8033">
      <w:pPr>
        <w:spacing w:line="576" w:lineRule="exact"/>
        <w:rPr>
          <w:rFonts w:hint="eastAsia"/>
        </w:rPr>
      </w:pPr>
    </w:p>
    <w:p w14:paraId="2EFF11A1">
      <w:pPr>
        <w:pStyle w:val="2"/>
        <w:widowControl w:val="0"/>
        <w:spacing w:line="576" w:lineRule="exact"/>
        <w:jc w:val="center"/>
        <w:textAlignment w:val="auto"/>
        <w:rPr>
          <w:rFonts w:hint="eastAsia" w:ascii="楷体_GB2312" w:hAnsi="楷体_GB2312" w:eastAsia="楷体_GB2312" w:cs="楷体_GB2312"/>
          <w:b/>
          <w:bCs/>
          <w:spacing w:val="0"/>
          <w:kern w:val="0"/>
          <w:sz w:val="24"/>
          <w:szCs w:val="24"/>
          <w:lang w:bidi="ar"/>
        </w:rPr>
      </w:pPr>
      <w:bookmarkStart w:id="0" w:name="_GoBack"/>
      <w:r>
        <w:rPr>
          <w:rFonts w:hint="eastAsia" w:ascii="方正小标宋简体" w:hAnsi="方正小标宋简体" w:eastAsia="方正小标宋简体" w:cs="方正小标宋简体"/>
          <w:bCs/>
          <w:color w:val="000000"/>
          <w:spacing w:val="0"/>
          <w:kern w:val="0"/>
          <w:sz w:val="44"/>
          <w:szCs w:val="44"/>
          <w:lang w:eastAsia="zh-CN"/>
        </w:rPr>
        <w:t>阿坝州防震减灾局</w:t>
      </w:r>
      <w:r>
        <w:rPr>
          <w:rFonts w:hint="eastAsia" w:eastAsia="方正小标宋简体" w:cs="Times New Roman"/>
          <w:sz w:val="44"/>
          <w:szCs w:val="44"/>
          <w:shd w:val="clear" w:color="auto" w:fill="auto"/>
          <w:lang w:eastAsia="zh-CN"/>
        </w:rPr>
        <w:t>行政处罚一目录五清单（</w:t>
      </w:r>
      <w:r>
        <w:rPr>
          <w:rFonts w:hint="default" w:ascii="Times New Roman" w:hAnsi="Times New Roman" w:eastAsia="方正小标宋简体" w:cs="Times New Roman"/>
          <w:sz w:val="44"/>
          <w:szCs w:val="44"/>
          <w:shd w:val="clear" w:color="auto" w:fill="auto"/>
        </w:rPr>
        <w:t>裁量基准</w:t>
      </w:r>
      <w:r>
        <w:rPr>
          <w:rFonts w:hint="eastAsia" w:eastAsia="方正小标宋简体" w:cs="Times New Roman"/>
          <w:sz w:val="44"/>
          <w:szCs w:val="44"/>
          <w:shd w:val="clear" w:color="auto" w:fill="auto"/>
          <w:lang w:eastAsia="zh-CN"/>
        </w:rPr>
        <w:t>）</w:t>
      </w:r>
      <w:r>
        <w:rPr>
          <w:rFonts w:hint="default" w:ascii="Times New Roman" w:hAnsi="Times New Roman" w:eastAsia="方正小标宋简体" w:cs="Times New Roman"/>
          <w:sz w:val="44"/>
          <w:szCs w:val="44"/>
          <w:shd w:val="clear" w:color="auto" w:fill="auto"/>
        </w:rPr>
        <w:t>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45"/>
        <w:gridCol w:w="4942"/>
        <w:gridCol w:w="5359"/>
        <w:gridCol w:w="1309"/>
        <w:gridCol w:w="2986"/>
        <w:gridCol w:w="3000"/>
        <w:gridCol w:w="1200"/>
      </w:tblGrid>
      <w:tr w14:paraId="7040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blHeader/>
        </w:trPr>
        <w:tc>
          <w:tcPr>
            <w:tcW w:w="735" w:type="dxa"/>
            <w:noWrap w:val="0"/>
            <w:vAlign w:val="center"/>
          </w:tcPr>
          <w:p w14:paraId="64B61B3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黑体" w:hAnsi="黑体" w:eastAsia="黑体" w:cs="黑体"/>
                <w:b w:val="0"/>
                <w:bCs/>
                <w:sz w:val="24"/>
                <w:szCs w:val="24"/>
              </w:rPr>
            </w:pPr>
            <w:r>
              <w:rPr>
                <w:rFonts w:hint="eastAsia" w:ascii="黑体" w:hAnsi="黑体" w:eastAsia="黑体" w:cs="黑体"/>
                <w:b w:val="0"/>
                <w:bCs/>
                <w:spacing w:val="0"/>
                <w:kern w:val="0"/>
                <w:sz w:val="24"/>
                <w:szCs w:val="24"/>
                <w:lang w:bidi="ar"/>
              </w:rPr>
              <w:t>编号</w:t>
            </w:r>
          </w:p>
        </w:tc>
        <w:tc>
          <w:tcPr>
            <w:tcW w:w="1445" w:type="dxa"/>
            <w:noWrap w:val="0"/>
            <w:vAlign w:val="center"/>
          </w:tcPr>
          <w:p w14:paraId="349830FE">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黑体" w:hAnsi="黑体" w:eastAsia="黑体" w:cs="黑体"/>
                <w:b w:val="0"/>
                <w:bCs/>
                <w:sz w:val="24"/>
                <w:szCs w:val="24"/>
              </w:rPr>
            </w:pPr>
            <w:r>
              <w:rPr>
                <w:rFonts w:hint="eastAsia" w:ascii="黑体" w:hAnsi="黑体" w:eastAsia="黑体" w:cs="黑体"/>
                <w:b w:val="0"/>
                <w:bCs/>
                <w:spacing w:val="0"/>
                <w:kern w:val="0"/>
                <w:sz w:val="24"/>
                <w:szCs w:val="24"/>
                <w:lang w:bidi="ar"/>
              </w:rPr>
              <w:t>违法行为</w:t>
            </w:r>
          </w:p>
        </w:tc>
        <w:tc>
          <w:tcPr>
            <w:tcW w:w="4942" w:type="dxa"/>
            <w:noWrap w:val="0"/>
            <w:vAlign w:val="center"/>
          </w:tcPr>
          <w:p w14:paraId="53F2146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黑体" w:hAnsi="黑体" w:eastAsia="黑体" w:cs="黑体"/>
                <w:b w:val="0"/>
                <w:bCs/>
                <w:sz w:val="24"/>
                <w:szCs w:val="24"/>
              </w:rPr>
            </w:pPr>
            <w:r>
              <w:rPr>
                <w:rFonts w:hint="eastAsia" w:ascii="黑体" w:hAnsi="黑体" w:eastAsia="黑体" w:cs="黑体"/>
                <w:b w:val="0"/>
                <w:bCs/>
                <w:spacing w:val="0"/>
                <w:kern w:val="0"/>
                <w:sz w:val="24"/>
                <w:szCs w:val="24"/>
                <w:lang w:bidi="ar"/>
              </w:rPr>
              <w:t>法定依据</w:t>
            </w:r>
          </w:p>
        </w:tc>
        <w:tc>
          <w:tcPr>
            <w:tcW w:w="5359" w:type="dxa"/>
            <w:noWrap w:val="0"/>
            <w:vAlign w:val="center"/>
          </w:tcPr>
          <w:p w14:paraId="093D7EEA">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黑体" w:hAnsi="黑体" w:eastAsia="黑体" w:cs="黑体"/>
                <w:b w:val="0"/>
                <w:bCs/>
                <w:sz w:val="24"/>
                <w:szCs w:val="24"/>
              </w:rPr>
            </w:pPr>
            <w:r>
              <w:rPr>
                <w:rFonts w:hint="eastAsia" w:ascii="黑体" w:hAnsi="黑体" w:eastAsia="黑体" w:cs="黑体"/>
                <w:b w:val="0"/>
                <w:bCs/>
                <w:spacing w:val="0"/>
                <w:kern w:val="0"/>
                <w:sz w:val="24"/>
                <w:szCs w:val="24"/>
                <w:lang w:bidi="ar"/>
              </w:rPr>
              <w:t>处罚依据</w:t>
            </w:r>
          </w:p>
        </w:tc>
        <w:tc>
          <w:tcPr>
            <w:tcW w:w="1309" w:type="dxa"/>
            <w:noWrap w:val="0"/>
            <w:vAlign w:val="center"/>
          </w:tcPr>
          <w:p w14:paraId="6C75B8B4">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黑体" w:hAnsi="黑体" w:eastAsia="黑体" w:cs="黑体"/>
                <w:b w:val="0"/>
                <w:bCs/>
                <w:sz w:val="24"/>
                <w:szCs w:val="24"/>
              </w:rPr>
            </w:pPr>
            <w:r>
              <w:rPr>
                <w:rFonts w:hint="eastAsia" w:ascii="黑体" w:hAnsi="黑体" w:eastAsia="黑体" w:cs="黑体"/>
                <w:b w:val="0"/>
                <w:bCs/>
                <w:spacing w:val="0"/>
                <w:kern w:val="0"/>
                <w:sz w:val="24"/>
                <w:szCs w:val="24"/>
                <w:lang w:bidi="ar"/>
              </w:rPr>
              <w:t>裁量档次</w:t>
            </w:r>
          </w:p>
        </w:tc>
        <w:tc>
          <w:tcPr>
            <w:tcW w:w="2986" w:type="dxa"/>
            <w:noWrap w:val="0"/>
            <w:vAlign w:val="center"/>
          </w:tcPr>
          <w:p w14:paraId="33BF45C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黑体" w:hAnsi="黑体" w:eastAsia="黑体" w:cs="黑体"/>
                <w:b w:val="0"/>
                <w:bCs/>
                <w:sz w:val="24"/>
                <w:szCs w:val="24"/>
              </w:rPr>
            </w:pPr>
            <w:r>
              <w:rPr>
                <w:rFonts w:hint="eastAsia" w:ascii="黑体" w:hAnsi="黑体" w:eastAsia="黑体" w:cs="黑体"/>
                <w:b w:val="0"/>
                <w:bCs/>
                <w:spacing w:val="0"/>
                <w:kern w:val="0"/>
                <w:sz w:val="24"/>
                <w:szCs w:val="24"/>
                <w:lang w:bidi="ar"/>
              </w:rPr>
              <w:t>违法情节</w:t>
            </w:r>
          </w:p>
        </w:tc>
        <w:tc>
          <w:tcPr>
            <w:tcW w:w="3000" w:type="dxa"/>
            <w:noWrap w:val="0"/>
            <w:vAlign w:val="center"/>
          </w:tcPr>
          <w:p w14:paraId="03AE6AB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黑体" w:hAnsi="黑体" w:eastAsia="黑体" w:cs="黑体"/>
                <w:b w:val="0"/>
                <w:bCs/>
                <w:sz w:val="24"/>
                <w:szCs w:val="24"/>
              </w:rPr>
            </w:pPr>
            <w:r>
              <w:rPr>
                <w:rFonts w:hint="eastAsia" w:ascii="黑体" w:hAnsi="黑体" w:eastAsia="黑体" w:cs="黑体"/>
                <w:b w:val="0"/>
                <w:bCs/>
                <w:spacing w:val="0"/>
                <w:kern w:val="0"/>
                <w:sz w:val="24"/>
                <w:szCs w:val="24"/>
                <w:lang w:bidi="ar"/>
              </w:rPr>
              <w:t>裁量幅度</w:t>
            </w:r>
          </w:p>
        </w:tc>
        <w:tc>
          <w:tcPr>
            <w:tcW w:w="1200" w:type="dxa"/>
            <w:noWrap w:val="0"/>
            <w:vAlign w:val="center"/>
          </w:tcPr>
          <w:p w14:paraId="078BFD0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黑体" w:hAnsi="黑体" w:eastAsia="黑体" w:cs="黑体"/>
                <w:b w:val="0"/>
                <w:bCs/>
                <w:sz w:val="24"/>
                <w:szCs w:val="24"/>
              </w:rPr>
            </w:pPr>
            <w:r>
              <w:rPr>
                <w:rFonts w:hint="eastAsia" w:ascii="黑体" w:hAnsi="黑体" w:eastAsia="黑体" w:cs="黑体"/>
                <w:b w:val="0"/>
                <w:bCs/>
                <w:spacing w:val="0"/>
                <w:kern w:val="0"/>
                <w:sz w:val="24"/>
                <w:szCs w:val="24"/>
                <w:lang w:bidi="ar"/>
              </w:rPr>
              <w:t>实施层级</w:t>
            </w:r>
          </w:p>
        </w:tc>
      </w:tr>
      <w:tr w14:paraId="52BE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Merge w:val="restart"/>
            <w:noWrap w:val="0"/>
            <w:vAlign w:val="center"/>
          </w:tcPr>
          <w:p w14:paraId="1C331780">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1</w:t>
            </w:r>
          </w:p>
        </w:tc>
        <w:tc>
          <w:tcPr>
            <w:tcW w:w="1445" w:type="dxa"/>
            <w:vMerge w:val="restart"/>
            <w:noWrap w:val="0"/>
            <w:vAlign w:val="center"/>
          </w:tcPr>
          <w:p w14:paraId="2B927D7B">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z w:val="24"/>
                <w:szCs w:val="24"/>
                <w:lang w:eastAsia="zh-CN"/>
              </w:rPr>
            </w:pPr>
            <w:r>
              <w:rPr>
                <w:rFonts w:hint="eastAsia" w:ascii="仿宋_GB2312" w:hAnsi="仿宋_GB2312" w:cs="仿宋_GB2312"/>
                <w:b w:val="0"/>
                <w:bCs/>
                <w:spacing w:val="0"/>
                <w:kern w:val="0"/>
                <w:sz w:val="24"/>
                <w:szCs w:val="24"/>
                <w:lang w:eastAsia="zh-CN" w:bidi="ar"/>
              </w:rPr>
              <w:t>对</w:t>
            </w:r>
            <w:r>
              <w:rPr>
                <w:rFonts w:hint="eastAsia" w:ascii="仿宋_GB2312" w:hAnsi="仿宋_GB2312" w:eastAsia="仿宋_GB2312" w:cs="仿宋_GB2312"/>
                <w:b w:val="0"/>
                <w:bCs/>
                <w:spacing w:val="0"/>
                <w:kern w:val="0"/>
                <w:sz w:val="24"/>
                <w:szCs w:val="24"/>
                <w:lang w:bidi="ar"/>
              </w:rPr>
              <w:t>侵占、毁损、拆除或者擅自移动地震监测</w:t>
            </w:r>
            <w:r>
              <w:rPr>
                <w:rFonts w:hint="eastAsia" w:ascii="仿宋_GB2312" w:hAnsi="仿宋_GB2312" w:eastAsia="仿宋_GB2312" w:cs="仿宋_GB2312"/>
                <w:b w:val="0"/>
                <w:bCs/>
                <w:spacing w:val="0"/>
                <w:kern w:val="0"/>
                <w:sz w:val="24"/>
                <w:szCs w:val="24"/>
                <w:lang w:eastAsia="zh-CN" w:bidi="ar"/>
              </w:rPr>
              <w:t>、地震预警</w:t>
            </w:r>
            <w:r>
              <w:rPr>
                <w:rFonts w:hint="eastAsia" w:ascii="仿宋_GB2312" w:hAnsi="仿宋_GB2312" w:eastAsia="仿宋_GB2312" w:cs="仿宋_GB2312"/>
                <w:b w:val="0"/>
                <w:bCs/>
                <w:spacing w:val="0"/>
                <w:kern w:val="0"/>
                <w:sz w:val="24"/>
                <w:szCs w:val="24"/>
                <w:lang w:bidi="ar"/>
              </w:rPr>
              <w:t>设施</w:t>
            </w:r>
            <w:r>
              <w:rPr>
                <w:rFonts w:hint="eastAsia" w:ascii="仿宋_GB2312" w:hAnsi="仿宋_GB2312" w:cs="仿宋_GB2312"/>
                <w:b w:val="0"/>
                <w:bCs/>
                <w:spacing w:val="0"/>
                <w:kern w:val="0"/>
                <w:sz w:val="24"/>
                <w:szCs w:val="24"/>
                <w:lang w:eastAsia="zh-CN" w:bidi="ar"/>
              </w:rPr>
              <w:t>的处罚</w:t>
            </w:r>
          </w:p>
        </w:tc>
        <w:tc>
          <w:tcPr>
            <w:tcW w:w="4942" w:type="dxa"/>
            <w:vMerge w:val="restart"/>
            <w:noWrap w:val="0"/>
            <w:vAlign w:val="top"/>
          </w:tcPr>
          <w:p w14:paraId="14DCB97F">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47EC6EE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《中华人民共和国防震减灾法》第二十三条第二款规定：任何单位和个人不得侵占、毁损、拆除或者擅自移动地震监测设施。</w:t>
            </w:r>
          </w:p>
          <w:p w14:paraId="61A01B0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【行政法规】</w:t>
            </w:r>
          </w:p>
          <w:p w14:paraId="44029A9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震监测管理条例》第二十六条规定：禁止占用、拆除、损坏下列地震监测设施：（一）地震监测仪器、设备和装置；（二）供地震监测使用的山洞、观测井（泉）；（三）地震监测台网中心、中继站、遥测点的用房；（四）地震监测标志；（五）地震监测专用无线通信频段、信道和通信设施；（六）用于地震监测的供电、供水设施。</w:t>
            </w:r>
          </w:p>
          <w:p w14:paraId="0641A32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【地方性法规】</w:t>
            </w:r>
          </w:p>
          <w:p w14:paraId="2ED4F8F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《四川省防震减灾条例》第二十一条规定:地方各级人民政府应当依法保护地震监测设施和地震观测环境。</w:t>
            </w:r>
          </w:p>
          <w:p w14:paraId="44BA65D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【省政府规章】</w:t>
            </w:r>
          </w:p>
          <w:p w14:paraId="058AE73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地震监测设施和地震观测环境保护规定》第十二条规定：禁止下列危害、破坏地震台（站）监测设施及其观测环境的行为：（一）进入地震台（站）进行影响地震监测工作的活动，或者拆除、损坏、违规移动地震台（站）建筑、设备、设施；（三）在地电布极区、地磁观测环境保护范围内埋设金属管道或者电缆、堆放金属重物、架设高压输电线或者变电设施、线路，以及切断、损坏观测线路和地下设施；（七）危害、破坏地震台（站）监测设施及其观测环境的其他行为。</w:t>
            </w:r>
          </w:p>
          <w:p w14:paraId="2B54792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地震监测设施和地震观测环境保护规定》第十三条规定：禁止擅自移动、损毁地震监测设施及其观测环境保护标志、地震测量标志，禁止在距地震测量标志50米范围内施工或者进行可能妨害其工作效能的其他活动。</w:t>
            </w:r>
          </w:p>
          <w:p w14:paraId="5904B39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《四川省地震预警管理办法》第二十条第二款规定：任何单位和个人不得侵占、毁损、拆除或者擅自移动地震预警设施，不得危害地震观测环境。</w:t>
            </w:r>
          </w:p>
        </w:tc>
        <w:tc>
          <w:tcPr>
            <w:tcW w:w="5359" w:type="dxa"/>
            <w:vMerge w:val="restart"/>
            <w:noWrap w:val="0"/>
            <w:vAlign w:val="top"/>
          </w:tcPr>
          <w:p w14:paraId="40D4021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51E26F8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中华人民共和国防震减灾法》第八十四条规定：违反本法规定，有下列行为之一的，由国务院地震工作主管部门或者县级以上地方人民政府负责管理地震工作的部门或者机构责令停止违法行为，恢复原状或者采取其他补救措施；造成损失的，依法承担赔偿责任：（一）侵占、毁损、拆除或者擅自移动地震监测设施的；……单位有前款所列违法行为，情节严重的，处二万元以上二十万元以下的罚款；个人有前款所列违法行为，情节严重的，处二千元以下的罚款。构成违反治安管理行为的。由公安机关依法给予处罚。</w:t>
            </w:r>
          </w:p>
          <w:p w14:paraId="0B2F5BB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【行政法规】</w:t>
            </w:r>
          </w:p>
          <w:p w14:paraId="4186371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 xml:space="preserve">《地震监测管理条例》第三十六条规定：有本条例第二十六条、第二十八条所列行为之一的，由国务院地震工作主管部门或者县级以上地方人民政府负责管理地震工作的部门或者机构给予警告，责令停止违法行为，对个人可以处5000元以下的罚款，对单位处2万元以上10万元以下的罚款；构成犯罪的，依法追究刑事责任；造成损失的，依法承担赔偿责任。 </w:t>
            </w:r>
          </w:p>
          <w:p w14:paraId="3C58E2D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【部门规章】</w:t>
            </w:r>
          </w:p>
          <w:p w14:paraId="24B436A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《水库地震监测管理办法》第二十五条规定：有下列违法行为之一的，按照《中华人民共和国防震减灾法》《地震监测管理条例》的规定，追究法律责任：（一）破坏水库地震监测设施的。</w:t>
            </w:r>
          </w:p>
          <w:p w14:paraId="0B0B1D4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【省政府规章】</w:t>
            </w:r>
          </w:p>
          <w:p w14:paraId="234A790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《四川省地震监测设施和地震观测环境保护规定》第十五条</w:t>
            </w:r>
            <w:r>
              <w:rPr>
                <w:rFonts w:hint="eastAsia" w:ascii="仿宋_GB2312" w:hAnsi="仿宋_GB2312" w:cs="仿宋_GB2312"/>
                <w:b w:val="0"/>
                <w:bCs/>
                <w:spacing w:val="0"/>
                <w:kern w:val="0"/>
                <w:sz w:val="24"/>
                <w:szCs w:val="24"/>
                <w:lang w:val="en-US" w:eastAsia="zh-CN" w:bidi="ar"/>
              </w:rPr>
              <w:t>规定：</w:t>
            </w:r>
            <w:r>
              <w:rPr>
                <w:rFonts w:hint="eastAsia" w:ascii="仿宋_GB2312" w:hAnsi="仿宋_GB2312" w:eastAsia="仿宋_GB2312" w:cs="仿宋_GB2312"/>
                <w:b w:val="0"/>
                <w:bCs/>
                <w:spacing w:val="0"/>
                <w:kern w:val="0"/>
                <w:sz w:val="24"/>
                <w:szCs w:val="24"/>
                <w:lang w:bidi="ar"/>
              </w:rPr>
              <w:t>违反本规定第十二条、第十三条，地震监测设施所在地县级以上人民政府或者地震工作部门有权制止，并责令限期改正；造成损失的，应当承担赔偿责任；对有关责任人员，由其所在单位或者上级机关给予行政处分。</w:t>
            </w:r>
          </w:p>
          <w:p w14:paraId="7DC5309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违反本规定，构成违反治安管理行为的，由公安机关依照《中华人民共和国治安管理处罚条例》的有关规定处罚；构成犯罪的，依法追究刑事责任。</w:t>
            </w:r>
          </w:p>
        </w:tc>
        <w:tc>
          <w:tcPr>
            <w:tcW w:w="1309" w:type="dxa"/>
            <w:noWrap w:val="0"/>
            <w:vAlign w:val="center"/>
          </w:tcPr>
          <w:p w14:paraId="6BD83CBC">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轻微</w:t>
            </w:r>
          </w:p>
        </w:tc>
        <w:tc>
          <w:tcPr>
            <w:tcW w:w="2986" w:type="dxa"/>
            <w:noWrap w:val="0"/>
            <w:vAlign w:val="center"/>
          </w:tcPr>
          <w:p w14:paraId="04CF293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侵占、毁损、拆除或者擅自移动地震监测设施，未对地震观测活动造成直接影响，在责令期限内已停止违法行为，能主动恢复原状或采取补救措施、消除不良后果的。</w:t>
            </w:r>
          </w:p>
        </w:tc>
        <w:tc>
          <w:tcPr>
            <w:tcW w:w="3000" w:type="dxa"/>
            <w:noWrap w:val="0"/>
            <w:vAlign w:val="center"/>
          </w:tcPr>
          <w:p w14:paraId="3DAE453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不予处罚</w:t>
            </w:r>
            <w:r>
              <w:rPr>
                <w:rFonts w:hint="eastAsia" w:ascii="仿宋_GB2312" w:hAnsi="仿宋_GB2312" w:cs="仿宋_GB2312"/>
                <w:b w:val="0"/>
                <w:bCs/>
                <w:spacing w:val="0"/>
                <w:kern w:val="0"/>
                <w:sz w:val="24"/>
                <w:szCs w:val="24"/>
                <w:lang w:eastAsia="zh-CN" w:bidi="ar"/>
              </w:rPr>
              <w:t>，进行批评教育。</w:t>
            </w:r>
          </w:p>
        </w:tc>
        <w:tc>
          <w:tcPr>
            <w:tcW w:w="1200" w:type="dxa"/>
            <w:vMerge w:val="restart"/>
            <w:noWrap w:val="0"/>
            <w:vAlign w:val="center"/>
          </w:tcPr>
          <w:p w14:paraId="2BD7DC75">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国家级、省级、市级、县级</w:t>
            </w:r>
          </w:p>
        </w:tc>
      </w:tr>
      <w:tr w14:paraId="105A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trPr>
        <w:tc>
          <w:tcPr>
            <w:tcW w:w="735" w:type="dxa"/>
            <w:vMerge w:val="continue"/>
            <w:noWrap w:val="0"/>
            <w:vAlign w:val="center"/>
          </w:tcPr>
          <w:p w14:paraId="6439B99A">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0488E958">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top"/>
          </w:tcPr>
          <w:p w14:paraId="63DF5408">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c>
          <w:tcPr>
            <w:tcW w:w="5359" w:type="dxa"/>
            <w:vMerge w:val="continue"/>
            <w:noWrap w:val="0"/>
            <w:vAlign w:val="top"/>
          </w:tcPr>
          <w:p w14:paraId="468097B1">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5909D296">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一般</w:t>
            </w:r>
          </w:p>
        </w:tc>
        <w:tc>
          <w:tcPr>
            <w:tcW w:w="2986" w:type="dxa"/>
            <w:noWrap w:val="0"/>
            <w:vAlign w:val="center"/>
          </w:tcPr>
          <w:p w14:paraId="586009B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侵占、毁损、拆除或者擅自移动地震监测设施，虽未造成直接影响，但违法行为被发现后，在责令期限内没有停止违法行为，恢复原状或者采取其他补救措施的。</w:t>
            </w:r>
          </w:p>
        </w:tc>
        <w:tc>
          <w:tcPr>
            <w:tcW w:w="3000" w:type="dxa"/>
            <w:noWrap w:val="0"/>
            <w:vAlign w:val="center"/>
          </w:tcPr>
          <w:p w14:paraId="23B1C59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责令停止违法行为，恢复原状或者采取其他补救措施。造成损失的，依法承担赔偿责任。</w:t>
            </w:r>
          </w:p>
          <w:p w14:paraId="00C1AC7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对个人和单位给予警告。</w:t>
            </w:r>
          </w:p>
        </w:tc>
        <w:tc>
          <w:tcPr>
            <w:tcW w:w="1200" w:type="dxa"/>
            <w:vMerge w:val="continue"/>
            <w:noWrap w:val="0"/>
            <w:vAlign w:val="top"/>
          </w:tcPr>
          <w:p w14:paraId="4E32515D">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0CCF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0" w:hRule="atLeast"/>
        </w:trPr>
        <w:tc>
          <w:tcPr>
            <w:tcW w:w="735" w:type="dxa"/>
            <w:vMerge w:val="continue"/>
            <w:noWrap w:val="0"/>
            <w:vAlign w:val="center"/>
          </w:tcPr>
          <w:p w14:paraId="63F278E9">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344E2244">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top"/>
          </w:tcPr>
          <w:p w14:paraId="5000B911">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c>
          <w:tcPr>
            <w:tcW w:w="5359" w:type="dxa"/>
            <w:vMerge w:val="continue"/>
            <w:noWrap w:val="0"/>
            <w:vAlign w:val="top"/>
          </w:tcPr>
          <w:p w14:paraId="14B4D986">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473F1799">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严重</w:t>
            </w:r>
          </w:p>
        </w:tc>
        <w:tc>
          <w:tcPr>
            <w:tcW w:w="2986" w:type="dxa"/>
            <w:noWrap w:val="0"/>
            <w:vAlign w:val="center"/>
          </w:tcPr>
          <w:p w14:paraId="5B3C1BB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Style w:val="5"/>
                <w:rFonts w:hint="eastAsia" w:ascii="仿宋_GB2312" w:hAnsi="仿宋_GB2312" w:eastAsia="仿宋_GB2312" w:cs="仿宋_GB2312"/>
                <w:b w:val="0"/>
                <w:bCs/>
                <w:color w:val="auto"/>
                <w:spacing w:val="0"/>
                <w:sz w:val="24"/>
                <w:szCs w:val="24"/>
                <w:lang w:bidi="ar"/>
              </w:rPr>
              <w:t>侵占、毁损、拆除或者擅自移动地震监测设施，造成监测仪器和装置无法正常运转，监测数据不准确，经修复，监测设施可以正常运行的。</w:t>
            </w:r>
          </w:p>
        </w:tc>
        <w:tc>
          <w:tcPr>
            <w:tcW w:w="3000" w:type="dxa"/>
            <w:noWrap w:val="0"/>
            <w:vAlign w:val="center"/>
          </w:tcPr>
          <w:p w14:paraId="70B8D98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p w14:paraId="53847419">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对个人和单位给予警告。责令停止违法行为，恢复原状或者采取其他补救措施。造成损失的，依法承担赔偿责任。</w:t>
            </w:r>
          </w:p>
          <w:p w14:paraId="206ADC0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对个人处1000元以下的罚款，对单位处20000元以上100000元以下的罚款。</w:t>
            </w:r>
          </w:p>
          <w:p w14:paraId="19D9B02C">
            <w:pPr>
              <w:pStyle w:val="2"/>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lang w:bidi="ar"/>
              </w:rPr>
            </w:pPr>
          </w:p>
        </w:tc>
        <w:tc>
          <w:tcPr>
            <w:tcW w:w="1200" w:type="dxa"/>
            <w:vMerge w:val="continue"/>
            <w:noWrap w:val="0"/>
            <w:vAlign w:val="top"/>
          </w:tcPr>
          <w:p w14:paraId="4F67CFAB">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7EA3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35" w:type="dxa"/>
            <w:vMerge w:val="continue"/>
            <w:noWrap w:val="0"/>
            <w:vAlign w:val="center"/>
          </w:tcPr>
          <w:p w14:paraId="6B170827">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4D21E6FE">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top"/>
          </w:tcPr>
          <w:p w14:paraId="65700986">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c>
          <w:tcPr>
            <w:tcW w:w="5359" w:type="dxa"/>
            <w:vMerge w:val="continue"/>
            <w:noWrap w:val="0"/>
            <w:vAlign w:val="top"/>
          </w:tcPr>
          <w:p w14:paraId="387B909A">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6DE0378C">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特别严重</w:t>
            </w:r>
          </w:p>
        </w:tc>
        <w:tc>
          <w:tcPr>
            <w:tcW w:w="2986" w:type="dxa"/>
            <w:noWrap w:val="0"/>
            <w:vAlign w:val="center"/>
          </w:tcPr>
          <w:p w14:paraId="13FA8DD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侵占、毁损、拆除或者擅自移动地震监测设施，造成监测仪器和装置损毁，监测数据中断，监测设施功能丧失的。</w:t>
            </w:r>
          </w:p>
        </w:tc>
        <w:tc>
          <w:tcPr>
            <w:tcW w:w="3000" w:type="dxa"/>
            <w:noWrap w:val="0"/>
            <w:vAlign w:val="center"/>
          </w:tcPr>
          <w:p w14:paraId="756F558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对个人和单位给予警告</w:t>
            </w:r>
            <w:r>
              <w:rPr>
                <w:rFonts w:hint="eastAsia" w:ascii="仿宋_GB2312" w:hAnsi="仿宋_GB2312" w:eastAsia="仿宋_GB2312" w:cs="仿宋_GB2312"/>
                <w:b w:val="0"/>
                <w:bCs/>
                <w:spacing w:val="0"/>
                <w:kern w:val="0"/>
                <w:sz w:val="24"/>
                <w:szCs w:val="24"/>
                <w:lang w:val="en" w:bidi="ar"/>
              </w:rPr>
              <w:t>。</w:t>
            </w:r>
            <w:r>
              <w:rPr>
                <w:rStyle w:val="5"/>
                <w:rFonts w:hint="eastAsia" w:ascii="仿宋_GB2312" w:hAnsi="仿宋_GB2312" w:eastAsia="仿宋_GB2312" w:cs="仿宋_GB2312"/>
                <w:b w:val="0"/>
                <w:bCs/>
                <w:color w:val="auto"/>
                <w:spacing w:val="0"/>
                <w:sz w:val="24"/>
                <w:szCs w:val="24"/>
                <w:lang w:bidi="ar"/>
              </w:rPr>
              <w:t>责令停止违法行为，恢复原状或者采取其他补救措施。造成损失的，依法承担赔偿责任。对个人处1000元以上2000元以下的罚款，对单位处100000元以上200000元以下的罚款。</w:t>
            </w:r>
            <w:r>
              <w:rPr>
                <w:rFonts w:hint="eastAsia" w:ascii="仿宋_GB2312" w:hAnsi="仿宋_GB2312" w:eastAsia="仿宋_GB2312" w:cs="仿宋_GB2312"/>
                <w:b w:val="0"/>
                <w:bCs/>
                <w:spacing w:val="0"/>
                <w:kern w:val="0"/>
                <w:sz w:val="24"/>
                <w:szCs w:val="24"/>
                <w:lang w:bidi="ar"/>
              </w:rPr>
              <w:t>构成违反治安管理行为的，移送公安机关</w:t>
            </w:r>
            <w:r>
              <w:rPr>
                <w:rFonts w:hint="eastAsia" w:ascii="仿宋_GB2312" w:hAnsi="仿宋_GB2312" w:cs="仿宋_GB2312"/>
                <w:b w:val="0"/>
                <w:bCs/>
                <w:spacing w:val="0"/>
                <w:kern w:val="0"/>
                <w:sz w:val="24"/>
                <w:szCs w:val="24"/>
                <w:lang w:eastAsia="zh-CN" w:bidi="ar"/>
              </w:rPr>
              <w:t>依法处理</w:t>
            </w:r>
            <w:r>
              <w:rPr>
                <w:rFonts w:hint="eastAsia" w:ascii="仿宋_GB2312" w:hAnsi="仿宋_GB2312" w:eastAsia="仿宋_GB2312" w:cs="仿宋_GB2312"/>
                <w:b w:val="0"/>
                <w:bCs/>
                <w:spacing w:val="0"/>
                <w:kern w:val="0"/>
                <w:sz w:val="24"/>
                <w:szCs w:val="24"/>
                <w:lang w:bidi="ar"/>
              </w:rPr>
              <w:t>。</w:t>
            </w:r>
          </w:p>
        </w:tc>
        <w:tc>
          <w:tcPr>
            <w:tcW w:w="1200" w:type="dxa"/>
            <w:vMerge w:val="continue"/>
            <w:noWrap w:val="0"/>
            <w:vAlign w:val="top"/>
          </w:tcPr>
          <w:p w14:paraId="6208DB6B">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4D46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1" w:hRule="atLeast"/>
        </w:trPr>
        <w:tc>
          <w:tcPr>
            <w:tcW w:w="735" w:type="dxa"/>
            <w:vMerge w:val="restart"/>
            <w:noWrap w:val="0"/>
            <w:vAlign w:val="center"/>
          </w:tcPr>
          <w:p w14:paraId="0DE5CC5B">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2</w:t>
            </w:r>
          </w:p>
        </w:tc>
        <w:tc>
          <w:tcPr>
            <w:tcW w:w="1445" w:type="dxa"/>
            <w:vMerge w:val="restart"/>
            <w:noWrap w:val="0"/>
            <w:vAlign w:val="center"/>
          </w:tcPr>
          <w:p w14:paraId="479B3A9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eastAsia="zh-CN" w:bidi="ar"/>
              </w:rPr>
            </w:pPr>
            <w:r>
              <w:rPr>
                <w:rFonts w:hint="eastAsia" w:ascii="仿宋_GB2312" w:hAnsi="仿宋_GB2312" w:cs="仿宋_GB2312"/>
                <w:b w:val="0"/>
                <w:bCs/>
                <w:spacing w:val="0"/>
                <w:kern w:val="0"/>
                <w:sz w:val="24"/>
                <w:szCs w:val="24"/>
                <w:lang w:eastAsia="zh-CN" w:bidi="ar"/>
              </w:rPr>
              <w:t>对</w:t>
            </w:r>
            <w:r>
              <w:rPr>
                <w:rFonts w:hint="eastAsia" w:ascii="仿宋_GB2312" w:hAnsi="仿宋_GB2312" w:eastAsia="仿宋_GB2312" w:cs="仿宋_GB2312"/>
                <w:b w:val="0"/>
                <w:bCs/>
                <w:spacing w:val="0"/>
                <w:kern w:val="0"/>
                <w:sz w:val="24"/>
                <w:szCs w:val="24"/>
                <w:lang w:bidi="ar"/>
              </w:rPr>
              <w:t>在地震观测环境保护范围内从事法律法规禁止的行为，危害地震观测环境</w:t>
            </w:r>
            <w:r>
              <w:rPr>
                <w:rFonts w:hint="eastAsia" w:ascii="仿宋_GB2312" w:hAnsi="仿宋_GB2312" w:cs="仿宋_GB2312"/>
                <w:b w:val="0"/>
                <w:bCs/>
                <w:spacing w:val="0"/>
                <w:kern w:val="0"/>
                <w:sz w:val="24"/>
                <w:szCs w:val="24"/>
                <w:lang w:eastAsia="zh-CN" w:bidi="ar"/>
              </w:rPr>
              <w:t>的处罚</w:t>
            </w:r>
          </w:p>
        </w:tc>
        <w:tc>
          <w:tcPr>
            <w:tcW w:w="4942" w:type="dxa"/>
            <w:vMerge w:val="restart"/>
            <w:noWrap w:val="0"/>
            <w:vAlign w:val="top"/>
          </w:tcPr>
          <w:p w14:paraId="71DFF4C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7736374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中华人民共和国防震减灾法》第二十三条第三款规定：任何单位和个人不得危害地震观测环境。国务院地震工作主管部门和县级以上地方人民政府负责管理地震工作的部门或者机构会同同级有关部门，按照国务院有关规定划定地震观测环境保护范围，并纳入土地利用总体规划和城乡规划。</w:t>
            </w:r>
          </w:p>
          <w:p w14:paraId="42D0666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【行政法规】</w:t>
            </w:r>
          </w:p>
          <w:p w14:paraId="6EDE416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震监测管理条例》第二十八条规定：除依法从事本条例第三十二条、第三十三条规定的建设活动外，禁止在已划定的地震观测环境保护范围内从事下列活动：（一）爆破、采矿、采石、钻井、抽水、注水；（二）在测震观测环境保护范围内设置无线信号发射装置、进行振动作业和往复机械运动；（三）在电磁观测环境保护范围内铺设金属管线、电力电缆线路、堆放磁性物品和设置高频电磁辐射装置；（四）在地形变观测环境保护范围内进行振动作业；</w:t>
            </w:r>
            <w:r>
              <w:rPr>
                <w:rFonts w:hint="eastAsia" w:ascii="仿宋_GB2312" w:hAnsi="仿宋_GB2312" w:cs="仿宋_GB2312"/>
                <w:b w:val="0"/>
                <w:bCs/>
                <w:spacing w:val="0"/>
                <w:kern w:val="0"/>
                <w:sz w:val="24"/>
                <w:szCs w:val="24"/>
                <w:lang w:eastAsia="zh-CN" w:bidi="ar"/>
              </w:rPr>
              <w:t>（</w:t>
            </w:r>
            <w:r>
              <w:rPr>
                <w:rFonts w:hint="eastAsia" w:ascii="仿宋_GB2312" w:hAnsi="仿宋_GB2312" w:eastAsia="仿宋_GB2312" w:cs="仿宋_GB2312"/>
                <w:b w:val="0"/>
                <w:bCs/>
                <w:spacing w:val="0"/>
                <w:kern w:val="0"/>
                <w:sz w:val="24"/>
                <w:szCs w:val="24"/>
                <w:lang w:bidi="ar"/>
              </w:rPr>
              <w:t>五）在地下流体观测环境保护范围内堆积和填埋垃圾、进行污水处理；（六）在观测线和观测标志周围设置障碍物或者擅自移动地震观测标志。</w:t>
            </w:r>
          </w:p>
          <w:p w14:paraId="0696226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【地方性法规】</w:t>
            </w:r>
          </w:p>
          <w:p w14:paraId="02AF68B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《四川省防震减灾条例》第二十一条规定:地方各级人民政府应当依法保护地震监测设施和地震观测环境。</w:t>
            </w:r>
          </w:p>
          <w:p w14:paraId="1EA12AB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《四川省防震减灾条例》第二十三条规定：新建、改建、扩建各类建设工程，不得对地震观测环境造成危害。</w:t>
            </w:r>
          </w:p>
          <w:p w14:paraId="00A4750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【省政府规章】</w:t>
            </w:r>
          </w:p>
          <w:p w14:paraId="7E35E67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地震监测设施和地震观测环境保护规定》第十二条规定：禁止下列危害、破坏地震台（站）监测设施及其观测环境的行为：（二）在地震台（站）观测环境保护范围内进行爆破、采石、设置振动设施或者堆放金属物品；（三）在地电布极区、地磁观测环境保护范围内埋设金属管道或者电缆、堆放金属重物、架设高压输电线或者变电设施、线路，以及切断、损坏观测线路和地下设施；（四）破坏、污染观测井（水点）或者在地震观测环境保护范围内打井同层抽水或者注水；（五）在地形变和地磁的观测墩至观测标志之间以及在观测标志周围设置有碍测量、观测的障碍物、干扰物；（六）在GPS、遥测地震观测环境保护范围内架设高压输变电设施、线路，设置无线电发射装置、电磁辐射装置；（七）危害、破坏地震台（站）监测设施及其观测环境的其他行为。</w:t>
            </w:r>
          </w:p>
          <w:p w14:paraId="6F7AAEC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【省政府规章】</w:t>
            </w:r>
          </w:p>
          <w:p w14:paraId="55A79F0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地震监测设施和地震观测环境保护规定》第十三条规定：禁止擅自移动、损毁地震监测设施及其观测环境保护标志、地震测量标志，禁止在距地震测量标志50米范围内施工或者进行可能妨害其工作效能的其他活动。</w:t>
            </w:r>
          </w:p>
          <w:p w14:paraId="6EBA1C9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《四川省地震预警管理办法》第二十条第三款规定：任何单位和个人不得侵占、毁损、拆除或者擅自移动地震预警设施，不得危害地震观测环境。</w:t>
            </w:r>
          </w:p>
        </w:tc>
        <w:tc>
          <w:tcPr>
            <w:tcW w:w="5359" w:type="dxa"/>
            <w:vMerge w:val="restart"/>
            <w:noWrap w:val="0"/>
            <w:vAlign w:val="top"/>
          </w:tcPr>
          <w:p w14:paraId="0295E3B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1DA9EAC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中华人民共和国防震减灾法》第八十四条规定：违反本法规定，有下列行为之一的，由国务院地震工作主管部门或者县级以上地方人民政府负责管理地震工作的部门或者机构责令停止违法行为，恢复原状或者采取其他补救措施；造成损失的，依法承担赔偿责任： （二）危害地震观测环境的；……单位有前款所列违法行为，情节严重的，处二万元以上二十万元以下的罚款；个人有前款所列违法行为，情节严重的，处二千元以下的罚款。构成违反治安管理行为的。由公安机关依法给予处罚。</w:t>
            </w:r>
          </w:p>
          <w:p w14:paraId="3DBAD8E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【行政法规】</w:t>
            </w:r>
          </w:p>
          <w:p w14:paraId="05C9348F">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震监测管理条例》第三十六条规定：有本条例第二十六条、第二十八条所列行为之一的，由国务院地震工作主管部门或者县级以上地方人民政府负责管理地震工作的部门或者机构给予警告，责令停止违法行为，对个人可以处5000元以下的罚款，对单位处2万元以上10万元以下的罚款；构成犯罪的，依法追究刑事责任；造成损失的，依法承担赔偿责任。</w:t>
            </w:r>
          </w:p>
          <w:p w14:paraId="17E6945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【部门规章】</w:t>
            </w:r>
          </w:p>
          <w:p w14:paraId="3266F6C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《水库地震监测管理办法》第二十五条规定：有下列违法行为之一的，按照《中华人民共和国防震减灾法》《地震监测管理条例》的规定，追究法律责任：（二）危害水库地震观测环境的。</w:t>
            </w:r>
          </w:p>
          <w:p w14:paraId="36A61C3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【省政府规章】</w:t>
            </w:r>
          </w:p>
          <w:p w14:paraId="4EE3D15C">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《四川省地震预警管理办法》第二十四条</w:t>
            </w:r>
            <w:r>
              <w:rPr>
                <w:rFonts w:hint="eastAsia" w:ascii="仿宋_GB2312" w:hAnsi="仿宋_GB2312" w:cs="仿宋_GB2312"/>
                <w:b w:val="0"/>
                <w:bCs/>
                <w:spacing w:val="0"/>
                <w:kern w:val="0"/>
                <w:sz w:val="24"/>
                <w:szCs w:val="24"/>
                <w:lang w:val="en-US" w:eastAsia="zh-CN" w:bidi="ar"/>
              </w:rPr>
              <w:t>规定：</w:t>
            </w:r>
            <w:r>
              <w:rPr>
                <w:rFonts w:hint="eastAsia" w:ascii="仿宋_GB2312" w:hAnsi="仿宋_GB2312" w:eastAsia="仿宋_GB2312" w:cs="仿宋_GB2312"/>
                <w:b w:val="0"/>
                <w:bCs/>
                <w:spacing w:val="0"/>
                <w:kern w:val="0"/>
                <w:sz w:val="24"/>
                <w:szCs w:val="24"/>
                <w:lang w:bidi="ar"/>
              </w:rPr>
              <w:t>违反本办法规定，侵占、毁损、拆除、擅自移动地震预警设施或者危害地震观测环境的，由县级以上地方人民政府地震工作主管部门或者公安机关依照《中华人民共和国防震减灾法》有关规定予以处理。</w:t>
            </w:r>
          </w:p>
        </w:tc>
        <w:tc>
          <w:tcPr>
            <w:tcW w:w="1309" w:type="dxa"/>
            <w:noWrap w:val="0"/>
            <w:vAlign w:val="center"/>
          </w:tcPr>
          <w:p w14:paraId="64113B5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轻微</w:t>
            </w:r>
          </w:p>
        </w:tc>
        <w:tc>
          <w:tcPr>
            <w:tcW w:w="2986" w:type="dxa"/>
            <w:noWrap w:val="0"/>
            <w:vAlign w:val="center"/>
          </w:tcPr>
          <w:p w14:paraId="3643862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在已划定的地震观测环境保护范围内从事防震减灾法律法规禁止的活动，未对地震观测环境造成危害后果，在责令期限内已停止违法行为，恢复原状或者采取其他补救措施的。</w:t>
            </w:r>
          </w:p>
        </w:tc>
        <w:tc>
          <w:tcPr>
            <w:tcW w:w="3000" w:type="dxa"/>
            <w:noWrap w:val="0"/>
            <w:vAlign w:val="center"/>
          </w:tcPr>
          <w:p w14:paraId="2BC5CE4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不予处罚</w:t>
            </w:r>
            <w:r>
              <w:rPr>
                <w:rFonts w:hint="eastAsia" w:ascii="仿宋_GB2312" w:hAnsi="仿宋_GB2312" w:cs="仿宋_GB2312"/>
                <w:b w:val="0"/>
                <w:bCs/>
                <w:spacing w:val="0"/>
                <w:kern w:val="0"/>
                <w:sz w:val="24"/>
                <w:szCs w:val="24"/>
                <w:lang w:eastAsia="zh-CN" w:bidi="ar"/>
              </w:rPr>
              <w:t>，进行批评教育。</w:t>
            </w:r>
          </w:p>
        </w:tc>
        <w:tc>
          <w:tcPr>
            <w:tcW w:w="1200" w:type="dxa"/>
            <w:vMerge w:val="restart"/>
            <w:noWrap w:val="0"/>
            <w:vAlign w:val="center"/>
          </w:tcPr>
          <w:p w14:paraId="01F1454B">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国家级、省级、市级、县级</w:t>
            </w:r>
          </w:p>
        </w:tc>
      </w:tr>
      <w:tr w14:paraId="4DBB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9" w:hRule="atLeast"/>
        </w:trPr>
        <w:tc>
          <w:tcPr>
            <w:tcW w:w="735" w:type="dxa"/>
            <w:vMerge w:val="continue"/>
            <w:noWrap w:val="0"/>
            <w:vAlign w:val="center"/>
          </w:tcPr>
          <w:p w14:paraId="218A81E0">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5422A75F">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top"/>
          </w:tcPr>
          <w:p w14:paraId="17B4BAF0">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top"/>
          </w:tcPr>
          <w:p w14:paraId="49F8C612">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10F9D44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一般</w:t>
            </w:r>
          </w:p>
        </w:tc>
        <w:tc>
          <w:tcPr>
            <w:tcW w:w="2986" w:type="dxa"/>
            <w:noWrap w:val="0"/>
            <w:vAlign w:val="center"/>
          </w:tcPr>
          <w:p w14:paraId="362B90B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在已划定的地震观测环境保护范围内从事防震减灾法律法规禁止的活动，虽未对地震观测环境造成危害后果，但违法行为被发现后，在责令期限内没有停止违法行为，恢复原状或者采取其他补救措施的。</w:t>
            </w:r>
          </w:p>
        </w:tc>
        <w:tc>
          <w:tcPr>
            <w:tcW w:w="3000" w:type="dxa"/>
            <w:noWrap w:val="0"/>
            <w:vAlign w:val="center"/>
          </w:tcPr>
          <w:p w14:paraId="7B60F9A3">
            <w:pPr>
              <w:keepNext w:val="0"/>
              <w:keepLines w:val="0"/>
              <w:pageBreakBefore w:val="0"/>
              <w:widowControl/>
              <w:kinsoku/>
              <w:wordWrap/>
              <w:overflowPunct/>
              <w:topLinePunct w:val="0"/>
              <w:autoSpaceDE/>
              <w:autoSpaceDN/>
              <w:bidi w:val="0"/>
              <w:adjustRightInd/>
              <w:snapToGrid/>
              <w:spacing w:line="250" w:lineRule="exact"/>
              <w:jc w:val="both"/>
              <w:textAlignment w:val="center"/>
              <w:rPr>
                <w:rStyle w:val="5"/>
                <w:rFonts w:hint="eastAsia" w:ascii="仿宋_GB2312" w:hAnsi="仿宋_GB2312" w:eastAsia="仿宋_GB2312" w:cs="仿宋_GB2312"/>
                <w:b w:val="0"/>
                <w:bCs/>
                <w:color w:val="auto"/>
                <w:spacing w:val="0"/>
                <w:sz w:val="24"/>
                <w:szCs w:val="24"/>
                <w:lang w:bidi="ar"/>
              </w:rPr>
            </w:pPr>
            <w:r>
              <w:rPr>
                <w:rStyle w:val="5"/>
                <w:rFonts w:hint="eastAsia" w:ascii="仿宋_GB2312" w:hAnsi="仿宋_GB2312" w:eastAsia="仿宋_GB2312" w:cs="仿宋_GB2312"/>
                <w:b w:val="0"/>
                <w:bCs/>
                <w:color w:val="auto"/>
                <w:spacing w:val="0"/>
                <w:sz w:val="24"/>
                <w:szCs w:val="24"/>
                <w:lang w:bidi="ar"/>
              </w:rPr>
              <w:t>责令停止违法行为，恢复原状或者采取其他补救措施。造成损失的，依法承担赔偿责任。</w:t>
            </w:r>
          </w:p>
          <w:p w14:paraId="4F684D4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Style w:val="5"/>
                <w:rFonts w:hint="eastAsia" w:ascii="仿宋_GB2312" w:hAnsi="仿宋_GB2312" w:eastAsia="仿宋_GB2312" w:cs="仿宋_GB2312"/>
                <w:b w:val="0"/>
                <w:bCs/>
                <w:color w:val="auto"/>
                <w:spacing w:val="0"/>
                <w:sz w:val="24"/>
                <w:szCs w:val="24"/>
                <w:lang w:bidi="ar"/>
              </w:rPr>
              <w:t>对个人和单位给予警告。</w:t>
            </w:r>
          </w:p>
        </w:tc>
        <w:tc>
          <w:tcPr>
            <w:tcW w:w="1200" w:type="dxa"/>
            <w:vMerge w:val="continue"/>
            <w:noWrap w:val="0"/>
            <w:vAlign w:val="top"/>
          </w:tcPr>
          <w:p w14:paraId="3771B570">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0AFB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0" w:hRule="atLeast"/>
        </w:trPr>
        <w:tc>
          <w:tcPr>
            <w:tcW w:w="735" w:type="dxa"/>
            <w:vMerge w:val="continue"/>
            <w:noWrap w:val="0"/>
            <w:vAlign w:val="center"/>
          </w:tcPr>
          <w:p w14:paraId="11376CCA">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2454730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top"/>
          </w:tcPr>
          <w:p w14:paraId="1DE5DFEF">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top"/>
          </w:tcPr>
          <w:p w14:paraId="24E06B46">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60DEDAC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严重</w:t>
            </w:r>
          </w:p>
        </w:tc>
        <w:tc>
          <w:tcPr>
            <w:tcW w:w="2986" w:type="dxa"/>
            <w:noWrap w:val="0"/>
            <w:vAlign w:val="center"/>
          </w:tcPr>
          <w:p w14:paraId="1A971D5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在已划定的地震观测环境保护范围内从事防震减灾法律法规禁止的活动，造成地震监测站点功能部分丧失或者地震观测环境部分破坏的。</w:t>
            </w:r>
          </w:p>
        </w:tc>
        <w:tc>
          <w:tcPr>
            <w:tcW w:w="3000" w:type="dxa"/>
            <w:noWrap w:val="0"/>
            <w:vAlign w:val="center"/>
          </w:tcPr>
          <w:p w14:paraId="11870D29">
            <w:pPr>
              <w:keepNext w:val="0"/>
              <w:keepLines w:val="0"/>
              <w:pageBreakBefore w:val="0"/>
              <w:widowControl/>
              <w:kinsoku/>
              <w:wordWrap/>
              <w:overflowPunct/>
              <w:topLinePunct w:val="0"/>
              <w:autoSpaceDE/>
              <w:autoSpaceDN/>
              <w:bidi w:val="0"/>
              <w:adjustRightInd/>
              <w:snapToGrid/>
              <w:spacing w:line="250" w:lineRule="exact"/>
              <w:jc w:val="both"/>
              <w:textAlignment w:val="center"/>
              <w:rPr>
                <w:rStyle w:val="5"/>
                <w:rFonts w:hint="eastAsia" w:ascii="仿宋_GB2312" w:hAnsi="仿宋_GB2312" w:eastAsia="仿宋_GB2312" w:cs="仿宋_GB2312"/>
                <w:b w:val="0"/>
                <w:bCs/>
                <w:color w:val="auto"/>
                <w:spacing w:val="0"/>
                <w:sz w:val="24"/>
                <w:szCs w:val="24"/>
                <w:lang w:bidi="ar"/>
              </w:rPr>
            </w:pPr>
            <w:r>
              <w:rPr>
                <w:rStyle w:val="5"/>
                <w:rFonts w:hint="eastAsia" w:ascii="仿宋_GB2312" w:hAnsi="仿宋_GB2312" w:eastAsia="仿宋_GB2312" w:cs="仿宋_GB2312"/>
                <w:b w:val="0"/>
                <w:bCs/>
                <w:color w:val="auto"/>
                <w:spacing w:val="0"/>
                <w:sz w:val="24"/>
                <w:szCs w:val="24"/>
                <w:lang w:bidi="ar"/>
              </w:rPr>
              <w:t>对个人和单位给予警告。责令停止违法行为，恢复原状或者采取其他补救措施。造成损失的，依法承担赔偿责任。</w:t>
            </w:r>
          </w:p>
          <w:p w14:paraId="38EE485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Style w:val="5"/>
                <w:rFonts w:hint="eastAsia" w:ascii="仿宋_GB2312" w:hAnsi="仿宋_GB2312" w:eastAsia="仿宋_GB2312" w:cs="仿宋_GB2312"/>
                <w:b w:val="0"/>
                <w:bCs/>
                <w:color w:val="auto"/>
                <w:spacing w:val="0"/>
                <w:sz w:val="24"/>
                <w:szCs w:val="24"/>
                <w:lang w:bidi="ar"/>
              </w:rPr>
              <w:t>对个人处1000元以下的罚款，对单位处20000元以上100000元以下的罚款。</w:t>
            </w:r>
          </w:p>
        </w:tc>
        <w:tc>
          <w:tcPr>
            <w:tcW w:w="1200" w:type="dxa"/>
            <w:vMerge w:val="continue"/>
            <w:noWrap w:val="0"/>
            <w:vAlign w:val="top"/>
          </w:tcPr>
          <w:p w14:paraId="456D6845">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4261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735" w:type="dxa"/>
            <w:vMerge w:val="continue"/>
            <w:noWrap w:val="0"/>
            <w:vAlign w:val="center"/>
          </w:tcPr>
          <w:p w14:paraId="211356E4">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675F6343">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top"/>
          </w:tcPr>
          <w:p w14:paraId="15D1BA4D">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top"/>
          </w:tcPr>
          <w:p w14:paraId="792BF294">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24C8085D">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特别严重</w:t>
            </w:r>
          </w:p>
        </w:tc>
        <w:tc>
          <w:tcPr>
            <w:tcW w:w="2986" w:type="dxa"/>
            <w:noWrap w:val="0"/>
            <w:vAlign w:val="center"/>
          </w:tcPr>
          <w:p w14:paraId="5D45468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在已划定的地震观测环境保护范围内从事防震减灾法律法规禁止的活动，造成地震监测站点功能全部丧失或者地震观测环境不可恢复的。</w:t>
            </w:r>
          </w:p>
        </w:tc>
        <w:tc>
          <w:tcPr>
            <w:tcW w:w="3000" w:type="dxa"/>
            <w:noWrap w:val="0"/>
            <w:vAlign w:val="center"/>
          </w:tcPr>
          <w:p w14:paraId="235DE0AB">
            <w:pPr>
              <w:keepNext w:val="0"/>
              <w:keepLines w:val="0"/>
              <w:pageBreakBefore w:val="0"/>
              <w:widowControl/>
              <w:kinsoku/>
              <w:wordWrap/>
              <w:overflowPunct/>
              <w:topLinePunct w:val="0"/>
              <w:autoSpaceDE/>
              <w:autoSpaceDN/>
              <w:bidi w:val="0"/>
              <w:adjustRightInd/>
              <w:snapToGrid/>
              <w:spacing w:line="250" w:lineRule="exact"/>
              <w:jc w:val="both"/>
              <w:textAlignment w:val="center"/>
              <w:rPr>
                <w:rStyle w:val="5"/>
                <w:rFonts w:hint="eastAsia" w:ascii="仿宋_GB2312" w:hAnsi="仿宋_GB2312" w:eastAsia="仿宋_GB2312" w:cs="仿宋_GB2312"/>
                <w:b w:val="0"/>
                <w:bCs/>
                <w:color w:val="auto"/>
                <w:spacing w:val="0"/>
                <w:sz w:val="24"/>
                <w:szCs w:val="24"/>
                <w:lang w:bidi="ar"/>
              </w:rPr>
            </w:pPr>
            <w:r>
              <w:rPr>
                <w:rStyle w:val="5"/>
                <w:rFonts w:hint="eastAsia" w:ascii="仿宋_GB2312" w:hAnsi="仿宋_GB2312" w:eastAsia="仿宋_GB2312" w:cs="仿宋_GB2312"/>
                <w:b w:val="0"/>
                <w:bCs/>
                <w:color w:val="auto"/>
                <w:spacing w:val="0"/>
                <w:sz w:val="24"/>
                <w:szCs w:val="24"/>
                <w:lang w:bidi="ar"/>
              </w:rPr>
              <w:t>对个人和单位给予警告。责令停止违法行为，恢复原状或者采取其他补救措施。造成损失的，依法承担赔偿责任。</w:t>
            </w:r>
          </w:p>
          <w:p w14:paraId="7F74DB4C">
            <w:pPr>
              <w:keepNext w:val="0"/>
              <w:keepLines w:val="0"/>
              <w:pageBreakBefore w:val="0"/>
              <w:widowControl/>
              <w:kinsoku/>
              <w:wordWrap/>
              <w:overflowPunct/>
              <w:topLinePunct w:val="0"/>
              <w:autoSpaceDE/>
              <w:autoSpaceDN/>
              <w:bidi w:val="0"/>
              <w:adjustRightInd/>
              <w:snapToGrid/>
              <w:spacing w:line="250" w:lineRule="exact"/>
              <w:jc w:val="both"/>
              <w:textAlignment w:val="center"/>
              <w:rPr>
                <w:rStyle w:val="5"/>
                <w:rFonts w:hint="eastAsia" w:ascii="仿宋_GB2312" w:hAnsi="仿宋_GB2312" w:eastAsia="仿宋_GB2312" w:cs="仿宋_GB2312"/>
                <w:b w:val="0"/>
                <w:bCs/>
                <w:color w:val="auto"/>
                <w:spacing w:val="0"/>
                <w:sz w:val="24"/>
                <w:szCs w:val="24"/>
                <w:lang w:bidi="ar"/>
              </w:rPr>
            </w:pPr>
            <w:r>
              <w:rPr>
                <w:rStyle w:val="5"/>
                <w:rFonts w:hint="eastAsia" w:ascii="仿宋_GB2312" w:hAnsi="仿宋_GB2312" w:eastAsia="仿宋_GB2312" w:cs="仿宋_GB2312"/>
                <w:b w:val="0"/>
                <w:bCs/>
                <w:color w:val="auto"/>
                <w:spacing w:val="0"/>
                <w:sz w:val="24"/>
                <w:szCs w:val="24"/>
                <w:lang w:bidi="ar"/>
              </w:rPr>
              <w:t>对个人处1000元以上2000元以下的罚款，对单位处100000元以上200000元以下的罚款。</w:t>
            </w:r>
            <w:r>
              <w:rPr>
                <w:rFonts w:hint="eastAsia" w:ascii="仿宋_GB2312" w:hAnsi="仿宋_GB2312" w:eastAsia="仿宋_GB2312" w:cs="仿宋_GB2312"/>
                <w:b w:val="0"/>
                <w:bCs/>
                <w:spacing w:val="0"/>
                <w:kern w:val="0"/>
                <w:sz w:val="24"/>
                <w:szCs w:val="24"/>
                <w:lang w:bidi="ar"/>
              </w:rPr>
              <w:t>构成违反治安管理行为的</w:t>
            </w:r>
            <w:r>
              <w:rPr>
                <w:rFonts w:hint="eastAsia" w:ascii="仿宋_GB2312" w:hAnsi="仿宋_GB2312" w:cs="仿宋_GB2312"/>
                <w:b w:val="0"/>
                <w:bCs/>
                <w:spacing w:val="0"/>
                <w:kern w:val="0"/>
                <w:sz w:val="24"/>
                <w:szCs w:val="24"/>
                <w:lang w:eastAsia="zh-CN" w:bidi="ar"/>
              </w:rPr>
              <w:t>，移送</w:t>
            </w:r>
            <w:r>
              <w:rPr>
                <w:rFonts w:hint="eastAsia" w:ascii="仿宋_GB2312" w:hAnsi="仿宋_GB2312" w:eastAsia="仿宋_GB2312" w:cs="仿宋_GB2312"/>
                <w:b w:val="0"/>
                <w:bCs/>
                <w:spacing w:val="0"/>
                <w:kern w:val="0"/>
                <w:sz w:val="24"/>
                <w:szCs w:val="24"/>
                <w:lang w:bidi="ar"/>
              </w:rPr>
              <w:t>公安机关依法</w:t>
            </w:r>
            <w:r>
              <w:rPr>
                <w:rFonts w:hint="eastAsia" w:ascii="仿宋_GB2312" w:hAnsi="仿宋_GB2312" w:cs="仿宋_GB2312"/>
                <w:b w:val="0"/>
                <w:bCs/>
                <w:spacing w:val="0"/>
                <w:kern w:val="0"/>
                <w:sz w:val="24"/>
                <w:szCs w:val="24"/>
                <w:lang w:eastAsia="zh-CN" w:bidi="ar"/>
              </w:rPr>
              <w:t>处理</w:t>
            </w:r>
            <w:r>
              <w:rPr>
                <w:rFonts w:hint="eastAsia" w:ascii="仿宋_GB2312" w:hAnsi="仿宋_GB2312" w:eastAsia="仿宋_GB2312" w:cs="仿宋_GB2312"/>
                <w:b w:val="0"/>
                <w:bCs/>
                <w:spacing w:val="0"/>
                <w:kern w:val="0"/>
                <w:sz w:val="24"/>
                <w:szCs w:val="24"/>
                <w:lang w:bidi="ar"/>
              </w:rPr>
              <w:t>。</w:t>
            </w:r>
          </w:p>
        </w:tc>
        <w:tc>
          <w:tcPr>
            <w:tcW w:w="1200" w:type="dxa"/>
            <w:vMerge w:val="continue"/>
            <w:noWrap w:val="0"/>
            <w:vAlign w:val="top"/>
          </w:tcPr>
          <w:p w14:paraId="6B0FE19B">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2EFD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9" w:hRule="atLeast"/>
        </w:trPr>
        <w:tc>
          <w:tcPr>
            <w:tcW w:w="735" w:type="dxa"/>
            <w:vMerge w:val="restart"/>
            <w:noWrap w:val="0"/>
            <w:vAlign w:val="center"/>
          </w:tcPr>
          <w:p w14:paraId="45E537C6">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val="en-US" w:eastAsia="zh-CN" w:bidi="ar"/>
              </w:rPr>
              <w:t>3</w:t>
            </w:r>
          </w:p>
          <w:p w14:paraId="26A42C8B">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1445" w:type="dxa"/>
            <w:vMerge w:val="restart"/>
            <w:noWrap w:val="0"/>
            <w:vAlign w:val="center"/>
          </w:tcPr>
          <w:p w14:paraId="7272C688">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cs="仿宋_GB2312"/>
                <w:b w:val="0"/>
                <w:bCs/>
                <w:spacing w:val="0"/>
                <w:kern w:val="0"/>
                <w:sz w:val="24"/>
                <w:szCs w:val="24"/>
                <w:lang w:eastAsia="zh-CN" w:bidi="ar"/>
              </w:rPr>
              <w:t>对</w:t>
            </w:r>
            <w:r>
              <w:rPr>
                <w:rFonts w:hint="eastAsia" w:ascii="仿宋_GB2312" w:hAnsi="仿宋_GB2312" w:eastAsia="仿宋_GB2312" w:cs="仿宋_GB2312"/>
                <w:b w:val="0"/>
                <w:bCs/>
                <w:spacing w:val="0"/>
                <w:kern w:val="0"/>
                <w:sz w:val="24"/>
                <w:szCs w:val="24"/>
                <w:lang w:bidi="ar"/>
              </w:rPr>
              <w:t>未按照要求增建抗干扰设施或者新建地震监测设施</w:t>
            </w:r>
            <w:r>
              <w:rPr>
                <w:rFonts w:hint="eastAsia" w:ascii="仿宋_GB2312" w:hAnsi="仿宋_GB2312" w:cs="仿宋_GB2312"/>
                <w:b w:val="0"/>
                <w:bCs/>
                <w:spacing w:val="0"/>
                <w:kern w:val="0"/>
                <w:sz w:val="24"/>
                <w:szCs w:val="24"/>
                <w:lang w:eastAsia="zh-CN" w:bidi="ar"/>
              </w:rPr>
              <w:t>的处罚</w:t>
            </w:r>
          </w:p>
          <w:p w14:paraId="32EFB2CA">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4942" w:type="dxa"/>
            <w:vMerge w:val="restart"/>
            <w:noWrap w:val="0"/>
            <w:vAlign w:val="center"/>
          </w:tcPr>
          <w:p w14:paraId="63F779D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514EF0B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 xml:space="preserve">《中华人民共和国防震减灾法》第二十三条第三款规定：任何单位和个人不得危害地震观测环境。国务院地震工作主管部门和县级以上地方人民政府负责管理地震工作的部门或者机构会同同级有关部门，按照国务院有关规定划定地震观测环境保护范围，并纳入土地利用总体规划和城乡规划。              </w:t>
            </w:r>
          </w:p>
          <w:p w14:paraId="330F8E2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中华人民共和国防震减灾法》第二十四条第一款规定：新建、扩建、改建建设工程，应当避免对地震监测设施和地震观测环境造成危害。建设国家重点工程，确实无法对地震监测设施和地震观测环境造成危害的，应增建抗干扰设施；不能增建抗干扰设施的，应当新建地震监测设施。</w:t>
            </w:r>
          </w:p>
          <w:p w14:paraId="0C62345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【行政法规】</w:t>
            </w:r>
          </w:p>
          <w:p w14:paraId="19EC9C2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震监测管理条例》第三十三条第一款规定：建设国家重点工程，确实无法避免对地震监测设施和地震观测环境造成破坏的，建设单位应当按照县级以上地方人民政府负责管理地震工作的部门或者机构的要求，增建抗干扰设施或者新建地震监测设施后，方可进行建设。</w:t>
            </w:r>
          </w:p>
          <w:p w14:paraId="704DCFA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【地方性法规】</w:t>
            </w:r>
          </w:p>
          <w:p w14:paraId="7D3A781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防震减灾条例》第二十三条第一款规定：新建、改建、扩建各类建设工程，不得对地震观测环境造成危害。建设国家重点工程，无法避免对地震观测环境造成危害的，建设单位在工程设计前应当征得县级以上防震减灾工作主管部门或者机构的同意，并按国家有关规定承担增建抗干扰工程或者拆迁、新建地震监测设施的所需费用。</w:t>
            </w:r>
          </w:p>
          <w:p w14:paraId="18F2D8A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【省政府规章】</w:t>
            </w:r>
          </w:p>
          <w:p w14:paraId="5011545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地震监测设施和地震观测环境保护规定》第九条规定：在地震观测环境保护范围内确需施工或者进行其他可能对地震监测设施造成干扰影响活动的，应当将相关情况在3日前告知当地地震工作部门或者地震监测设施使用单位，以便地震工作部门或者地震监测设施使用单位采取相应措施。第十一条规定：第一款 新建、改建、扩建建设工程，应当避免对地震监测设施及其观测环境造成危害；确定无法避免造成危害的，建设单位应当事先征得县级以上地震工作部门同意，并采取下列措施后，方可建设：（一）增建抗干扰工程，确保地震监测设施发挥正常工作效能。所增加的工程建设费用由建设单位承担；</w:t>
            </w:r>
          </w:p>
        </w:tc>
        <w:tc>
          <w:tcPr>
            <w:tcW w:w="5359" w:type="dxa"/>
            <w:vMerge w:val="restart"/>
            <w:noWrap w:val="0"/>
            <w:vAlign w:val="center"/>
          </w:tcPr>
          <w:p w14:paraId="1CF5A27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1EAAAFF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《中华人民共和国防震减灾法》第八十五条</w:t>
            </w:r>
            <w:r>
              <w:rPr>
                <w:rFonts w:hint="eastAsia" w:ascii="仿宋_GB2312" w:hAnsi="仿宋_GB2312" w:cs="仿宋_GB2312"/>
                <w:b w:val="0"/>
                <w:bCs/>
                <w:spacing w:val="0"/>
                <w:kern w:val="0"/>
                <w:sz w:val="24"/>
                <w:szCs w:val="24"/>
                <w:lang w:val="en-US" w:eastAsia="zh-CN" w:bidi="ar"/>
              </w:rPr>
              <w:t>规定</w:t>
            </w:r>
            <w:r>
              <w:rPr>
                <w:rFonts w:hint="eastAsia" w:ascii="仿宋_GB2312" w:hAnsi="仿宋_GB2312" w:cs="仿宋_GB2312"/>
                <w:b w:val="0"/>
                <w:bCs/>
                <w:spacing w:val="0"/>
                <w:kern w:val="0"/>
                <w:sz w:val="24"/>
                <w:szCs w:val="24"/>
                <w:lang w:eastAsia="zh-CN" w:bidi="ar"/>
              </w:rPr>
              <w:t>：</w:t>
            </w:r>
            <w:r>
              <w:rPr>
                <w:rFonts w:hint="eastAsia" w:ascii="仿宋_GB2312" w:hAnsi="仿宋_GB2312" w:eastAsia="仿宋_GB2312" w:cs="仿宋_GB2312"/>
                <w:b w:val="0"/>
                <w:bCs/>
                <w:spacing w:val="0"/>
                <w:kern w:val="0"/>
                <w:sz w:val="24"/>
                <w:szCs w:val="24"/>
                <w:lang w:bidi="ar"/>
              </w:rPr>
              <w:t>违反本法规定，未按照要求增建抗干扰设施或者新建地震监测设施的，由国务院地震工作主管部门或者县级以上地方人民政府负责管理地震工作的部门或者机构责令限期改正；逾期不改正的，处二万元以上二十万元以下的罚款；造成损失的，依法承担赔偿责任。</w:t>
            </w:r>
          </w:p>
          <w:p w14:paraId="7D09EE8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4040B9DB">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轻微</w:t>
            </w:r>
          </w:p>
        </w:tc>
        <w:tc>
          <w:tcPr>
            <w:tcW w:w="2986" w:type="dxa"/>
            <w:noWrap w:val="0"/>
            <w:vAlign w:val="center"/>
          </w:tcPr>
          <w:p w14:paraId="1B6AE6F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未按照要求增建抗干扰设施或者新建地震监测设施，未造成危害后果，违法行为被发现后，在责令期限内及时改正的。</w:t>
            </w:r>
          </w:p>
        </w:tc>
        <w:tc>
          <w:tcPr>
            <w:tcW w:w="3000" w:type="dxa"/>
            <w:noWrap w:val="0"/>
            <w:vAlign w:val="center"/>
          </w:tcPr>
          <w:p w14:paraId="6BB9F5E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2"/>
                <w:sz w:val="24"/>
                <w:szCs w:val="24"/>
                <w:u w:val="none"/>
                <w:lang w:val="en-US" w:eastAsia="zh-CN" w:bidi="ar"/>
              </w:rPr>
            </w:pPr>
            <w:r>
              <w:rPr>
                <w:rFonts w:hint="eastAsia" w:ascii="仿宋_GB2312" w:hAnsi="仿宋_GB2312" w:cs="仿宋_GB2312"/>
                <w:b w:val="0"/>
                <w:bCs/>
                <w:spacing w:val="0"/>
                <w:kern w:val="0"/>
                <w:sz w:val="24"/>
                <w:szCs w:val="24"/>
                <w:lang w:eastAsia="zh-CN" w:bidi="ar"/>
              </w:rPr>
              <w:t>不予处罚，进行批评教育。</w:t>
            </w:r>
          </w:p>
        </w:tc>
        <w:tc>
          <w:tcPr>
            <w:tcW w:w="1200" w:type="dxa"/>
            <w:vMerge w:val="restart"/>
            <w:noWrap w:val="0"/>
            <w:vAlign w:val="center"/>
          </w:tcPr>
          <w:p w14:paraId="4661B582">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国家级、省级、市级、县级</w:t>
            </w:r>
          </w:p>
        </w:tc>
      </w:tr>
      <w:tr w14:paraId="5B5B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735" w:type="dxa"/>
            <w:vMerge w:val="continue"/>
            <w:noWrap w:val="0"/>
            <w:vAlign w:val="center"/>
          </w:tcPr>
          <w:p w14:paraId="38A0D60F">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060357B4">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4A82250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2DAB802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6D42ED44">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一般</w:t>
            </w:r>
          </w:p>
        </w:tc>
        <w:tc>
          <w:tcPr>
            <w:tcW w:w="2986" w:type="dxa"/>
            <w:noWrap w:val="0"/>
            <w:vAlign w:val="center"/>
          </w:tcPr>
          <w:p w14:paraId="13732C8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未按照要求增建抗干扰设施或者新建地震监测设施，未造成危害后果，但违法行为被发现后，在责令改正期限内没有改正的。</w:t>
            </w:r>
          </w:p>
        </w:tc>
        <w:tc>
          <w:tcPr>
            <w:tcW w:w="3000" w:type="dxa"/>
            <w:noWrap w:val="0"/>
            <w:vAlign w:val="center"/>
          </w:tcPr>
          <w:p w14:paraId="198AA666">
            <w:pPr>
              <w:keepNext w:val="0"/>
              <w:keepLines w:val="0"/>
              <w:pageBreakBefore w:val="0"/>
              <w:widowControl/>
              <w:kinsoku/>
              <w:wordWrap/>
              <w:overflowPunct/>
              <w:topLinePunct w:val="0"/>
              <w:autoSpaceDE/>
              <w:autoSpaceDN/>
              <w:bidi w:val="0"/>
              <w:adjustRightInd/>
              <w:snapToGrid/>
              <w:spacing w:line="250" w:lineRule="exact"/>
              <w:jc w:val="both"/>
              <w:textAlignment w:val="center"/>
              <w:rPr>
                <w:rStyle w:val="5"/>
                <w:rFonts w:hint="eastAsia" w:ascii="仿宋_GB2312" w:hAnsi="仿宋_GB2312" w:eastAsia="仿宋_GB2312" w:cs="仿宋_GB2312"/>
                <w:b w:val="0"/>
                <w:bCs/>
                <w:color w:val="auto"/>
                <w:spacing w:val="0"/>
                <w:sz w:val="24"/>
                <w:szCs w:val="24"/>
                <w:lang w:bidi="ar"/>
              </w:rPr>
            </w:pPr>
            <w:r>
              <w:rPr>
                <w:rStyle w:val="5"/>
                <w:rFonts w:hint="eastAsia" w:ascii="仿宋_GB2312" w:hAnsi="仿宋_GB2312" w:eastAsia="仿宋_GB2312" w:cs="仿宋_GB2312"/>
                <w:b w:val="0"/>
                <w:bCs/>
                <w:color w:val="auto"/>
                <w:spacing w:val="0"/>
                <w:sz w:val="24"/>
                <w:szCs w:val="24"/>
                <w:lang w:bidi="ar"/>
              </w:rPr>
              <w:t>责令限期改正，恢复原状或者采取相应的补救措施。</w:t>
            </w:r>
          </w:p>
          <w:p w14:paraId="34BF237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2"/>
                <w:sz w:val="24"/>
                <w:szCs w:val="24"/>
                <w:u w:val="none"/>
                <w:lang w:val="en-US" w:eastAsia="zh-CN" w:bidi="ar"/>
              </w:rPr>
            </w:pPr>
            <w:r>
              <w:rPr>
                <w:rStyle w:val="5"/>
                <w:rFonts w:hint="eastAsia" w:ascii="仿宋_GB2312" w:hAnsi="仿宋_GB2312" w:eastAsia="仿宋_GB2312" w:cs="仿宋_GB2312"/>
                <w:b w:val="0"/>
                <w:bCs/>
                <w:color w:val="auto"/>
                <w:spacing w:val="0"/>
                <w:sz w:val="24"/>
                <w:szCs w:val="24"/>
                <w:lang w:bidi="ar"/>
              </w:rPr>
              <w:t>逾期不改正的，处20000元以上60000元以下的罚款。造成损失的，依法承担赔偿责任。</w:t>
            </w:r>
          </w:p>
        </w:tc>
        <w:tc>
          <w:tcPr>
            <w:tcW w:w="1200" w:type="dxa"/>
            <w:vMerge w:val="continue"/>
            <w:noWrap w:val="0"/>
            <w:vAlign w:val="center"/>
          </w:tcPr>
          <w:p w14:paraId="15A2EF6F">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r>
      <w:tr w14:paraId="646D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4" w:hRule="atLeast"/>
        </w:trPr>
        <w:tc>
          <w:tcPr>
            <w:tcW w:w="735" w:type="dxa"/>
            <w:vMerge w:val="continue"/>
            <w:noWrap w:val="0"/>
            <w:vAlign w:val="center"/>
          </w:tcPr>
          <w:p w14:paraId="591C492C">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19B7CD2E">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339B1CE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0AE3D5F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52EFD621">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严重</w:t>
            </w:r>
          </w:p>
        </w:tc>
        <w:tc>
          <w:tcPr>
            <w:tcW w:w="2986" w:type="dxa"/>
            <w:noWrap w:val="0"/>
            <w:vAlign w:val="center"/>
          </w:tcPr>
          <w:p w14:paraId="76BE105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未按照要求增建抗干扰设施或者新建地震监测设施，造成地震监测站点功能部分丧失或者地震观测环境部分破坏的。</w:t>
            </w:r>
          </w:p>
        </w:tc>
        <w:tc>
          <w:tcPr>
            <w:tcW w:w="3000" w:type="dxa"/>
            <w:noWrap w:val="0"/>
            <w:vAlign w:val="center"/>
          </w:tcPr>
          <w:p w14:paraId="3B01B542">
            <w:pPr>
              <w:keepNext w:val="0"/>
              <w:keepLines w:val="0"/>
              <w:pageBreakBefore w:val="0"/>
              <w:widowControl/>
              <w:kinsoku/>
              <w:wordWrap/>
              <w:overflowPunct/>
              <w:topLinePunct w:val="0"/>
              <w:autoSpaceDE/>
              <w:autoSpaceDN/>
              <w:bidi w:val="0"/>
              <w:adjustRightInd/>
              <w:snapToGrid/>
              <w:spacing w:line="250" w:lineRule="exact"/>
              <w:jc w:val="both"/>
              <w:textAlignment w:val="center"/>
              <w:rPr>
                <w:rStyle w:val="5"/>
                <w:rFonts w:hint="eastAsia" w:ascii="仿宋_GB2312" w:hAnsi="仿宋_GB2312" w:eastAsia="仿宋_GB2312" w:cs="仿宋_GB2312"/>
                <w:b w:val="0"/>
                <w:bCs/>
                <w:color w:val="auto"/>
                <w:spacing w:val="0"/>
                <w:sz w:val="24"/>
                <w:szCs w:val="24"/>
                <w:lang w:bidi="ar"/>
              </w:rPr>
            </w:pPr>
            <w:r>
              <w:rPr>
                <w:rStyle w:val="5"/>
                <w:rFonts w:hint="eastAsia" w:ascii="仿宋_GB2312" w:hAnsi="仿宋_GB2312" w:eastAsia="仿宋_GB2312" w:cs="仿宋_GB2312"/>
                <w:b w:val="0"/>
                <w:bCs/>
                <w:color w:val="auto"/>
                <w:spacing w:val="0"/>
                <w:sz w:val="24"/>
                <w:szCs w:val="24"/>
                <w:lang w:bidi="ar"/>
              </w:rPr>
              <w:t>责令限期改正，恢复原状或者采取相应的补救措施。</w:t>
            </w:r>
          </w:p>
          <w:p w14:paraId="68EB7D29">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2"/>
                <w:sz w:val="24"/>
                <w:szCs w:val="24"/>
                <w:u w:val="none"/>
                <w:lang w:val="en-US" w:eastAsia="zh-CN" w:bidi="ar"/>
              </w:rPr>
            </w:pPr>
            <w:r>
              <w:rPr>
                <w:rStyle w:val="5"/>
                <w:rFonts w:hint="eastAsia" w:ascii="仿宋_GB2312" w:hAnsi="仿宋_GB2312" w:eastAsia="仿宋_GB2312" w:cs="仿宋_GB2312"/>
                <w:b w:val="0"/>
                <w:bCs/>
                <w:color w:val="auto"/>
                <w:spacing w:val="0"/>
                <w:sz w:val="24"/>
                <w:szCs w:val="24"/>
                <w:lang w:bidi="ar"/>
              </w:rPr>
              <w:t>逾期不改正的，处60000元以上140000元以下的罚款。造成损失的，依法承担赔偿责任。</w:t>
            </w:r>
          </w:p>
        </w:tc>
        <w:tc>
          <w:tcPr>
            <w:tcW w:w="1200" w:type="dxa"/>
            <w:vMerge w:val="continue"/>
            <w:noWrap w:val="0"/>
            <w:vAlign w:val="top"/>
          </w:tcPr>
          <w:p w14:paraId="51259050">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r>
      <w:tr w14:paraId="29D7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735" w:type="dxa"/>
            <w:vMerge w:val="continue"/>
            <w:noWrap w:val="0"/>
            <w:vAlign w:val="center"/>
          </w:tcPr>
          <w:p w14:paraId="4F7D912A">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44919E1C">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20FAF7B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1CCF31A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7A5DE8CF">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特别严重</w:t>
            </w:r>
          </w:p>
        </w:tc>
        <w:tc>
          <w:tcPr>
            <w:tcW w:w="2986" w:type="dxa"/>
            <w:noWrap w:val="0"/>
            <w:vAlign w:val="center"/>
          </w:tcPr>
          <w:p w14:paraId="6D21C85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未按照要求增建抗干扰设施或者新建地震监测设施，造成地震监测站点功能全部丧失或者地震观测环境不可恢复的。</w:t>
            </w:r>
          </w:p>
        </w:tc>
        <w:tc>
          <w:tcPr>
            <w:tcW w:w="3000" w:type="dxa"/>
            <w:noWrap w:val="0"/>
            <w:vAlign w:val="center"/>
          </w:tcPr>
          <w:p w14:paraId="5BDE610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责令限期改正，恢复原状或者采取相应的补救措施。</w:t>
            </w:r>
          </w:p>
          <w:p w14:paraId="475743E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逾期不改正的，处140000元以上200000元以下的罚款。造成损失的，依法承担赔偿责任。</w:t>
            </w:r>
          </w:p>
        </w:tc>
        <w:tc>
          <w:tcPr>
            <w:tcW w:w="1200" w:type="dxa"/>
            <w:vMerge w:val="continue"/>
            <w:noWrap w:val="0"/>
            <w:vAlign w:val="top"/>
          </w:tcPr>
          <w:p w14:paraId="7629E352">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r>
      <w:tr w14:paraId="0115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735" w:type="dxa"/>
            <w:vMerge w:val="restart"/>
            <w:noWrap w:val="0"/>
            <w:vAlign w:val="center"/>
          </w:tcPr>
          <w:p w14:paraId="1CC7C509">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val="en-US" w:eastAsia="zh-CN" w:bidi="ar"/>
              </w:rPr>
              <w:t>4</w:t>
            </w:r>
          </w:p>
          <w:p w14:paraId="246E1643">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val="en-US" w:eastAsia="zh-CN" w:bidi="ar"/>
              </w:rPr>
            </w:pPr>
          </w:p>
        </w:tc>
        <w:tc>
          <w:tcPr>
            <w:tcW w:w="1445" w:type="dxa"/>
            <w:vMerge w:val="restart"/>
            <w:noWrap w:val="0"/>
            <w:vAlign w:val="center"/>
          </w:tcPr>
          <w:p w14:paraId="3017B47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cs="仿宋_GB2312"/>
                <w:b w:val="0"/>
                <w:bCs/>
                <w:spacing w:val="0"/>
                <w:kern w:val="0"/>
                <w:sz w:val="24"/>
                <w:szCs w:val="24"/>
                <w:lang w:eastAsia="zh-CN" w:bidi="ar"/>
              </w:rPr>
              <w:t>对</w:t>
            </w:r>
            <w:r>
              <w:rPr>
                <w:rFonts w:hint="eastAsia" w:ascii="仿宋_GB2312" w:hAnsi="仿宋_GB2312" w:eastAsia="仿宋_GB2312" w:cs="仿宋_GB2312"/>
                <w:b w:val="0"/>
                <w:bCs/>
                <w:spacing w:val="0"/>
                <w:kern w:val="0"/>
                <w:sz w:val="24"/>
                <w:szCs w:val="24"/>
                <w:lang w:bidi="ar"/>
              </w:rPr>
              <w:t>擅自公告震后地震趋势判定</w:t>
            </w:r>
            <w:r>
              <w:rPr>
                <w:rFonts w:hint="eastAsia" w:ascii="仿宋_GB2312" w:hAnsi="仿宋_GB2312" w:cs="仿宋_GB2312"/>
                <w:b w:val="0"/>
                <w:bCs/>
                <w:spacing w:val="0"/>
                <w:kern w:val="0"/>
                <w:sz w:val="24"/>
                <w:szCs w:val="24"/>
                <w:lang w:eastAsia="zh-CN" w:bidi="ar"/>
              </w:rPr>
              <w:t>的处罚</w:t>
            </w:r>
          </w:p>
          <w:p w14:paraId="7528CAA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p>
        </w:tc>
        <w:tc>
          <w:tcPr>
            <w:tcW w:w="4942" w:type="dxa"/>
            <w:vMerge w:val="restart"/>
            <w:noWrap w:val="0"/>
            <w:vAlign w:val="center"/>
          </w:tcPr>
          <w:p w14:paraId="34D0BC1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【部门规章】</w:t>
            </w:r>
          </w:p>
          <w:p w14:paraId="42E7B58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《震后地震趋势判定公告规定》第九条规定：其他任何组织和个人关于震后地震趋势判定的意见，应当向当地人民政府负责管理地震工作的机构或者国务院地震工作主管部门报告，不得擅自向社会公告。</w:t>
            </w:r>
          </w:p>
          <w:p w14:paraId="3C9C13F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5359" w:type="dxa"/>
            <w:vMerge w:val="restart"/>
            <w:noWrap w:val="0"/>
            <w:vAlign w:val="center"/>
          </w:tcPr>
          <w:p w14:paraId="20BD27A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【部门规章】</w:t>
            </w:r>
          </w:p>
          <w:p w14:paraId="4C4F7B1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震后地震趋势判定公告规定》第十条规定：对违反本规定，擅自公告震后地震趋势判定，造成不良社会影响的组织和个人，由国务院地震工作主管部门或者省、自治区、直辖市人民政府负责管理地震工作的机构给予警告；扰乱社会正常秩序的，由公安机关依法给予治安管理处罚。</w:t>
            </w:r>
          </w:p>
          <w:p w14:paraId="3E6AB0E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75431ACD">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轻微</w:t>
            </w:r>
          </w:p>
        </w:tc>
        <w:tc>
          <w:tcPr>
            <w:tcW w:w="2986" w:type="dxa"/>
            <w:noWrap w:val="0"/>
            <w:vAlign w:val="center"/>
          </w:tcPr>
          <w:p w14:paraId="54B273C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擅自向社会公告震后地震趋势判定属于初次违法且尚未造成不良社会影响并及时改正的。</w:t>
            </w:r>
          </w:p>
        </w:tc>
        <w:tc>
          <w:tcPr>
            <w:tcW w:w="3000" w:type="dxa"/>
            <w:noWrap w:val="0"/>
            <w:vAlign w:val="center"/>
          </w:tcPr>
          <w:p w14:paraId="2A161C2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不予处罚</w:t>
            </w:r>
            <w:r>
              <w:rPr>
                <w:rFonts w:hint="eastAsia" w:ascii="仿宋_GB2312" w:hAnsi="仿宋_GB2312" w:cs="仿宋_GB2312"/>
                <w:b w:val="0"/>
                <w:bCs/>
                <w:spacing w:val="0"/>
                <w:kern w:val="0"/>
                <w:sz w:val="24"/>
                <w:szCs w:val="24"/>
                <w:lang w:eastAsia="zh-CN" w:bidi="ar"/>
              </w:rPr>
              <w:t>，进行批评教育。</w:t>
            </w:r>
          </w:p>
        </w:tc>
        <w:tc>
          <w:tcPr>
            <w:tcW w:w="1200" w:type="dxa"/>
            <w:vMerge w:val="restart"/>
            <w:noWrap w:val="0"/>
            <w:vAlign w:val="center"/>
          </w:tcPr>
          <w:p w14:paraId="09ECF8D4">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国家级、省级、市级、县级</w:t>
            </w:r>
          </w:p>
        </w:tc>
      </w:tr>
      <w:tr w14:paraId="7648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735" w:type="dxa"/>
            <w:vMerge w:val="continue"/>
            <w:noWrap w:val="0"/>
            <w:vAlign w:val="center"/>
          </w:tcPr>
          <w:p w14:paraId="22AE41D4">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val="en-US" w:eastAsia="zh-CN" w:bidi="ar"/>
              </w:rPr>
            </w:pPr>
          </w:p>
        </w:tc>
        <w:tc>
          <w:tcPr>
            <w:tcW w:w="1445" w:type="dxa"/>
            <w:vMerge w:val="continue"/>
            <w:noWrap w:val="0"/>
            <w:vAlign w:val="center"/>
          </w:tcPr>
          <w:p w14:paraId="3019886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p>
        </w:tc>
        <w:tc>
          <w:tcPr>
            <w:tcW w:w="4942" w:type="dxa"/>
            <w:vMerge w:val="continue"/>
            <w:noWrap w:val="0"/>
            <w:vAlign w:val="center"/>
          </w:tcPr>
          <w:p w14:paraId="75C2180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5B33A68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67D3DD5B">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一般</w:t>
            </w:r>
          </w:p>
        </w:tc>
        <w:tc>
          <w:tcPr>
            <w:tcW w:w="2986" w:type="dxa"/>
            <w:noWrap w:val="0"/>
            <w:vAlign w:val="center"/>
          </w:tcPr>
          <w:p w14:paraId="0D8DC77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擅自向社会公告震后地震趋势判定，造成不良社会影响后及时采取了补救措施，有效防止事态扩大。</w:t>
            </w:r>
          </w:p>
        </w:tc>
        <w:tc>
          <w:tcPr>
            <w:tcW w:w="3000" w:type="dxa"/>
            <w:noWrap w:val="0"/>
            <w:vAlign w:val="center"/>
          </w:tcPr>
          <w:p w14:paraId="600EA6C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警告。</w:t>
            </w:r>
          </w:p>
        </w:tc>
        <w:tc>
          <w:tcPr>
            <w:tcW w:w="1200" w:type="dxa"/>
            <w:vMerge w:val="continue"/>
            <w:noWrap w:val="0"/>
            <w:vAlign w:val="top"/>
          </w:tcPr>
          <w:p w14:paraId="22010EE8">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r>
      <w:tr w14:paraId="2A10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735" w:type="dxa"/>
            <w:vMerge w:val="continue"/>
            <w:noWrap w:val="0"/>
            <w:vAlign w:val="center"/>
          </w:tcPr>
          <w:p w14:paraId="380B9957">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val="en-US" w:eastAsia="zh-CN" w:bidi="ar"/>
              </w:rPr>
            </w:pPr>
          </w:p>
        </w:tc>
        <w:tc>
          <w:tcPr>
            <w:tcW w:w="1445" w:type="dxa"/>
            <w:vMerge w:val="continue"/>
            <w:noWrap w:val="0"/>
            <w:vAlign w:val="center"/>
          </w:tcPr>
          <w:p w14:paraId="21F325A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p>
        </w:tc>
        <w:tc>
          <w:tcPr>
            <w:tcW w:w="4942" w:type="dxa"/>
            <w:vMerge w:val="continue"/>
            <w:noWrap w:val="0"/>
            <w:vAlign w:val="center"/>
          </w:tcPr>
          <w:p w14:paraId="3AA90C6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47926B5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38538350">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严重</w:t>
            </w:r>
          </w:p>
        </w:tc>
        <w:tc>
          <w:tcPr>
            <w:tcW w:w="2986" w:type="dxa"/>
            <w:noWrap w:val="0"/>
            <w:vAlign w:val="center"/>
          </w:tcPr>
          <w:p w14:paraId="4AE9917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擅自向社会公告震后地震趋势判定造成不良社会影响，达到扰乱社会正常秩序的。</w:t>
            </w:r>
          </w:p>
        </w:tc>
        <w:tc>
          <w:tcPr>
            <w:tcW w:w="3000" w:type="dxa"/>
            <w:noWrap w:val="0"/>
            <w:vAlign w:val="center"/>
          </w:tcPr>
          <w:p w14:paraId="553BEC7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cs="仿宋_GB2312"/>
                <w:b w:val="0"/>
                <w:bCs/>
                <w:spacing w:val="0"/>
                <w:kern w:val="0"/>
                <w:sz w:val="24"/>
                <w:szCs w:val="24"/>
                <w:lang w:eastAsia="zh-CN" w:bidi="ar"/>
              </w:rPr>
              <w:t>移送公安机关依法处理</w:t>
            </w:r>
            <w:r>
              <w:rPr>
                <w:rFonts w:hint="eastAsia" w:ascii="仿宋_GB2312" w:hAnsi="仿宋_GB2312" w:eastAsia="仿宋_GB2312" w:cs="仿宋_GB2312"/>
                <w:b w:val="0"/>
                <w:bCs/>
                <w:spacing w:val="0"/>
                <w:kern w:val="0"/>
                <w:sz w:val="24"/>
                <w:szCs w:val="24"/>
                <w:lang w:bidi="ar"/>
              </w:rPr>
              <w:t>。</w:t>
            </w:r>
          </w:p>
        </w:tc>
        <w:tc>
          <w:tcPr>
            <w:tcW w:w="1200" w:type="dxa"/>
            <w:vMerge w:val="continue"/>
            <w:noWrap w:val="0"/>
            <w:vAlign w:val="top"/>
          </w:tcPr>
          <w:p w14:paraId="25406CA1">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r>
      <w:tr w14:paraId="5935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35" w:type="dxa"/>
            <w:vMerge w:val="restart"/>
            <w:noWrap w:val="0"/>
            <w:vAlign w:val="center"/>
          </w:tcPr>
          <w:p w14:paraId="536383AA">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val="en-US" w:eastAsia="zh-CN" w:bidi="ar"/>
              </w:rPr>
              <w:t>5</w:t>
            </w:r>
          </w:p>
        </w:tc>
        <w:tc>
          <w:tcPr>
            <w:tcW w:w="1445" w:type="dxa"/>
            <w:vMerge w:val="restart"/>
            <w:noWrap w:val="0"/>
            <w:vAlign w:val="center"/>
          </w:tcPr>
          <w:p w14:paraId="4C69F04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eastAsia="zh-CN" w:bidi="ar"/>
              </w:rPr>
            </w:pPr>
            <w:r>
              <w:rPr>
                <w:rFonts w:hint="eastAsia" w:ascii="仿宋_GB2312" w:hAnsi="仿宋_GB2312" w:cs="仿宋_GB2312"/>
                <w:b w:val="0"/>
                <w:bCs/>
                <w:spacing w:val="0"/>
                <w:kern w:val="0"/>
                <w:sz w:val="24"/>
                <w:szCs w:val="24"/>
                <w:lang w:eastAsia="zh-CN" w:bidi="ar"/>
              </w:rPr>
              <w:t>对</w:t>
            </w:r>
            <w:r>
              <w:rPr>
                <w:rFonts w:hint="eastAsia" w:ascii="仿宋_GB2312" w:hAnsi="仿宋_GB2312" w:eastAsia="仿宋_GB2312" w:cs="仿宋_GB2312"/>
                <w:b w:val="0"/>
                <w:bCs/>
                <w:spacing w:val="0"/>
                <w:kern w:val="0"/>
                <w:sz w:val="24"/>
                <w:szCs w:val="24"/>
                <w:lang w:bidi="ar"/>
              </w:rPr>
              <w:t>擅自向社会发布地震预警信息或者编造、传播虚假地震预警信息</w:t>
            </w:r>
            <w:r>
              <w:rPr>
                <w:rFonts w:hint="eastAsia" w:ascii="仿宋_GB2312" w:hAnsi="仿宋_GB2312" w:cs="仿宋_GB2312"/>
                <w:b w:val="0"/>
                <w:bCs/>
                <w:spacing w:val="0"/>
                <w:kern w:val="0"/>
                <w:sz w:val="24"/>
                <w:szCs w:val="24"/>
                <w:lang w:eastAsia="zh-CN" w:bidi="ar"/>
              </w:rPr>
              <w:t>的处罚</w:t>
            </w:r>
          </w:p>
          <w:p w14:paraId="35AFBA1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p>
        </w:tc>
        <w:tc>
          <w:tcPr>
            <w:tcW w:w="4942" w:type="dxa"/>
            <w:vMerge w:val="restart"/>
            <w:noWrap w:val="0"/>
            <w:vAlign w:val="center"/>
          </w:tcPr>
          <w:p w14:paraId="604F6E8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【省政府规章】</w:t>
            </w:r>
          </w:p>
          <w:p w14:paraId="2ABF325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《四川省地震预警管理办法》第十二条规定：地震预警信息由省人民政府地震工作主管部门统一发布。其他任何单位和个人不得以任何形式向社会发布地震预警信息，不得编造、传播虚假地震预警信息。</w:t>
            </w:r>
          </w:p>
        </w:tc>
        <w:tc>
          <w:tcPr>
            <w:tcW w:w="5359" w:type="dxa"/>
            <w:vMerge w:val="restart"/>
            <w:noWrap w:val="0"/>
            <w:vAlign w:val="center"/>
          </w:tcPr>
          <w:p w14:paraId="23C4038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【省政府规章】</w:t>
            </w:r>
          </w:p>
          <w:p w14:paraId="0ED156B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《四川省地震预警管理办法》第二十三条</w:t>
            </w:r>
            <w:r>
              <w:rPr>
                <w:rFonts w:hint="eastAsia" w:ascii="仿宋_GB2312" w:hAnsi="仿宋_GB2312" w:cs="仿宋_GB2312"/>
                <w:b w:val="0"/>
                <w:bCs/>
                <w:spacing w:val="0"/>
                <w:kern w:val="0"/>
                <w:sz w:val="24"/>
                <w:szCs w:val="24"/>
                <w:lang w:val="en-US" w:eastAsia="zh-CN" w:bidi="ar"/>
              </w:rPr>
              <w:t>规定：</w:t>
            </w:r>
            <w:r>
              <w:rPr>
                <w:rFonts w:hint="eastAsia" w:ascii="仿宋_GB2312" w:hAnsi="仿宋_GB2312" w:eastAsia="仿宋_GB2312" w:cs="仿宋_GB2312"/>
                <w:b w:val="0"/>
                <w:bCs/>
                <w:spacing w:val="0"/>
                <w:kern w:val="0"/>
                <w:sz w:val="24"/>
                <w:szCs w:val="24"/>
                <w:lang w:bidi="ar"/>
              </w:rPr>
              <w:t>违反本办法规定，擅自向社会发布地震预警信息或者编造、传播虚假地震预警信息，扰乱社会秩序，构成违反治安管理行为的，由公安机关依法给予处罚。</w:t>
            </w:r>
          </w:p>
        </w:tc>
        <w:tc>
          <w:tcPr>
            <w:tcW w:w="1309" w:type="dxa"/>
            <w:noWrap w:val="0"/>
            <w:vAlign w:val="center"/>
          </w:tcPr>
          <w:p w14:paraId="1C93DB5F">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eastAsia="zh-CN" w:bidi="ar"/>
              </w:rPr>
              <w:t>轻微</w:t>
            </w:r>
          </w:p>
        </w:tc>
        <w:tc>
          <w:tcPr>
            <w:tcW w:w="2986" w:type="dxa"/>
            <w:noWrap w:val="0"/>
            <w:vAlign w:val="center"/>
          </w:tcPr>
          <w:p w14:paraId="6474006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擅自向发布地震预警信息或者编造、传播虚假地震预警信息</w:t>
            </w:r>
            <w:r>
              <w:rPr>
                <w:rFonts w:hint="eastAsia" w:ascii="仿宋_GB2312" w:hAnsi="仿宋_GB2312" w:eastAsia="仿宋_GB2312" w:cs="仿宋_GB2312"/>
                <w:b w:val="0"/>
                <w:bCs/>
                <w:spacing w:val="0"/>
                <w:kern w:val="0"/>
                <w:sz w:val="24"/>
                <w:szCs w:val="24"/>
                <w:lang w:eastAsia="zh-CN" w:bidi="ar"/>
              </w:rPr>
              <w:t>，</w:t>
            </w:r>
            <w:r>
              <w:rPr>
                <w:rFonts w:hint="eastAsia" w:ascii="仿宋_GB2312" w:hAnsi="仿宋_GB2312" w:eastAsia="仿宋_GB2312" w:cs="仿宋_GB2312"/>
                <w:b w:val="0"/>
                <w:bCs/>
                <w:spacing w:val="0"/>
                <w:kern w:val="0"/>
                <w:sz w:val="24"/>
                <w:szCs w:val="24"/>
                <w:lang w:bidi="ar"/>
              </w:rPr>
              <w:t>属于初次违法且尚未造成不良社会影响并及时改正的</w:t>
            </w:r>
            <w:r>
              <w:rPr>
                <w:rFonts w:hint="eastAsia" w:ascii="仿宋_GB2312" w:hAnsi="仿宋_GB2312" w:eastAsia="仿宋_GB2312" w:cs="仿宋_GB2312"/>
                <w:b w:val="0"/>
                <w:bCs/>
                <w:spacing w:val="0"/>
                <w:kern w:val="0"/>
                <w:sz w:val="24"/>
                <w:szCs w:val="24"/>
                <w:lang w:val="en-US" w:eastAsia="zh-CN" w:bidi="ar"/>
              </w:rPr>
              <w:t>;或者</w:t>
            </w:r>
            <w:r>
              <w:rPr>
                <w:rFonts w:hint="eastAsia" w:ascii="仿宋_GB2312" w:hAnsi="仿宋_GB2312" w:eastAsia="仿宋_GB2312" w:cs="仿宋_GB2312"/>
                <w:b w:val="0"/>
                <w:bCs/>
                <w:spacing w:val="0"/>
                <w:kern w:val="0"/>
                <w:sz w:val="24"/>
                <w:szCs w:val="24"/>
                <w:lang w:bidi="ar"/>
              </w:rPr>
              <w:t>造成</w:t>
            </w:r>
            <w:r>
              <w:rPr>
                <w:rFonts w:hint="eastAsia" w:ascii="仿宋_GB2312" w:hAnsi="仿宋_GB2312" w:eastAsia="仿宋_GB2312" w:cs="仿宋_GB2312"/>
                <w:b w:val="0"/>
                <w:bCs/>
                <w:spacing w:val="0"/>
                <w:kern w:val="0"/>
                <w:sz w:val="24"/>
                <w:szCs w:val="24"/>
                <w:lang w:eastAsia="zh-CN" w:bidi="ar"/>
              </w:rPr>
              <w:t>轻微</w:t>
            </w:r>
            <w:r>
              <w:rPr>
                <w:rFonts w:hint="eastAsia" w:ascii="仿宋_GB2312" w:hAnsi="仿宋_GB2312" w:eastAsia="仿宋_GB2312" w:cs="仿宋_GB2312"/>
                <w:b w:val="0"/>
                <w:bCs/>
                <w:spacing w:val="0"/>
                <w:kern w:val="0"/>
                <w:sz w:val="24"/>
                <w:szCs w:val="24"/>
                <w:lang w:bidi="ar"/>
              </w:rPr>
              <w:t>社会影响后及时采取了补救措施。</w:t>
            </w:r>
          </w:p>
        </w:tc>
        <w:tc>
          <w:tcPr>
            <w:tcW w:w="3000" w:type="dxa"/>
            <w:noWrap w:val="0"/>
            <w:vAlign w:val="center"/>
          </w:tcPr>
          <w:p w14:paraId="4B15623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不予处罚</w:t>
            </w:r>
            <w:r>
              <w:rPr>
                <w:rFonts w:hint="eastAsia" w:ascii="仿宋_GB2312" w:hAnsi="仿宋_GB2312" w:cs="仿宋_GB2312"/>
                <w:b w:val="0"/>
                <w:bCs/>
                <w:spacing w:val="0"/>
                <w:kern w:val="0"/>
                <w:sz w:val="24"/>
                <w:szCs w:val="24"/>
                <w:lang w:eastAsia="zh-CN" w:bidi="ar"/>
              </w:rPr>
              <w:t>，进行批评教育。</w:t>
            </w:r>
          </w:p>
        </w:tc>
        <w:tc>
          <w:tcPr>
            <w:tcW w:w="1200" w:type="dxa"/>
            <w:vMerge w:val="restart"/>
            <w:noWrap w:val="0"/>
            <w:vAlign w:val="center"/>
          </w:tcPr>
          <w:p w14:paraId="17BC1FBB">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省级、市级、县级</w:t>
            </w:r>
          </w:p>
        </w:tc>
      </w:tr>
      <w:tr w14:paraId="3C6A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735" w:type="dxa"/>
            <w:vMerge w:val="continue"/>
            <w:noWrap w:val="0"/>
            <w:vAlign w:val="center"/>
          </w:tcPr>
          <w:p w14:paraId="4C276022">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39B9ACEF">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30B73F0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7245895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38087B47">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val="en-US" w:eastAsia="zh-CN" w:bidi="ar"/>
              </w:rPr>
              <w:t>严重</w:t>
            </w:r>
          </w:p>
        </w:tc>
        <w:tc>
          <w:tcPr>
            <w:tcW w:w="2986" w:type="dxa"/>
            <w:noWrap w:val="0"/>
            <w:vAlign w:val="center"/>
          </w:tcPr>
          <w:p w14:paraId="7DB7B4A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擅自向社会发布地震预警信息或者编造、传播虚假地震预警信息，造成不良社会影响，达到扰乱社会正常秩序的。</w:t>
            </w:r>
          </w:p>
        </w:tc>
        <w:tc>
          <w:tcPr>
            <w:tcW w:w="3000" w:type="dxa"/>
            <w:noWrap w:val="0"/>
            <w:vAlign w:val="center"/>
          </w:tcPr>
          <w:p w14:paraId="0E91203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cs="仿宋_GB2312"/>
                <w:b w:val="0"/>
                <w:bCs/>
                <w:spacing w:val="0"/>
                <w:kern w:val="0"/>
                <w:sz w:val="24"/>
                <w:szCs w:val="24"/>
                <w:lang w:eastAsia="zh-CN" w:bidi="ar"/>
              </w:rPr>
              <w:t>移送公安机关依法处理</w:t>
            </w:r>
            <w:r>
              <w:rPr>
                <w:rFonts w:hint="eastAsia" w:ascii="仿宋_GB2312" w:hAnsi="仿宋_GB2312" w:eastAsia="仿宋_GB2312" w:cs="仿宋_GB2312"/>
                <w:b w:val="0"/>
                <w:bCs/>
                <w:spacing w:val="0"/>
                <w:kern w:val="0"/>
                <w:sz w:val="24"/>
                <w:szCs w:val="24"/>
                <w:lang w:bidi="ar"/>
              </w:rPr>
              <w:t>。</w:t>
            </w:r>
          </w:p>
        </w:tc>
        <w:tc>
          <w:tcPr>
            <w:tcW w:w="1200" w:type="dxa"/>
            <w:vMerge w:val="continue"/>
            <w:noWrap w:val="0"/>
            <w:vAlign w:val="top"/>
          </w:tcPr>
          <w:p w14:paraId="4202BDB4">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pacing w:val="0"/>
                <w:kern w:val="0"/>
                <w:sz w:val="24"/>
                <w:szCs w:val="24"/>
                <w:lang w:bidi="ar"/>
              </w:rPr>
            </w:pPr>
          </w:p>
        </w:tc>
      </w:tr>
      <w:tr w14:paraId="5463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Merge w:val="restart"/>
            <w:noWrap w:val="0"/>
            <w:vAlign w:val="center"/>
          </w:tcPr>
          <w:p w14:paraId="6530F999">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eastAsia="zh-CN" w:bidi="ar"/>
              </w:rPr>
            </w:pPr>
            <w:r>
              <w:rPr>
                <w:rFonts w:hint="eastAsia" w:ascii="仿宋_GB2312" w:hAnsi="仿宋_GB2312" w:eastAsia="仿宋_GB2312" w:cs="仿宋_GB2312"/>
                <w:b w:val="0"/>
                <w:bCs/>
                <w:spacing w:val="0"/>
                <w:kern w:val="0"/>
                <w:sz w:val="24"/>
                <w:szCs w:val="24"/>
                <w:lang w:val="en-US" w:eastAsia="zh-CN" w:bidi="ar"/>
              </w:rPr>
              <w:t>6</w:t>
            </w:r>
          </w:p>
        </w:tc>
        <w:tc>
          <w:tcPr>
            <w:tcW w:w="1445" w:type="dxa"/>
            <w:vMerge w:val="restart"/>
            <w:noWrap w:val="0"/>
            <w:vAlign w:val="center"/>
          </w:tcPr>
          <w:p w14:paraId="0213BFD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eastAsia="zh-CN" w:bidi="ar"/>
              </w:rPr>
            </w:pPr>
            <w:r>
              <w:rPr>
                <w:rFonts w:hint="eastAsia" w:ascii="仿宋_GB2312" w:hAnsi="仿宋_GB2312" w:cs="仿宋_GB2312"/>
                <w:b w:val="0"/>
                <w:bCs/>
                <w:spacing w:val="0"/>
                <w:kern w:val="0"/>
                <w:sz w:val="24"/>
                <w:szCs w:val="24"/>
                <w:lang w:eastAsia="zh-CN" w:bidi="ar"/>
              </w:rPr>
              <w:t>对</w:t>
            </w:r>
            <w:r>
              <w:rPr>
                <w:rFonts w:hint="eastAsia" w:ascii="仿宋_GB2312" w:hAnsi="仿宋_GB2312" w:eastAsia="仿宋_GB2312" w:cs="仿宋_GB2312"/>
                <w:b w:val="0"/>
                <w:bCs/>
                <w:spacing w:val="0"/>
                <w:kern w:val="0"/>
                <w:sz w:val="24"/>
                <w:szCs w:val="24"/>
                <w:lang w:bidi="ar"/>
              </w:rPr>
              <w:t>建设工程未依法进行地震安全性评价的</w:t>
            </w:r>
            <w:r>
              <w:rPr>
                <w:rFonts w:hint="eastAsia" w:ascii="仿宋_GB2312" w:hAnsi="仿宋_GB2312" w:cs="仿宋_GB2312"/>
                <w:b w:val="0"/>
                <w:bCs/>
                <w:spacing w:val="0"/>
                <w:kern w:val="0"/>
                <w:sz w:val="24"/>
                <w:szCs w:val="24"/>
                <w:lang w:eastAsia="zh-CN" w:bidi="ar"/>
              </w:rPr>
              <w:t>处罚</w:t>
            </w:r>
          </w:p>
        </w:tc>
        <w:tc>
          <w:tcPr>
            <w:tcW w:w="4942" w:type="dxa"/>
            <w:vMerge w:val="restart"/>
            <w:noWrap w:val="0"/>
            <w:vAlign w:val="center"/>
          </w:tcPr>
          <w:p w14:paraId="6AD3B90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1403424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中华人民共和国防震减灾法》第三十五条规定：新建、扩建、改建建设工程，应当达到抗震设防要求。重大建设工程和可能发生次生灾害的建设工程，应当按照国务院有关规定进行地震安全性评价，并按照经审定的地震安全性评价报告所确定的抗震设防要求进行抗震设防。</w:t>
            </w:r>
          </w:p>
          <w:p w14:paraId="72B046B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【行政法规】</w:t>
            </w:r>
          </w:p>
          <w:p w14:paraId="0ED58AA9">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震安全性评价管理条例》第三条规定：新建、扩建、改建建设工程，依照《中华人民共和国防震减灾法》和本条例的规定，需要进行地震安全性评价的，必须严格执行国家地震安全性评价的技术规范，确保地震安全性评价的质量。</w:t>
            </w:r>
          </w:p>
          <w:p w14:paraId="015DCA5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【地方性法规】</w:t>
            </w:r>
          </w:p>
          <w:p w14:paraId="094B0EF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《四川省防震减灾条例》第三十条规定：新建、扩建、改建建设工程，应当达到抗震设防要求。</w:t>
            </w:r>
          </w:p>
          <w:p w14:paraId="7D2167E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防震减灾条例》第三十一条第一款规定：抗震设防要求按下列规定确定：（一）重大建设工程和可能发生严重次生灾害的建设工程，应当按照国家和省规定的范围进行地震安全性评价，并按省以上防震减灾工作主管部门审定的地震安全性评价报告结果确定；</w:t>
            </w:r>
          </w:p>
        </w:tc>
        <w:tc>
          <w:tcPr>
            <w:tcW w:w="5359" w:type="dxa"/>
            <w:vMerge w:val="restart"/>
            <w:noWrap w:val="0"/>
            <w:vAlign w:val="center"/>
          </w:tcPr>
          <w:p w14:paraId="16291E2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05758C7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中华人民共和国防震减灾法》第八十七条规定：未依法进行地震安全性评价，或者未按照地震安全性评价报告所确定的抗震设防要求进行抗震设防的，由国务院地震工作主管部门或者县级以上地方人民政府负责管理地震工作的部门或者机构责令限期改正；逾期不改正的，处三万元以上三十万元以下的罚款。</w:t>
            </w:r>
          </w:p>
        </w:tc>
        <w:tc>
          <w:tcPr>
            <w:tcW w:w="1309" w:type="dxa"/>
            <w:noWrap w:val="0"/>
            <w:vAlign w:val="center"/>
          </w:tcPr>
          <w:p w14:paraId="14DFD679">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轻微</w:t>
            </w:r>
          </w:p>
        </w:tc>
        <w:tc>
          <w:tcPr>
            <w:tcW w:w="2986" w:type="dxa"/>
            <w:noWrap w:val="0"/>
            <w:vAlign w:val="center"/>
          </w:tcPr>
          <w:p w14:paraId="4B00B8C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建设工程在工程可行性研究阶段或立项时未依法进行地震安全性评价，经教育告知并及时改正的。</w:t>
            </w:r>
          </w:p>
        </w:tc>
        <w:tc>
          <w:tcPr>
            <w:tcW w:w="3000" w:type="dxa"/>
            <w:noWrap w:val="0"/>
            <w:vAlign w:val="center"/>
          </w:tcPr>
          <w:p w14:paraId="263E1A2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eastAsia="zh-CN" w:bidi="ar"/>
              </w:rPr>
            </w:pPr>
            <w:r>
              <w:rPr>
                <w:rFonts w:hint="eastAsia" w:ascii="仿宋_GB2312" w:hAnsi="仿宋_GB2312" w:eastAsia="仿宋_GB2312" w:cs="仿宋_GB2312"/>
                <w:b w:val="0"/>
                <w:bCs/>
                <w:spacing w:val="0"/>
                <w:kern w:val="0"/>
                <w:sz w:val="24"/>
                <w:szCs w:val="24"/>
                <w:lang w:bidi="ar"/>
              </w:rPr>
              <w:t>不予处罚</w:t>
            </w:r>
            <w:r>
              <w:rPr>
                <w:rFonts w:hint="eastAsia" w:ascii="仿宋_GB2312" w:hAnsi="仿宋_GB2312" w:cs="仿宋_GB2312"/>
                <w:b w:val="0"/>
                <w:bCs/>
                <w:spacing w:val="0"/>
                <w:kern w:val="0"/>
                <w:sz w:val="24"/>
                <w:szCs w:val="24"/>
                <w:lang w:eastAsia="zh-CN" w:bidi="ar"/>
              </w:rPr>
              <w:t>，进行批评教育。</w:t>
            </w:r>
          </w:p>
        </w:tc>
        <w:tc>
          <w:tcPr>
            <w:tcW w:w="1200" w:type="dxa"/>
            <w:vMerge w:val="restart"/>
            <w:noWrap w:val="0"/>
            <w:vAlign w:val="center"/>
          </w:tcPr>
          <w:p w14:paraId="5E5F906B">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国家级、省级、市级、县级</w:t>
            </w:r>
          </w:p>
        </w:tc>
      </w:tr>
      <w:tr w14:paraId="330D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735" w:type="dxa"/>
            <w:vMerge w:val="continue"/>
            <w:noWrap w:val="0"/>
            <w:vAlign w:val="center"/>
          </w:tcPr>
          <w:p w14:paraId="421218B1">
            <w:pPr>
              <w:keepNext w:val="0"/>
              <w:keepLines w:val="0"/>
              <w:pageBreakBefore w:val="0"/>
              <w:kinsoku/>
              <w:wordWrap/>
              <w:overflowPunct/>
              <w:topLinePunct w:val="0"/>
              <w:autoSpaceDE/>
              <w:autoSpaceDN/>
              <w:bidi w:val="0"/>
              <w:adjustRightInd/>
              <w:snapToGrid/>
              <w:spacing w:line="250" w:lineRule="exact"/>
              <w:jc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40E48124">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23C197DF">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39EE3A52">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0018A6C0">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一般</w:t>
            </w:r>
          </w:p>
        </w:tc>
        <w:tc>
          <w:tcPr>
            <w:tcW w:w="2986" w:type="dxa"/>
            <w:noWrap w:val="0"/>
            <w:vAlign w:val="center"/>
          </w:tcPr>
          <w:p w14:paraId="70E2267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建设工程在工程设计前未依法进行地震安全性评价，经责令限期改正，逾期不改正的。</w:t>
            </w:r>
          </w:p>
        </w:tc>
        <w:tc>
          <w:tcPr>
            <w:tcW w:w="3000" w:type="dxa"/>
            <w:noWrap w:val="0"/>
            <w:vAlign w:val="center"/>
          </w:tcPr>
          <w:p w14:paraId="0A08C15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Style w:val="5"/>
                <w:rFonts w:hint="eastAsia" w:ascii="仿宋_GB2312" w:hAnsi="仿宋_GB2312" w:eastAsia="仿宋_GB2312" w:cs="仿宋_GB2312"/>
                <w:b w:val="0"/>
                <w:bCs/>
                <w:color w:val="auto"/>
                <w:spacing w:val="0"/>
                <w:sz w:val="24"/>
                <w:szCs w:val="24"/>
                <w:lang w:bidi="ar"/>
              </w:rPr>
              <w:t>责令限期改正，逾期不改正的，处30000元以上90000元以下的罚款。</w:t>
            </w:r>
          </w:p>
        </w:tc>
        <w:tc>
          <w:tcPr>
            <w:tcW w:w="1200" w:type="dxa"/>
            <w:vMerge w:val="continue"/>
            <w:noWrap w:val="0"/>
            <w:vAlign w:val="top"/>
          </w:tcPr>
          <w:p w14:paraId="1E77918A">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760B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735" w:type="dxa"/>
            <w:vMerge w:val="continue"/>
            <w:noWrap w:val="0"/>
            <w:vAlign w:val="center"/>
          </w:tcPr>
          <w:p w14:paraId="61A5F3DC">
            <w:pPr>
              <w:keepNext w:val="0"/>
              <w:keepLines w:val="0"/>
              <w:pageBreakBefore w:val="0"/>
              <w:kinsoku/>
              <w:wordWrap/>
              <w:overflowPunct/>
              <w:topLinePunct w:val="0"/>
              <w:autoSpaceDE/>
              <w:autoSpaceDN/>
              <w:bidi w:val="0"/>
              <w:adjustRightInd/>
              <w:snapToGrid/>
              <w:spacing w:line="250" w:lineRule="exact"/>
              <w:jc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4BE8C9DB">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4AA109B3">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5A8D7B11">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0E64D42B">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严重</w:t>
            </w:r>
          </w:p>
        </w:tc>
        <w:tc>
          <w:tcPr>
            <w:tcW w:w="2986" w:type="dxa"/>
            <w:noWrap w:val="0"/>
            <w:vAlign w:val="center"/>
          </w:tcPr>
          <w:p w14:paraId="71C5F8A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建设工程已经完成设计，在开工建设前未依法进行地震安全性评价，经责令限期改正，逾期不改正的。</w:t>
            </w:r>
          </w:p>
        </w:tc>
        <w:tc>
          <w:tcPr>
            <w:tcW w:w="3000" w:type="dxa"/>
            <w:noWrap w:val="0"/>
            <w:vAlign w:val="center"/>
          </w:tcPr>
          <w:p w14:paraId="4C52A36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责令限期改正，逾期不改正的，处90000元以上 210000元以下的罚款。</w:t>
            </w:r>
          </w:p>
        </w:tc>
        <w:tc>
          <w:tcPr>
            <w:tcW w:w="1200" w:type="dxa"/>
            <w:vMerge w:val="continue"/>
            <w:noWrap w:val="0"/>
            <w:vAlign w:val="top"/>
          </w:tcPr>
          <w:p w14:paraId="7C47D3E5">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60B6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35" w:type="dxa"/>
            <w:vMerge w:val="continue"/>
            <w:noWrap w:val="0"/>
            <w:vAlign w:val="center"/>
          </w:tcPr>
          <w:p w14:paraId="31C57BB1">
            <w:pPr>
              <w:keepNext w:val="0"/>
              <w:keepLines w:val="0"/>
              <w:pageBreakBefore w:val="0"/>
              <w:kinsoku/>
              <w:wordWrap/>
              <w:overflowPunct/>
              <w:topLinePunct w:val="0"/>
              <w:autoSpaceDE/>
              <w:autoSpaceDN/>
              <w:bidi w:val="0"/>
              <w:adjustRightInd/>
              <w:snapToGrid/>
              <w:spacing w:line="250" w:lineRule="exact"/>
              <w:jc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078086E6">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309D338A">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5888CB0B">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5F1054EA">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特别严重</w:t>
            </w:r>
          </w:p>
        </w:tc>
        <w:tc>
          <w:tcPr>
            <w:tcW w:w="2986" w:type="dxa"/>
            <w:noWrap w:val="0"/>
            <w:vAlign w:val="center"/>
          </w:tcPr>
          <w:p w14:paraId="120A7FD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已开工建设的建设工程，未依法进行地震安全性评价，经责令限期改正，逾期不改正的。</w:t>
            </w:r>
          </w:p>
        </w:tc>
        <w:tc>
          <w:tcPr>
            <w:tcW w:w="3000" w:type="dxa"/>
            <w:noWrap w:val="0"/>
            <w:vAlign w:val="center"/>
          </w:tcPr>
          <w:p w14:paraId="6F0725A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责令限期改正，逾期不改正的，处210000元以上300000元以下的罚款。</w:t>
            </w:r>
          </w:p>
        </w:tc>
        <w:tc>
          <w:tcPr>
            <w:tcW w:w="1200" w:type="dxa"/>
            <w:vMerge w:val="continue"/>
            <w:noWrap w:val="0"/>
            <w:vAlign w:val="top"/>
          </w:tcPr>
          <w:p w14:paraId="054847A4">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7CFB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735" w:type="dxa"/>
            <w:vMerge w:val="restart"/>
            <w:noWrap w:val="0"/>
            <w:vAlign w:val="center"/>
          </w:tcPr>
          <w:p w14:paraId="1CD7730F">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eastAsia="zh-CN" w:bidi="ar"/>
              </w:rPr>
            </w:pPr>
            <w:r>
              <w:rPr>
                <w:rFonts w:hint="eastAsia" w:ascii="仿宋_GB2312" w:hAnsi="仿宋_GB2312" w:eastAsia="仿宋_GB2312" w:cs="仿宋_GB2312"/>
                <w:b w:val="0"/>
                <w:bCs/>
                <w:spacing w:val="0"/>
                <w:kern w:val="0"/>
                <w:sz w:val="24"/>
                <w:szCs w:val="24"/>
                <w:lang w:val="en-US" w:eastAsia="zh-CN" w:bidi="ar"/>
              </w:rPr>
              <w:t>7</w:t>
            </w:r>
          </w:p>
        </w:tc>
        <w:tc>
          <w:tcPr>
            <w:tcW w:w="1445" w:type="dxa"/>
            <w:vMerge w:val="restart"/>
            <w:noWrap w:val="0"/>
            <w:vAlign w:val="center"/>
          </w:tcPr>
          <w:p w14:paraId="62E854D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eastAsia="zh-CN" w:bidi="ar"/>
              </w:rPr>
            </w:pPr>
            <w:r>
              <w:rPr>
                <w:rFonts w:hint="eastAsia" w:ascii="仿宋_GB2312" w:hAnsi="仿宋_GB2312" w:cs="仿宋_GB2312"/>
                <w:b w:val="0"/>
                <w:bCs/>
                <w:spacing w:val="0"/>
                <w:kern w:val="0"/>
                <w:sz w:val="24"/>
                <w:szCs w:val="24"/>
                <w:lang w:eastAsia="zh-CN" w:bidi="ar"/>
              </w:rPr>
              <w:t>对</w:t>
            </w:r>
            <w:r>
              <w:rPr>
                <w:rFonts w:hint="eastAsia" w:ascii="仿宋_GB2312" w:hAnsi="仿宋_GB2312" w:eastAsia="仿宋_GB2312" w:cs="仿宋_GB2312"/>
                <w:b w:val="0"/>
                <w:bCs/>
                <w:spacing w:val="0"/>
                <w:kern w:val="0"/>
                <w:sz w:val="24"/>
                <w:szCs w:val="24"/>
                <w:lang w:bidi="ar"/>
              </w:rPr>
              <w:t>未按照地震安全性评价报告所确定的抗震设防要求进行抗震设防</w:t>
            </w:r>
            <w:r>
              <w:rPr>
                <w:rFonts w:hint="eastAsia" w:ascii="仿宋_GB2312" w:hAnsi="仿宋_GB2312" w:cs="仿宋_GB2312"/>
                <w:b w:val="0"/>
                <w:bCs/>
                <w:spacing w:val="0"/>
                <w:kern w:val="0"/>
                <w:sz w:val="24"/>
                <w:szCs w:val="24"/>
                <w:lang w:eastAsia="zh-CN" w:bidi="ar"/>
              </w:rPr>
              <w:t>的处罚</w:t>
            </w:r>
          </w:p>
        </w:tc>
        <w:tc>
          <w:tcPr>
            <w:tcW w:w="4942" w:type="dxa"/>
            <w:vMerge w:val="restart"/>
            <w:noWrap w:val="0"/>
            <w:vAlign w:val="center"/>
          </w:tcPr>
          <w:p w14:paraId="3C4192F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4DF8CC0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中华人民共和国防震减灾法》第三十五条规定：新建、扩建、改建建设工程，应当达到抗震设防要求。重大建设工程和可能发生次生灾害的建设工程，应当按照国务院有关规定进行地震安全性评价，并按照经审定的地震安全性评价报告所确定的抗震设防要求进行抗震设防。</w:t>
            </w:r>
          </w:p>
          <w:p w14:paraId="0443EAB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【行政法规】</w:t>
            </w:r>
          </w:p>
          <w:p w14:paraId="6AAFD0D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《地震安全性评价管理条例》第十五条规定：建设工程设计单位应当按照抗震设防要求和抗震设计规范，进行抗震设计。</w:t>
            </w:r>
          </w:p>
          <w:p w14:paraId="3BC6C82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【地方性法规】</w:t>
            </w:r>
          </w:p>
          <w:p w14:paraId="1F5FD77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《四川省防震减灾条例》第三十条规定：新建、扩建、改建建设工程，应当达到抗震设防要求。</w:t>
            </w:r>
          </w:p>
          <w:p w14:paraId="6776794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防震减灾条例》第三十三条第一、二款规定：建设工程的抗震设防要求应当纳入基本建设管理程序。设计单位应当按照抗震设防要求和抗震设计规范对建设工程进行设计。施工、工程监理单位应当按照抗震设计进行施工、监理。</w:t>
            </w:r>
          </w:p>
          <w:p w14:paraId="4235376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重大建设工程和可能发生严重次生灾害的建设工程，有关项目审批部门应当将省以上防震减灾工作主管部门审定的地震安全性评价报告作为建设工程可行性论证、项目选址、工程设计、施工审批、施工监理和竣工验收的必备内容。</w:t>
            </w:r>
          </w:p>
        </w:tc>
        <w:tc>
          <w:tcPr>
            <w:tcW w:w="5359" w:type="dxa"/>
            <w:vMerge w:val="restart"/>
            <w:noWrap w:val="0"/>
            <w:vAlign w:val="center"/>
          </w:tcPr>
          <w:p w14:paraId="6EB090F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743ACE1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中华人民共和国防震减灾法》第八十七条规定：未依法进行地震安全性评价，或者未按照地震安全性评价报告所确定的抗震设防要求进行抗震设防的，由国务院地震工作主管部门或者县级以上地方人民政府负责管理地震工作的部门或者机构责令限期改正；逾期不改正的，处三万元以上三十万元以下的罚款。</w:t>
            </w:r>
          </w:p>
        </w:tc>
        <w:tc>
          <w:tcPr>
            <w:tcW w:w="1309" w:type="dxa"/>
            <w:noWrap w:val="0"/>
            <w:vAlign w:val="center"/>
          </w:tcPr>
          <w:p w14:paraId="69BC8A40">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轻微</w:t>
            </w:r>
          </w:p>
        </w:tc>
        <w:tc>
          <w:tcPr>
            <w:tcW w:w="2986" w:type="dxa"/>
            <w:noWrap w:val="0"/>
            <w:vAlign w:val="center"/>
          </w:tcPr>
          <w:p w14:paraId="2CE833F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建设工程在工程可行性研究阶段或立项时未按照地震安全性评价报告所确定的抗震设防要求进行抗震设防，经教育告知并及时改正的。</w:t>
            </w:r>
          </w:p>
        </w:tc>
        <w:tc>
          <w:tcPr>
            <w:tcW w:w="3000" w:type="dxa"/>
            <w:noWrap w:val="0"/>
            <w:vAlign w:val="center"/>
          </w:tcPr>
          <w:p w14:paraId="158F125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不予处罚</w:t>
            </w:r>
            <w:r>
              <w:rPr>
                <w:rFonts w:hint="eastAsia" w:ascii="仿宋_GB2312" w:hAnsi="仿宋_GB2312" w:cs="仿宋_GB2312"/>
                <w:b w:val="0"/>
                <w:bCs/>
                <w:spacing w:val="0"/>
                <w:kern w:val="0"/>
                <w:sz w:val="24"/>
                <w:szCs w:val="24"/>
                <w:lang w:eastAsia="zh-CN" w:bidi="ar"/>
              </w:rPr>
              <w:t>，进行批评教育。</w:t>
            </w:r>
          </w:p>
        </w:tc>
        <w:tc>
          <w:tcPr>
            <w:tcW w:w="1200" w:type="dxa"/>
            <w:vMerge w:val="restart"/>
            <w:noWrap w:val="0"/>
            <w:vAlign w:val="center"/>
          </w:tcPr>
          <w:p w14:paraId="333FCA79">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国家级、省级、市级、县级</w:t>
            </w:r>
          </w:p>
        </w:tc>
      </w:tr>
      <w:tr w14:paraId="7A4D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735" w:type="dxa"/>
            <w:vMerge w:val="continue"/>
            <w:noWrap w:val="0"/>
            <w:vAlign w:val="center"/>
          </w:tcPr>
          <w:p w14:paraId="34585B36">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2AC0177A">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5D17AF39">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164B3B0D">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44755178">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一般</w:t>
            </w:r>
          </w:p>
        </w:tc>
        <w:tc>
          <w:tcPr>
            <w:tcW w:w="2986" w:type="dxa"/>
            <w:noWrap w:val="0"/>
            <w:vAlign w:val="center"/>
          </w:tcPr>
          <w:p w14:paraId="042DDDA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 xml:space="preserve">建设工程在工程设计前未按照地震安全性评价报告所确定的抗震设防要求进行抗震设防，经责令限期改正，逾期不改正的。 </w:t>
            </w:r>
          </w:p>
        </w:tc>
        <w:tc>
          <w:tcPr>
            <w:tcW w:w="3000" w:type="dxa"/>
            <w:noWrap w:val="0"/>
            <w:vAlign w:val="center"/>
          </w:tcPr>
          <w:p w14:paraId="279636D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责令限期改正，逾期不改正的，处30000元以上90000元以下的罚款。</w:t>
            </w:r>
          </w:p>
        </w:tc>
        <w:tc>
          <w:tcPr>
            <w:tcW w:w="1200" w:type="dxa"/>
            <w:vMerge w:val="continue"/>
            <w:noWrap w:val="0"/>
            <w:vAlign w:val="top"/>
          </w:tcPr>
          <w:p w14:paraId="746F4FC4">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7286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trPr>
        <w:tc>
          <w:tcPr>
            <w:tcW w:w="735" w:type="dxa"/>
            <w:vMerge w:val="continue"/>
            <w:noWrap w:val="0"/>
            <w:vAlign w:val="center"/>
          </w:tcPr>
          <w:p w14:paraId="006F33CE">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1758546A">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2000AAC0">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3E55D2F1">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01BF46D0">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严重</w:t>
            </w:r>
          </w:p>
        </w:tc>
        <w:tc>
          <w:tcPr>
            <w:tcW w:w="2986" w:type="dxa"/>
            <w:noWrap w:val="0"/>
            <w:vAlign w:val="center"/>
          </w:tcPr>
          <w:p w14:paraId="11FEDDFF">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建设工程已经完成设计，在开工建设前未按照地震安全性评价报告所确定的抗震设防要求进行抗震设防，经责令限期改正，逾期不改正的。</w:t>
            </w:r>
          </w:p>
        </w:tc>
        <w:tc>
          <w:tcPr>
            <w:tcW w:w="3000" w:type="dxa"/>
            <w:noWrap w:val="0"/>
            <w:vAlign w:val="center"/>
          </w:tcPr>
          <w:p w14:paraId="0010B7E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责令限期改正，逾期不改正的，处90000元以上210000元以下的罚款。</w:t>
            </w:r>
          </w:p>
        </w:tc>
        <w:tc>
          <w:tcPr>
            <w:tcW w:w="1200" w:type="dxa"/>
            <w:vMerge w:val="continue"/>
            <w:noWrap w:val="0"/>
            <w:vAlign w:val="top"/>
          </w:tcPr>
          <w:p w14:paraId="4C18944E">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0518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735" w:type="dxa"/>
            <w:vMerge w:val="continue"/>
            <w:noWrap w:val="0"/>
            <w:vAlign w:val="center"/>
          </w:tcPr>
          <w:p w14:paraId="0E58C995">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00243CC8">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3683349A">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3119C156">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5CD9F648">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特别严重</w:t>
            </w:r>
          </w:p>
        </w:tc>
        <w:tc>
          <w:tcPr>
            <w:tcW w:w="2986" w:type="dxa"/>
            <w:noWrap w:val="0"/>
            <w:vAlign w:val="center"/>
          </w:tcPr>
          <w:p w14:paraId="7FA23D5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已开工建设的建设工程，未按照地震安全性评价报告所确定的抗震设防要求进行抗震设防的，经责令限期改正，逾期不改正的。</w:t>
            </w:r>
          </w:p>
        </w:tc>
        <w:tc>
          <w:tcPr>
            <w:tcW w:w="3000" w:type="dxa"/>
            <w:noWrap w:val="0"/>
            <w:vAlign w:val="center"/>
          </w:tcPr>
          <w:p w14:paraId="28F18A9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责令限期改正，逾期不改正的，处210000元以上300000元以下的罚款。</w:t>
            </w:r>
          </w:p>
        </w:tc>
        <w:tc>
          <w:tcPr>
            <w:tcW w:w="1200" w:type="dxa"/>
            <w:vMerge w:val="continue"/>
            <w:noWrap w:val="0"/>
            <w:vAlign w:val="top"/>
          </w:tcPr>
          <w:p w14:paraId="64822F7B">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64A7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735" w:type="dxa"/>
            <w:vMerge w:val="restart"/>
            <w:noWrap w:val="0"/>
            <w:vAlign w:val="center"/>
          </w:tcPr>
          <w:p w14:paraId="0E64CFF4">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color w:val="0000FF"/>
                <w:spacing w:val="0"/>
                <w:kern w:val="0"/>
                <w:sz w:val="24"/>
                <w:szCs w:val="24"/>
                <w:lang w:eastAsia="zh-CN" w:bidi="ar"/>
              </w:rPr>
            </w:pPr>
            <w:r>
              <w:rPr>
                <w:rFonts w:hint="eastAsia" w:ascii="仿宋_GB2312" w:hAnsi="仿宋_GB2312" w:eastAsia="仿宋_GB2312" w:cs="仿宋_GB2312"/>
                <w:b w:val="0"/>
                <w:bCs/>
                <w:color w:val="auto"/>
                <w:spacing w:val="0"/>
                <w:kern w:val="0"/>
                <w:sz w:val="24"/>
                <w:szCs w:val="24"/>
                <w:lang w:val="en-US" w:eastAsia="zh-CN" w:bidi="ar"/>
              </w:rPr>
              <w:t>8</w:t>
            </w:r>
          </w:p>
        </w:tc>
        <w:tc>
          <w:tcPr>
            <w:tcW w:w="1445" w:type="dxa"/>
            <w:vMerge w:val="restart"/>
            <w:noWrap w:val="0"/>
            <w:vAlign w:val="center"/>
          </w:tcPr>
          <w:p w14:paraId="058EE0E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eastAsia="zh-CN" w:bidi="ar"/>
              </w:rPr>
            </w:pPr>
            <w:r>
              <w:rPr>
                <w:rFonts w:hint="eastAsia" w:ascii="仿宋_GB2312" w:hAnsi="仿宋_GB2312" w:cs="仿宋_GB2312"/>
                <w:b w:val="0"/>
                <w:bCs/>
                <w:color w:val="auto"/>
                <w:spacing w:val="0"/>
                <w:kern w:val="0"/>
                <w:sz w:val="24"/>
                <w:szCs w:val="24"/>
                <w:lang w:eastAsia="zh-CN" w:bidi="ar"/>
              </w:rPr>
              <w:t>对</w:t>
            </w:r>
            <w:r>
              <w:rPr>
                <w:rFonts w:hint="eastAsia" w:ascii="仿宋_GB2312" w:hAnsi="仿宋_GB2312" w:eastAsia="仿宋_GB2312" w:cs="仿宋_GB2312"/>
                <w:b w:val="0"/>
                <w:bCs/>
                <w:color w:val="auto"/>
                <w:spacing w:val="0"/>
                <w:kern w:val="0"/>
                <w:sz w:val="24"/>
                <w:szCs w:val="24"/>
                <w:lang w:bidi="ar"/>
              </w:rPr>
              <w:t>地震安全性评价单位以其他地震安全性评价单位的名义承揽地震安全性评价业务</w:t>
            </w:r>
            <w:r>
              <w:rPr>
                <w:rFonts w:hint="eastAsia" w:ascii="仿宋_GB2312" w:hAnsi="仿宋_GB2312" w:cs="仿宋_GB2312"/>
                <w:b w:val="0"/>
                <w:bCs/>
                <w:color w:val="auto"/>
                <w:spacing w:val="0"/>
                <w:kern w:val="0"/>
                <w:sz w:val="24"/>
                <w:szCs w:val="24"/>
                <w:lang w:eastAsia="zh-CN" w:bidi="ar"/>
              </w:rPr>
              <w:t>的处罚</w:t>
            </w:r>
          </w:p>
        </w:tc>
        <w:tc>
          <w:tcPr>
            <w:tcW w:w="4942" w:type="dxa"/>
            <w:vMerge w:val="restart"/>
            <w:noWrap w:val="0"/>
            <w:vAlign w:val="center"/>
          </w:tcPr>
          <w:p w14:paraId="264E706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【行政法规】</w:t>
            </w:r>
          </w:p>
          <w:p w14:paraId="20DCD8B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《地震安全性评价管理条例》第七条规定：禁止地震安全性评价单位以其他地震安全性评价单位的名义承揽地震安全性评价业务。禁止地震安全性评价单位允许其他单位以本单位的名义承揽地震安全性评价业务。</w:t>
            </w:r>
          </w:p>
        </w:tc>
        <w:tc>
          <w:tcPr>
            <w:tcW w:w="5359" w:type="dxa"/>
            <w:vMerge w:val="restart"/>
            <w:noWrap w:val="0"/>
            <w:vAlign w:val="center"/>
          </w:tcPr>
          <w:p w14:paraId="03506BA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【行政法规】</w:t>
            </w:r>
          </w:p>
          <w:p w14:paraId="0BEF0AA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地震安全性评价管理条例》第十七条规定：违反本条例的规定，地震安全性评价单位有下列行为之一的，由国务院地震工作主管部门或者县级以上地方人民政府负责管理地震工作的部门或者机构依据职权，责令改正，没收违法所得，并处1万元以上5万元以下的罚款：（一）以其他地震安全性评价单位的名义承揽地震安全性评价业务的。</w:t>
            </w:r>
          </w:p>
        </w:tc>
        <w:tc>
          <w:tcPr>
            <w:tcW w:w="1309" w:type="dxa"/>
            <w:noWrap w:val="0"/>
            <w:vAlign w:val="center"/>
          </w:tcPr>
          <w:p w14:paraId="75D5F419">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一般</w:t>
            </w:r>
          </w:p>
        </w:tc>
        <w:tc>
          <w:tcPr>
            <w:tcW w:w="2986" w:type="dxa"/>
            <w:noWrap w:val="0"/>
            <w:vAlign w:val="center"/>
          </w:tcPr>
          <w:p w14:paraId="6624C2F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①首次以其他地震安全性评价单位的名义承揽地震安全性评价业务，主动上报违法所得的；</w:t>
            </w:r>
          </w:p>
          <w:p w14:paraId="5074326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②主动消除或减轻违法行为后果的。</w:t>
            </w:r>
          </w:p>
        </w:tc>
        <w:tc>
          <w:tcPr>
            <w:tcW w:w="3000" w:type="dxa"/>
            <w:noWrap w:val="0"/>
            <w:vAlign w:val="center"/>
          </w:tcPr>
          <w:p w14:paraId="5596DE5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责令改正，没收违法所得，并处10000元以上15000元以下的罚款。</w:t>
            </w:r>
          </w:p>
        </w:tc>
        <w:tc>
          <w:tcPr>
            <w:tcW w:w="1200" w:type="dxa"/>
            <w:vMerge w:val="restart"/>
            <w:noWrap w:val="0"/>
            <w:vAlign w:val="center"/>
          </w:tcPr>
          <w:p w14:paraId="6F8DC8A5">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国家级、省级、市级、县级</w:t>
            </w:r>
          </w:p>
        </w:tc>
      </w:tr>
      <w:tr w14:paraId="0E78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35" w:type="dxa"/>
            <w:vMerge w:val="continue"/>
            <w:noWrap w:val="0"/>
            <w:vAlign w:val="center"/>
          </w:tcPr>
          <w:p w14:paraId="52F8DBEA">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color w:val="0000FF"/>
                <w:spacing w:val="0"/>
                <w:kern w:val="0"/>
                <w:sz w:val="24"/>
                <w:szCs w:val="24"/>
                <w:lang w:bidi="ar"/>
              </w:rPr>
            </w:pPr>
          </w:p>
        </w:tc>
        <w:tc>
          <w:tcPr>
            <w:tcW w:w="1445" w:type="dxa"/>
            <w:vMerge w:val="continue"/>
            <w:noWrap w:val="0"/>
            <w:vAlign w:val="center"/>
          </w:tcPr>
          <w:p w14:paraId="064408F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p>
        </w:tc>
        <w:tc>
          <w:tcPr>
            <w:tcW w:w="4942" w:type="dxa"/>
            <w:vMerge w:val="continue"/>
            <w:noWrap w:val="0"/>
            <w:vAlign w:val="center"/>
          </w:tcPr>
          <w:p w14:paraId="7845824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p>
        </w:tc>
        <w:tc>
          <w:tcPr>
            <w:tcW w:w="5359" w:type="dxa"/>
            <w:vMerge w:val="continue"/>
            <w:noWrap w:val="0"/>
            <w:vAlign w:val="center"/>
          </w:tcPr>
          <w:p w14:paraId="7ADE52B9">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p>
        </w:tc>
        <w:tc>
          <w:tcPr>
            <w:tcW w:w="1309" w:type="dxa"/>
            <w:noWrap w:val="0"/>
            <w:vAlign w:val="center"/>
          </w:tcPr>
          <w:p w14:paraId="04D277D5">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严重</w:t>
            </w:r>
          </w:p>
        </w:tc>
        <w:tc>
          <w:tcPr>
            <w:tcW w:w="2986" w:type="dxa"/>
            <w:noWrap w:val="0"/>
            <w:vAlign w:val="center"/>
          </w:tcPr>
          <w:p w14:paraId="134CDBD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①逾期不改正，继续实施违法行为的；</w:t>
            </w:r>
            <w:r>
              <w:rPr>
                <w:rFonts w:hint="eastAsia" w:ascii="仿宋_GB2312" w:hAnsi="仿宋_GB2312" w:eastAsia="仿宋_GB2312" w:cs="仿宋_GB2312"/>
                <w:b w:val="0"/>
                <w:bCs/>
                <w:color w:val="auto"/>
                <w:spacing w:val="0"/>
                <w:kern w:val="0"/>
                <w:sz w:val="24"/>
                <w:szCs w:val="24"/>
                <w:lang w:bidi="ar"/>
              </w:rPr>
              <w:br w:type="textWrapping"/>
            </w:r>
            <w:r>
              <w:rPr>
                <w:rFonts w:hint="eastAsia" w:ascii="仿宋_GB2312" w:hAnsi="仿宋_GB2312" w:eastAsia="仿宋_GB2312" w:cs="仿宋_GB2312"/>
                <w:b w:val="0"/>
                <w:bCs/>
                <w:color w:val="auto"/>
                <w:spacing w:val="0"/>
                <w:kern w:val="0"/>
                <w:sz w:val="24"/>
                <w:szCs w:val="24"/>
                <w:lang w:bidi="ar"/>
              </w:rPr>
              <w:t>②以虚假手段隐瞒其违法行为或违法所得的，并造成严重后果的。</w:t>
            </w:r>
          </w:p>
        </w:tc>
        <w:tc>
          <w:tcPr>
            <w:tcW w:w="3000" w:type="dxa"/>
            <w:noWrap w:val="0"/>
            <w:vAlign w:val="center"/>
          </w:tcPr>
          <w:p w14:paraId="7DA1305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责令改正，没收违法所得，并处15000元以上35000元以下的罚款。</w:t>
            </w:r>
          </w:p>
        </w:tc>
        <w:tc>
          <w:tcPr>
            <w:tcW w:w="1200" w:type="dxa"/>
            <w:vMerge w:val="continue"/>
            <w:noWrap w:val="0"/>
            <w:vAlign w:val="top"/>
          </w:tcPr>
          <w:p w14:paraId="6B660B79">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3B6C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735" w:type="dxa"/>
            <w:vMerge w:val="continue"/>
            <w:noWrap w:val="0"/>
            <w:vAlign w:val="center"/>
          </w:tcPr>
          <w:p w14:paraId="4708506A">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color w:val="0000FF"/>
                <w:spacing w:val="0"/>
                <w:kern w:val="0"/>
                <w:sz w:val="24"/>
                <w:szCs w:val="24"/>
                <w:lang w:bidi="ar"/>
              </w:rPr>
            </w:pPr>
          </w:p>
        </w:tc>
        <w:tc>
          <w:tcPr>
            <w:tcW w:w="1445" w:type="dxa"/>
            <w:vMerge w:val="continue"/>
            <w:noWrap w:val="0"/>
            <w:vAlign w:val="center"/>
          </w:tcPr>
          <w:p w14:paraId="1323B849">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p>
        </w:tc>
        <w:tc>
          <w:tcPr>
            <w:tcW w:w="4942" w:type="dxa"/>
            <w:vMerge w:val="continue"/>
            <w:noWrap w:val="0"/>
            <w:vAlign w:val="center"/>
          </w:tcPr>
          <w:p w14:paraId="7794B23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p>
        </w:tc>
        <w:tc>
          <w:tcPr>
            <w:tcW w:w="5359" w:type="dxa"/>
            <w:vMerge w:val="continue"/>
            <w:noWrap w:val="0"/>
            <w:vAlign w:val="center"/>
          </w:tcPr>
          <w:p w14:paraId="1598540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p>
        </w:tc>
        <w:tc>
          <w:tcPr>
            <w:tcW w:w="1309" w:type="dxa"/>
            <w:noWrap w:val="0"/>
            <w:vAlign w:val="center"/>
          </w:tcPr>
          <w:p w14:paraId="174442E3">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特别严重</w:t>
            </w:r>
          </w:p>
        </w:tc>
        <w:tc>
          <w:tcPr>
            <w:tcW w:w="2986" w:type="dxa"/>
            <w:noWrap w:val="0"/>
            <w:vAlign w:val="center"/>
          </w:tcPr>
          <w:p w14:paraId="48BD4C6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因违法承揽业务被查处后，再次以其他地震安全性评价单位的名义承揽地震安全性评价业务的。</w:t>
            </w:r>
          </w:p>
        </w:tc>
        <w:tc>
          <w:tcPr>
            <w:tcW w:w="3000" w:type="dxa"/>
            <w:noWrap w:val="0"/>
            <w:vAlign w:val="center"/>
          </w:tcPr>
          <w:p w14:paraId="4FE1967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0"/>
                <w:sz w:val="24"/>
                <w:szCs w:val="24"/>
                <w:lang w:bidi="ar"/>
              </w:rPr>
            </w:pPr>
            <w:r>
              <w:rPr>
                <w:rFonts w:hint="eastAsia" w:ascii="仿宋_GB2312" w:hAnsi="仿宋_GB2312" w:eastAsia="仿宋_GB2312" w:cs="仿宋_GB2312"/>
                <w:b w:val="0"/>
                <w:bCs/>
                <w:color w:val="auto"/>
                <w:spacing w:val="0"/>
                <w:kern w:val="0"/>
                <w:sz w:val="24"/>
                <w:szCs w:val="24"/>
                <w:lang w:bidi="ar"/>
              </w:rPr>
              <w:t>责令改正，没收违法所得，并处35000元以上50000元以下的罚款。</w:t>
            </w:r>
          </w:p>
        </w:tc>
        <w:tc>
          <w:tcPr>
            <w:tcW w:w="1200" w:type="dxa"/>
            <w:vMerge w:val="continue"/>
            <w:noWrap w:val="0"/>
            <w:vAlign w:val="top"/>
          </w:tcPr>
          <w:p w14:paraId="1214ED66">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7B45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35" w:type="dxa"/>
            <w:vMerge w:val="restart"/>
            <w:noWrap w:val="0"/>
            <w:vAlign w:val="center"/>
          </w:tcPr>
          <w:p w14:paraId="1846BE55">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eastAsia="zh-CN" w:bidi="ar"/>
              </w:rPr>
            </w:pPr>
            <w:r>
              <w:rPr>
                <w:rFonts w:hint="eastAsia" w:ascii="仿宋_GB2312" w:hAnsi="仿宋_GB2312" w:eastAsia="仿宋_GB2312" w:cs="仿宋_GB2312"/>
                <w:b w:val="0"/>
                <w:bCs/>
                <w:spacing w:val="0"/>
                <w:kern w:val="0"/>
                <w:sz w:val="24"/>
                <w:szCs w:val="24"/>
                <w:lang w:val="en-US" w:eastAsia="zh-CN" w:bidi="ar"/>
              </w:rPr>
              <w:t>9</w:t>
            </w:r>
          </w:p>
        </w:tc>
        <w:tc>
          <w:tcPr>
            <w:tcW w:w="1445" w:type="dxa"/>
            <w:vMerge w:val="restart"/>
            <w:noWrap w:val="0"/>
            <w:vAlign w:val="center"/>
          </w:tcPr>
          <w:p w14:paraId="6FDE6C3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eastAsia="zh-CN" w:bidi="ar"/>
              </w:rPr>
            </w:pPr>
            <w:r>
              <w:rPr>
                <w:rFonts w:hint="eastAsia" w:ascii="仿宋_GB2312" w:hAnsi="仿宋_GB2312" w:cs="仿宋_GB2312"/>
                <w:b w:val="0"/>
                <w:bCs/>
                <w:spacing w:val="0"/>
                <w:kern w:val="0"/>
                <w:sz w:val="24"/>
                <w:szCs w:val="24"/>
                <w:lang w:eastAsia="zh-CN" w:bidi="ar"/>
              </w:rPr>
              <w:t>对</w:t>
            </w:r>
            <w:r>
              <w:rPr>
                <w:rFonts w:hint="eastAsia" w:ascii="仿宋_GB2312" w:hAnsi="仿宋_GB2312" w:eastAsia="仿宋_GB2312" w:cs="仿宋_GB2312"/>
                <w:b w:val="0"/>
                <w:bCs/>
                <w:spacing w:val="0"/>
                <w:kern w:val="0"/>
                <w:sz w:val="24"/>
                <w:szCs w:val="24"/>
                <w:lang w:bidi="ar"/>
              </w:rPr>
              <w:t>地震安全性评价单位允许其他单位以本单位的名义承揽地震安全性评价业务</w:t>
            </w:r>
            <w:r>
              <w:rPr>
                <w:rFonts w:hint="eastAsia" w:ascii="仿宋_GB2312" w:hAnsi="仿宋_GB2312" w:cs="仿宋_GB2312"/>
                <w:b w:val="0"/>
                <w:bCs/>
                <w:spacing w:val="0"/>
                <w:kern w:val="0"/>
                <w:sz w:val="24"/>
                <w:szCs w:val="24"/>
                <w:lang w:eastAsia="zh-CN" w:bidi="ar"/>
              </w:rPr>
              <w:t>的处罚</w:t>
            </w:r>
          </w:p>
        </w:tc>
        <w:tc>
          <w:tcPr>
            <w:tcW w:w="4942" w:type="dxa"/>
            <w:vMerge w:val="restart"/>
            <w:noWrap w:val="0"/>
            <w:vAlign w:val="center"/>
          </w:tcPr>
          <w:p w14:paraId="3617208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【行政法规】</w:t>
            </w:r>
          </w:p>
          <w:p w14:paraId="0BD02B99">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《地震安全性评价管理条例》第七条规定：禁止地震安全性评价单位以其他地震安全性评价单位的名义承揽地震安全性评价业务。禁止地震安全性评价单位允许其他单位以本单位的名义承揽地震安全性评价业务。</w:t>
            </w:r>
          </w:p>
        </w:tc>
        <w:tc>
          <w:tcPr>
            <w:tcW w:w="5359" w:type="dxa"/>
            <w:vMerge w:val="restart"/>
            <w:noWrap w:val="0"/>
            <w:vAlign w:val="center"/>
          </w:tcPr>
          <w:p w14:paraId="75FB3D59">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【行政法规】</w:t>
            </w:r>
          </w:p>
          <w:p w14:paraId="3085DA7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震安全性评价管理条例》第十七条规定：违反本条例的规定，地震安全性评价单位有下列行为之一的，由国务院地震工作主管部门或者县级以上地方人民政府负责管理地震工作的部门或者机构依据职权，责令改正，没收违法所得，并处1万元以上5万元以下的罚款：</w:t>
            </w:r>
          </w:p>
          <w:p w14:paraId="3554E63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（二）允许其他单位以本单位名义承揽地震安全性评价业务的。</w:t>
            </w:r>
          </w:p>
        </w:tc>
        <w:tc>
          <w:tcPr>
            <w:tcW w:w="1309" w:type="dxa"/>
            <w:noWrap w:val="0"/>
            <w:vAlign w:val="center"/>
          </w:tcPr>
          <w:p w14:paraId="53F6237C">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一般</w:t>
            </w:r>
          </w:p>
        </w:tc>
        <w:tc>
          <w:tcPr>
            <w:tcW w:w="2986" w:type="dxa"/>
            <w:noWrap w:val="0"/>
            <w:vAlign w:val="center"/>
          </w:tcPr>
          <w:p w14:paraId="40E4268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①首次允许其他地震安全性评价单位以本单位的名义从事地震安全性评价活动，主动上报违法所得的；</w:t>
            </w:r>
          </w:p>
          <w:p w14:paraId="499037B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②主动消除或减轻违法行为后果的。</w:t>
            </w:r>
          </w:p>
        </w:tc>
        <w:tc>
          <w:tcPr>
            <w:tcW w:w="3000" w:type="dxa"/>
            <w:noWrap w:val="0"/>
            <w:vAlign w:val="center"/>
          </w:tcPr>
          <w:p w14:paraId="549B751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责令改正，没收违法所得，并处10000元以上15000元以下的罚款。</w:t>
            </w:r>
          </w:p>
        </w:tc>
        <w:tc>
          <w:tcPr>
            <w:tcW w:w="1200" w:type="dxa"/>
            <w:vMerge w:val="restart"/>
            <w:noWrap w:val="0"/>
            <w:vAlign w:val="center"/>
          </w:tcPr>
          <w:p w14:paraId="5822859A">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国家级、省级、市级、县级</w:t>
            </w:r>
          </w:p>
        </w:tc>
      </w:tr>
      <w:tr w14:paraId="5499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735" w:type="dxa"/>
            <w:vMerge w:val="continue"/>
            <w:noWrap w:val="0"/>
            <w:vAlign w:val="center"/>
          </w:tcPr>
          <w:p w14:paraId="57FF0ED7">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0A1F7E21">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0B5848B3">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2727533E">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19853EE4">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严重</w:t>
            </w:r>
          </w:p>
        </w:tc>
        <w:tc>
          <w:tcPr>
            <w:tcW w:w="2986" w:type="dxa"/>
            <w:noWrap w:val="0"/>
            <w:vAlign w:val="center"/>
          </w:tcPr>
          <w:p w14:paraId="2816A56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①逾期不改正，继续实施违法行为的；</w:t>
            </w:r>
          </w:p>
          <w:p w14:paraId="353EBD49">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②以虚假手段隐瞒其违法行为或违法所得的，并造成严重后果的。</w:t>
            </w:r>
          </w:p>
        </w:tc>
        <w:tc>
          <w:tcPr>
            <w:tcW w:w="3000" w:type="dxa"/>
            <w:noWrap w:val="0"/>
            <w:vAlign w:val="center"/>
          </w:tcPr>
          <w:p w14:paraId="4277230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责令改正，没收违法所得，并处15000元以上35000元以下的罚款。</w:t>
            </w:r>
          </w:p>
        </w:tc>
        <w:tc>
          <w:tcPr>
            <w:tcW w:w="1200" w:type="dxa"/>
            <w:vMerge w:val="continue"/>
            <w:noWrap w:val="0"/>
            <w:vAlign w:val="top"/>
          </w:tcPr>
          <w:p w14:paraId="7532038F">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43F2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35" w:type="dxa"/>
            <w:vMerge w:val="continue"/>
            <w:noWrap w:val="0"/>
            <w:vAlign w:val="center"/>
          </w:tcPr>
          <w:p w14:paraId="131FA8E2">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33027620">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42B8D467">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30341E67">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576A58C7">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特别严重</w:t>
            </w:r>
          </w:p>
        </w:tc>
        <w:tc>
          <w:tcPr>
            <w:tcW w:w="2986" w:type="dxa"/>
            <w:noWrap w:val="0"/>
            <w:vAlign w:val="center"/>
          </w:tcPr>
          <w:p w14:paraId="6B10C5F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因</w:t>
            </w:r>
            <w:r>
              <w:rPr>
                <w:rFonts w:hint="eastAsia" w:ascii="仿宋_GB2312" w:hAnsi="仿宋_GB2312" w:cs="仿宋_GB2312"/>
                <w:b w:val="0"/>
                <w:bCs/>
                <w:spacing w:val="0"/>
                <w:kern w:val="0"/>
                <w:sz w:val="24"/>
                <w:szCs w:val="24"/>
                <w:lang w:eastAsia="zh-CN" w:bidi="ar"/>
              </w:rPr>
              <w:t>允许其他单位以本单位名义</w:t>
            </w:r>
            <w:r>
              <w:rPr>
                <w:rFonts w:hint="eastAsia" w:ascii="仿宋_GB2312" w:hAnsi="仿宋_GB2312" w:eastAsia="仿宋_GB2312" w:cs="仿宋_GB2312"/>
                <w:b w:val="0"/>
                <w:bCs/>
                <w:spacing w:val="0"/>
                <w:kern w:val="0"/>
                <w:sz w:val="24"/>
                <w:szCs w:val="24"/>
                <w:lang w:bidi="ar"/>
              </w:rPr>
              <w:t>违法承揽业务被查处后，再次允许其他地震安全性评价单位以本单位的名义从事地震安全性评价活动的。</w:t>
            </w:r>
          </w:p>
        </w:tc>
        <w:tc>
          <w:tcPr>
            <w:tcW w:w="3000" w:type="dxa"/>
            <w:noWrap w:val="0"/>
            <w:vAlign w:val="center"/>
          </w:tcPr>
          <w:p w14:paraId="48DB1BE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责令改正，没收违法所得，并处35000元以上50000元以下的罚款。</w:t>
            </w:r>
          </w:p>
        </w:tc>
        <w:tc>
          <w:tcPr>
            <w:tcW w:w="1200" w:type="dxa"/>
            <w:vMerge w:val="continue"/>
            <w:noWrap w:val="0"/>
            <w:vAlign w:val="top"/>
          </w:tcPr>
          <w:p w14:paraId="490B1699">
            <w:pPr>
              <w:keepNext w:val="0"/>
              <w:keepLines w:val="0"/>
              <w:pageBreakBefore w:val="0"/>
              <w:kinsoku/>
              <w:wordWrap/>
              <w:overflowPunct/>
              <w:topLinePunct w:val="0"/>
              <w:autoSpaceDE/>
              <w:autoSpaceDN/>
              <w:bidi w:val="0"/>
              <w:adjustRightInd/>
              <w:snapToGrid/>
              <w:spacing w:line="250" w:lineRule="exact"/>
              <w:rPr>
                <w:rFonts w:hint="eastAsia" w:ascii="仿宋_GB2312" w:hAnsi="仿宋_GB2312" w:eastAsia="仿宋_GB2312" w:cs="仿宋_GB2312"/>
                <w:b w:val="0"/>
                <w:bCs/>
                <w:sz w:val="24"/>
                <w:szCs w:val="24"/>
              </w:rPr>
            </w:pPr>
          </w:p>
        </w:tc>
      </w:tr>
      <w:tr w14:paraId="07FE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735" w:type="dxa"/>
            <w:vMerge w:val="restart"/>
            <w:noWrap w:val="0"/>
            <w:vAlign w:val="center"/>
          </w:tcPr>
          <w:p w14:paraId="50A56B89">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1</w:t>
            </w:r>
            <w:r>
              <w:rPr>
                <w:rFonts w:hint="eastAsia" w:ascii="仿宋_GB2312" w:hAnsi="仿宋_GB2312" w:eastAsia="仿宋_GB2312" w:cs="仿宋_GB2312"/>
                <w:b w:val="0"/>
                <w:bCs/>
                <w:spacing w:val="0"/>
                <w:kern w:val="0"/>
                <w:sz w:val="24"/>
                <w:szCs w:val="24"/>
                <w:lang w:val="en-US" w:eastAsia="zh-CN" w:bidi="ar"/>
              </w:rPr>
              <w:t>0</w:t>
            </w:r>
          </w:p>
        </w:tc>
        <w:tc>
          <w:tcPr>
            <w:tcW w:w="1445" w:type="dxa"/>
            <w:vMerge w:val="restart"/>
            <w:noWrap w:val="0"/>
            <w:vAlign w:val="center"/>
          </w:tcPr>
          <w:p w14:paraId="04AAD8AF">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eastAsia="zh-CN" w:bidi="ar"/>
              </w:rPr>
            </w:pPr>
            <w:r>
              <w:rPr>
                <w:rFonts w:hint="eastAsia" w:ascii="仿宋_GB2312" w:hAnsi="仿宋_GB2312" w:cs="仿宋_GB2312"/>
                <w:b w:val="0"/>
                <w:bCs/>
                <w:spacing w:val="0"/>
                <w:kern w:val="0"/>
                <w:sz w:val="24"/>
                <w:szCs w:val="24"/>
                <w:lang w:eastAsia="zh-CN" w:bidi="ar"/>
              </w:rPr>
              <w:t>对</w:t>
            </w:r>
            <w:r>
              <w:rPr>
                <w:rFonts w:hint="eastAsia" w:ascii="仿宋_GB2312" w:hAnsi="仿宋_GB2312" w:eastAsia="仿宋_GB2312" w:cs="仿宋_GB2312"/>
                <w:b w:val="0"/>
                <w:bCs/>
                <w:spacing w:val="0"/>
                <w:kern w:val="0"/>
                <w:sz w:val="24"/>
                <w:szCs w:val="24"/>
                <w:lang w:bidi="ar"/>
              </w:rPr>
              <w:t>经过地震动参数复核或者地震小区划工作的区域内不需要进行地震安全性评价的建设工程，未按照复核或者确定的抗震设防要求进行抗震设防</w:t>
            </w:r>
            <w:r>
              <w:rPr>
                <w:rFonts w:hint="eastAsia" w:ascii="仿宋_GB2312" w:hAnsi="仿宋_GB2312" w:cs="仿宋_GB2312"/>
                <w:b w:val="0"/>
                <w:bCs/>
                <w:spacing w:val="0"/>
                <w:kern w:val="0"/>
                <w:sz w:val="24"/>
                <w:szCs w:val="24"/>
                <w:lang w:eastAsia="zh-CN" w:bidi="ar"/>
              </w:rPr>
              <w:t>的处罚</w:t>
            </w:r>
          </w:p>
        </w:tc>
        <w:tc>
          <w:tcPr>
            <w:tcW w:w="4942" w:type="dxa"/>
            <w:vMerge w:val="restart"/>
            <w:noWrap w:val="0"/>
            <w:vAlign w:val="center"/>
          </w:tcPr>
          <w:p w14:paraId="28353D5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【部门规章】</w:t>
            </w:r>
          </w:p>
          <w:p w14:paraId="24B7FD5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建设工程抗震设防要求管理规定》第十三条规定：经过地震动参数复核或者地震小区划工作的区域内不需要进行地震安全性评价的建设工程，必须按照地震动参数复核或者地震小区划结果确定的抗震设防要求进行抗震设防。</w:t>
            </w:r>
          </w:p>
          <w:p w14:paraId="3E217F6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【地方性法规】</w:t>
            </w:r>
          </w:p>
          <w:p w14:paraId="72A42EB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《四川省防震减灾条例》第三十一条第二款规定：抗震设防要求按下列规定确定：（二）开展了地震动参数复核或者地震小区划工作的地区的一般建设工程，按经审定的地震动参数复核或者地震小区划结果确定；</w:t>
            </w:r>
          </w:p>
        </w:tc>
        <w:tc>
          <w:tcPr>
            <w:tcW w:w="5359" w:type="dxa"/>
            <w:vMerge w:val="restart"/>
            <w:noWrap w:val="0"/>
            <w:vAlign w:val="center"/>
          </w:tcPr>
          <w:p w14:paraId="7E3F34C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【部门规章】</w:t>
            </w:r>
          </w:p>
          <w:p w14:paraId="2E7D338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建设工程抗震设防要求管理规定》第十七条规定：建设单位违反本规定第十三条的规定，由国务院地震工作主管部门或者县级以上地方人民政府负责管理地震工作的部门或者机构，责令改正，并处5000元以上30000元以下的罚款。</w:t>
            </w:r>
          </w:p>
        </w:tc>
        <w:tc>
          <w:tcPr>
            <w:tcW w:w="1309" w:type="dxa"/>
            <w:noWrap w:val="0"/>
            <w:vAlign w:val="center"/>
          </w:tcPr>
          <w:p w14:paraId="627C52E9">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轻微</w:t>
            </w:r>
          </w:p>
        </w:tc>
        <w:tc>
          <w:tcPr>
            <w:tcW w:w="2986" w:type="dxa"/>
            <w:noWrap w:val="0"/>
            <w:vAlign w:val="center"/>
          </w:tcPr>
          <w:p w14:paraId="2806023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建设工程在工程可行性研究阶段或立项时未按照地震动参数复核或者地震小区划结果确定的抗震设防要求进行抗震设防，经教育告知并及时改正的。</w:t>
            </w:r>
          </w:p>
        </w:tc>
        <w:tc>
          <w:tcPr>
            <w:tcW w:w="3000" w:type="dxa"/>
            <w:noWrap w:val="0"/>
            <w:vAlign w:val="center"/>
          </w:tcPr>
          <w:p w14:paraId="1D3A9069">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cs="仿宋_GB2312"/>
                <w:b w:val="0"/>
                <w:bCs/>
                <w:spacing w:val="0"/>
                <w:kern w:val="0"/>
                <w:sz w:val="24"/>
                <w:szCs w:val="24"/>
                <w:lang w:eastAsia="zh-CN" w:bidi="ar"/>
              </w:rPr>
              <w:t>不予处罚，进行批评教育。</w:t>
            </w:r>
          </w:p>
        </w:tc>
        <w:tc>
          <w:tcPr>
            <w:tcW w:w="1200" w:type="dxa"/>
            <w:vMerge w:val="restart"/>
            <w:noWrap w:val="0"/>
            <w:vAlign w:val="center"/>
          </w:tcPr>
          <w:p w14:paraId="19DEBC6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pacing w:val="0"/>
                <w:kern w:val="0"/>
                <w:sz w:val="24"/>
                <w:szCs w:val="24"/>
                <w:lang w:bidi="ar"/>
              </w:rPr>
              <w:t>国家级、省级、市级、县级</w:t>
            </w:r>
          </w:p>
        </w:tc>
      </w:tr>
      <w:tr w14:paraId="6B3B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735" w:type="dxa"/>
            <w:vMerge w:val="continue"/>
            <w:noWrap w:val="0"/>
            <w:vAlign w:val="center"/>
          </w:tcPr>
          <w:p w14:paraId="0138BCC3">
            <w:pPr>
              <w:keepNext w:val="0"/>
              <w:keepLines w:val="0"/>
              <w:pageBreakBefore w:val="0"/>
              <w:kinsoku/>
              <w:wordWrap/>
              <w:overflowPunct/>
              <w:topLinePunct w:val="0"/>
              <w:autoSpaceDE/>
              <w:autoSpaceDN/>
              <w:bidi w:val="0"/>
              <w:adjustRightInd/>
              <w:snapToGrid/>
              <w:spacing w:line="250" w:lineRule="exact"/>
              <w:jc w:val="left"/>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5361245F">
            <w:pPr>
              <w:keepNext w:val="0"/>
              <w:keepLines w:val="0"/>
              <w:pageBreakBefore w:val="0"/>
              <w:widowControl/>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44003434">
            <w:pPr>
              <w:keepNext w:val="0"/>
              <w:keepLines w:val="0"/>
              <w:pageBreakBefore w:val="0"/>
              <w:widowControl/>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15AB02D7">
            <w:pPr>
              <w:keepNext w:val="0"/>
              <w:keepLines w:val="0"/>
              <w:pageBreakBefore w:val="0"/>
              <w:widowControl/>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4FF259AF">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一般</w:t>
            </w:r>
          </w:p>
        </w:tc>
        <w:tc>
          <w:tcPr>
            <w:tcW w:w="2986" w:type="dxa"/>
            <w:noWrap w:val="0"/>
            <w:vAlign w:val="center"/>
          </w:tcPr>
          <w:p w14:paraId="1203D62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建设工程在工程设计前未按照地震动参数复核或者地震小区划结果确定的抗震设防要求进行抗震设防。</w:t>
            </w:r>
          </w:p>
        </w:tc>
        <w:tc>
          <w:tcPr>
            <w:tcW w:w="3000" w:type="dxa"/>
            <w:noWrap w:val="0"/>
            <w:vAlign w:val="center"/>
          </w:tcPr>
          <w:p w14:paraId="524DAE0E">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责令限期改正，处5000元以上9000元以下的罚款。</w:t>
            </w:r>
          </w:p>
        </w:tc>
        <w:tc>
          <w:tcPr>
            <w:tcW w:w="1200" w:type="dxa"/>
            <w:vMerge w:val="continue"/>
            <w:noWrap w:val="0"/>
            <w:vAlign w:val="center"/>
          </w:tcPr>
          <w:p w14:paraId="11EA6C1F">
            <w:pPr>
              <w:keepNext w:val="0"/>
              <w:keepLines w:val="0"/>
              <w:pageBreakBefore w:val="0"/>
              <w:kinsoku/>
              <w:wordWrap/>
              <w:overflowPunct/>
              <w:topLinePunct w:val="0"/>
              <w:autoSpaceDE/>
              <w:autoSpaceDN/>
              <w:bidi w:val="0"/>
              <w:adjustRightInd/>
              <w:snapToGrid/>
              <w:spacing w:line="250" w:lineRule="exact"/>
              <w:jc w:val="left"/>
              <w:rPr>
                <w:rFonts w:hint="eastAsia" w:ascii="仿宋_GB2312" w:hAnsi="仿宋_GB2312" w:eastAsia="仿宋_GB2312" w:cs="仿宋_GB2312"/>
                <w:b w:val="0"/>
                <w:bCs/>
                <w:sz w:val="24"/>
                <w:szCs w:val="24"/>
              </w:rPr>
            </w:pPr>
          </w:p>
        </w:tc>
      </w:tr>
      <w:tr w14:paraId="70A2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35" w:type="dxa"/>
            <w:vMerge w:val="continue"/>
            <w:noWrap w:val="0"/>
            <w:vAlign w:val="center"/>
          </w:tcPr>
          <w:p w14:paraId="73ABE6C1">
            <w:pPr>
              <w:keepNext w:val="0"/>
              <w:keepLines w:val="0"/>
              <w:pageBreakBefore w:val="0"/>
              <w:kinsoku/>
              <w:wordWrap/>
              <w:overflowPunct/>
              <w:topLinePunct w:val="0"/>
              <w:autoSpaceDE/>
              <w:autoSpaceDN/>
              <w:bidi w:val="0"/>
              <w:adjustRightInd/>
              <w:snapToGrid/>
              <w:spacing w:line="250" w:lineRule="exact"/>
              <w:jc w:val="left"/>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6159F9EC">
            <w:pPr>
              <w:keepNext w:val="0"/>
              <w:keepLines w:val="0"/>
              <w:pageBreakBefore w:val="0"/>
              <w:widowControl/>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2C15625B">
            <w:pPr>
              <w:keepNext w:val="0"/>
              <w:keepLines w:val="0"/>
              <w:pageBreakBefore w:val="0"/>
              <w:widowControl/>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43056293">
            <w:pPr>
              <w:keepNext w:val="0"/>
              <w:keepLines w:val="0"/>
              <w:pageBreakBefore w:val="0"/>
              <w:widowControl/>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06C2E259">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严重</w:t>
            </w:r>
          </w:p>
        </w:tc>
        <w:tc>
          <w:tcPr>
            <w:tcW w:w="2986" w:type="dxa"/>
            <w:noWrap w:val="0"/>
            <w:vAlign w:val="center"/>
          </w:tcPr>
          <w:p w14:paraId="086E08F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建设工程已经完成设计，在开工建设前未按照地震动参数复核或者地震小区划结果确定的抗震设防要求进行抗震设防。</w:t>
            </w:r>
          </w:p>
        </w:tc>
        <w:tc>
          <w:tcPr>
            <w:tcW w:w="3000" w:type="dxa"/>
            <w:noWrap w:val="0"/>
            <w:vAlign w:val="center"/>
          </w:tcPr>
          <w:p w14:paraId="6DDF771F">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责令限期改正，处9000元以上 21000元以下的罚款。</w:t>
            </w:r>
          </w:p>
        </w:tc>
        <w:tc>
          <w:tcPr>
            <w:tcW w:w="1200" w:type="dxa"/>
            <w:vMerge w:val="continue"/>
            <w:noWrap w:val="0"/>
            <w:vAlign w:val="center"/>
          </w:tcPr>
          <w:p w14:paraId="76CE7931">
            <w:pPr>
              <w:keepNext w:val="0"/>
              <w:keepLines w:val="0"/>
              <w:pageBreakBefore w:val="0"/>
              <w:kinsoku/>
              <w:wordWrap/>
              <w:overflowPunct/>
              <w:topLinePunct w:val="0"/>
              <w:autoSpaceDE/>
              <w:autoSpaceDN/>
              <w:bidi w:val="0"/>
              <w:adjustRightInd/>
              <w:snapToGrid/>
              <w:spacing w:line="250" w:lineRule="exact"/>
              <w:jc w:val="left"/>
              <w:rPr>
                <w:rFonts w:hint="eastAsia" w:ascii="仿宋_GB2312" w:hAnsi="仿宋_GB2312" w:eastAsia="仿宋_GB2312" w:cs="仿宋_GB2312"/>
                <w:b w:val="0"/>
                <w:bCs/>
                <w:sz w:val="24"/>
                <w:szCs w:val="24"/>
              </w:rPr>
            </w:pPr>
          </w:p>
        </w:tc>
      </w:tr>
      <w:tr w14:paraId="4DFD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735" w:type="dxa"/>
            <w:vMerge w:val="continue"/>
            <w:noWrap w:val="0"/>
            <w:vAlign w:val="center"/>
          </w:tcPr>
          <w:p w14:paraId="0A8C874A">
            <w:pPr>
              <w:keepNext w:val="0"/>
              <w:keepLines w:val="0"/>
              <w:pageBreakBefore w:val="0"/>
              <w:kinsoku/>
              <w:wordWrap/>
              <w:overflowPunct/>
              <w:topLinePunct w:val="0"/>
              <w:autoSpaceDE/>
              <w:autoSpaceDN/>
              <w:bidi w:val="0"/>
              <w:adjustRightInd/>
              <w:snapToGrid/>
              <w:spacing w:line="250" w:lineRule="exact"/>
              <w:jc w:val="left"/>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center"/>
          </w:tcPr>
          <w:p w14:paraId="32DD11A8">
            <w:pPr>
              <w:keepNext w:val="0"/>
              <w:keepLines w:val="0"/>
              <w:pageBreakBefore w:val="0"/>
              <w:widowControl/>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757F4783">
            <w:pPr>
              <w:keepNext w:val="0"/>
              <w:keepLines w:val="0"/>
              <w:pageBreakBefore w:val="0"/>
              <w:widowControl/>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05885455">
            <w:pPr>
              <w:keepNext w:val="0"/>
              <w:keepLines w:val="0"/>
              <w:pageBreakBefore w:val="0"/>
              <w:widowControl/>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7BADB791">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特别严重</w:t>
            </w:r>
          </w:p>
        </w:tc>
        <w:tc>
          <w:tcPr>
            <w:tcW w:w="2986" w:type="dxa"/>
            <w:noWrap w:val="0"/>
            <w:vAlign w:val="center"/>
          </w:tcPr>
          <w:p w14:paraId="21CC79E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已开工建设的建设工程，未按照地震动参数复核或者地震小区划结果确定的抗震设防要求进行抗震设防。</w:t>
            </w:r>
          </w:p>
        </w:tc>
        <w:tc>
          <w:tcPr>
            <w:tcW w:w="3000" w:type="dxa"/>
            <w:noWrap w:val="0"/>
            <w:vAlign w:val="center"/>
          </w:tcPr>
          <w:p w14:paraId="3AD858E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责令限期改正，处21000元以上30000元以下的罚款。</w:t>
            </w:r>
          </w:p>
        </w:tc>
        <w:tc>
          <w:tcPr>
            <w:tcW w:w="1200" w:type="dxa"/>
            <w:vMerge w:val="continue"/>
            <w:noWrap w:val="0"/>
            <w:vAlign w:val="center"/>
          </w:tcPr>
          <w:p w14:paraId="30B88321">
            <w:pPr>
              <w:keepNext w:val="0"/>
              <w:keepLines w:val="0"/>
              <w:pageBreakBefore w:val="0"/>
              <w:kinsoku/>
              <w:wordWrap/>
              <w:overflowPunct/>
              <w:topLinePunct w:val="0"/>
              <w:autoSpaceDE/>
              <w:autoSpaceDN/>
              <w:bidi w:val="0"/>
              <w:adjustRightInd/>
              <w:snapToGrid/>
              <w:spacing w:line="250" w:lineRule="exact"/>
              <w:jc w:val="left"/>
              <w:rPr>
                <w:rFonts w:hint="eastAsia" w:ascii="仿宋_GB2312" w:hAnsi="仿宋_GB2312" w:eastAsia="仿宋_GB2312" w:cs="仿宋_GB2312"/>
                <w:b w:val="0"/>
                <w:bCs/>
                <w:sz w:val="24"/>
                <w:szCs w:val="24"/>
              </w:rPr>
            </w:pPr>
          </w:p>
        </w:tc>
      </w:tr>
      <w:tr w14:paraId="29D3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735" w:type="dxa"/>
            <w:vMerge w:val="restart"/>
            <w:noWrap w:val="0"/>
            <w:vAlign w:val="center"/>
          </w:tcPr>
          <w:p w14:paraId="38BAB341">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val="en-US" w:eastAsia="zh-CN" w:bidi="ar"/>
              </w:rPr>
              <w:t>11</w:t>
            </w:r>
          </w:p>
        </w:tc>
        <w:tc>
          <w:tcPr>
            <w:tcW w:w="1445" w:type="dxa"/>
            <w:vMerge w:val="restart"/>
            <w:noWrap w:val="0"/>
            <w:vAlign w:val="center"/>
          </w:tcPr>
          <w:p w14:paraId="72DD47D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cs="仿宋_GB2312"/>
                <w:b w:val="0"/>
                <w:bCs/>
                <w:spacing w:val="0"/>
                <w:kern w:val="0"/>
                <w:sz w:val="24"/>
                <w:szCs w:val="24"/>
                <w:lang w:eastAsia="zh-CN" w:bidi="ar"/>
              </w:rPr>
              <w:t>对</w:t>
            </w:r>
            <w:r>
              <w:rPr>
                <w:rFonts w:hint="eastAsia" w:ascii="仿宋_GB2312" w:hAnsi="仿宋_GB2312" w:eastAsia="仿宋_GB2312" w:cs="仿宋_GB2312"/>
                <w:b w:val="0"/>
                <w:bCs/>
                <w:spacing w:val="0"/>
                <w:kern w:val="0"/>
                <w:sz w:val="24"/>
                <w:szCs w:val="24"/>
                <w:lang w:bidi="ar"/>
              </w:rPr>
              <w:t>破坏典型地震遗址、遗迹</w:t>
            </w:r>
            <w:r>
              <w:rPr>
                <w:rFonts w:hint="eastAsia" w:ascii="仿宋_GB2312" w:hAnsi="仿宋_GB2312" w:cs="仿宋_GB2312"/>
                <w:b w:val="0"/>
                <w:bCs/>
                <w:spacing w:val="0"/>
                <w:kern w:val="0"/>
                <w:sz w:val="24"/>
                <w:szCs w:val="24"/>
                <w:lang w:eastAsia="zh-CN" w:bidi="ar"/>
              </w:rPr>
              <w:t>的处罚</w:t>
            </w:r>
          </w:p>
          <w:p w14:paraId="61B4DF5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p>
        </w:tc>
        <w:tc>
          <w:tcPr>
            <w:tcW w:w="4942" w:type="dxa"/>
            <w:vMerge w:val="restart"/>
            <w:noWrap w:val="0"/>
            <w:vAlign w:val="center"/>
          </w:tcPr>
          <w:p w14:paraId="6FE8B019">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3D003EA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中华人民共和国防震减灾法》第六十九条第一款规定：地震灾区的县级以上地方人民政府应当组织有关部门和专家，根据地震灾害损失调查评估结果，制定清理保护方案，明确典型地震遗址、遗迹和文物保护单位以及具有历史价值与民族特色的建筑物、构筑物的保护范围和措施。</w:t>
            </w:r>
          </w:p>
          <w:p w14:paraId="48792EEF">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【地方性法规】</w:t>
            </w:r>
          </w:p>
          <w:p w14:paraId="070BA2B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四川省防震减灾条例》第六十二条规定：地震灾区有重大科学价值的地震遗址、遗迹，由当地人民政府组织负责防震减灾工作主管部门或者机构等有关部门提出意见，经省人民政府防震减灾工作主管部门会同有关部门审核并报省人民政府批准后，由当地人民政府指定有关部门进行特殊保护。</w:t>
            </w:r>
          </w:p>
          <w:p w14:paraId="66B90061">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地震遗址、遗迹的保护应当列入地震灾区的重建规划。</w:t>
            </w:r>
          </w:p>
          <w:p w14:paraId="08FC6F0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【地方性法规】</w:t>
            </w:r>
          </w:p>
          <w:p w14:paraId="23A6E21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《四川省防震减灾条例》第六十三条规定： 地震灾区的县级以上地方人民政府应当组织有关部门和单位，抢救、保护与收集整理有关档案、资料、文物，对因地震灾害造成遗失、毁损的档案、资料，及时进行补充和恢复，及时收集、整理抗震救灾中形成的各类档案。</w:t>
            </w:r>
          </w:p>
          <w:p w14:paraId="4448E26F">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p>
        </w:tc>
        <w:tc>
          <w:tcPr>
            <w:tcW w:w="5359" w:type="dxa"/>
            <w:vMerge w:val="restart"/>
            <w:noWrap w:val="0"/>
            <w:vAlign w:val="center"/>
          </w:tcPr>
          <w:p w14:paraId="6BD25A5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r>
              <w:rPr>
                <w:rFonts w:hint="eastAsia" w:ascii="仿宋_GB2312" w:hAnsi="仿宋_GB2312" w:eastAsia="仿宋_GB2312" w:cs="仿宋_GB2312"/>
                <w:b w:val="0"/>
                <w:bCs/>
                <w:spacing w:val="0"/>
                <w:kern w:val="0"/>
                <w:sz w:val="24"/>
                <w:szCs w:val="24"/>
                <w:lang w:bidi="ar"/>
              </w:rPr>
              <w:t>【法律】</w:t>
            </w:r>
          </w:p>
          <w:p w14:paraId="6858AAA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中华人民共和国防震减灾法》第八十四条规定：违反本法规定，有下列行为之一的，由国务院地震工作主管部门或者县级以上地方人民政府负责管理地震工作的部门或者机构责令停止违法行为，恢复原状或者采取其他补救措施；造成损失的，依法承担赔偿责任：（三）破坏典型地震遗址、遗迹的；……单位有前款所列违法行为，情节严重的，处二万元以上二十万元以下的罚款；个人有前款所列违法行为，情节严重的，处二千元以下的罚款。构成违反治安管理行为的。由公安机关依法给予处罚。</w:t>
            </w:r>
          </w:p>
          <w:p w14:paraId="58C50EE6">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p>
        </w:tc>
        <w:tc>
          <w:tcPr>
            <w:tcW w:w="1309" w:type="dxa"/>
            <w:noWrap w:val="0"/>
            <w:vAlign w:val="center"/>
          </w:tcPr>
          <w:p w14:paraId="142A50A5">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轻微</w:t>
            </w:r>
          </w:p>
        </w:tc>
        <w:tc>
          <w:tcPr>
            <w:tcW w:w="2986" w:type="dxa"/>
            <w:noWrap w:val="0"/>
            <w:vAlign w:val="center"/>
          </w:tcPr>
          <w:p w14:paraId="7570A08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破坏典型地震遗址、遗迹，未造成危害后果，在责令期限内已停止违法行为，恢复原状或者采取其他补救措施的。</w:t>
            </w:r>
          </w:p>
        </w:tc>
        <w:tc>
          <w:tcPr>
            <w:tcW w:w="3000" w:type="dxa"/>
            <w:noWrap w:val="0"/>
            <w:vAlign w:val="center"/>
          </w:tcPr>
          <w:p w14:paraId="1746261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2"/>
                <w:sz w:val="24"/>
                <w:szCs w:val="24"/>
                <w:u w:val="none"/>
                <w:lang w:val="en-US" w:eastAsia="zh-CN" w:bidi="ar"/>
              </w:rPr>
            </w:pPr>
            <w:r>
              <w:rPr>
                <w:rFonts w:hint="eastAsia" w:ascii="仿宋_GB2312" w:hAnsi="仿宋_GB2312" w:cs="仿宋_GB2312"/>
                <w:b w:val="0"/>
                <w:bCs/>
                <w:spacing w:val="0"/>
                <w:kern w:val="0"/>
                <w:sz w:val="24"/>
                <w:szCs w:val="24"/>
                <w:lang w:eastAsia="zh-CN" w:bidi="ar"/>
              </w:rPr>
              <w:t>不予处罚，进行批评教育。</w:t>
            </w:r>
          </w:p>
        </w:tc>
        <w:tc>
          <w:tcPr>
            <w:tcW w:w="1200" w:type="dxa"/>
            <w:vMerge w:val="restart"/>
            <w:noWrap w:val="0"/>
            <w:vAlign w:val="center"/>
          </w:tcPr>
          <w:p w14:paraId="653ED673">
            <w:pPr>
              <w:keepNext w:val="0"/>
              <w:keepLines w:val="0"/>
              <w:pageBreakBefore w:val="0"/>
              <w:kinsoku/>
              <w:wordWrap/>
              <w:overflowPunct/>
              <w:topLinePunct w:val="0"/>
              <w:autoSpaceDE/>
              <w:autoSpaceDN/>
              <w:bidi w:val="0"/>
              <w:adjustRightInd/>
              <w:snapToGrid/>
              <w:spacing w:line="250" w:lineRule="exact"/>
              <w:jc w:val="both"/>
              <w:rPr>
                <w:rFonts w:hint="eastAsia" w:ascii="仿宋_GB2312" w:hAnsi="仿宋_GB2312" w:eastAsia="仿宋_GB2312" w:cs="仿宋_GB2312"/>
                <w:b w:val="0"/>
                <w:bCs/>
                <w:spacing w:val="-6"/>
                <w:kern w:val="2"/>
                <w:sz w:val="24"/>
                <w:szCs w:val="24"/>
                <w:lang w:val="en-US" w:eastAsia="zh-CN" w:bidi="ar-SA"/>
              </w:rPr>
            </w:pPr>
            <w:r>
              <w:rPr>
                <w:rFonts w:hint="eastAsia" w:ascii="仿宋_GB2312" w:hAnsi="仿宋_GB2312" w:eastAsia="仿宋_GB2312" w:cs="仿宋_GB2312"/>
                <w:b w:val="0"/>
                <w:bCs/>
                <w:spacing w:val="0"/>
                <w:kern w:val="0"/>
                <w:sz w:val="24"/>
                <w:szCs w:val="24"/>
                <w:lang w:bidi="ar"/>
              </w:rPr>
              <w:t>国家级、省级、市级、县级</w:t>
            </w:r>
          </w:p>
        </w:tc>
      </w:tr>
      <w:tr w14:paraId="2E60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trPr>
        <w:tc>
          <w:tcPr>
            <w:tcW w:w="735" w:type="dxa"/>
            <w:vMerge w:val="continue"/>
            <w:noWrap w:val="0"/>
            <w:vAlign w:val="top"/>
          </w:tcPr>
          <w:p w14:paraId="42F5A9C5">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top"/>
          </w:tcPr>
          <w:p w14:paraId="61EEC4B2">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43B84FC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4B68ADF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3D29DB8D">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color w:val="000000"/>
                <w:spacing w:val="0"/>
                <w:kern w:val="0"/>
                <w:sz w:val="24"/>
                <w:szCs w:val="24"/>
                <w:lang w:bidi="ar"/>
              </w:rPr>
              <w:t>一般</w:t>
            </w:r>
          </w:p>
        </w:tc>
        <w:tc>
          <w:tcPr>
            <w:tcW w:w="2986" w:type="dxa"/>
            <w:noWrap w:val="0"/>
            <w:vAlign w:val="center"/>
          </w:tcPr>
          <w:p w14:paraId="44876B9D">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color w:val="000000"/>
                <w:spacing w:val="0"/>
                <w:kern w:val="0"/>
                <w:sz w:val="24"/>
                <w:szCs w:val="24"/>
                <w:lang w:bidi="ar"/>
              </w:rPr>
              <w:t>破坏典型地震遗址、遗迹，虽未造成危害后果，但违法行为被发现后，在责令期限内没有停止违法行为，恢复原状或者采取其他补救措施的。</w:t>
            </w:r>
          </w:p>
        </w:tc>
        <w:tc>
          <w:tcPr>
            <w:tcW w:w="3000" w:type="dxa"/>
            <w:noWrap w:val="0"/>
            <w:vAlign w:val="center"/>
          </w:tcPr>
          <w:p w14:paraId="2FC4407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2"/>
                <w:sz w:val="24"/>
                <w:szCs w:val="24"/>
                <w:u w:val="none"/>
                <w:lang w:val="en-US" w:eastAsia="zh-CN" w:bidi="ar"/>
              </w:rPr>
            </w:pPr>
            <w:r>
              <w:rPr>
                <w:rStyle w:val="5"/>
                <w:rFonts w:hint="eastAsia" w:ascii="仿宋_GB2312" w:hAnsi="仿宋_GB2312" w:eastAsia="仿宋_GB2312" w:cs="仿宋_GB2312"/>
                <w:b w:val="0"/>
                <w:bCs/>
                <w:spacing w:val="0"/>
                <w:sz w:val="24"/>
                <w:szCs w:val="24"/>
                <w:lang w:bidi="ar"/>
              </w:rPr>
              <w:t>责令停止违法行为，恢复原状或者采取其他补救措施。造成损失的，依法承担赔偿责任。</w:t>
            </w:r>
          </w:p>
        </w:tc>
        <w:tc>
          <w:tcPr>
            <w:tcW w:w="1200" w:type="dxa"/>
            <w:vMerge w:val="continue"/>
            <w:noWrap w:val="0"/>
            <w:vAlign w:val="top"/>
          </w:tcPr>
          <w:p w14:paraId="48AD1A5B">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r>
      <w:tr w14:paraId="7464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735" w:type="dxa"/>
            <w:vMerge w:val="continue"/>
            <w:noWrap w:val="0"/>
            <w:vAlign w:val="top"/>
          </w:tcPr>
          <w:p w14:paraId="3C95DE44">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top"/>
          </w:tcPr>
          <w:p w14:paraId="4A1BC5B7">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15EB28CA">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51CE70B5">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42F83ABA">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color w:val="000000"/>
                <w:spacing w:val="0"/>
                <w:kern w:val="0"/>
                <w:sz w:val="24"/>
                <w:szCs w:val="24"/>
                <w:lang w:bidi="ar"/>
              </w:rPr>
              <w:t>严重</w:t>
            </w:r>
          </w:p>
        </w:tc>
        <w:tc>
          <w:tcPr>
            <w:tcW w:w="2986" w:type="dxa"/>
            <w:noWrap w:val="0"/>
            <w:vAlign w:val="center"/>
          </w:tcPr>
          <w:p w14:paraId="6DD55768">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color w:val="000000"/>
                <w:spacing w:val="0"/>
                <w:kern w:val="0"/>
                <w:sz w:val="24"/>
                <w:szCs w:val="24"/>
                <w:lang w:bidi="ar"/>
              </w:rPr>
              <w:t>破坏典型地震遗址、遗迹，造成典型地震遗址、遗迹局部可修复性破坏。</w:t>
            </w:r>
          </w:p>
        </w:tc>
        <w:tc>
          <w:tcPr>
            <w:tcW w:w="3000" w:type="dxa"/>
            <w:noWrap w:val="0"/>
            <w:vAlign w:val="center"/>
          </w:tcPr>
          <w:p w14:paraId="5C42DB0B">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auto"/>
                <w:spacing w:val="0"/>
                <w:kern w:val="2"/>
                <w:sz w:val="24"/>
                <w:szCs w:val="24"/>
                <w:u w:val="none"/>
                <w:lang w:val="en-US" w:eastAsia="zh-CN" w:bidi="ar"/>
              </w:rPr>
            </w:pPr>
            <w:r>
              <w:rPr>
                <w:rStyle w:val="5"/>
                <w:rFonts w:hint="eastAsia" w:ascii="仿宋_GB2312" w:hAnsi="仿宋_GB2312" w:eastAsia="仿宋_GB2312" w:cs="仿宋_GB2312"/>
                <w:b w:val="0"/>
                <w:bCs/>
                <w:spacing w:val="0"/>
                <w:sz w:val="24"/>
                <w:szCs w:val="24"/>
                <w:lang w:bidi="ar"/>
              </w:rPr>
              <w:t>责令停止违法行为，恢复原状或者采取其他补救措施。造成损失的，依法承担赔偿责任。</w:t>
            </w:r>
            <w:r>
              <w:rPr>
                <w:rStyle w:val="5"/>
                <w:rFonts w:hint="eastAsia" w:ascii="仿宋_GB2312" w:hAnsi="仿宋_GB2312" w:eastAsia="仿宋_GB2312" w:cs="仿宋_GB2312"/>
                <w:b w:val="0"/>
                <w:bCs/>
                <w:spacing w:val="0"/>
                <w:sz w:val="24"/>
                <w:szCs w:val="24"/>
                <w:lang w:bidi="ar"/>
              </w:rPr>
              <w:br w:type="textWrapping"/>
            </w:r>
            <w:r>
              <w:rPr>
                <w:rStyle w:val="5"/>
                <w:rFonts w:hint="eastAsia" w:ascii="仿宋_GB2312" w:hAnsi="仿宋_GB2312" w:eastAsia="仿宋_GB2312" w:cs="仿宋_GB2312"/>
                <w:b w:val="0"/>
                <w:bCs/>
                <w:spacing w:val="0"/>
                <w:sz w:val="24"/>
                <w:szCs w:val="24"/>
                <w:lang w:bidi="ar"/>
              </w:rPr>
              <w:t>对个人处1000元以下的罚款，对单位处20000元以上100000元以下的罚款。</w:t>
            </w:r>
          </w:p>
        </w:tc>
        <w:tc>
          <w:tcPr>
            <w:tcW w:w="1200" w:type="dxa"/>
            <w:vMerge w:val="continue"/>
            <w:noWrap w:val="0"/>
            <w:vAlign w:val="top"/>
          </w:tcPr>
          <w:p w14:paraId="15E91312">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r>
      <w:tr w14:paraId="1B76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35" w:type="dxa"/>
            <w:vMerge w:val="continue"/>
            <w:noWrap w:val="0"/>
            <w:vAlign w:val="top"/>
          </w:tcPr>
          <w:p w14:paraId="18C879DA">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c>
          <w:tcPr>
            <w:tcW w:w="1445" w:type="dxa"/>
            <w:vMerge w:val="continue"/>
            <w:noWrap w:val="0"/>
            <w:vAlign w:val="top"/>
          </w:tcPr>
          <w:p w14:paraId="6F27BD1C">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4942" w:type="dxa"/>
            <w:vMerge w:val="continue"/>
            <w:noWrap w:val="0"/>
            <w:vAlign w:val="center"/>
          </w:tcPr>
          <w:p w14:paraId="6F4D0FE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5359" w:type="dxa"/>
            <w:vMerge w:val="continue"/>
            <w:noWrap w:val="0"/>
            <w:vAlign w:val="center"/>
          </w:tcPr>
          <w:p w14:paraId="63C7E5D4">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bidi="ar"/>
              </w:rPr>
            </w:pPr>
          </w:p>
        </w:tc>
        <w:tc>
          <w:tcPr>
            <w:tcW w:w="1309" w:type="dxa"/>
            <w:noWrap w:val="0"/>
            <w:vAlign w:val="center"/>
          </w:tcPr>
          <w:p w14:paraId="4970E04F">
            <w:pPr>
              <w:keepNext w:val="0"/>
              <w:keepLines w:val="0"/>
              <w:pageBreakBefore w:val="0"/>
              <w:widowControl/>
              <w:kinsoku/>
              <w:wordWrap/>
              <w:overflowPunct/>
              <w:topLinePunct w:val="0"/>
              <w:autoSpaceDE/>
              <w:autoSpaceDN/>
              <w:bidi w:val="0"/>
              <w:adjustRightInd/>
              <w:snapToGrid/>
              <w:spacing w:line="250" w:lineRule="exact"/>
              <w:jc w:val="center"/>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color w:val="000000"/>
                <w:spacing w:val="0"/>
                <w:kern w:val="0"/>
                <w:sz w:val="24"/>
                <w:szCs w:val="24"/>
                <w:lang w:bidi="ar"/>
              </w:rPr>
              <w:t>特别严重</w:t>
            </w:r>
          </w:p>
        </w:tc>
        <w:tc>
          <w:tcPr>
            <w:tcW w:w="2986" w:type="dxa"/>
            <w:noWrap w:val="0"/>
            <w:vAlign w:val="center"/>
          </w:tcPr>
          <w:p w14:paraId="1BC30100">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spacing w:val="0"/>
                <w:kern w:val="0"/>
                <w:sz w:val="24"/>
                <w:szCs w:val="24"/>
                <w:lang w:val="en-US" w:eastAsia="zh-CN" w:bidi="ar"/>
              </w:rPr>
            </w:pPr>
            <w:r>
              <w:rPr>
                <w:rFonts w:hint="eastAsia" w:ascii="仿宋_GB2312" w:hAnsi="仿宋_GB2312" w:eastAsia="仿宋_GB2312" w:cs="仿宋_GB2312"/>
                <w:b w:val="0"/>
                <w:bCs/>
                <w:color w:val="000000"/>
                <w:spacing w:val="0"/>
                <w:kern w:val="0"/>
                <w:sz w:val="24"/>
                <w:szCs w:val="24"/>
                <w:lang w:bidi="ar"/>
              </w:rPr>
              <w:t>破坏典型地震遗址、遗迹，造成典型地震遗址、遗迹不可修复性破坏的。</w:t>
            </w:r>
          </w:p>
        </w:tc>
        <w:tc>
          <w:tcPr>
            <w:tcW w:w="3000" w:type="dxa"/>
            <w:noWrap w:val="0"/>
            <w:vAlign w:val="center"/>
          </w:tcPr>
          <w:p w14:paraId="0F853BE3">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000000"/>
                <w:spacing w:val="0"/>
                <w:kern w:val="0"/>
                <w:sz w:val="24"/>
                <w:szCs w:val="24"/>
                <w:lang w:bidi="ar"/>
              </w:rPr>
            </w:pPr>
            <w:r>
              <w:rPr>
                <w:rFonts w:hint="eastAsia" w:ascii="仿宋_GB2312" w:hAnsi="仿宋_GB2312" w:eastAsia="仿宋_GB2312" w:cs="仿宋_GB2312"/>
                <w:b w:val="0"/>
                <w:bCs/>
                <w:color w:val="000000"/>
                <w:spacing w:val="0"/>
                <w:kern w:val="0"/>
                <w:sz w:val="24"/>
                <w:szCs w:val="24"/>
                <w:lang w:bidi="ar"/>
              </w:rPr>
              <w:t>责令停止违法行为，恢复原状或者采取其他补救措施。造成损失的，依法承担赔偿责任。</w:t>
            </w:r>
            <w:r>
              <w:rPr>
                <w:rFonts w:hint="eastAsia" w:ascii="仿宋_GB2312" w:hAnsi="仿宋_GB2312" w:eastAsia="仿宋_GB2312" w:cs="仿宋_GB2312"/>
                <w:b w:val="0"/>
                <w:bCs/>
                <w:color w:val="000000"/>
                <w:spacing w:val="0"/>
                <w:kern w:val="0"/>
                <w:sz w:val="24"/>
                <w:szCs w:val="24"/>
                <w:lang w:bidi="ar"/>
              </w:rPr>
              <w:br w:type="textWrapping"/>
            </w:r>
            <w:r>
              <w:rPr>
                <w:rFonts w:hint="eastAsia" w:ascii="仿宋_GB2312" w:hAnsi="仿宋_GB2312" w:eastAsia="仿宋_GB2312" w:cs="仿宋_GB2312"/>
                <w:b w:val="0"/>
                <w:bCs/>
                <w:color w:val="000000"/>
                <w:spacing w:val="0"/>
                <w:kern w:val="0"/>
                <w:sz w:val="24"/>
                <w:szCs w:val="24"/>
                <w:lang w:bidi="ar"/>
              </w:rPr>
              <w:t>对个人处1000元以上2000元以下的罚款，对单位处100000元以上200000元以下的罚款。</w:t>
            </w:r>
          </w:p>
          <w:p w14:paraId="03C9F539">
            <w:pPr>
              <w:keepNext w:val="0"/>
              <w:keepLines w:val="0"/>
              <w:pageBreakBefore w:val="0"/>
              <w:widowControl/>
              <w:kinsoku/>
              <w:wordWrap/>
              <w:overflowPunct/>
              <w:topLinePunct w:val="0"/>
              <w:autoSpaceDE/>
              <w:autoSpaceDN/>
              <w:bidi w:val="0"/>
              <w:adjustRightInd/>
              <w:snapToGrid/>
              <w:spacing w:line="250" w:lineRule="exact"/>
              <w:jc w:val="both"/>
              <w:textAlignment w:val="center"/>
              <w:rPr>
                <w:rFonts w:hint="eastAsia" w:ascii="仿宋_GB2312" w:hAnsi="仿宋_GB2312" w:eastAsia="仿宋_GB2312" w:cs="仿宋_GB2312"/>
                <w:b w:val="0"/>
                <w:bCs/>
                <w:color w:val="000000"/>
                <w:spacing w:val="0"/>
                <w:kern w:val="0"/>
                <w:sz w:val="24"/>
                <w:szCs w:val="24"/>
                <w:lang w:val="en-US" w:eastAsia="zh-CN" w:bidi="ar"/>
              </w:rPr>
            </w:pPr>
            <w:r>
              <w:rPr>
                <w:rFonts w:hint="eastAsia" w:ascii="仿宋_GB2312" w:hAnsi="仿宋_GB2312" w:eastAsia="仿宋_GB2312" w:cs="仿宋_GB2312"/>
                <w:b w:val="0"/>
                <w:bCs/>
                <w:spacing w:val="0"/>
                <w:kern w:val="0"/>
                <w:sz w:val="24"/>
                <w:szCs w:val="24"/>
                <w:lang w:bidi="ar"/>
              </w:rPr>
              <w:t>构成违反治安管理行为的</w:t>
            </w:r>
            <w:r>
              <w:rPr>
                <w:rFonts w:hint="eastAsia" w:ascii="仿宋_GB2312" w:hAnsi="仿宋_GB2312" w:cs="仿宋_GB2312"/>
                <w:b w:val="0"/>
                <w:bCs/>
                <w:spacing w:val="0"/>
                <w:kern w:val="0"/>
                <w:sz w:val="24"/>
                <w:szCs w:val="24"/>
                <w:lang w:eastAsia="zh-CN" w:bidi="ar"/>
              </w:rPr>
              <w:t>，移送</w:t>
            </w:r>
            <w:r>
              <w:rPr>
                <w:rFonts w:hint="eastAsia" w:ascii="仿宋_GB2312" w:hAnsi="仿宋_GB2312" w:eastAsia="仿宋_GB2312" w:cs="仿宋_GB2312"/>
                <w:b w:val="0"/>
                <w:bCs/>
                <w:spacing w:val="0"/>
                <w:kern w:val="0"/>
                <w:sz w:val="24"/>
                <w:szCs w:val="24"/>
                <w:lang w:bidi="ar"/>
              </w:rPr>
              <w:t>公安机关依法</w:t>
            </w:r>
            <w:r>
              <w:rPr>
                <w:rFonts w:hint="eastAsia" w:ascii="仿宋_GB2312" w:hAnsi="仿宋_GB2312" w:cs="仿宋_GB2312"/>
                <w:b w:val="0"/>
                <w:bCs/>
                <w:spacing w:val="0"/>
                <w:kern w:val="0"/>
                <w:sz w:val="24"/>
                <w:szCs w:val="24"/>
                <w:lang w:eastAsia="zh-CN" w:bidi="ar"/>
              </w:rPr>
              <w:t>处理</w:t>
            </w:r>
            <w:r>
              <w:rPr>
                <w:rFonts w:hint="eastAsia" w:ascii="仿宋_GB2312" w:hAnsi="仿宋_GB2312" w:eastAsia="仿宋_GB2312" w:cs="仿宋_GB2312"/>
                <w:b w:val="0"/>
                <w:bCs/>
                <w:spacing w:val="0"/>
                <w:kern w:val="0"/>
                <w:sz w:val="24"/>
                <w:szCs w:val="24"/>
                <w:lang w:bidi="ar"/>
              </w:rPr>
              <w:t>。</w:t>
            </w:r>
          </w:p>
        </w:tc>
        <w:tc>
          <w:tcPr>
            <w:tcW w:w="1200" w:type="dxa"/>
            <w:vMerge w:val="continue"/>
            <w:noWrap w:val="0"/>
            <w:vAlign w:val="top"/>
          </w:tcPr>
          <w:p w14:paraId="6546BDF9">
            <w:pPr>
              <w:keepNext w:val="0"/>
              <w:keepLines w:val="0"/>
              <w:pageBreakBefore w:val="0"/>
              <w:widowControl/>
              <w:kinsoku/>
              <w:wordWrap/>
              <w:overflowPunct/>
              <w:topLinePunct w:val="0"/>
              <w:autoSpaceDE/>
              <w:autoSpaceDN/>
              <w:bidi w:val="0"/>
              <w:adjustRightInd/>
              <w:snapToGrid/>
              <w:spacing w:line="250" w:lineRule="exact"/>
              <w:jc w:val="left"/>
              <w:textAlignment w:val="center"/>
              <w:rPr>
                <w:rFonts w:hint="eastAsia" w:ascii="仿宋_GB2312" w:hAnsi="仿宋_GB2312" w:eastAsia="仿宋_GB2312" w:cs="仿宋_GB2312"/>
                <w:b w:val="0"/>
                <w:bCs/>
                <w:spacing w:val="0"/>
                <w:kern w:val="0"/>
                <w:sz w:val="24"/>
                <w:szCs w:val="24"/>
                <w:lang w:bidi="ar"/>
              </w:rPr>
            </w:pPr>
          </w:p>
        </w:tc>
      </w:tr>
    </w:tbl>
    <w:p w14:paraId="4FC19A78">
      <w:pPr>
        <w:pStyle w:val="2"/>
        <w:ind w:left="0" w:leftChars="0" w:firstLine="0" w:firstLineChars="0"/>
        <w:rPr>
          <w:rFonts w:hint="eastAsia"/>
        </w:rPr>
        <w:sectPr>
          <w:footerReference r:id="rId5" w:type="default"/>
          <w:footerReference r:id="rId6" w:type="even"/>
          <w:pgSz w:w="23811" w:h="16838" w:orient="landscape"/>
          <w:pgMar w:top="1803" w:right="1440" w:bottom="1803" w:left="1440" w:header="851" w:footer="992" w:gutter="0"/>
          <w:paperSrc/>
          <w:cols w:space="720" w:num="1"/>
          <w:rtlGutter w:val="0"/>
          <w:docGrid w:type="lines" w:linePitch="441" w:charSpace="0"/>
        </w:sectPr>
      </w:pPr>
    </w:p>
    <w:p w14:paraId="40E05A53"/>
    <w:bookmarkEnd w:id="0"/>
    <w:sectPr>
      <w:pgSz w:w="23811" w:h="16838" w:orient="landscape"/>
      <w:pgMar w:top="1803" w:right="1440" w:bottom="1803" w:left="1440" w:header="851" w:footer="992" w:gutter="0"/>
      <w:paperSrc/>
      <w:cols w:space="720" w:num="1"/>
      <w:rtlGutter w:val="0"/>
      <w:docGrid w:type="lines" w:linePitch="44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文鼎CS仿宋体">
    <w:altName w:val="仿宋"/>
    <w:panose1 w:val="00000000000000000000"/>
    <w:charset w:val="00"/>
    <w:family w:val="moder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24DCD">
    <w:pPr>
      <w:ind w:right="268"/>
      <w:jc w:val="right"/>
    </w:pPr>
    <w:r>
      <w:rPr>
        <w:rFonts w:hint="eastAsia" w:ascii="宋体" w:hAnsi="宋体" w:eastAsia="宋体" w:cs="宋体"/>
        <w:sz w:val="28"/>
        <w:szCs w:val="28"/>
        <w:lang w:val="en"/>
      </w:rPr>
      <w:t xml:space="preserve">— </w:t>
    </w:r>
    <w:r>
      <w:rPr>
        <w:rFonts w:hint="eastAsia" w:ascii="宋体" w:hAnsi="宋体" w:eastAsia="宋体" w:cs="宋体"/>
        <w:sz w:val="28"/>
        <w:szCs w:val="28"/>
        <w:lang w:val="en"/>
      </w:rPr>
      <w:fldChar w:fldCharType="begin"/>
    </w:r>
    <w:r>
      <w:rPr>
        <w:rFonts w:hint="eastAsia" w:ascii="宋体" w:hAnsi="宋体" w:eastAsia="宋体" w:cs="宋体"/>
        <w:sz w:val="28"/>
        <w:szCs w:val="28"/>
        <w:lang w:val="en"/>
      </w:rPr>
      <w:instrText xml:space="preserve"> PAGE  \* MERGEFORMAT </w:instrText>
    </w:r>
    <w:r>
      <w:rPr>
        <w:rFonts w:hint="eastAsia" w:ascii="宋体" w:hAnsi="宋体" w:eastAsia="宋体" w:cs="宋体"/>
        <w:sz w:val="28"/>
        <w:szCs w:val="28"/>
        <w:lang w:val="en"/>
      </w:rPr>
      <w:fldChar w:fldCharType="separate"/>
    </w:r>
    <w:r>
      <w:rPr>
        <w:rFonts w:hint="eastAsia" w:ascii="宋体" w:hAnsi="宋体" w:eastAsia="宋体" w:cs="宋体"/>
        <w:sz w:val="28"/>
        <w:szCs w:val="28"/>
        <w:lang w:val="en"/>
      </w:rPr>
      <w:t>2</w:t>
    </w:r>
    <w:r>
      <w:rPr>
        <w:rFonts w:hint="eastAsia" w:ascii="宋体" w:hAnsi="宋体" w:eastAsia="宋体" w:cs="宋体"/>
        <w:sz w:val="28"/>
        <w:szCs w:val="28"/>
        <w:lang w:val="en"/>
      </w:rPr>
      <w:fldChar w:fldCharType="end"/>
    </w:r>
    <w:r>
      <w:rPr>
        <w:rFonts w:hint="eastAsia" w:ascii="宋体" w:hAnsi="宋体" w:eastAsia="宋体" w:cs="宋体"/>
        <w:sz w:val="28"/>
        <w:szCs w:val="28"/>
        <w:lang w:val="e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1AE32">
    <w:pPr>
      <w:ind w:right="268" w:firstLine="268" w:firstLineChars="100"/>
      <w:jc w:val="left"/>
    </w:pPr>
    <w:r>
      <w:rPr>
        <w:rFonts w:hint="eastAsia" w:ascii="宋体" w:hAnsi="宋体" w:eastAsia="宋体" w:cs="宋体"/>
        <w:sz w:val="28"/>
        <w:szCs w:val="28"/>
        <w:lang w:val="en"/>
      </w:rPr>
      <w:t xml:space="preserve">— </w:t>
    </w:r>
    <w:r>
      <w:rPr>
        <w:rFonts w:hint="eastAsia" w:ascii="宋体" w:hAnsi="宋体" w:eastAsia="宋体" w:cs="宋体"/>
        <w:sz w:val="28"/>
        <w:szCs w:val="28"/>
        <w:lang w:val="en"/>
      </w:rPr>
      <w:fldChar w:fldCharType="begin"/>
    </w:r>
    <w:r>
      <w:rPr>
        <w:rFonts w:hint="eastAsia" w:ascii="宋体" w:hAnsi="宋体" w:eastAsia="宋体" w:cs="宋体"/>
        <w:sz w:val="28"/>
        <w:szCs w:val="28"/>
        <w:lang w:val="en"/>
      </w:rPr>
      <w:instrText xml:space="preserve"> PAGE  \* MERGEFORMAT </w:instrText>
    </w:r>
    <w:r>
      <w:rPr>
        <w:rFonts w:hint="eastAsia" w:ascii="宋体" w:hAnsi="宋体" w:eastAsia="宋体" w:cs="宋体"/>
        <w:sz w:val="28"/>
        <w:szCs w:val="28"/>
        <w:lang w:val="en"/>
      </w:rPr>
      <w:fldChar w:fldCharType="separate"/>
    </w:r>
    <w:r>
      <w:rPr>
        <w:rFonts w:ascii="宋体" w:hAnsi="宋体" w:eastAsia="宋体" w:cs="宋体"/>
        <w:sz w:val="28"/>
        <w:szCs w:val="28"/>
        <w:lang w:val="en"/>
      </w:rPr>
      <w:t>1</w:t>
    </w:r>
    <w:r>
      <w:rPr>
        <w:rFonts w:hint="eastAsia" w:ascii="宋体" w:hAnsi="宋体" w:eastAsia="宋体" w:cs="宋体"/>
        <w:sz w:val="28"/>
        <w:szCs w:val="28"/>
        <w:lang w:val="en"/>
      </w:rPr>
      <w:fldChar w:fldCharType="end"/>
    </w:r>
    <w:r>
      <w:rPr>
        <w:rFonts w:hint="eastAsia" w:ascii="宋体" w:hAnsi="宋体" w:eastAsia="宋体" w:cs="宋体"/>
        <w:sz w:val="28"/>
        <w:szCs w:val="28"/>
        <w:lang w:val="e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9"/>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F9BF4D"/>
    <w:rsid w:val="5EF81CC2"/>
    <w:rsid w:val="EFF9BF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Indent"/>
    <w:basedOn w:val="1"/>
    <w:next w:val="1"/>
    <w:qFormat/>
    <w:uiPriority w:val="0"/>
    <w:pPr>
      <w:ind w:firstLine="680"/>
    </w:pPr>
    <w:rPr>
      <w:rFonts w:eastAsia="文鼎CS仿宋体"/>
      <w:szCs w:val="32"/>
    </w:rPr>
  </w:style>
  <w:style w:type="character" w:customStyle="1" w:styleId="5">
    <w:name w:val="font01"/>
    <w:qFormat/>
    <w:uiPriority w:val="0"/>
    <w:rPr>
      <w:rFonts w:hint="eastAsia" w:ascii="楷体" w:hAnsi="楷体" w:eastAsia="楷体" w:cs="楷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10954</Words>
  <Characters>11209</Characters>
  <Lines>0</Lines>
  <Paragraphs>0</Paragraphs>
  <TotalTime>5.33333333333333</TotalTime>
  <ScaleCrop>false</ScaleCrop>
  <LinksUpToDate>false</LinksUpToDate>
  <CharactersWithSpaces>11230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2024-11-18T16:55:00Z</dcterms:created>
  <dc:creator>user</dc:creator>
  <cp:lastModifiedBy>Administrator</cp:lastModifiedBy>
  <dcterms:modified xsi:type="dcterms:W3CDTF">2024-11-20T01:53:59Z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AE26833020E54439A32112D5D72E8264_13</vt:lpwstr>
  </property>
</Properties>
</file>