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EE04A">
      <w:pPr>
        <w:adjustRightInd w:val="0"/>
        <w:snapToGrid w:val="0"/>
        <w:spacing w:line="360" w:lineRule="auto"/>
        <w:jc w:val="center"/>
        <w:outlineLvl w:val="0"/>
        <w:rPr>
          <w:rFonts w:hint="eastAsia" w:ascii="微软雅黑" w:hAnsi="微软雅黑" w:eastAsia="微软雅黑" w:cs="微软雅黑"/>
          <w:sz w:val="72"/>
          <w:szCs w:val="72"/>
        </w:rPr>
      </w:pPr>
      <w:bookmarkStart w:id="0" w:name="_Toc20920"/>
      <w:bookmarkStart w:id="1" w:name="_Toc15396475"/>
      <w:bookmarkStart w:id="2" w:name="_Toc18462"/>
      <w:bookmarkStart w:id="3" w:name="_Toc15378441"/>
      <w:bookmarkStart w:id="4" w:name="_Toc10513"/>
      <w:bookmarkStart w:id="5" w:name="_Toc15396597"/>
      <w:bookmarkStart w:id="6" w:name="_Toc15377193"/>
      <w:bookmarkStart w:id="7" w:name="_Toc15377425"/>
      <w:bookmarkStart w:id="8" w:name="_Toc19416"/>
      <w:bookmarkStart w:id="9" w:name="_Toc24381"/>
    </w:p>
    <w:bookmarkEnd w:id="0"/>
    <w:bookmarkEnd w:id="1"/>
    <w:bookmarkEnd w:id="2"/>
    <w:bookmarkEnd w:id="3"/>
    <w:bookmarkEnd w:id="4"/>
    <w:bookmarkEnd w:id="5"/>
    <w:bookmarkEnd w:id="6"/>
    <w:bookmarkEnd w:id="7"/>
    <w:bookmarkEnd w:id="8"/>
    <w:bookmarkEnd w:id="9"/>
    <w:p w14:paraId="500A496C">
      <w:pPr>
        <w:pStyle w:val="3"/>
        <w:bidi w:val="0"/>
        <w:jc w:val="center"/>
        <w:rPr>
          <w:sz w:val="84"/>
          <w:szCs w:val="84"/>
        </w:rPr>
      </w:pPr>
      <w:bookmarkStart w:id="10" w:name="_Toc23584"/>
      <w:r>
        <w:rPr>
          <w:rFonts w:hint="eastAsia"/>
          <w:sz w:val="84"/>
          <w:szCs w:val="84"/>
          <w:lang w:eastAsia="zh-CN"/>
        </w:rPr>
        <w:t>2025</w:t>
      </w:r>
      <w:r>
        <w:rPr>
          <w:rFonts w:hint="eastAsia"/>
          <w:sz w:val="84"/>
          <w:szCs w:val="84"/>
        </w:rPr>
        <w:t>年度</w:t>
      </w:r>
      <w:bookmarkEnd w:id="10"/>
    </w:p>
    <w:p w14:paraId="32BDB041">
      <w:pPr>
        <w:pStyle w:val="3"/>
        <w:bidi w:val="0"/>
        <w:jc w:val="center"/>
        <w:rPr>
          <w:sz w:val="72"/>
          <w:szCs w:val="72"/>
        </w:rPr>
      </w:pPr>
      <w:bookmarkStart w:id="11" w:name="_Toc174"/>
      <w:bookmarkStart w:id="12" w:name="_Toc15378442"/>
      <w:bookmarkStart w:id="13" w:name="_Toc10755"/>
      <w:bookmarkStart w:id="14" w:name="_Toc6296"/>
      <w:bookmarkStart w:id="15" w:name="_Toc17910"/>
      <w:bookmarkStart w:id="16" w:name="_Toc15377194"/>
      <w:bookmarkStart w:id="17" w:name="_Toc5577"/>
      <w:bookmarkStart w:id="18" w:name="_Toc15396476"/>
      <w:bookmarkStart w:id="19" w:name="_Toc15377426"/>
      <w:bookmarkStart w:id="20" w:name="_Toc15396598"/>
      <w:r>
        <w:rPr>
          <w:rFonts w:hint="eastAsia"/>
          <w:sz w:val="72"/>
          <w:szCs w:val="72"/>
        </w:rPr>
        <w:t>四川省</w:t>
      </w:r>
      <w:bookmarkStart w:id="21" w:name="_Toc15306268"/>
      <w:r>
        <w:rPr>
          <w:rFonts w:hint="eastAsia"/>
          <w:sz w:val="72"/>
          <w:szCs w:val="72"/>
        </w:rPr>
        <w:t>阿坝州民族宗教事务委员会（</w:t>
      </w:r>
      <w:r>
        <w:rPr>
          <w:rFonts w:hint="eastAsia"/>
          <w:sz w:val="72"/>
          <w:szCs w:val="72"/>
          <w:lang w:val="en-US" w:eastAsia="zh-CN"/>
        </w:rPr>
        <w:t>部门</w:t>
      </w:r>
      <w:r>
        <w:rPr>
          <w:rFonts w:hint="eastAsia"/>
          <w:sz w:val="72"/>
          <w:szCs w:val="72"/>
        </w:rPr>
        <w:t>）决算</w:t>
      </w:r>
      <w:bookmarkEnd w:id="11"/>
      <w:bookmarkEnd w:id="12"/>
      <w:bookmarkEnd w:id="13"/>
      <w:bookmarkEnd w:id="14"/>
      <w:bookmarkEnd w:id="15"/>
      <w:bookmarkEnd w:id="16"/>
      <w:bookmarkEnd w:id="17"/>
      <w:bookmarkEnd w:id="18"/>
      <w:bookmarkEnd w:id="19"/>
      <w:bookmarkEnd w:id="20"/>
      <w:bookmarkEnd w:id="21"/>
    </w:p>
    <w:p w14:paraId="71F272D3">
      <w:pPr>
        <w:jc w:val="center"/>
        <w:rPr>
          <w:rFonts w:hint="default" w:ascii="Times New Roman" w:hAnsi="Times New Roman" w:eastAsia="微软雅黑" w:cs="Times New Roman"/>
          <w:sz w:val="52"/>
          <w:szCs w:val="52"/>
          <w:highlight w:val="none"/>
        </w:rPr>
      </w:pPr>
    </w:p>
    <w:p w14:paraId="569F5EB5">
      <w:pPr>
        <w:widowControl/>
        <w:jc w:val="center"/>
        <w:rPr>
          <w:rFonts w:hint="default" w:ascii="Times New Roman" w:hAnsi="Times New Roman" w:eastAsia="微软雅黑" w:cs="Times New Roman"/>
          <w:color w:val="000000"/>
          <w:sz w:val="36"/>
          <w:szCs w:val="36"/>
          <w:highlight w:val="none"/>
        </w:rPr>
      </w:pPr>
    </w:p>
    <w:p w14:paraId="16BA5901">
      <w:pPr>
        <w:rPr>
          <w:rFonts w:hint="default" w:ascii="Times New Roman" w:hAnsi="Times New Roman" w:eastAsia="微软雅黑" w:cs="Times New Roman"/>
          <w:sz w:val="36"/>
          <w:szCs w:val="36"/>
          <w:highlight w:val="none"/>
        </w:rPr>
      </w:pPr>
    </w:p>
    <w:p w14:paraId="1EA5B01E">
      <w:pPr>
        <w:rPr>
          <w:rFonts w:hint="default" w:ascii="Times New Roman" w:hAnsi="Times New Roman" w:eastAsia="微软雅黑" w:cs="Times New Roman"/>
          <w:sz w:val="36"/>
          <w:szCs w:val="36"/>
          <w:highlight w:val="none"/>
        </w:rPr>
      </w:pPr>
    </w:p>
    <w:p w14:paraId="7DC6BE41">
      <w:pPr>
        <w:rPr>
          <w:rFonts w:hint="default" w:ascii="Times New Roman" w:hAnsi="Times New Roman" w:eastAsia="微软雅黑" w:cs="Times New Roman"/>
          <w:sz w:val="36"/>
          <w:szCs w:val="36"/>
          <w:highlight w:val="none"/>
        </w:rPr>
      </w:pPr>
    </w:p>
    <w:p w14:paraId="2F59E903">
      <w:pPr>
        <w:rPr>
          <w:rFonts w:hint="default" w:ascii="Times New Roman" w:hAnsi="Times New Roman" w:eastAsia="微软雅黑" w:cs="Times New Roman"/>
          <w:sz w:val="36"/>
          <w:szCs w:val="36"/>
          <w:highlight w:val="none"/>
        </w:rPr>
      </w:pPr>
    </w:p>
    <w:p w14:paraId="57CD0166">
      <w:pPr>
        <w:pStyle w:val="2"/>
        <w:rPr>
          <w:rFonts w:hint="default"/>
        </w:rPr>
      </w:pPr>
    </w:p>
    <w:p w14:paraId="72C6856B">
      <w:pPr>
        <w:rPr>
          <w:rFonts w:hint="default" w:ascii="Times New Roman" w:hAnsi="Times New Roman" w:eastAsia="微软雅黑" w:cs="Times New Roman"/>
          <w:sz w:val="36"/>
          <w:szCs w:val="36"/>
          <w:highlight w:val="none"/>
        </w:rPr>
      </w:pPr>
    </w:p>
    <w:p w14:paraId="140C2211">
      <w:pPr>
        <w:rPr>
          <w:rFonts w:hint="default" w:ascii="Times New Roman" w:hAnsi="Times New Roman" w:eastAsia="微软雅黑" w:cs="Times New Roman"/>
          <w:sz w:val="36"/>
          <w:szCs w:val="36"/>
          <w:highlight w:val="none"/>
        </w:rPr>
      </w:pPr>
    </w:p>
    <w:p w14:paraId="11003FDC">
      <w:pPr>
        <w:autoSpaceDE w:val="0"/>
        <w:autoSpaceDN w:val="0"/>
        <w:adjustRightInd w:val="0"/>
        <w:jc w:val="left"/>
        <w:rPr>
          <w:rFonts w:hint="default" w:ascii="Times New Roman" w:hAnsi="Times New Roman" w:eastAsia="宋体" w:cs="Times New Roman"/>
          <w:sz w:val="32"/>
          <w:szCs w:val="32"/>
          <w:highlight w:val="none"/>
          <w:lang w:eastAsia="zh-CN"/>
        </w:rPr>
      </w:pPr>
      <w:r>
        <w:rPr>
          <w:rFonts w:hint="default" w:ascii="Times New Roman" w:hAnsi="Times New Roman" w:cs="Times New Roman"/>
          <w:sz w:val="32"/>
          <w:szCs w:val="32"/>
          <w:highlight w:val="none"/>
        </w:rPr>
        <w:t>保密审查情况：已</w:t>
      </w:r>
      <w:r>
        <w:rPr>
          <w:rFonts w:hint="default" w:ascii="Times New Roman" w:hAnsi="Times New Roman" w:cs="Times New Roman"/>
          <w:sz w:val="32"/>
          <w:szCs w:val="32"/>
          <w:highlight w:val="none"/>
          <w:lang w:val="en-US" w:eastAsia="zh-CN"/>
        </w:rPr>
        <w:t>保密</w:t>
      </w:r>
      <w:r>
        <w:rPr>
          <w:rFonts w:hint="default" w:ascii="Times New Roman" w:hAnsi="Times New Roman" w:cs="Times New Roman"/>
          <w:sz w:val="32"/>
          <w:szCs w:val="32"/>
          <w:highlight w:val="none"/>
        </w:rPr>
        <w:t>审查，内容审定</w:t>
      </w:r>
      <w:r>
        <w:rPr>
          <w:rFonts w:hint="default" w:ascii="Times New Roman" w:hAnsi="Times New Roman" w:cs="Times New Roman"/>
          <w:sz w:val="32"/>
          <w:szCs w:val="32"/>
          <w:highlight w:val="none"/>
          <w:lang w:eastAsia="zh-CN"/>
        </w:rPr>
        <w:t>，</w:t>
      </w:r>
      <w:r>
        <w:rPr>
          <w:rFonts w:hint="default" w:ascii="Times New Roman" w:hAnsi="Times New Roman" w:cs="Times New Roman"/>
          <w:sz w:val="32"/>
          <w:szCs w:val="32"/>
          <w:highlight w:val="none"/>
        </w:rPr>
        <w:t>同意对外公开</w:t>
      </w:r>
    </w:p>
    <w:p w14:paraId="5F9947AC">
      <w:pPr>
        <w:autoSpaceDE w:val="0"/>
        <w:autoSpaceDN w:val="0"/>
        <w:adjustRightInd w:val="0"/>
        <w:jc w:val="left"/>
        <w:rPr>
          <w:rFonts w:hint="default" w:ascii="Times New Roman" w:hAnsi="Times New Roman" w:cs="Times New Roman"/>
          <w:sz w:val="32"/>
          <w:szCs w:val="32"/>
          <w:highlight w:val="none"/>
        </w:rPr>
        <w:sectPr>
          <w:footerReference r:id="rId5" w:type="first"/>
          <w:headerReference r:id="rId3" w:type="default"/>
          <w:footerReference r:id="rId4" w:type="default"/>
          <w:pgSz w:w="11906" w:h="16838"/>
          <w:pgMar w:top="1723" w:right="1800" w:bottom="1440" w:left="1800" w:header="851" w:footer="992" w:gutter="0"/>
          <w:pgNumType w:start="1"/>
          <w:cols w:space="0" w:num="1"/>
          <w:titlePg/>
          <w:rtlGutter w:val="0"/>
          <w:docGrid w:type="lines" w:linePitch="312" w:charSpace="0"/>
        </w:sectPr>
      </w:pPr>
      <w:r>
        <w:rPr>
          <w:rFonts w:hint="default" w:ascii="Times New Roman" w:hAnsi="Times New Roman" w:cs="Times New Roman"/>
          <w:sz w:val="32"/>
          <w:szCs w:val="32"/>
          <w:highlight w:val="none"/>
        </w:rPr>
        <w:t>部门主要负责人审签情况：已审签，同意对外公开</w:t>
      </w:r>
    </w:p>
    <w:p w14:paraId="5FEA939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A7EF6CA">
      <w:pPr>
        <w:widowControl/>
        <w:jc w:val="center"/>
        <w:rPr>
          <w:rFonts w:ascii="Times New Roman" w:hAnsi="Times New Roman" w:eastAsia="黑体" w:cstheme="minorBidi"/>
          <w:color w:val="auto"/>
          <w:sz w:val="28"/>
          <w:szCs w:val="28"/>
          <w:highlight w:val="none"/>
        </w:rPr>
      </w:pPr>
    </w:p>
    <w:p w14:paraId="7B74E0DF">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4FA31C32">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4651"/>
        <w15:color w:val="DBDBDB"/>
        <w:docPartObj>
          <w:docPartGallery w:val="Table of Contents"/>
          <w:docPartUnique/>
        </w:docPartObj>
      </w:sdtPr>
      <w:sdtEndPr>
        <w:rPr>
          <w:rFonts w:hint="eastAsia" w:ascii="Times New Roman" w:hAnsi="Times New Roman" w:eastAsia="宋体" w:cs="Times New Roman"/>
          <w:kern w:val="2"/>
          <w:sz w:val="21"/>
          <w:szCs w:val="24"/>
          <w:lang w:val="en-US" w:eastAsia="zh-CN" w:bidi="ar-SA"/>
        </w:rPr>
      </w:sdtEndPr>
      <w:sdtContent>
        <w:p w14:paraId="12253044">
          <w:pPr>
            <w:spacing w:before="0" w:beforeLines="0" w:after="0" w:afterLines="0" w:line="240" w:lineRule="auto"/>
            <w:ind w:left="0" w:leftChars="0" w:right="0" w:rightChars="0" w:firstLine="0" w:firstLineChars="0"/>
            <w:jc w:val="center"/>
          </w:pPr>
          <w:r>
            <w:rPr>
              <w:rFonts w:hint="eastAsia"/>
            </w:rPr>
            <w:fldChar w:fldCharType="begin"/>
          </w:r>
          <w:r>
            <w:rPr>
              <w:rFonts w:hint="eastAsia"/>
            </w:rPr>
            <w:instrText xml:space="preserve">TOC \o "1-2" \h \u </w:instrText>
          </w:r>
          <w:r>
            <w:rPr>
              <w:rFonts w:hint="eastAsia"/>
            </w:rPr>
            <w:fldChar w:fldCharType="separate"/>
          </w:r>
        </w:p>
        <w:p w14:paraId="011BC90B">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_Toc29830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_Toc29830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6E55D66D">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_Toc15914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一、部门职责</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_Toc15914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F1F6A81">
          <w:pPr>
            <w:pStyle w:val="15"/>
            <w:adjustRightInd w:val="0"/>
            <w:snapToGrid w:val="0"/>
            <w:spacing w:line="560" w:lineRule="exact"/>
            <w:ind w:left="0" w:leftChars="0" w:firstLine="640" w:firstLineChars="200"/>
            <w:jc w:val="left"/>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_Toc21665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二、机构设置</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_Toc21665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- 4 -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70FB19A8">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_Toc13334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第二部分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lang w:val="en-US" w:eastAsia="zh-CN"/>
            </w:rPr>
            <w:t>2025年度</w:t>
          </w:r>
          <w:r>
            <w:rPr>
              <w:rFonts w:hint="eastAsia" w:ascii="Times New Roman" w:hAnsi="Times New Roman" w:eastAsia="黑体" w:cs="黑体"/>
              <w:sz w:val="32"/>
              <w:szCs w:val="32"/>
            </w:rPr>
            <w:t>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_Toc13334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- 5 -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3C09395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_Toc2843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一、收入支出决算总体情况说明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_Toc2843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- 5 -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1B9AC57D">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_Toc24513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二、收入决算情况说明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_Toc24513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- 5 -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E8E5509">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_Toc4053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三、支出决算情况说明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_Toc4053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- 6 -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CA66961">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_Toc26267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四、财政拨款收入支出决算总体情况说明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_Toc26267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- 7 -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4552FBB5">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_Toc15868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五、一般公共预算财政拨款支出决算情况说明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_Toc15868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- 7 -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5020A32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28"/>
              <w:szCs w:val="28"/>
              <w:lang w:eastAsia="zh-CN"/>
            </w:rPr>
          </w:pPr>
          <w:r>
            <w:rPr>
              <w:rFonts w:hint="eastAsia" w:eastAsia="仿宋_GB2312" w:cs="仿宋_GB2312"/>
              <w:sz w:val="32"/>
              <w:szCs w:val="32"/>
              <w:lang w:val="en-US" w:eastAsia="zh-CN"/>
            </w:rPr>
            <w:t>六</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28"/>
              <w:szCs w:val="28"/>
              <w:lang w:eastAsia="zh-CN"/>
            </w:rPr>
            <w:fldChar w:fldCharType="begin"/>
          </w:r>
          <w:r>
            <w:rPr>
              <w:rFonts w:hint="eastAsia" w:ascii="Times New Roman" w:hAnsi="Times New Roman" w:eastAsia="仿宋_GB2312" w:cs="仿宋_GB2312"/>
              <w:sz w:val="28"/>
              <w:szCs w:val="28"/>
              <w:lang w:eastAsia="zh-CN"/>
            </w:rPr>
            <w:instrText xml:space="preserve"> HYPERLINK \l _Toc17578 </w:instrText>
          </w:r>
          <w:r>
            <w:rPr>
              <w:rFonts w:hint="eastAsia" w:ascii="Times New Roman" w:hAnsi="Times New Roman" w:eastAsia="仿宋_GB2312" w:cs="仿宋_GB2312"/>
              <w:sz w:val="28"/>
              <w:szCs w:val="28"/>
              <w:lang w:eastAsia="zh-CN"/>
            </w:rPr>
            <w:fldChar w:fldCharType="separate"/>
          </w:r>
          <w:r>
            <w:rPr>
              <w:rFonts w:hint="eastAsia" w:ascii="Times New Roman" w:hAnsi="Times New Roman" w:eastAsia="仿宋_GB2312" w:cs="仿宋_GB2312"/>
              <w:sz w:val="32"/>
              <w:szCs w:val="32"/>
              <w:lang w:eastAsia="zh-CN"/>
            </w:rPr>
            <w:t>一般公共预算财政拨款基本支出决算情况说明</w:t>
          </w:r>
          <w:r>
            <w:rPr>
              <w:rFonts w:hint="eastAsia" w:ascii="Times New Roman" w:hAnsi="Times New Roman" w:eastAsia="仿宋_GB2312" w:cs="仿宋_GB2312"/>
              <w:sz w:val="28"/>
              <w:szCs w:val="28"/>
              <w:lang w:eastAsia="zh-CN"/>
            </w:rPr>
            <w:tab/>
          </w:r>
          <w:r>
            <w:rPr>
              <w:rFonts w:hint="eastAsia" w:ascii="Times New Roman" w:hAnsi="Times New Roman" w:eastAsia="仿宋_GB2312" w:cs="仿宋_GB2312"/>
              <w:sz w:val="28"/>
              <w:szCs w:val="28"/>
              <w:lang w:eastAsia="zh-CN"/>
            </w:rPr>
            <w:fldChar w:fldCharType="begin"/>
          </w:r>
          <w:r>
            <w:rPr>
              <w:rFonts w:hint="eastAsia" w:ascii="Times New Roman" w:hAnsi="Times New Roman" w:eastAsia="仿宋_GB2312" w:cs="仿宋_GB2312"/>
              <w:sz w:val="28"/>
              <w:szCs w:val="28"/>
              <w:lang w:eastAsia="zh-CN"/>
            </w:rPr>
            <w:instrText xml:space="preserve"> PAGEREF _Toc17578 \h </w:instrText>
          </w:r>
          <w:r>
            <w:rPr>
              <w:rFonts w:hint="eastAsia" w:ascii="Times New Roman" w:hAnsi="Times New Roman" w:eastAsia="仿宋_GB2312" w:cs="仿宋_GB2312"/>
              <w:sz w:val="28"/>
              <w:szCs w:val="28"/>
              <w:lang w:eastAsia="zh-CN"/>
            </w:rPr>
            <w:fldChar w:fldCharType="separate"/>
          </w:r>
          <w:r>
            <w:rPr>
              <w:rFonts w:hint="eastAsia" w:ascii="Times New Roman" w:hAnsi="Times New Roman" w:eastAsia="仿宋_GB2312" w:cs="仿宋_GB2312"/>
              <w:sz w:val="28"/>
              <w:szCs w:val="28"/>
              <w:lang w:eastAsia="zh-CN"/>
            </w:rPr>
            <w:t>- 10 -</w:t>
          </w:r>
          <w:r>
            <w:rPr>
              <w:rFonts w:hint="eastAsia" w:ascii="Times New Roman" w:hAnsi="Times New Roman" w:eastAsia="仿宋_GB2312" w:cs="仿宋_GB2312"/>
              <w:sz w:val="28"/>
              <w:szCs w:val="28"/>
              <w:lang w:eastAsia="zh-CN"/>
            </w:rPr>
            <w:fldChar w:fldCharType="end"/>
          </w:r>
          <w:r>
            <w:rPr>
              <w:rFonts w:hint="eastAsia" w:ascii="Times New Roman" w:hAnsi="Times New Roman" w:eastAsia="仿宋_GB2312" w:cs="仿宋_GB2312"/>
              <w:sz w:val="28"/>
              <w:szCs w:val="28"/>
              <w:lang w:eastAsia="zh-CN"/>
            </w:rPr>
            <w:fldChar w:fldCharType="end"/>
          </w:r>
        </w:p>
        <w:p w14:paraId="1794CB6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_Toc8288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七、财政拨款“三公”经费支出决算情况说明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_Toc8288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- 11 -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787DF4C2">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_Toc15213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八、政府性基金预算支出决算情况说明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_Toc15213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- 13 -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30C607ED">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_Toc10090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九、国有资本经营预算支出决算情况说明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_Toc10090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- 13 -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1601EA19">
          <w:pPr>
            <w:pStyle w:val="15"/>
            <w:adjustRightInd w:val="0"/>
            <w:snapToGrid w:val="0"/>
            <w:spacing w:line="560" w:lineRule="exact"/>
            <w:ind w:left="0" w:leftChars="0" w:firstLine="640" w:firstLineChars="200"/>
            <w:jc w:val="left"/>
          </w:pP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HYPERLINK \l _Toc5364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十、其他重要事项的情况说明</w:t>
          </w:r>
          <w:r>
            <w:rPr>
              <w:rFonts w:hint="eastAsia" w:ascii="Times New Roman" w:hAnsi="Times New Roman" w:eastAsia="仿宋_GB2312" w:cs="仿宋_GB2312"/>
              <w:sz w:val="32"/>
              <w:szCs w:val="32"/>
              <w:lang w:eastAsia="zh-CN"/>
            </w:rPr>
            <w:tab/>
          </w:r>
          <w:r>
            <w:rPr>
              <w:rFonts w:hint="eastAsia" w:ascii="Times New Roman" w:hAnsi="Times New Roman" w:eastAsia="仿宋_GB2312" w:cs="仿宋_GB2312"/>
              <w:sz w:val="32"/>
              <w:szCs w:val="32"/>
              <w:lang w:eastAsia="zh-CN"/>
            </w:rPr>
            <w:fldChar w:fldCharType="begin"/>
          </w:r>
          <w:r>
            <w:rPr>
              <w:rFonts w:hint="eastAsia" w:ascii="Times New Roman" w:hAnsi="Times New Roman" w:eastAsia="仿宋_GB2312" w:cs="仿宋_GB2312"/>
              <w:sz w:val="32"/>
              <w:szCs w:val="32"/>
              <w:lang w:eastAsia="zh-CN"/>
            </w:rPr>
            <w:instrText xml:space="preserve"> PAGEREF _Toc5364 \h </w:instrText>
          </w:r>
          <w:r>
            <w:rPr>
              <w:rFonts w:hint="eastAsia" w:ascii="Times New Roman" w:hAnsi="Times New Roman" w:eastAsia="仿宋_GB2312" w:cs="仿宋_GB2312"/>
              <w:sz w:val="32"/>
              <w:szCs w:val="32"/>
              <w:lang w:eastAsia="zh-CN"/>
            </w:rPr>
            <w:fldChar w:fldCharType="separate"/>
          </w:r>
          <w:r>
            <w:rPr>
              <w:rFonts w:hint="eastAsia" w:ascii="Times New Roman" w:hAnsi="Times New Roman" w:eastAsia="仿宋_GB2312" w:cs="仿宋_GB2312"/>
              <w:sz w:val="32"/>
              <w:szCs w:val="32"/>
              <w:lang w:eastAsia="zh-CN"/>
            </w:rPr>
            <w:t>- 14 -</w:t>
          </w:r>
          <w:r>
            <w:rPr>
              <w:rFonts w:hint="eastAsia" w:ascii="Times New Roman" w:hAnsi="Times New Roman" w:eastAsia="仿宋_GB2312" w:cs="仿宋_GB2312"/>
              <w:sz w:val="32"/>
              <w:szCs w:val="32"/>
              <w:lang w:eastAsia="zh-CN"/>
            </w:rPr>
            <w:fldChar w:fldCharType="end"/>
          </w:r>
          <w:r>
            <w:rPr>
              <w:rFonts w:hint="eastAsia" w:ascii="Times New Roman" w:hAnsi="Times New Roman" w:eastAsia="仿宋_GB2312" w:cs="仿宋_GB2312"/>
              <w:sz w:val="32"/>
              <w:szCs w:val="32"/>
              <w:lang w:eastAsia="zh-CN"/>
            </w:rPr>
            <w:fldChar w:fldCharType="end"/>
          </w:r>
        </w:p>
        <w:p w14:paraId="522B0790">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_Toc23023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w:t>
          </w:r>
          <w:r>
            <w:rPr>
              <w:rFonts w:hint="eastAsia" w:ascii="Times New Roman" w:hAnsi="Times New Roman" w:eastAsia="黑体" w:cs="黑体"/>
              <w:sz w:val="32"/>
              <w:szCs w:val="32"/>
              <w:lang w:eastAsia="zh-CN"/>
            </w:rPr>
            <w:t>三</w:t>
          </w:r>
          <w:r>
            <w:rPr>
              <w:rFonts w:hint="eastAsia" w:ascii="Times New Roman" w:hAnsi="Times New Roman" w:eastAsia="黑体" w:cs="黑体"/>
              <w:sz w:val="32"/>
              <w:szCs w:val="32"/>
            </w:rPr>
            <w:t>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_Toc23023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- 16 -</w:t>
          </w:r>
          <w:r>
            <w:rPr>
              <w:rFonts w:hint="eastAsia" w:ascii="Times New Roman" w:hAnsi="Times New Roman" w:eastAsia="黑体" w:cs="黑体"/>
              <w:sz w:val="32"/>
              <w:szCs w:val="32"/>
            </w:rPr>
            <w:fldChar w:fldCharType="end"/>
          </w:r>
          <w:r>
            <w:rPr>
              <w:rFonts w:hint="eastAsia"/>
            </w:rPr>
            <w:fldChar w:fldCharType="end"/>
          </w:r>
        </w:p>
        <w:p w14:paraId="6B24E742">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_Toc4616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第四部分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_Toc4616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- 19 -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70E88FE3">
          <w:pPr>
            <w:pStyle w:val="13"/>
            <w:adjustRightInd w:val="0"/>
            <w:snapToGrid w:val="0"/>
            <w:spacing w:before="0" w:line="560" w:lineRule="exact"/>
            <w:jc w:val="left"/>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_Toc19012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- 63 -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25B9FD90">
          <w:pPr>
            <w:pStyle w:val="15"/>
            <w:adjustRightInd w:val="0"/>
            <w:snapToGrid w:val="0"/>
            <w:spacing w:line="560" w:lineRule="exact"/>
            <w:ind w:left="0" w:leftChars="0" w:firstLine="420" w:firstLineChars="200"/>
            <w:jc w:val="left"/>
            <w:rPr>
              <w:rFonts w:hint="eastAsia" w:ascii="Times New Roman" w:hAnsi="Times New Roman" w:eastAsia="仿宋_GB2312" w:cs="仿宋_GB2312"/>
              <w:sz w:val="32"/>
              <w:szCs w:val="32"/>
              <w:lang w:eastAsia="zh-CN"/>
            </w:rPr>
          </w:pPr>
          <w:r>
            <w:rPr>
              <w:rFonts w:hint="eastAsia"/>
            </w:rPr>
            <w:fldChar w:fldCharType="end"/>
          </w:r>
          <w:r>
            <w:rPr>
              <w:rFonts w:hint="eastAsia"/>
              <w:lang w:val="en-US" w:eastAsia="zh-CN"/>
            </w:rPr>
            <w:t xml:space="preserve">  </w:t>
          </w:r>
          <w:r>
            <w:rPr>
              <w:rFonts w:hint="eastAsia" w:ascii="Times New Roman" w:hAnsi="Times New Roman" w:eastAsia="仿宋_GB2312" w:cs="仿宋_GB2312"/>
              <w:sz w:val="32"/>
              <w:szCs w:val="32"/>
              <w:lang w:eastAsia="zh-CN"/>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6D72D4AC">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7004AF0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694E3723">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77CDBED6">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2DA888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24063BB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3BD6C08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524B9B3A">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7477C8A1">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p w14:paraId="7EEFC5DB">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32"/>
              <w:szCs w:val="32"/>
              <w:lang w:eastAsia="zh-CN"/>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24"/>
              <w:szCs w:val="24"/>
            </w:rPr>
            <w:fldChar w:fldCharType="begin"/>
          </w:r>
          <w:r>
            <w:rPr>
              <w:rFonts w:hint="eastAsia" w:ascii="Times New Roman" w:hAnsi="Times New Roman" w:eastAsia="黑体" w:cs="黑体"/>
              <w:sz w:val="24"/>
              <w:szCs w:val="24"/>
            </w:rPr>
            <w:instrText xml:space="preserve"> PAGEREF _Toc9469 \h </w:instrText>
          </w:r>
          <w:r>
            <w:rPr>
              <w:rFonts w:hint="eastAsia" w:ascii="Times New Roman" w:hAnsi="Times New Roman" w:eastAsia="黑体" w:cs="黑体"/>
              <w:sz w:val="24"/>
              <w:szCs w:val="24"/>
            </w:rPr>
            <w:fldChar w:fldCharType="separate"/>
          </w:r>
          <w:r>
            <w:rPr>
              <w:rFonts w:hint="eastAsia" w:ascii="Times New Roman" w:hAnsi="Times New Roman" w:eastAsia="黑体" w:cs="黑体"/>
              <w:sz w:val="24"/>
              <w:szCs w:val="24"/>
            </w:rPr>
            <w:t>-</w:t>
          </w:r>
          <w:r>
            <w:rPr>
              <w:rFonts w:hint="eastAsia" w:ascii="Times New Roman" w:hAnsi="Times New Roman" w:eastAsia="黑体" w:cs="黑体"/>
              <w:sz w:val="32"/>
              <w:szCs w:val="32"/>
            </w:rPr>
            <w:t xml:space="preserve"> </w:t>
          </w:r>
          <w:r>
            <w:rPr>
              <w:rFonts w:hint="eastAsia" w:eastAsia="黑体" w:cs="黑体"/>
              <w:sz w:val="24"/>
              <w:szCs w:val="24"/>
              <w:lang w:val="en-US" w:eastAsia="zh-CN"/>
            </w:rPr>
            <w:t>64</w:t>
          </w:r>
          <w:r>
            <w:rPr>
              <w:rFonts w:hint="eastAsia" w:ascii="Times New Roman" w:hAnsi="Times New Roman" w:eastAsia="黑体" w:cs="黑体"/>
              <w:sz w:val="24"/>
              <w:szCs w:val="24"/>
            </w:rPr>
            <w:t xml:space="preserve"> -</w:t>
          </w:r>
          <w:r>
            <w:rPr>
              <w:rFonts w:hint="eastAsia" w:ascii="Times New Roman" w:hAnsi="Times New Roman" w:eastAsia="黑体" w:cs="黑体"/>
              <w:sz w:val="24"/>
              <w:szCs w:val="24"/>
            </w:rPr>
            <w:fldChar w:fldCharType="end"/>
          </w:r>
        </w:p>
        <w:p w14:paraId="7F948294">
          <w:pPr>
            <w:pStyle w:val="15"/>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_Toc9469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64</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12C8EEF1">
          <w:pPr>
            <w:ind w:firstLine="640" w:firstLineChars="200"/>
            <w:rPr>
              <w:rFonts w:hint="eastAsia" w:ascii="Times New Roman" w:hAnsi="Times New Roman" w:eastAsia="宋体" w:cs="Times New Roman"/>
              <w:kern w:val="2"/>
              <w:sz w:val="21"/>
              <w:szCs w:val="24"/>
              <w:lang w:val="en-US" w:eastAsia="zh-CN" w:bidi="ar-SA"/>
            </w:rPr>
            <w:sectPr>
              <w:footerReference r:id="rId8" w:type="first"/>
              <w:headerReference r:id="rId6" w:type="default"/>
              <w:footerReference r:id="rId7"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仿宋_GB2312" w:cs="仿宋_GB2312"/>
              <w:sz w:val="32"/>
              <w:szCs w:val="32"/>
              <w:lang w:eastAsia="zh-CN"/>
            </w:rPr>
            <w:t>十三、财政拨款“三公”经费支出决算表</w:t>
          </w:r>
          <w:r>
            <w:rPr>
              <w:rFonts w:hint="eastAsia" w:eastAsia="仿宋_GB2312" w:cs="仿宋_GB2312"/>
              <w:sz w:val="32"/>
              <w:szCs w:val="32"/>
              <w:lang w:val="en-US" w:eastAsia="zh-CN"/>
            </w:rPr>
            <w:t>................</w:t>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_Toc19012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- 64 -</w:t>
          </w:r>
          <w:r>
            <w:rPr>
              <w:rFonts w:hint="eastAsia" w:ascii="Times New Roman" w:hAnsi="Times New Roman" w:eastAsia="黑体" w:cs="黑体"/>
              <w:sz w:val="32"/>
              <w:szCs w:val="32"/>
            </w:rPr>
            <w:fldChar w:fldCharType="end"/>
          </w:r>
        </w:p>
      </w:sdtContent>
    </w:sdt>
    <w:p w14:paraId="253A13AC">
      <w:pPr>
        <w:pStyle w:val="14"/>
        <w:rPr>
          <w:rFonts w:hint="eastAsia"/>
        </w:rPr>
      </w:pPr>
    </w:p>
    <w:p w14:paraId="0C2E53FE">
      <w:pPr>
        <w:pStyle w:val="3"/>
        <w:jc w:val="center"/>
        <w:rPr>
          <w:rStyle w:val="29"/>
          <w:rFonts w:hint="eastAsia" w:ascii="Times New Roman" w:hAnsi="Times New Roman" w:eastAsia="微软雅黑" w:cs="微软雅黑"/>
          <w:b/>
          <w:bCs w:val="0"/>
          <w:color w:val="auto"/>
          <w:highlight w:val="none"/>
        </w:rPr>
      </w:pPr>
      <w:bookmarkStart w:id="22" w:name="_Toc29830"/>
      <w:bookmarkStart w:id="23" w:name="_Toc15377196"/>
      <w:bookmarkStart w:id="24" w:name="_Toc15396599"/>
      <w:r>
        <w:rPr>
          <w:rFonts w:hint="eastAsia" w:ascii="Times New Roman" w:hAnsi="Times New Roman" w:eastAsia="微软雅黑" w:cs="微软雅黑"/>
          <w:b w:val="0"/>
          <w:color w:val="auto"/>
          <w:highlight w:val="none"/>
        </w:rPr>
        <w:t>第一部分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Style w:val="29"/>
          <w:rFonts w:hint="eastAsia" w:ascii="Times New Roman" w:hAnsi="Times New Roman" w:eastAsia="微软雅黑" w:cs="微软雅黑"/>
          <w:b w:val="0"/>
          <w:bCs w:val="0"/>
          <w:color w:val="auto"/>
          <w:highlight w:val="none"/>
        </w:rPr>
        <w:t>部门概况</w:t>
      </w:r>
      <w:bookmarkEnd w:id="22"/>
      <w:bookmarkEnd w:id="23"/>
      <w:bookmarkEnd w:id="24"/>
    </w:p>
    <w:p w14:paraId="35697D8E">
      <w:pPr>
        <w:widowControl/>
        <w:jc w:val="left"/>
        <w:rPr>
          <w:rFonts w:ascii="Times New Roman" w:hAnsi="Times New Roman" w:eastAsia="黑体"/>
          <w:color w:val="auto"/>
          <w:sz w:val="32"/>
          <w:szCs w:val="32"/>
          <w:highlight w:val="none"/>
        </w:rPr>
      </w:pPr>
    </w:p>
    <w:p w14:paraId="3EB71403">
      <w:pPr>
        <w:pStyle w:val="4"/>
        <w:ind w:firstLine="640" w:firstLineChars="200"/>
        <w:rPr>
          <w:rFonts w:hint="eastAsia" w:ascii="Times New Roman" w:hAnsi="Times New Roman" w:eastAsia="黑体"/>
          <w:b w:val="0"/>
          <w:color w:val="auto"/>
          <w:highlight w:val="none"/>
          <w:lang w:eastAsia="zh-CN"/>
        </w:rPr>
      </w:pPr>
      <w:bookmarkStart w:id="25" w:name="_Toc15396600"/>
      <w:bookmarkStart w:id="26" w:name="_Toc15377197"/>
      <w:bookmarkStart w:id="27" w:name="_Toc15914"/>
      <w:r>
        <w:rPr>
          <w:rFonts w:hint="eastAsia" w:ascii="Times New Roman" w:hAnsi="Times New Roman" w:eastAsia="黑体"/>
          <w:b w:val="0"/>
          <w:color w:val="auto"/>
          <w:highlight w:val="none"/>
        </w:rPr>
        <w:t>一、</w:t>
      </w:r>
      <w:bookmarkEnd w:id="25"/>
      <w:bookmarkEnd w:id="26"/>
      <w:r>
        <w:rPr>
          <w:rFonts w:hint="eastAsia" w:ascii="Times New Roman" w:hAnsi="Times New Roman" w:eastAsia="黑体"/>
          <w:b w:val="0"/>
          <w:color w:val="auto"/>
          <w:highlight w:val="none"/>
          <w:lang w:eastAsia="zh-CN"/>
        </w:rPr>
        <w:t>部门职责</w:t>
      </w:r>
      <w:bookmarkEnd w:id="27"/>
    </w:p>
    <w:p w14:paraId="10E39C55">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一）贯彻执行党和国家关于民族宗教工作的方针、政策、法律、法规，研究提出我州铸牢中华民族共同体意识、加强中华民族共同体建设和坚持我国宗教中国化方向、引导宗教与社会主义社会相适应的政策建议。</w:t>
      </w:r>
    </w:p>
    <w:p w14:paraId="37493565">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二）负责民族工作有关协调机制的具体事务,协调推动有关部门履行民族宗教工作相关职责，对县（市）、州级各部门贯彻落实中央、省、州关于民族宗教工作的决策部署、民族宗教工作法律法规开展指导和督促检查。负责对全州民族宗教工作进行业务指导。</w:t>
      </w:r>
    </w:p>
    <w:p w14:paraId="0E6EDEE2">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（三）组织开展以铸牢中华民族共同体意识为主线的民族宗教理论、民族宗教政策和民族宗教工作重大问题的调查研究。负责民族宗教动态和信息的汇总、分析，提出处理民族宗教工作的政策建议。</w:t>
      </w:r>
    </w:p>
    <w:p w14:paraId="0FE330EB">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四）研究提出推进全州民族事务治理体系和治理能力现代化、全面推进宗教工作法治化建设的政策建议；负责起草民族宗教事务地方性法规和规章草案、政策措施并推动落实。督促指导民族区域自治法的贯彻落实，依法保障各族群众的合法权益。</w:t>
      </w:r>
    </w:p>
    <w:p w14:paraId="101E8C71">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五）研究提出我州推进中华民族共有精神家园建设的政策建议，参与中华文化符号和中华民族形象建设。协调推动少数民族优秀文化传承保护和创新融合。负责管理全州少数民族语言文字工作，指导少数民族语言文字翻译、出版和民族古籍收集、整理、出版工作。</w:t>
      </w:r>
    </w:p>
    <w:p w14:paraId="4D1429EF">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（六）组织实施促进我州各民族交往交流交融的政策,组织开展民族领域示范创建工作，协调推动构建互嵌式社会结构和社区环境建设工作。</w:t>
      </w:r>
    </w:p>
    <w:p w14:paraId="6BCB43F0">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七）研究提出我州推动各民族共同走向社会主义现代化的政策建议，促进党的民族政策在经济、文化、社会、生态、安全领域的实施、衔接。参与研究分析全州经济发展、社会事业方面的问题并提出特殊政策建议。参与拟订和实施少数民族经济社会发展相关规划。协调推进民族宗教事务公共服务体系建设和管理信息化建设。开展民族地区经济社会发展综合评估工作。</w:t>
      </w:r>
    </w:p>
    <w:p w14:paraId="77CB3365">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（八）研究提出协调民族关系、宗教关系的政策建议，会同有关部门协调处理民族关系、宗教关系中的重大事项，参与民族宗教领域重大风险隐患防范化解工作，维护国家统一、民族团结、社会稳定。</w:t>
      </w:r>
    </w:p>
    <w:p w14:paraId="774599F7">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（九）协调组织开展铸牢中华民族共同体意识、坚持我国宗教中国化方向和民族宗教方面法律法规和政策的宣传教育工作。组织协调民族自治地方重大庆典活动和全州性民族文化体育活动。</w:t>
      </w:r>
    </w:p>
    <w:p w14:paraId="52206980">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（十）依法履行宗教事务管理职责,依法保护公民宗教信仰自由和正常的宗教活动,维护宗教界合法权益,促进宗教关系和谐。</w:t>
      </w:r>
    </w:p>
    <w:p w14:paraId="0454A3B2">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（十一）指导宗教团体依法依章开展活动，加强自身建设，推动宗教团体在宗教界开展爱国主义、集体主义、社会主义和维护祖国统一、民族团结教育，办理宗教团体需由政府解决或协调的有关事宜。</w:t>
      </w:r>
    </w:p>
    <w:p w14:paraId="7D10BFD9">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（十二）指导县（市）民族宗教事务部门依法履行管理职责，防范利用民族宗教进行的非法、违法活动，抵御境外势力利用民族宗教进行的分裂、渗透、破坏活动。</w:t>
      </w:r>
    </w:p>
    <w:p w14:paraId="72A60B7C">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（十三）组织协调民族宗教工作领域有关对外和对港澳台的交流与合作，参与涉及民族宗教事务的对外宣传工作。</w:t>
      </w:r>
    </w:p>
    <w:p w14:paraId="587D8565">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四）参与拟订少数民族人才队伍、民族宗教工作干部队伍建设规划，联系少数民族干部和代表人士，协助有关部门做好少数民族干部的培养、教育、使用工作。负责提出加强基层民族宗教工作队伍建设的政策建议。</w:t>
      </w:r>
    </w:p>
    <w:p w14:paraId="1E061342">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（十五）负责职责范围内的安全生产和职业健康、生态环境保护、审批服务便民化等工作。</w:t>
      </w:r>
    </w:p>
    <w:p w14:paraId="31AAE79C">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（十六）完成州委、州政府交办的其他任务。</w:t>
      </w:r>
    </w:p>
    <w:p w14:paraId="11CDE0FD">
      <w:pPr>
        <w:rPr>
          <w:rFonts w:hint="eastAsia"/>
          <w:lang w:eastAsia="zh-CN"/>
        </w:rPr>
      </w:pPr>
    </w:p>
    <w:p w14:paraId="4A187D84">
      <w:pPr>
        <w:pStyle w:val="4"/>
        <w:ind w:firstLine="640" w:firstLineChars="200"/>
        <w:rPr>
          <w:rStyle w:val="30"/>
          <w:rFonts w:ascii="Times New Roman" w:hAnsi="Times New Roman"/>
          <w:b w:val="0"/>
          <w:bCs w:val="0"/>
          <w:color w:val="auto"/>
          <w:highlight w:val="none"/>
        </w:rPr>
      </w:pPr>
      <w:bookmarkStart w:id="28" w:name="_Toc21665"/>
      <w:bookmarkStart w:id="29" w:name="_Toc15377200"/>
      <w:bookmarkStart w:id="30"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28"/>
      <w:bookmarkEnd w:id="29"/>
      <w:bookmarkEnd w:id="30"/>
    </w:p>
    <w:p w14:paraId="6F2C69C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1" w:name="_Toc21511"/>
      <w:r>
        <w:rPr>
          <w:rFonts w:hint="eastAsia" w:ascii="Times New Roman" w:hAnsi="Times New Roman" w:eastAsia="仿宋_GB2312" w:cs="仿宋_GB2312"/>
          <w:color w:val="auto"/>
          <w:sz w:val="32"/>
          <w:szCs w:val="32"/>
          <w:highlight w:val="none"/>
        </w:rPr>
        <w:t>四川省阿坝州民族宗教事务委员会下属二级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bookmarkEnd w:id="31"/>
    </w:p>
    <w:p w14:paraId="68D715E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2" w:name="_Toc30379"/>
      <w:r>
        <w:rPr>
          <w:rFonts w:hint="eastAsia" w:ascii="Times New Roman" w:hAnsi="Times New Roman" w:eastAsia="仿宋_GB2312" w:cs="仿宋_GB2312"/>
          <w:color w:val="auto"/>
          <w:sz w:val="32"/>
          <w:szCs w:val="32"/>
          <w:highlight w:val="none"/>
        </w:rPr>
        <w:t>纳入四川省阿坝州民族宗教事务委员会</w:t>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bookmarkEnd w:id="32"/>
    </w:p>
    <w:p w14:paraId="703AF1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3" w:name="_Toc15377202"/>
      <w:bookmarkStart w:id="34" w:name="_Toc15378449"/>
      <w:bookmarkStart w:id="35" w:name="_Toc15306276"/>
      <w:bookmarkStart w:id="36" w:name="_Toc15377433"/>
      <w:bookmarkStart w:id="37" w:name="_Toc12460"/>
      <w:r>
        <w:rPr>
          <w:rFonts w:hint="eastAsia" w:eastAsia="仿宋_GB2312" w:cs="仿宋_GB2312"/>
          <w:color w:val="auto"/>
          <w:sz w:val="32"/>
          <w:szCs w:val="32"/>
          <w:highlight w:val="none"/>
          <w:lang w:val="en-US" w:eastAsia="zh-CN"/>
        </w:rPr>
        <w:t xml:space="preserve">1. </w:t>
      </w:r>
      <w:r>
        <w:rPr>
          <w:rFonts w:hint="eastAsia" w:ascii="Times New Roman" w:hAnsi="Times New Roman" w:eastAsia="仿宋_GB2312" w:cs="仿宋_GB2312"/>
          <w:color w:val="auto"/>
          <w:sz w:val="32"/>
          <w:szCs w:val="32"/>
          <w:highlight w:val="none"/>
          <w:lang w:val="en-US" w:eastAsia="zh-CN"/>
        </w:rPr>
        <w:t>阿坝州</w:t>
      </w:r>
      <w:r>
        <w:rPr>
          <w:rFonts w:hint="eastAsia" w:ascii="Times New Roman" w:hAnsi="Times New Roman" w:eastAsia="仿宋_GB2312" w:cs="仿宋_GB2312"/>
          <w:color w:val="auto"/>
          <w:sz w:val="32"/>
          <w:szCs w:val="32"/>
          <w:highlight w:val="none"/>
        </w:rPr>
        <w:t>民族宗教事务委员会（</w:t>
      </w:r>
      <w:r>
        <w:rPr>
          <w:rFonts w:hint="eastAsia" w:ascii="Times New Roman" w:hAnsi="Times New Roman" w:eastAsia="仿宋_GB2312" w:cs="仿宋_GB2312"/>
          <w:color w:val="auto"/>
          <w:sz w:val="32"/>
          <w:szCs w:val="32"/>
          <w:highlight w:val="none"/>
          <w:lang w:val="en-US" w:eastAsia="zh-CN"/>
        </w:rPr>
        <w:t>本级</w:t>
      </w:r>
      <w:r>
        <w:rPr>
          <w:rFonts w:hint="eastAsia" w:ascii="Times New Roman" w:hAnsi="Times New Roman" w:eastAsia="仿宋_GB2312" w:cs="仿宋_GB2312"/>
          <w:color w:val="auto"/>
          <w:sz w:val="32"/>
          <w:szCs w:val="32"/>
          <w:highlight w:val="none"/>
        </w:rPr>
        <w:t>）</w:t>
      </w:r>
      <w:bookmarkEnd w:id="33"/>
      <w:bookmarkEnd w:id="34"/>
      <w:bookmarkEnd w:id="35"/>
      <w:bookmarkEnd w:id="36"/>
      <w:r>
        <w:rPr>
          <w:rFonts w:hint="eastAsia" w:eastAsia="仿宋_GB2312" w:cs="仿宋_GB2312"/>
          <w:color w:val="auto"/>
          <w:sz w:val="32"/>
          <w:szCs w:val="32"/>
          <w:highlight w:val="none"/>
          <w:lang w:eastAsia="zh-CN"/>
        </w:rPr>
        <w:t>；</w:t>
      </w:r>
      <w:bookmarkEnd w:id="37"/>
    </w:p>
    <w:p w14:paraId="1C212C5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8" w:name="_Toc15306277"/>
      <w:bookmarkStart w:id="39" w:name="_Toc15378450"/>
      <w:bookmarkStart w:id="40" w:name="_Toc15377203"/>
      <w:bookmarkStart w:id="41" w:name="_Toc15377434"/>
      <w:bookmarkStart w:id="42" w:name="_Toc20369"/>
      <w:r>
        <w:rPr>
          <w:rFonts w:hint="eastAsia" w:eastAsia="仿宋_GB2312" w:cs="仿宋_GB2312"/>
          <w:color w:val="auto"/>
          <w:sz w:val="32"/>
          <w:szCs w:val="32"/>
          <w:highlight w:val="none"/>
          <w:lang w:val="en-US" w:eastAsia="zh-CN"/>
        </w:rPr>
        <w:t xml:space="preserve">2. </w:t>
      </w:r>
      <w:r>
        <w:rPr>
          <w:rFonts w:hint="eastAsia" w:ascii="Times New Roman" w:hAnsi="Times New Roman" w:eastAsia="仿宋_GB2312" w:cs="仿宋_GB2312"/>
          <w:color w:val="auto"/>
          <w:sz w:val="32"/>
          <w:szCs w:val="32"/>
          <w:highlight w:val="none"/>
          <w:lang w:val="en-US" w:eastAsia="zh-CN"/>
        </w:rPr>
        <w:t>阿坝州</w:t>
      </w:r>
      <w:r>
        <w:rPr>
          <w:rFonts w:hint="eastAsia" w:ascii="Times New Roman" w:hAnsi="Times New Roman" w:eastAsia="仿宋_GB2312" w:cs="仿宋_GB2312"/>
          <w:color w:val="auto"/>
          <w:sz w:val="32"/>
          <w:szCs w:val="32"/>
          <w:highlight w:val="none"/>
        </w:rPr>
        <w:t>民族宗教政策研究中心</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其中：</w:t>
      </w:r>
      <w:r>
        <w:rPr>
          <w:rFonts w:hint="eastAsia" w:ascii="Times New Roman" w:hAnsi="Times New Roman" w:eastAsia="仿宋_GB2312" w:cs="仿宋_GB2312"/>
          <w:color w:val="auto"/>
          <w:sz w:val="32"/>
          <w:szCs w:val="32"/>
          <w:highlight w:val="none"/>
          <w:lang w:eastAsia="zh-CN"/>
        </w:rPr>
        <w:t>阿坝州宗教事务培训教育中心和阿坝州涉宗网络监管中心</w:t>
      </w:r>
      <w:r>
        <w:rPr>
          <w:rFonts w:hint="eastAsia" w:ascii="Times New Roman" w:hAnsi="Times New Roman" w:eastAsia="仿宋_GB2312" w:cs="仿宋_GB2312"/>
          <w:color w:val="auto"/>
          <w:sz w:val="32"/>
          <w:szCs w:val="32"/>
          <w:highlight w:val="none"/>
          <w:lang w:val="en-US" w:eastAsia="zh-CN"/>
        </w:rPr>
        <w:t>由</w:t>
      </w:r>
      <w:r>
        <w:rPr>
          <w:rFonts w:hint="eastAsia" w:ascii="Times New Roman" w:hAnsi="Times New Roman" w:eastAsia="仿宋_GB2312" w:cs="仿宋_GB2312"/>
          <w:color w:val="auto"/>
          <w:sz w:val="32"/>
          <w:szCs w:val="32"/>
          <w:highlight w:val="none"/>
        </w:rPr>
        <w:t>阿坝州民族宗教政策研究中心</w:t>
      </w:r>
      <w:r>
        <w:rPr>
          <w:rFonts w:hint="eastAsia" w:ascii="Times New Roman" w:hAnsi="Times New Roman" w:eastAsia="仿宋_GB2312" w:cs="仿宋_GB2312"/>
          <w:color w:val="auto"/>
          <w:sz w:val="32"/>
          <w:szCs w:val="32"/>
          <w:highlight w:val="none"/>
          <w:lang w:val="en-US" w:eastAsia="zh-CN"/>
        </w:rPr>
        <w:t>统一核算</w:t>
      </w:r>
      <w:r>
        <w:rPr>
          <w:rFonts w:hint="eastAsia" w:ascii="Times New Roman" w:hAnsi="Times New Roman" w:eastAsia="仿宋_GB2312" w:cs="仿宋_GB2312"/>
          <w:color w:val="auto"/>
          <w:sz w:val="32"/>
          <w:szCs w:val="32"/>
          <w:highlight w:val="none"/>
          <w:lang w:eastAsia="zh-CN"/>
        </w:rPr>
        <w:t>）</w:t>
      </w:r>
      <w:bookmarkEnd w:id="38"/>
      <w:bookmarkEnd w:id="39"/>
      <w:bookmarkEnd w:id="40"/>
      <w:bookmarkEnd w:id="41"/>
      <w:r>
        <w:rPr>
          <w:rFonts w:hint="eastAsia" w:eastAsia="仿宋_GB2312" w:cs="仿宋_GB2312"/>
          <w:color w:val="auto"/>
          <w:sz w:val="32"/>
          <w:szCs w:val="32"/>
          <w:highlight w:val="none"/>
          <w:lang w:eastAsia="zh-CN"/>
        </w:rPr>
        <w:t>。</w:t>
      </w:r>
      <w:bookmarkEnd w:id="42"/>
    </w:p>
    <w:p w14:paraId="48E1FDA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30FC0AB">
      <w:pPr>
        <w:pStyle w:val="3"/>
        <w:jc w:val="center"/>
        <w:rPr>
          <w:rFonts w:hint="eastAsia" w:ascii="Times New Roman" w:hAnsi="Times New Roman" w:eastAsia="微软雅黑" w:cs="微软雅黑"/>
          <w:b w:val="0"/>
          <w:color w:val="auto"/>
          <w:highlight w:val="none"/>
        </w:rPr>
      </w:pPr>
      <w:bookmarkStart w:id="43" w:name="_Toc15396602"/>
      <w:bookmarkStart w:id="44" w:name="_Toc15377204"/>
      <w:bookmarkStart w:id="45" w:name="_Toc13334"/>
      <w:r>
        <w:rPr>
          <w:rFonts w:hint="eastAsia" w:ascii="Times New Roman" w:hAnsi="Times New Roman" w:eastAsia="微软雅黑" w:cs="微软雅黑"/>
          <w:b w:val="0"/>
          <w:color w:val="auto"/>
          <w:highlight w:val="none"/>
        </w:rPr>
        <w:t>第二部分</w:t>
      </w:r>
      <w:r>
        <w:rPr>
          <w:rFonts w:hint="eastAsia" w:ascii="Times New Roman" w:hAnsi="Times New Roman" w:eastAsia="微软雅黑" w:cs="微软雅黑"/>
          <w:b w:val="0"/>
          <w:color w:val="auto"/>
          <w:highlight w:val="none"/>
          <w:lang w:val="en-US" w:eastAsia="zh-CN"/>
        </w:rPr>
        <w:t xml:space="preserve"> </w:t>
      </w:r>
      <w:r>
        <w:rPr>
          <w:rFonts w:hint="eastAsia" w:ascii="Times New Roman" w:hAnsi="Times New Roman" w:eastAsia="微软雅黑" w:cs="微软雅黑"/>
          <w:b w:val="0"/>
          <w:color w:val="auto"/>
          <w:highlight w:val="none"/>
        </w:rPr>
        <w:t xml:space="preserve"> </w:t>
      </w:r>
      <w:r>
        <w:rPr>
          <w:rFonts w:hint="eastAsia" w:eastAsia="微软雅黑" w:cs="微软雅黑"/>
          <w:b w:val="0"/>
          <w:color w:val="auto"/>
          <w:highlight w:val="none"/>
          <w:lang w:val="en-US" w:eastAsia="zh-CN"/>
        </w:rPr>
        <w:t>2025</w:t>
      </w:r>
      <w:r>
        <w:rPr>
          <w:rFonts w:hint="eastAsia" w:ascii="Times New Roman" w:hAnsi="Times New Roman" w:eastAsia="微软雅黑" w:cs="微软雅黑"/>
          <w:b w:val="0"/>
          <w:color w:val="auto"/>
          <w:highlight w:val="none"/>
          <w:lang w:val="en-US" w:eastAsia="zh-CN"/>
        </w:rPr>
        <w:t>年度</w:t>
      </w:r>
      <w:r>
        <w:rPr>
          <w:rFonts w:hint="eastAsia" w:ascii="Times New Roman" w:hAnsi="Times New Roman" w:eastAsia="微软雅黑" w:cs="微软雅黑"/>
          <w:b w:val="0"/>
          <w:color w:val="auto"/>
          <w:highlight w:val="none"/>
        </w:rPr>
        <w:t>部门决算情况说明</w:t>
      </w:r>
      <w:bookmarkEnd w:id="43"/>
      <w:bookmarkEnd w:id="44"/>
      <w:bookmarkEnd w:id="45"/>
    </w:p>
    <w:p w14:paraId="33AB7A29">
      <w:pPr>
        <w:rPr>
          <w:rFonts w:ascii="Times New Roman" w:hAnsi="Times New Roman"/>
          <w:color w:val="auto"/>
          <w:highlight w:val="none"/>
        </w:rPr>
      </w:pPr>
    </w:p>
    <w:p w14:paraId="1D1945B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46" w:name="_Toc2843"/>
      <w:bookmarkStart w:id="47" w:name="_Toc15377205"/>
      <w:bookmarkStart w:id="4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46"/>
      <w:bookmarkEnd w:id="47"/>
      <w:bookmarkEnd w:id="48"/>
    </w:p>
    <w:p w14:paraId="1963DB33">
      <w:pPr>
        <w:spacing w:line="600" w:lineRule="exact"/>
        <w:ind w:firstLine="64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收入、支出总计均为1818.42万元。与2024年度相比，收入、支出总计各减少184.67万元，下降9.2%。主要变动原因一是项目支出预算缩减，一般性行政管理事务及专项项目经费减少；二是2024年度新购置公务用车一辆，2025年度无公务用车购置支出。</w:t>
      </w:r>
    </w:p>
    <w:p w14:paraId="13D1EE67">
      <w:pPr>
        <w:pStyle w:val="28"/>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outlineLvl w:val="1"/>
        <w:rPr>
          <w:rFonts w:hint="eastAsia" w:ascii="Times New Roman" w:hAnsi="Times New Roman" w:eastAsia="仿宋_GB2312" w:cs="仿宋_GB2312"/>
          <w:color w:val="auto"/>
          <w:sz w:val="32"/>
          <w:szCs w:val="32"/>
          <w:highlight w:val="none"/>
          <w:lang w:eastAsia="zh-CN"/>
        </w:rPr>
      </w:pPr>
    </w:p>
    <w:p w14:paraId="2CA628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黑体"/>
          <w:color w:val="auto"/>
          <w:sz w:val="32"/>
          <w:szCs w:val="32"/>
          <w:highlight w:val="none"/>
          <w:lang w:eastAsia="zh-CN"/>
        </w:rPr>
      </w:pPr>
      <w:r>
        <w:rPr>
          <w:rFonts w:hint="eastAsia" w:ascii="仿宋" w:hAnsi="仿宋" w:eastAsia="仿宋" w:cs="仿宋"/>
          <w:sz w:val="32"/>
          <w:szCs w:val="32"/>
        </w:rPr>
        <w:pict>
          <v:shape id="_x0000_s1026" o:spid="_x0000_s1026" o:spt="75" type="#_x0000_t75" style="position:absolute;left:0pt;margin-left:10.7pt;margin-top:7.35pt;height:198.3pt;width:405.25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Excel.Chart.8" ShapeID="_x0000_s1026" DrawAspect="Content" ObjectID="_1468075725" r:id="rId10">
            <o:LockedField>false</o:LockedField>
          </o:OLEObject>
        </w:pic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Start w:id="49" w:name="_Toc15377206"/>
      <w:bookmarkStart w:id="50" w:name="_Toc15396604"/>
    </w:p>
    <w:p w14:paraId="7EACE09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1" w:name="_Toc24513"/>
      <w:r>
        <w:rPr>
          <w:rFonts w:hint="eastAsia" w:ascii="Times New Roman" w:hAnsi="Times New Roman" w:eastAsia="黑体"/>
          <w:color w:val="auto"/>
          <w:sz w:val="32"/>
          <w:szCs w:val="32"/>
          <w:highlight w:val="none"/>
          <w:lang w:eastAsia="zh-CN"/>
        </w:rPr>
        <w:t>二、收入决算情况说明</w:t>
      </w:r>
      <w:bookmarkEnd w:id="49"/>
      <w:bookmarkEnd w:id="50"/>
      <w:bookmarkEnd w:id="51"/>
    </w:p>
    <w:p w14:paraId="3BF5E83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52" w:name="_Toc24157"/>
      <w:r>
        <w:rPr>
          <w:rFonts w:hint="eastAsia" w:ascii="仿宋_GB2312" w:hAnsi="仿宋_GB2312" w:eastAsia="仿宋_GB2312" w:cs="仿宋_GB2312"/>
          <w:color w:val="auto"/>
          <w:sz w:val="32"/>
          <w:szCs w:val="32"/>
          <w:highlight w:val="none"/>
          <w:lang w:eastAsia="zh-CN"/>
        </w:rPr>
        <w:t>2025年度本年收入合计1816.77万元，其中：一般公共预算财政拨款收入1816.77万元，占100%；政府性基金预算财政拨款收入0万元，占0%；国有资本经营预算财政拨款收入0万元，占0%；上级补助收入0万元，占0%；事业收入0万元，占0%；经营收入0万元，占0%；附属单位上缴收入0万元，占0%；其他收入0万元，占0%。</w:t>
      </w:r>
      <w:r>
        <w:rPr>
          <w:rFonts w:hint="eastAsia" w:ascii="Times New Roman" w:hAnsi="Times New Roman" w:eastAsia="仿宋_GB2312" w:cs="仿宋_GB2312"/>
          <w:b/>
          <w:bCs/>
          <w:color w:val="auto"/>
          <w:sz w:val="32"/>
          <w:szCs w:val="32"/>
          <w:highlight w:val="none"/>
          <w:lang w:eastAsia="zh-CN"/>
        </w:rPr>
        <w:t>（注：仅罗列本部门涉及的收入）</w:t>
      </w:r>
      <w:bookmarkEnd w:id="52"/>
    </w:p>
    <w:p w14:paraId="69003BD2">
      <w:pPr>
        <w:ind w:firstLine="1124" w:firstLineChars="350"/>
        <w:rPr>
          <w:rFonts w:hint="eastAsia" w:ascii="Times New Roman" w:hAnsi="Times New Roman" w:eastAsia="仿宋_GB2312" w:cs="仿宋_GB2312"/>
          <w:color w:val="auto"/>
          <w:sz w:val="32"/>
          <w:szCs w:val="32"/>
          <w:highlight w:val="none"/>
          <w:lang w:eastAsia="zh-CN"/>
        </w:rPr>
      </w:pPr>
      <w:r>
        <w:rPr>
          <w:rFonts w:hint="eastAsia" w:ascii="仿宋" w:hAnsi="仿宋" w:eastAsia="仿宋" w:cs="仿宋"/>
          <w:b/>
          <w:bCs/>
          <w:sz w:val="32"/>
          <w:szCs w:val="32"/>
        </w:rPr>
        <w:drawing>
          <wp:anchor distT="0" distB="0" distL="85090" distR="85090" simplePos="0" relativeHeight="251668480" behindDoc="0" locked="0" layoutInCell="1" allowOverlap="1">
            <wp:simplePos x="0" y="0"/>
            <wp:positionH relativeFrom="column">
              <wp:posOffset>104775</wp:posOffset>
            </wp:positionH>
            <wp:positionV relativeFrom="page">
              <wp:posOffset>2005330</wp:posOffset>
            </wp:positionV>
            <wp:extent cx="5161280" cy="2062480"/>
            <wp:effectExtent l="57150" t="13970" r="58420" b="114300"/>
            <wp:wrapSquare wrapText="bothSides"/>
            <wp:docPr id="8"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799ACFE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53" w:name="_Toc4053"/>
      <w:bookmarkStart w:id="54" w:name="_Toc15396605"/>
      <w:bookmarkStart w:id="5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53"/>
      <w:bookmarkEnd w:id="54"/>
      <w:bookmarkEnd w:id="55"/>
    </w:p>
    <w:p w14:paraId="3B5C029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56" w:name="_Toc19128"/>
      <w:r>
        <w:rPr>
          <w:rFonts w:hint="eastAsia" w:ascii="仿宋_GB2312" w:hAnsi="仿宋_GB2312" w:eastAsia="仿宋_GB2312" w:cs="仿宋_GB2312"/>
          <w:color w:val="auto"/>
          <w:sz w:val="32"/>
          <w:szCs w:val="32"/>
          <w:highlight w:val="none"/>
          <w:lang w:eastAsia="zh-CN"/>
        </w:rPr>
        <w:t>2025年度本年支出合计1818.42万元，其中：基本支出1448.88万元，占79.7%；项目支出369.54万元，占20.3%；上缴上级支出0万元，占0%；经营支出0万元，占0%；对附属单位补助支出0万元，占0%。</w:t>
      </w:r>
      <w:r>
        <w:rPr>
          <w:rFonts w:hint="eastAsia" w:ascii="Times New Roman" w:hAnsi="Times New Roman" w:eastAsia="仿宋_GB2312" w:cs="仿宋_GB2312"/>
          <w:b/>
          <w:bCs/>
          <w:color w:val="auto"/>
          <w:sz w:val="32"/>
          <w:szCs w:val="32"/>
          <w:highlight w:val="none"/>
          <w:lang w:eastAsia="zh-CN"/>
        </w:rPr>
        <w:t>（注：仅罗列本部门涉及的支出）</w:t>
      </w:r>
      <w:bookmarkEnd w:id="56"/>
    </w:p>
    <w:p w14:paraId="3AC2A5F1">
      <w:pPr>
        <w:ind w:firstLine="1155" w:firstLineChars="550"/>
        <w:rPr>
          <w:rFonts w:hint="eastAsia" w:ascii="Times New Roman" w:hAnsi="Times New Roman" w:eastAsia="仿宋_GB2312" w:cs="仿宋_GB2312"/>
          <w:color w:val="auto"/>
          <w:sz w:val="32"/>
          <w:szCs w:val="32"/>
          <w:highlight w:val="none"/>
          <w:lang w:eastAsia="zh-CN"/>
        </w:rPr>
      </w:pPr>
      <w:r>
        <w:rPr>
          <w:rFonts w:hint="default" w:ascii="Times New Roman" w:hAnsi="Times New Roman" w:cs="Times New Roman"/>
          <w:highlight w:val="none"/>
        </w:rPr>
        <w:drawing>
          <wp:anchor distT="0" distB="0" distL="85090" distR="85090" simplePos="0" relativeHeight="251663360" behindDoc="0" locked="0" layoutInCell="1" allowOverlap="1">
            <wp:simplePos x="0" y="0"/>
            <wp:positionH relativeFrom="column">
              <wp:posOffset>-8890</wp:posOffset>
            </wp:positionH>
            <wp:positionV relativeFrom="page">
              <wp:posOffset>7129145</wp:posOffset>
            </wp:positionV>
            <wp:extent cx="5240655" cy="2001520"/>
            <wp:effectExtent l="57150" t="13970" r="74295" b="118110"/>
            <wp:wrapTopAndBottom/>
            <wp:docPr id="1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397181FF">
      <w:pPr>
        <w:spacing w:line="600" w:lineRule="exact"/>
        <w:ind w:firstLine="640" w:firstLineChars="200"/>
        <w:outlineLvl w:val="1"/>
        <w:rPr>
          <w:rStyle w:val="30"/>
          <w:rFonts w:ascii="Times New Roman" w:hAnsi="Times New Roman" w:eastAsia="黑体"/>
          <w:b w:val="0"/>
          <w:color w:val="auto"/>
          <w:highlight w:val="none"/>
        </w:rPr>
      </w:pPr>
      <w:bookmarkStart w:id="57" w:name="_Toc15396606"/>
      <w:bookmarkStart w:id="58" w:name="_Toc15377208"/>
      <w:bookmarkStart w:id="59" w:name="_Toc26267"/>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57"/>
      <w:bookmarkEnd w:id="58"/>
      <w:bookmarkEnd w:id="59"/>
    </w:p>
    <w:p w14:paraId="28412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收入、支出总计均为1816.77万元。与2024年度相比，财政拨款收入总计、支出总计各减少183.62万元，下降9.2%。主要变动原因一是项目支出经费减少，二是2024年度新购置公务用车一辆，2025年度无公务用车购置支出</w:t>
      </w:r>
      <w:r>
        <w:rPr>
          <w:rFonts w:hint="eastAsia" w:ascii="Times New Roman" w:hAnsi="Times New Roman" w:eastAsia="仿宋_GB2312" w:cs="仿宋_GB2312"/>
          <w:color w:val="auto"/>
          <w:kern w:val="2"/>
          <w:sz w:val="32"/>
          <w:szCs w:val="32"/>
          <w:highlight w:val="none"/>
          <w:lang w:val="en-US" w:eastAsia="zh-CN" w:bidi="ar-SA"/>
        </w:rPr>
        <w:t>。</w:t>
      </w:r>
    </w:p>
    <w:p w14:paraId="79844E4B">
      <w:pPr>
        <w:pStyle w:val="14"/>
        <w:rPr>
          <w:rFonts w:hint="eastAsia"/>
          <w:lang w:val="en-US" w:eastAsia="zh-CN"/>
        </w:rPr>
      </w:pPr>
      <w:r>
        <w:rPr>
          <w:rFonts w:hint="default" w:ascii="Times New Roman" w:hAnsi="Times New Roman" w:eastAsia="仿宋_GB2312" w:cs="Times New Roman"/>
          <w:color w:val="auto"/>
          <w:sz w:val="32"/>
          <w:szCs w:val="32"/>
          <w:highlight w:val="none"/>
          <w:lang w:bidi="ar-SA"/>
        </w:rPr>
        <w:pict>
          <v:shape id="_x0000_s1027" o:spid="_x0000_s1027" o:spt="75" type="#_x0000_t75" style="position:absolute;left:0pt;margin-left:10.1pt;margin-top:6.2pt;height:191.8pt;width:405.25pt;mso-wrap-distance-bottom:0pt;mso-wrap-distance-left:9pt;mso-wrap-distance-right:9pt;mso-wrap-distance-top:0pt;z-index:251664384;mso-width-relative:page;mso-height-relative:page;" o:ole="t" filled="f" o:preferrelative="t" stroked="f" coordsize="21600,21600">
            <v:path/>
            <v:fill on="f" focussize="0,0"/>
            <v:stroke on="f"/>
            <v:imagedata r:id="rId15" o:title=""/>
            <o:lock v:ext="edit" aspectratio="t"/>
            <w10:wrap type="square"/>
          </v:shape>
          <o:OLEObject Type="Embed" ProgID="Excel.Chart.8" ShapeID="_x0000_s1027" DrawAspect="Content" ObjectID="_1468075726" r:id="rId14">
            <o:LockedField>false</o:LockedField>
          </o:OLEObject>
        </w:pict>
      </w:r>
    </w:p>
    <w:p w14:paraId="4F67A097">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3DCFD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EAB3E8">
      <w:pPr>
        <w:spacing w:line="600" w:lineRule="exact"/>
        <w:ind w:firstLine="640" w:firstLineChars="200"/>
        <w:outlineLvl w:val="1"/>
        <w:rPr>
          <w:rStyle w:val="30"/>
          <w:rFonts w:ascii="Times New Roman" w:hAnsi="Times New Roman" w:eastAsia="黑体"/>
          <w:b w:val="0"/>
          <w:color w:val="auto"/>
          <w:highlight w:val="none"/>
        </w:rPr>
      </w:pPr>
      <w:bookmarkStart w:id="60" w:name="_Toc15396607"/>
      <w:bookmarkStart w:id="61" w:name="_Toc15377209"/>
      <w:bookmarkStart w:id="62" w:name="_Toc1586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60"/>
      <w:bookmarkEnd w:id="61"/>
      <w:bookmarkEnd w:id="62"/>
    </w:p>
    <w:p w14:paraId="29E791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3"/>
    </w:p>
    <w:p w14:paraId="104321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1816.77万元，占本年支出合计的99.9%。与2024年度相比，一般公共预算财政拨款支出减少183.62万元，下降9.2%。主要变动原因一是项目支出预算缩减，专项工作经费减少；二是2024年度新购置公务用车一辆，2025年度无公务用车购置支出</w:t>
      </w:r>
      <w:r>
        <w:rPr>
          <w:rFonts w:hint="eastAsia" w:ascii="Times New Roman" w:hAnsi="Times New Roman" w:eastAsia="仿宋_GB2312" w:cs="仿宋_GB2312"/>
          <w:color w:val="auto"/>
          <w:kern w:val="2"/>
          <w:sz w:val="32"/>
          <w:szCs w:val="32"/>
          <w:highlight w:val="none"/>
          <w:lang w:val="en-US" w:eastAsia="zh-CN" w:bidi="ar-SA"/>
        </w:rPr>
        <w:t>。</w:t>
      </w:r>
    </w:p>
    <w:p w14:paraId="11C0C626">
      <w:pPr>
        <w:keepNext w:val="0"/>
        <w:keepLines w:val="0"/>
        <w:pageBreakBefore w:val="0"/>
        <w:widowControl w:val="0"/>
        <w:kinsoku/>
        <w:wordWrap/>
        <w:overflowPunct/>
        <w:topLinePunct w:val="0"/>
        <w:autoSpaceDE/>
        <w:autoSpaceDN/>
        <w:bidi w:val="0"/>
        <w:adjustRightInd/>
        <w:snapToGrid/>
        <w:spacing w:line="1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p>
    <w:p w14:paraId="7EC0BD8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lang w:bidi="ar-SA"/>
        </w:rPr>
        <w:pict>
          <v:shape id="_x0000_s1028" o:spid="_x0000_s1028" o:spt="75" type="#_x0000_t75" style="position:absolute;left:0pt;margin-left:11.9pt;margin-top:28.2pt;height:184.65pt;width:401.55pt;mso-wrap-distance-bottom:0pt;mso-wrap-distance-left:9pt;mso-wrap-distance-right:9pt;mso-wrap-distance-top:0pt;z-index:251665408;mso-width-relative:page;mso-height-relative:page;" o:ole="t" filled="f" o:preferrelative="t" stroked="f" coordsize="21600,21600">
            <v:path/>
            <v:fill on="f" focussize="0,0"/>
            <v:stroke on="f"/>
            <v:imagedata r:id="rId17" o:title=""/>
            <o:lock v:ext="edit" aspectratio="t"/>
            <w10:wrap type="square"/>
          </v:shape>
          <o:OLEObject Type="Embed" ProgID="Excel.Chart.8" ShapeID="_x0000_s1028" DrawAspect="Content" ObjectID="_1468075727" r:id="rId16">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B2865D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4"/>
    </w:p>
    <w:p w14:paraId="0D187C8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2025年度一般公共预算财政拨款支出1816.77万元，主要用于以下方面：一般公共服务支出1476.08万元，占81.2%；社会保障和就业支出176.29万元，占9.7%；卫生健康支出68.21万元，占3.8%；住房保障支出96.19万元，占5.3%。</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r>
        <w:rPr>
          <w:rFonts w:hint="eastAsia" w:ascii="方正仿宋_GBK" w:hAnsi="方正仿宋_GBK" w:eastAsia="方正仿宋_GBK" w:cs="方正仿宋_GBK"/>
          <w:highlight w:val="none"/>
        </w:rPr>
        <w:drawing>
          <wp:anchor distT="0" distB="0" distL="85090" distR="85090" simplePos="0" relativeHeight="251666432" behindDoc="0" locked="0" layoutInCell="1" allowOverlap="1">
            <wp:simplePos x="0" y="0"/>
            <wp:positionH relativeFrom="column">
              <wp:posOffset>196215</wp:posOffset>
            </wp:positionH>
            <wp:positionV relativeFrom="page">
              <wp:posOffset>6398260</wp:posOffset>
            </wp:positionV>
            <wp:extent cx="5161280" cy="2228850"/>
            <wp:effectExtent l="57150" t="13970" r="58420" b="119380"/>
            <wp:wrapTopAndBottom/>
            <wp:docPr id="5"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0F94D0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15E6ED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195139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5"/>
    </w:p>
    <w:p w14:paraId="2CA8EF0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2025年度一般公共预算财政拨款支出决算数为1816.77万元，完成预算100%。其中：</w:t>
      </w:r>
    </w:p>
    <w:p w14:paraId="0BB1EB7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1.一般公共服务（类）民族事务（款）行政运行（项）:支出决算947.36万元，完成预算100%。</w:t>
      </w:r>
    </w:p>
    <w:p w14:paraId="27F6D22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2.一般公共服务（类）民族事务（款）一般行政管理事务（项）: 支出决算为357.89万元，完成预算100%。</w:t>
      </w:r>
    </w:p>
    <w:p w14:paraId="5710C8B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3.一般公共服务（类）民族事务（款）事业运行（项）: 支出决算为160.83万元，完成预算100%。</w:t>
      </w:r>
    </w:p>
    <w:p w14:paraId="741FC44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4.一般公共服务（类）民族事务（款）其他民族事务支出（项）: 支出决算为10.00万元，完成预算100%。</w:t>
      </w:r>
    </w:p>
    <w:p w14:paraId="5CC6F15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5.社会保障和就业支出（类）行政事业单位养老支出（款）机关事业单位基本养老保险缴费（项）: 支出决算为117.53万元，完成预算100%。</w:t>
      </w:r>
    </w:p>
    <w:p w14:paraId="6EB5A67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6.社会保障和就业支出（类）行政事业单位养老支出（款）机关事业单位职业年金缴费（项）: 支出决算为58.76万元，完成预算100%。</w:t>
      </w:r>
    </w:p>
    <w:p w14:paraId="5838466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7.卫生健康支出（类）行政事业单位医疗（款）行政单位医疗（项）: 支出决算为47.12万元，完成预算100%。</w:t>
      </w:r>
    </w:p>
    <w:p w14:paraId="7EF26DF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8.卫生健康支出（类）行政事业单位医疗（款）事业单位医疗（项）:支出决算为9.69万元，完成预算100%。</w:t>
      </w:r>
    </w:p>
    <w:p w14:paraId="69E9ED0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9.卫生健康支出（类）行政事业单位医疗（款）公务员医疗补助（项）: 支出决算为9.67万元，完成预算100%。</w:t>
      </w:r>
    </w:p>
    <w:p w14:paraId="27E0117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10.卫生健康支出（类）行政事业单位医疗（款）其他行政事业单位医疗支出（项）: 支出决算为1.73万元，完成预算100%。</w:t>
      </w:r>
    </w:p>
    <w:p w14:paraId="0CEBB07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11.住房保障支出（类）住房改革支出（款）住房公积金（项）: 支出决算为94.99万元，完成预算100%。</w:t>
      </w:r>
    </w:p>
    <w:p w14:paraId="02EEE9B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12.住房保障支出（类）住房改革支出（款）购房补贴（项）: 支出决算为1.20万元，完成预算100%</w:t>
      </w:r>
      <w:r>
        <w:rPr>
          <w:rFonts w:hint="default" w:ascii="Times New Roman" w:hAnsi="Times New Roman" w:eastAsia="仿宋_GB2312" w:cs="仿宋_GB2312"/>
          <w:color w:val="auto"/>
          <w:kern w:val="2"/>
          <w:sz w:val="32"/>
          <w:szCs w:val="32"/>
          <w:highlight w:val="none"/>
          <w:lang w:val="en-US" w:eastAsia="zh-CN" w:bidi="ar-SA"/>
        </w:rPr>
        <w:t>。</w:t>
      </w:r>
    </w:p>
    <w:p w14:paraId="09EF7E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48187F5F">
      <w:pPr>
        <w:tabs>
          <w:tab w:val="right" w:pos="8306"/>
        </w:tabs>
        <w:spacing w:line="600" w:lineRule="exact"/>
        <w:ind w:firstLine="640"/>
        <w:outlineLvl w:val="1"/>
        <w:rPr>
          <w:rStyle w:val="30"/>
          <w:rFonts w:ascii="Times New Roman" w:hAnsi="Times New Roman"/>
          <w:color w:val="auto"/>
          <w:highlight w:val="none"/>
        </w:rPr>
      </w:pPr>
      <w:bookmarkStart w:id="66" w:name="_Toc17578"/>
      <w:bookmarkStart w:id="67" w:name="_Toc15396608"/>
      <w:bookmarkStart w:id="68"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66"/>
      <w:bookmarkEnd w:id="67"/>
      <w:bookmarkEnd w:id="68"/>
      <w:r>
        <w:rPr>
          <w:rStyle w:val="30"/>
          <w:rFonts w:ascii="Times New Roman" w:hAnsi="Times New Roman" w:eastAsia="黑体"/>
          <w:b w:val="0"/>
          <w:color w:val="auto"/>
          <w:highlight w:val="none"/>
        </w:rPr>
        <w:tab/>
      </w:r>
    </w:p>
    <w:p w14:paraId="50C91A6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2025年度一般公共预算财政拨款基本支出1448.88万元，其中：</w:t>
      </w:r>
    </w:p>
    <w:p w14:paraId="7702DF4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1307.31万元，主要包括：基本工资、津贴补贴、奖金、绩效工资、伙食补助费、机关事业单位基本养老保险缴费、职业年金缴费、职工基本医疗保险缴费、公务员医疗补助缴费、其他社会保障缴费、其他工资福利支出、抚恤金、生活补助、奖励金、住房公积金。</w:t>
      </w:r>
    </w:p>
    <w:p w14:paraId="48F538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141.57万元，主要包括：办公费、手续费、水费、电费、邮电费、差旅费、维修（护）费、租赁费、会议费、培训费、公务接待费、劳务费、委托业务费、福利费、公务用车运行维护费、其他交通费用、其他商品和服务支出、办公设备购置</w:t>
      </w:r>
      <w:r>
        <w:rPr>
          <w:rFonts w:hint="eastAsia" w:ascii="Times New Roman" w:hAnsi="Times New Roman" w:eastAsia="仿宋_GB2312" w:cs="仿宋_GB2312"/>
          <w:color w:val="auto"/>
          <w:kern w:val="2"/>
          <w:sz w:val="32"/>
          <w:szCs w:val="32"/>
          <w:highlight w:val="none"/>
          <w:lang w:val="en-US" w:eastAsia="zh-CN" w:bidi="ar-SA"/>
        </w:rPr>
        <w:t>。</w:t>
      </w:r>
    </w:p>
    <w:p w14:paraId="2C07F3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02886105">
      <w:pPr>
        <w:spacing w:line="600" w:lineRule="exact"/>
        <w:ind w:firstLine="640"/>
        <w:outlineLvl w:val="1"/>
        <w:rPr>
          <w:rStyle w:val="30"/>
          <w:rFonts w:ascii="Times New Roman" w:hAnsi="Times New Roman" w:eastAsia="黑体"/>
          <w:b w:val="0"/>
          <w:color w:val="auto"/>
          <w:highlight w:val="none"/>
        </w:rPr>
      </w:pPr>
      <w:bookmarkStart w:id="69" w:name="_Toc15396609"/>
      <w:bookmarkStart w:id="70" w:name="_Toc15377215"/>
      <w:bookmarkStart w:id="71" w:name="_Toc8288"/>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69"/>
      <w:bookmarkEnd w:id="70"/>
      <w:bookmarkEnd w:id="71"/>
    </w:p>
    <w:p w14:paraId="4AA806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72"/>
    </w:p>
    <w:p w14:paraId="21E3EEB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三公”经费财政拨款支出决算为66.06万元，完成预算100%，较上年度减少65.64万元，下降49.8%。决算数与预算数持平的主要原因是严格按照预算安排公务用车运行及公务接待支出，从严控制“三公”经费规模</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24CFE4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73"/>
    </w:p>
    <w:p w14:paraId="421D1B4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2025年度“三公”经费财政拨款支出决算中，因公出国（境）费支出决算0万元，占0%；公务用车购置及运行维护费支出决算64.81万元，占98.1%；公务接待费支出决算1.24万元，占1.9%。具体情况如下：</w:t>
      </w:r>
    </w:p>
    <w:p w14:paraId="7BB0EA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cs="Times New Roman"/>
          <w:highlight w:val="none"/>
        </w:rPr>
        <w:drawing>
          <wp:anchor distT="0" distB="0" distL="85090" distR="85090" simplePos="0" relativeHeight="251667456" behindDoc="0" locked="0" layoutInCell="1" allowOverlap="1">
            <wp:simplePos x="0" y="0"/>
            <wp:positionH relativeFrom="column">
              <wp:posOffset>59055</wp:posOffset>
            </wp:positionH>
            <wp:positionV relativeFrom="page">
              <wp:posOffset>6944995</wp:posOffset>
            </wp:positionV>
            <wp:extent cx="5240655" cy="2290445"/>
            <wp:effectExtent l="57150" t="13970" r="74295" b="114935"/>
            <wp:wrapTopAndBottom/>
            <wp:docPr id="6"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4D091765">
      <w:pPr>
        <w:spacing w:line="600" w:lineRule="exact"/>
        <w:ind w:firstLine="640"/>
        <w:rPr>
          <w:rFonts w:hint="default" w:ascii="Times New Roman" w:hAnsi="Times New Roman" w:eastAsia="仿宋_GB2312" w:cs="Times New Roman"/>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sz w:val="32"/>
          <w:szCs w:val="32"/>
          <w:highlight w:val="none"/>
          <w:lang w:eastAsia="zh-CN"/>
        </w:rPr>
        <w:t>我单位</w:t>
      </w:r>
      <w:r>
        <w:rPr>
          <w:rFonts w:hint="eastAsia"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val="en-US" w:eastAsia="zh-CN"/>
        </w:rPr>
        <w:t>年度</w:t>
      </w:r>
      <w:r>
        <w:rPr>
          <w:rFonts w:hint="default" w:ascii="Times New Roman" w:hAnsi="Times New Roman" w:eastAsia="仿宋_GB2312" w:cs="Times New Roman"/>
          <w:sz w:val="32"/>
          <w:szCs w:val="32"/>
          <w:highlight w:val="none"/>
        </w:rPr>
        <w:t>因公出国（境）经费支出</w:t>
      </w:r>
      <w:r>
        <w:rPr>
          <w:rFonts w:hint="default" w:ascii="Times New Roman" w:hAnsi="Times New Roman" w:eastAsia="仿宋_GB2312" w:cs="Times New Roman"/>
          <w:sz w:val="32"/>
          <w:szCs w:val="32"/>
          <w:highlight w:val="none"/>
          <w:lang w:val="en-US" w:eastAsia="zh-CN"/>
        </w:rPr>
        <w:t>为0</w:t>
      </w:r>
      <w:r>
        <w:rPr>
          <w:rFonts w:hint="eastAsia" w:eastAsia="仿宋_GB2312" w:cs="Times New Roman"/>
          <w:sz w:val="32"/>
          <w:szCs w:val="32"/>
          <w:highlight w:val="none"/>
          <w:lang w:val="en-US" w:eastAsia="zh-CN"/>
        </w:rPr>
        <w:t>万元，与2024年度持平</w:t>
      </w:r>
      <w:r>
        <w:rPr>
          <w:rFonts w:hint="default" w:ascii="Times New Roman" w:hAnsi="Times New Roman" w:eastAsia="仿宋_GB2312" w:cs="Times New Roman"/>
          <w:sz w:val="32"/>
          <w:szCs w:val="32"/>
          <w:highlight w:val="none"/>
        </w:rPr>
        <w:t>。</w:t>
      </w:r>
    </w:p>
    <w:p w14:paraId="2F2DF3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0E5B7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2.公务用车购置及运行维护费支出64.81万元，完成预算100%。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公务用车购置及运行维护费支出决算比2024年度减少66.06万元，下降50.5%。主要原因是2024年度我委通过政府集中采购新购置公务用车一辆，2025年度无公务用车购置计划，仅发生车辆运行维护支出。</w:t>
      </w:r>
    </w:p>
    <w:p w14:paraId="45A487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6辆，其中：轿车0辆、越野车6辆、载客汽车0辆，与2024年度持平。</w:t>
      </w:r>
    </w:p>
    <w:p w14:paraId="65006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公务用车运行维护费支出64.81万元。主要用于民族事务管理、宗教事务管理、藏羌语言文字调研、古籍管理与保护、两项资金管理工作等所需的公务用车燃料费、维修费、过路过桥费、保险费等支出。</w:t>
      </w:r>
    </w:p>
    <w:p w14:paraId="5B3C1A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3.公务接待费支出1.24万元，完成预算100%。</w:t>
      </w:r>
      <w:r>
        <w:rPr>
          <w:rFonts w:hint="eastAsia" w:ascii="Times New Roman" w:hAnsi="Times New Roman" w:eastAsia="仿宋_GB2312" w:cs="仿宋_GB2312"/>
          <w:color w:val="auto"/>
          <w:kern w:val="2"/>
          <w:sz w:val="32"/>
          <w:szCs w:val="32"/>
          <w:highlight w:val="none"/>
          <w:lang w:val="en-US" w:eastAsia="zh-CN" w:bidi="ar-SA"/>
        </w:rPr>
        <w:t>公务接待费支出决算比2024年度增加0.41万元，增长49.4%。主要原因是年度内民族宗教政策调研、业务交流等公务接待活动有所增加，同时认真贯彻落实党中央、国务院关于过紧日子的要求，厉行节约，从严控制“三公”经费开支。其中：</w:t>
      </w:r>
    </w:p>
    <w:p w14:paraId="5C8EAB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国内公务接待支出1.24万元，主要用于对相关单位来我委开展民族宗教业务检查、工作调研、材料审批等活动，按规定安排的工作餐发生的接待支出。国内公务接待1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人次（不包括陪同人员），共计支出1.24万元，具体内容包括：民族宗教政策研究交流、工作调研、古籍普查督导等有关工作。</w:t>
      </w:r>
    </w:p>
    <w:p w14:paraId="78931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外事接待支出0万元，我单位2025年度主要用于外事接待支出为0万元，与2024年度持平。外事接待0批次，0人次（不包括陪同人员），共计支出0万元。</w:t>
      </w:r>
      <w:bookmarkStart w:id="74" w:name="_Toc15377218"/>
      <w:bookmarkStart w:id="75" w:name="_Toc15396610"/>
    </w:p>
    <w:p w14:paraId="5363529F">
      <w:pPr>
        <w:pStyle w:val="2"/>
        <w:rPr>
          <w:rFonts w:hint="eastAsia"/>
          <w:lang w:val="en-US" w:eastAsia="zh-CN"/>
        </w:rPr>
      </w:pPr>
    </w:p>
    <w:p w14:paraId="6D8CB241">
      <w:pPr>
        <w:spacing w:line="600" w:lineRule="exact"/>
        <w:ind w:firstLine="640" w:firstLineChars="0"/>
        <w:outlineLvl w:val="0"/>
        <w:rPr>
          <w:rStyle w:val="30"/>
          <w:rFonts w:ascii="Times New Roman" w:hAnsi="Times New Roman" w:eastAsia="黑体"/>
          <w:color w:val="auto"/>
          <w:highlight w:val="none"/>
        </w:rPr>
      </w:pPr>
      <w:bookmarkStart w:id="76" w:name="_Toc10701"/>
      <w:bookmarkStart w:id="77" w:name="_Toc6070"/>
      <w:bookmarkStart w:id="78" w:name="_Toc1521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74"/>
      <w:bookmarkEnd w:id="75"/>
      <w:bookmarkEnd w:id="76"/>
      <w:bookmarkEnd w:id="77"/>
      <w:bookmarkEnd w:id="78"/>
    </w:p>
    <w:p w14:paraId="552F72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05B1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3D94BC">
      <w:pPr>
        <w:numPr>
          <w:ilvl w:val="0"/>
          <w:numId w:val="0"/>
        </w:numPr>
        <w:spacing w:line="600" w:lineRule="exact"/>
        <w:ind w:left="630" w:leftChars="0" w:firstLine="0" w:firstLineChars="0"/>
        <w:outlineLvl w:val="0"/>
        <w:rPr>
          <w:rStyle w:val="30"/>
          <w:rFonts w:ascii="Times New Roman" w:hAnsi="Times New Roman" w:eastAsia="黑体"/>
          <w:b w:val="0"/>
          <w:color w:val="auto"/>
          <w:highlight w:val="none"/>
        </w:rPr>
      </w:pPr>
      <w:bookmarkStart w:id="79" w:name="_Toc10090"/>
      <w:bookmarkStart w:id="80" w:name="_Toc6903"/>
      <w:bookmarkStart w:id="81" w:name="_Toc15377219"/>
      <w:bookmarkStart w:id="82" w:name="_Toc15396611"/>
      <w:bookmarkStart w:id="83" w:name="_Toc31603"/>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79"/>
      <w:bookmarkEnd w:id="80"/>
      <w:bookmarkEnd w:id="81"/>
      <w:bookmarkEnd w:id="82"/>
      <w:bookmarkEnd w:id="83"/>
    </w:p>
    <w:p w14:paraId="6350D9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A27A8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64186D">
      <w:pPr>
        <w:numPr>
          <w:ilvl w:val="0"/>
          <w:numId w:val="0"/>
        </w:numPr>
        <w:spacing w:line="600" w:lineRule="exact"/>
        <w:ind w:left="630" w:leftChars="0" w:firstLine="0" w:firstLineChars="0"/>
        <w:outlineLvl w:val="0"/>
        <w:rPr>
          <w:rStyle w:val="30"/>
          <w:rFonts w:hint="eastAsia" w:ascii="Times New Roman" w:hAnsi="Times New Roman" w:eastAsia="黑体"/>
          <w:b w:val="0"/>
          <w:color w:val="auto"/>
          <w:highlight w:val="none"/>
        </w:rPr>
      </w:pPr>
      <w:bookmarkStart w:id="84" w:name="_Toc15377221"/>
      <w:bookmarkStart w:id="85" w:name="_Toc5364"/>
      <w:bookmarkStart w:id="86" w:name="_Toc15396612"/>
      <w:bookmarkStart w:id="87" w:name="_Toc29898"/>
      <w:bookmarkStart w:id="88" w:name="_Toc1426"/>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84"/>
      <w:bookmarkEnd w:id="85"/>
      <w:bookmarkEnd w:id="86"/>
      <w:bookmarkEnd w:id="87"/>
      <w:bookmarkEnd w:id="88"/>
    </w:p>
    <w:p w14:paraId="03F27DF5">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89" w:name="_Toc12003"/>
      <w:bookmarkStart w:id="90" w:name="_Toc15622"/>
      <w:bookmarkStart w:id="91" w:name="_Toc15377222"/>
      <w:r>
        <w:rPr>
          <w:rFonts w:hint="eastAsia" w:ascii="Times New Roman" w:hAnsi="Times New Roman" w:eastAsia="楷体_GB2312" w:cs="楷体_GB2312"/>
          <w:b/>
          <w:color w:val="auto"/>
          <w:sz w:val="32"/>
          <w:szCs w:val="32"/>
          <w:highlight w:val="none"/>
        </w:rPr>
        <w:t>（一）机关运行经费支出情况</w:t>
      </w:r>
      <w:bookmarkEnd w:id="89"/>
      <w:bookmarkEnd w:id="90"/>
      <w:bookmarkEnd w:id="91"/>
    </w:p>
    <w:p w14:paraId="211D79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2025年度，阿坝州民族宗教事务委员会(部门)机关运行经费支出130.47万元，比2024年度减少69.62万元，下降34.8%。主要原因是2024年度新购置公务用车一辆，2025年度无公务用车购置支出，同时压缩公用经费支出。</w:t>
      </w:r>
    </w:p>
    <w:p w14:paraId="4559E640">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92" w:name="_Toc9004"/>
      <w:bookmarkStart w:id="93" w:name="_Toc25814"/>
      <w:bookmarkStart w:id="94" w:name="_Toc15377223"/>
      <w:r>
        <w:rPr>
          <w:rFonts w:hint="eastAsia" w:ascii="Times New Roman" w:hAnsi="Times New Roman" w:eastAsia="楷体_GB2312" w:cs="楷体_GB2312"/>
          <w:b/>
          <w:color w:val="auto"/>
          <w:sz w:val="32"/>
          <w:szCs w:val="32"/>
          <w:highlight w:val="none"/>
        </w:rPr>
        <w:t>（二）政府采购支出情况</w:t>
      </w:r>
      <w:bookmarkEnd w:id="92"/>
      <w:bookmarkEnd w:id="93"/>
      <w:bookmarkEnd w:id="94"/>
    </w:p>
    <w:p w14:paraId="7BACB333">
      <w:pPr>
        <w:spacing w:line="600" w:lineRule="exact"/>
        <w:ind w:firstLine="640" w:firstLineChars="200"/>
        <w:outlineLvl w:val="1"/>
        <w:rPr>
          <w:rFonts w:hint="eastAsia" w:ascii="仿宋_GB2312" w:hAnsi="仿宋_GB2312" w:eastAsia="仿宋_GB2312" w:cs="仿宋_GB2312"/>
          <w:color w:val="auto"/>
          <w:kern w:val="2"/>
          <w:sz w:val="32"/>
          <w:szCs w:val="32"/>
          <w:highlight w:val="none"/>
          <w:lang w:val="en-US" w:eastAsia="zh-CN" w:bidi="ar-SA"/>
        </w:rPr>
      </w:pPr>
      <w:bookmarkStart w:id="95" w:name="_Toc1112"/>
      <w:bookmarkStart w:id="96" w:name="_Toc15377224"/>
      <w:bookmarkStart w:id="97" w:name="_Toc21109"/>
      <w:r>
        <w:rPr>
          <w:rFonts w:hint="eastAsia" w:ascii="仿宋_GB2312" w:hAnsi="仿宋_GB2312" w:eastAsia="仿宋_GB2312" w:cs="仿宋_GB2312"/>
          <w:color w:val="auto"/>
          <w:kern w:val="2"/>
          <w:sz w:val="32"/>
          <w:szCs w:val="32"/>
          <w:highlight w:val="none"/>
          <w:lang w:val="en-US" w:eastAsia="zh-CN" w:bidi="ar-SA"/>
        </w:rPr>
        <w:t>2025 年度，阿坝州民族宗教事务委员会(部门)政府采购支出总额 114.99 万元，其中：政府采购货物支出 95.95万元、政府采购工程支出 0 万元、政府采购服务支出 19.04万元。主要用于办公设备购置、委托业务服务、公务用车运行服务等。授予中小企业合同金额 114.99 万元，占政府采购支出总额的 100%，其中：授予小微企业合同金额 114.99 万元，占政府采购支出总额的 100%。</w:t>
      </w:r>
    </w:p>
    <w:p w14:paraId="086D4AA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95"/>
      <w:bookmarkEnd w:id="96"/>
      <w:bookmarkEnd w:id="97"/>
    </w:p>
    <w:p w14:paraId="1012D1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阿坝州民族宗教事务委员会(部门)</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辆，其他用车主要是用于委机关及直属单位民族宗教事务督导检查、调研工作、监督检查等公务出行。单价100万元（含）以上设备（不含车辆）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6E1C4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8016AD3">
      <w:pPr>
        <w:pStyle w:val="6"/>
        <w:ind w:firstLine="640" w:firstLineChars="200"/>
        <w:rPr>
          <w:rFonts w:hint="eastAsia"/>
          <w:sz w:val="32"/>
          <w:szCs w:val="32"/>
          <w:lang w:eastAsia="zh-CN"/>
        </w:rPr>
      </w:pPr>
      <w:r>
        <w:rPr>
          <w:rFonts w:hint="eastAsia" w:ascii="仿宋_GB2312" w:eastAsia="仿宋_GB2312"/>
          <w:sz w:val="32"/>
          <w:szCs w:val="32"/>
        </w:rPr>
        <w:t>根据预算绩效管理要求，本单位在</w:t>
      </w:r>
      <w:r>
        <w:rPr>
          <w:rFonts w:hint="eastAsia"/>
          <w:sz w:val="32"/>
          <w:szCs w:val="32"/>
          <w:lang w:eastAsia="zh-CN"/>
        </w:rPr>
        <w:t>2025</w:t>
      </w:r>
      <w:r>
        <w:rPr>
          <w:rFonts w:hint="eastAsia" w:ascii="仿宋_GB2312" w:eastAsia="仿宋_GB2312"/>
          <w:sz w:val="32"/>
          <w:szCs w:val="32"/>
        </w:rPr>
        <w:t>年度预算编制阶段，组织对</w:t>
      </w:r>
      <w:r>
        <w:rPr>
          <w:rFonts w:hint="eastAsia"/>
          <w:sz w:val="32"/>
          <w:szCs w:val="32"/>
          <w:lang w:val="en-US" w:eastAsia="zh-CN"/>
        </w:rPr>
        <w:t>0个</w:t>
      </w:r>
      <w:r>
        <w:rPr>
          <w:rFonts w:hint="eastAsia" w:ascii="仿宋_GB2312" w:eastAsia="仿宋_GB2312"/>
          <w:sz w:val="32"/>
          <w:szCs w:val="32"/>
        </w:rPr>
        <w:t>项目开展了预算事前绩效评估，对</w:t>
      </w:r>
      <w:r>
        <w:rPr>
          <w:rFonts w:hint="eastAsia"/>
          <w:sz w:val="32"/>
          <w:szCs w:val="32"/>
          <w:lang w:val="en-US" w:eastAsia="zh-CN"/>
        </w:rPr>
        <w:t>19</w:t>
      </w:r>
      <w:r>
        <w:rPr>
          <w:rFonts w:hint="eastAsia" w:ascii="仿宋_GB2312" w:eastAsia="仿宋_GB2312"/>
          <w:sz w:val="32"/>
          <w:szCs w:val="32"/>
        </w:rPr>
        <w:t>个项目编制了绩效目标，预算执行过程中，选取</w:t>
      </w:r>
      <w:r>
        <w:rPr>
          <w:rFonts w:hint="eastAsia"/>
          <w:sz w:val="32"/>
          <w:szCs w:val="32"/>
          <w:lang w:val="en-US" w:eastAsia="zh-CN"/>
        </w:rPr>
        <w:t>19</w:t>
      </w:r>
      <w:r>
        <w:rPr>
          <w:rFonts w:hint="eastAsia" w:ascii="仿宋_GB2312" w:eastAsia="仿宋_GB2312"/>
          <w:sz w:val="32"/>
          <w:szCs w:val="32"/>
        </w:rPr>
        <w:t>个项目开展绩效监控</w:t>
      </w:r>
      <w:r>
        <w:rPr>
          <w:rFonts w:hint="eastAsia"/>
          <w:sz w:val="32"/>
          <w:szCs w:val="32"/>
          <w:lang w:eastAsia="zh-CN"/>
        </w:rPr>
        <w:t>。</w:t>
      </w:r>
    </w:p>
    <w:p w14:paraId="74C7ECEA">
      <w:pPr>
        <w:pStyle w:val="6"/>
        <w:ind w:firstLine="640" w:firstLineChars="200"/>
        <w:rPr>
          <w:rFonts w:hint="default" w:ascii="Times New Roman" w:hAnsi="Times New Roman" w:eastAsia="仿宋_GB2312" w:cs="Times New Roman"/>
          <w:sz w:val="32"/>
          <w:szCs w:val="32"/>
          <w:highlight w:val="none"/>
        </w:rPr>
      </w:pPr>
      <w:r>
        <w:rPr>
          <w:rFonts w:hint="eastAsia" w:ascii="仿宋_GB2312" w:eastAsia="仿宋_GB2312"/>
          <w:sz w:val="32"/>
          <w:szCs w:val="32"/>
        </w:rPr>
        <w:t xml:space="preserve">组织对 </w:t>
      </w:r>
      <w:r>
        <w:rPr>
          <w:rFonts w:hint="eastAsia"/>
          <w:sz w:val="32"/>
          <w:szCs w:val="32"/>
          <w:lang w:eastAsia="zh-CN"/>
        </w:rPr>
        <w:t>2025</w:t>
      </w:r>
      <w:r>
        <w:rPr>
          <w:rFonts w:hint="eastAsia" w:ascii="仿宋_GB2312" w:eastAsia="仿宋_GB2312"/>
          <w:sz w:val="32"/>
          <w:szCs w:val="32"/>
        </w:rPr>
        <w:t xml:space="preserve"> 年度一般公共预算支出全面开展绩效自评，形成</w:t>
      </w:r>
      <w:r>
        <w:rPr>
          <w:rFonts w:hint="eastAsia"/>
          <w:sz w:val="32"/>
          <w:szCs w:val="32"/>
          <w:lang w:val="en-US" w:eastAsia="zh-CN"/>
        </w:rPr>
        <w:t>州民宗委</w:t>
      </w:r>
      <w:r>
        <w:rPr>
          <w:rFonts w:hint="eastAsia" w:ascii="仿宋_GB2312" w:eastAsia="仿宋_GB2312"/>
          <w:sz w:val="32"/>
          <w:szCs w:val="32"/>
        </w:rPr>
        <w:t>部门整体（含部门预算项目）绩效自评报告。</w:t>
      </w:r>
      <w:r>
        <w:rPr>
          <w:rFonts w:hint="eastAsia"/>
          <w:sz w:val="32"/>
          <w:szCs w:val="32"/>
          <w:lang w:val="en-US" w:eastAsia="zh-CN"/>
        </w:rPr>
        <w:t>州民宗委</w:t>
      </w:r>
      <w:r>
        <w:rPr>
          <w:rFonts w:hint="eastAsia" w:ascii="仿宋_GB2312" w:eastAsia="仿宋_GB2312"/>
          <w:sz w:val="32"/>
          <w:szCs w:val="32"/>
        </w:rPr>
        <w:t>部门整体（含部门预算项目）绩效自评得分为</w:t>
      </w:r>
      <w:r>
        <w:rPr>
          <w:rFonts w:hint="default" w:ascii="Times New Roman" w:hAnsi="Times New Roman" w:eastAsia="方正仿宋_GBK" w:cs="Times New Roman"/>
          <w:sz w:val="32"/>
          <w:szCs w:val="32"/>
          <w:highlight w:val="none"/>
          <w:lang w:val="en-US" w:eastAsia="zh-CN"/>
        </w:rPr>
        <w:t>87.23</w:t>
      </w:r>
      <w:r>
        <w:rPr>
          <w:rFonts w:hint="eastAsia" w:ascii="仿宋_GB2312" w:eastAsia="仿宋_GB2312"/>
          <w:sz w:val="32"/>
          <w:szCs w:val="32"/>
        </w:rPr>
        <w:t>分。绩效自评综述：</w:t>
      </w:r>
      <w:r>
        <w:rPr>
          <w:rFonts w:hint="eastAsia"/>
          <w:sz w:val="32"/>
          <w:szCs w:val="32"/>
          <w:lang w:val="en-US" w:eastAsia="zh-CN"/>
        </w:rPr>
        <w:t>总体来看，</w:t>
      </w:r>
      <w:r>
        <w:rPr>
          <w:rFonts w:hint="eastAsia"/>
          <w:sz w:val="32"/>
          <w:szCs w:val="32"/>
          <w:lang w:eastAsia="zh-CN"/>
        </w:rPr>
        <w:t>2025</w:t>
      </w:r>
      <w:r>
        <w:rPr>
          <w:rFonts w:hint="eastAsia"/>
          <w:sz w:val="32"/>
          <w:szCs w:val="32"/>
          <w:lang w:val="en-US" w:eastAsia="zh-CN"/>
        </w:rPr>
        <w:t>年度</w:t>
      </w:r>
      <w:r>
        <w:rPr>
          <w:rFonts w:hint="eastAsia" w:ascii="仿宋_GB2312" w:eastAsia="仿宋_GB2312"/>
          <w:sz w:val="32"/>
          <w:szCs w:val="32"/>
        </w:rPr>
        <w:t>我</w:t>
      </w:r>
      <w:r>
        <w:rPr>
          <w:rFonts w:hint="eastAsia"/>
          <w:sz w:val="32"/>
          <w:szCs w:val="32"/>
          <w:lang w:val="en-US" w:eastAsia="zh-CN"/>
        </w:rPr>
        <w:t>委</w:t>
      </w:r>
      <w:r>
        <w:rPr>
          <w:rFonts w:hint="eastAsia" w:ascii="仿宋_GB2312" w:eastAsia="仿宋_GB2312"/>
          <w:sz w:val="32"/>
          <w:szCs w:val="32"/>
        </w:rPr>
        <w:t>切实履行部门预算绩效管理主体责任，加快推动建立全方位、全过程、全覆盖的预算绩效管理体系，以事前评估、事中监控、事后评价为节点，以目标引领和结果应用为抓手，扎实推进我</w:t>
      </w:r>
      <w:r>
        <w:rPr>
          <w:rFonts w:hint="eastAsia"/>
          <w:sz w:val="32"/>
          <w:szCs w:val="32"/>
          <w:lang w:val="en-US" w:eastAsia="zh-CN"/>
        </w:rPr>
        <w:t>委</w:t>
      </w:r>
      <w:r>
        <w:rPr>
          <w:rFonts w:hint="eastAsia" w:ascii="仿宋_GB2312" w:eastAsia="仿宋_GB2312"/>
          <w:sz w:val="32"/>
          <w:szCs w:val="32"/>
        </w:rPr>
        <w:t>预算绩效管理工作稳步开展。</w:t>
      </w:r>
      <w:r>
        <w:rPr>
          <w:rFonts w:hint="eastAsia"/>
          <w:sz w:val="32"/>
          <w:szCs w:val="32"/>
          <w:lang w:eastAsia="zh-CN"/>
        </w:rPr>
        <w:t>2025</w:t>
      </w:r>
      <w:r>
        <w:rPr>
          <w:rFonts w:hint="eastAsia"/>
          <w:sz w:val="32"/>
          <w:szCs w:val="32"/>
          <w:lang w:val="en-US" w:eastAsia="zh-CN"/>
        </w:rPr>
        <w:t>年度</w:t>
      </w:r>
      <w:r>
        <w:rPr>
          <w:rFonts w:hint="eastAsia" w:ascii="仿宋_GB2312" w:eastAsia="仿宋_GB2312"/>
          <w:sz w:val="32"/>
          <w:szCs w:val="32"/>
        </w:rPr>
        <w:t>我</w:t>
      </w:r>
      <w:r>
        <w:rPr>
          <w:rFonts w:hint="eastAsia"/>
          <w:sz w:val="32"/>
          <w:szCs w:val="32"/>
          <w:lang w:val="en-US" w:eastAsia="zh-CN"/>
        </w:rPr>
        <w:t>委</w:t>
      </w:r>
      <w:r>
        <w:rPr>
          <w:rFonts w:hint="eastAsia" w:ascii="仿宋_GB2312" w:eastAsia="仿宋_GB2312"/>
          <w:sz w:val="32"/>
          <w:szCs w:val="32"/>
        </w:rPr>
        <w:t>部门整体支出绩效自查自评结果良好，全年基本支出保证了部门的正常运转，项目支出保障了重点工作的开展</w:t>
      </w:r>
      <w:r>
        <w:rPr>
          <w:rFonts w:hint="eastAsia"/>
          <w:sz w:val="32"/>
          <w:szCs w:val="32"/>
          <w:lang w:eastAsia="zh-CN"/>
        </w:rPr>
        <w:t>，但也存在部门预算执行率较低、个别项目目标偏离等问题。</w:t>
      </w:r>
      <w:r>
        <w:rPr>
          <w:rFonts w:hint="eastAsia" w:ascii="仿宋_GB2312" w:eastAsia="仿宋_GB2312"/>
          <w:sz w:val="32"/>
          <w:szCs w:val="32"/>
        </w:rPr>
        <w:t>绩效自评报告</w:t>
      </w:r>
      <w:r>
        <w:rPr>
          <w:rFonts w:hint="eastAsia"/>
          <w:sz w:val="32"/>
          <w:szCs w:val="32"/>
          <w:lang w:val="en-US" w:eastAsia="zh-CN"/>
        </w:rPr>
        <w:t>及绩效自评表详见第四部分附件</w:t>
      </w:r>
      <w:r>
        <w:rPr>
          <w:rFonts w:hint="eastAsia" w:ascii="仿宋_GB2312" w:eastAsia="仿宋_GB2312"/>
          <w:sz w:val="32"/>
          <w:szCs w:val="32"/>
        </w:rPr>
        <w:t>。</w:t>
      </w:r>
    </w:p>
    <w:p w14:paraId="14B76F54">
      <w:pPr>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eastAsia="zh-CN"/>
        </w:rPr>
        <w:t>2025</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度</w:t>
      </w:r>
      <w:r>
        <w:rPr>
          <w:rFonts w:hint="default" w:ascii="Times New Roman" w:hAnsi="Times New Roman" w:eastAsia="仿宋_GB2312" w:cs="Times New Roman"/>
          <w:sz w:val="32"/>
          <w:szCs w:val="32"/>
          <w:highlight w:val="none"/>
        </w:rPr>
        <w:t>本部门不涉及专项预算项目绩效评价。</w:t>
      </w:r>
    </w:p>
    <w:p w14:paraId="543514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3D9F6DB">
      <w:pPr>
        <w:pStyle w:val="2"/>
        <w:rPr>
          <w:rFonts w:hint="eastAsia"/>
          <w:lang w:val="en-US" w:eastAsia="zh-CN"/>
        </w:rPr>
      </w:pPr>
    </w:p>
    <w:p w14:paraId="352534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6023A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8" w:name="_Toc15396613"/>
      <w:bookmarkStart w:id="99" w:name="_Toc23023"/>
      <w:bookmarkStart w:id="10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98"/>
      <w:bookmarkEnd w:id="99"/>
      <w:bookmarkEnd w:id="100"/>
    </w:p>
    <w:p w14:paraId="171F3437">
      <w:pPr>
        <w:spacing w:line="600" w:lineRule="exact"/>
        <w:jc w:val="left"/>
        <w:rPr>
          <w:rFonts w:ascii="Times New Roman" w:hAnsi="Times New Roman"/>
          <w:b/>
          <w:color w:val="auto"/>
          <w:sz w:val="44"/>
          <w:szCs w:val="44"/>
          <w:highlight w:val="none"/>
        </w:rPr>
      </w:pPr>
    </w:p>
    <w:p w14:paraId="46D5A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75E02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5BD6F4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31FAB9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621148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1D04F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991A1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D608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5E9E2DD">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.一般公共服务支出（类）民族事务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行政运行</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（2012301）:指反映行政单位（包括实行公务员管理的事业单位）的基本支出。</w:t>
      </w:r>
    </w:p>
    <w:p w14:paraId="6EE17F32">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.一般公共服务支出</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民族事务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一般行政管理事务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(2012302): 指反映行政单位（包括实行公务员管理的事业单位）未单独设置项级科目的其他项目支出。</w:t>
      </w:r>
    </w:p>
    <w:p w14:paraId="69F7CB6C">
      <w:pPr>
        <w:spacing w:line="600" w:lineRule="exact"/>
        <w:ind w:firstLine="64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 xml:space="preserve">. </w:t>
      </w:r>
      <w:r>
        <w:rPr>
          <w:rFonts w:hint="eastAsia" w:eastAsia="仿宋_GB2312" w:cs="仿宋_GB2312"/>
          <w:color w:val="auto"/>
          <w:kern w:val="2"/>
          <w:sz w:val="32"/>
          <w:szCs w:val="32"/>
          <w:highlight w:val="none"/>
          <w:lang w:val="en-US" w:eastAsia="zh-CN" w:bidi="ar-SA"/>
        </w:rPr>
        <w:t>一</w:t>
      </w:r>
      <w:r>
        <w:rPr>
          <w:rFonts w:hint="default" w:ascii="Times New Roman" w:hAnsi="Times New Roman" w:eastAsia="仿宋_GB2312" w:cs="Times New Roman"/>
          <w:sz w:val="32"/>
          <w:szCs w:val="32"/>
          <w:highlight w:val="none"/>
        </w:rPr>
        <w:t>般公共服务支出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民族事务</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行政事业运行</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（2012350）:指反映事业单位的基本支出。</w:t>
      </w:r>
    </w:p>
    <w:p w14:paraId="33B09721">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机关事业单位基本养老保险缴费支出</w:t>
      </w:r>
      <w:r>
        <w:rPr>
          <w:rFonts w:hint="eastAsia" w:ascii="Times New Roman" w:eastAsia="仿宋_GB2312" w:cs="Times New Roman"/>
          <w:sz w:val="32"/>
          <w:szCs w:val="32"/>
          <w:highlight w:val="none"/>
          <w:lang w:eastAsia="zh-CN"/>
        </w:rPr>
        <w:t>（</w:t>
      </w:r>
      <w:r>
        <w:rPr>
          <w:rFonts w:hint="eastAsia" w:eastAsia="仿宋_GB2312" w:cs="Times New Roman"/>
          <w:sz w:val="32"/>
          <w:szCs w:val="32"/>
          <w:highlight w:val="none"/>
          <w:lang w:eastAsia="zh-CN"/>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(2080505): 指反映机关事业单位实施养老保险制度由单位缴纳的基本养老保险费支出。</w:t>
      </w:r>
    </w:p>
    <w:p w14:paraId="468B87F1">
      <w:pPr>
        <w:spacing w:line="560" w:lineRule="exact"/>
        <w:ind w:firstLine="640" w:firstLineChars="200"/>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rPr>
        <w:t>.社会保障和就业支出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行政事业单位离退休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机关事业单位职业年金缴费支出</w:t>
      </w:r>
      <w:r>
        <w:rPr>
          <w:rFonts w:hint="eastAsia" w:ascii="Times New Roman" w:eastAsia="仿宋_GB2312" w:cs="Times New Roman"/>
          <w:sz w:val="32"/>
          <w:szCs w:val="32"/>
          <w:highlight w:val="none"/>
          <w:lang w:eastAsia="zh-CN"/>
        </w:rPr>
        <w:t>（</w:t>
      </w:r>
      <w:r>
        <w:rPr>
          <w:rFonts w:hint="eastAsia" w:eastAsia="仿宋_GB2312" w:cs="Times New Roman"/>
          <w:sz w:val="32"/>
          <w:szCs w:val="32"/>
          <w:highlight w:val="none"/>
          <w:lang w:eastAsia="zh-CN"/>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（2080506）: 指反映机关事业单位实施养老保险制度由单位实际缴纳的职业年金支出。</w:t>
      </w:r>
    </w:p>
    <w:p w14:paraId="7BFA3C4E">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.卫生健康支出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(2101101): 指反映财政部门集中安排的行政单位基本医疗保险缴费经费，未参加医疗保险的行政单位的公费医疗经费，按国家规定享受离休人员、红军老战士待遇的医疗经费。</w:t>
      </w:r>
    </w:p>
    <w:p w14:paraId="78CED4E4">
      <w:pPr>
        <w:pStyle w:val="27"/>
        <w:keepNext w:val="0"/>
        <w:keepLines w:val="0"/>
        <w:pageBreakBefore w:val="0"/>
        <w:kinsoku/>
        <w:wordWrap/>
        <w:overflowPunct/>
        <w:topLinePunct w:val="0"/>
        <w:bidi w:val="0"/>
        <w:snapToGrid/>
        <w:spacing w:afterAutospacing="0" w:line="576"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15</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卫生健康</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(2101102): 指反映财政部门集中安排的事业单位基本医疗保险缴费经费，未参加医疗保险的事业单位的公费医疗经费，按国家规定享受离休人员的医疗经费。</w:t>
      </w:r>
    </w:p>
    <w:p w14:paraId="2E9B588D">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 卫生健康支出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行政事业单位医疗</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公务员医疗补助</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(2101103): 指反映财政部门安排的公务员医疗补助经费。</w:t>
      </w:r>
    </w:p>
    <w:p w14:paraId="0044F867">
      <w:pPr>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.住房保障支出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类</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住房改革支出</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款</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住房公积金</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w:t>
      </w:r>
      <w:r>
        <w:rPr>
          <w:rFonts w:hint="eastAsia" w:asci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(2210201): 指反映行政事业单位按人力资源和社会保障部、财政部规定的基本工资和津贴补贴以及规定比例为职工缴纳的住房公积金。</w:t>
      </w:r>
    </w:p>
    <w:p w14:paraId="6CDF7C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00B05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6A022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7FA04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A0F5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FCD7DA">
      <w:pPr>
        <w:spacing w:line="600" w:lineRule="exact"/>
        <w:jc w:val="center"/>
        <w:outlineLvl w:val="0"/>
        <w:rPr>
          <w:rStyle w:val="29"/>
          <w:rFonts w:hint="eastAsia" w:ascii="Times New Roman" w:hAnsi="Times New Roman" w:eastAsia="黑体"/>
          <w:b w:val="0"/>
          <w:color w:val="auto"/>
          <w:highlight w:val="none"/>
          <w:lang w:eastAsia="zh-CN"/>
        </w:rPr>
      </w:pPr>
      <w:bookmarkStart w:id="101" w:name="_Toc15377226"/>
      <w:r>
        <w:rPr>
          <w:rFonts w:hint="eastAsia" w:ascii="Times New Roman" w:hAnsi="Times New Roman" w:eastAsia="仿宋_GB2312" w:cs="仿宋_GB2312"/>
          <w:color w:val="auto"/>
          <w:kern w:val="2"/>
          <w:sz w:val="32"/>
          <w:szCs w:val="32"/>
          <w:highlight w:val="none"/>
          <w:lang w:val="en-US" w:eastAsia="zh-CN" w:bidi="ar-SA"/>
        </w:rPr>
        <w:br w:type="page"/>
      </w:r>
      <w:bookmarkEnd w:id="101"/>
      <w:bookmarkStart w:id="102" w:name="_Toc4616"/>
      <w:bookmarkStart w:id="103" w:name="_Toc15396614"/>
      <w:bookmarkStart w:id="104" w:name="_Toc2881"/>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102"/>
      <w:bookmarkEnd w:id="103"/>
      <w:bookmarkEnd w:id="104"/>
    </w:p>
    <w:p w14:paraId="3ADC5D94">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35644190">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微软雅黑"/>
          <w:color w:val="auto"/>
          <w:sz w:val="44"/>
          <w:szCs w:val="44"/>
          <w:highlight w:val="none"/>
          <w:lang w:val="en-US" w:eastAsia="zh-CN"/>
        </w:rPr>
      </w:pPr>
      <w:bookmarkStart w:id="105" w:name="_Toc4755"/>
      <w:bookmarkStart w:id="106" w:name="_Toc7673"/>
      <w:bookmarkStart w:id="107" w:name="_Toc31238"/>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105"/>
      <w:bookmarkEnd w:id="106"/>
      <w:bookmarkEnd w:id="107"/>
    </w:p>
    <w:p w14:paraId="1AC4AB3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p>
    <w:p w14:paraId="249B8249">
      <w:pPr>
        <w:keepNext w:val="0"/>
        <w:keepLines w:val="0"/>
        <w:pageBreakBefore w:val="0"/>
        <w:kinsoku/>
        <w:wordWrap/>
        <w:overflowPunct/>
        <w:topLinePunct w:val="0"/>
        <w:bidi w:val="0"/>
        <w:snapToGrid w:val="0"/>
        <w:spacing w:line="576" w:lineRule="exact"/>
        <w:jc w:val="center"/>
        <w:rPr>
          <w:rFonts w:hint="default" w:ascii="Times New Roman" w:hAnsi="Times New Roman" w:eastAsia="方正公文小标宋" w:cs="Times New Roman"/>
          <w:sz w:val="44"/>
          <w:szCs w:val="44"/>
          <w:highlight w:val="none"/>
        </w:rPr>
      </w:pPr>
      <w:bookmarkStart w:id="108" w:name="_Toc343"/>
      <w:bookmarkStart w:id="109" w:name="_Toc12444"/>
      <w:r>
        <w:rPr>
          <w:rFonts w:hint="default" w:ascii="Times New Roman" w:hAnsi="Times New Roman" w:eastAsia="方正公文小标宋" w:cs="Times New Roman"/>
          <w:sz w:val="44"/>
          <w:szCs w:val="44"/>
          <w:highlight w:val="none"/>
        </w:rPr>
        <w:t>阿坝州民族宗教事务委员会</w:t>
      </w:r>
    </w:p>
    <w:p w14:paraId="3E7C3971">
      <w:pPr>
        <w:keepNext w:val="0"/>
        <w:keepLines w:val="0"/>
        <w:pageBreakBefore w:val="0"/>
        <w:kinsoku/>
        <w:wordWrap/>
        <w:overflowPunct/>
        <w:topLinePunct w:val="0"/>
        <w:bidi w:val="0"/>
        <w:snapToGrid w:val="0"/>
        <w:spacing w:line="576" w:lineRule="exact"/>
        <w:jc w:val="center"/>
        <w:rPr>
          <w:rFonts w:hint="default" w:ascii="Times New Roman" w:hAnsi="Times New Roman" w:eastAsia="方正公文小标宋" w:cs="Times New Roman"/>
          <w:sz w:val="44"/>
          <w:szCs w:val="44"/>
          <w:highlight w:val="none"/>
        </w:rPr>
      </w:pPr>
      <w:r>
        <w:rPr>
          <w:rFonts w:hint="default" w:ascii="Times New Roman" w:hAnsi="Times New Roman" w:eastAsia="方正公文小标宋" w:cs="Times New Roman"/>
          <w:sz w:val="44"/>
          <w:szCs w:val="44"/>
          <w:highlight w:val="none"/>
        </w:rPr>
        <w:t>关于</w:t>
      </w:r>
      <w:r>
        <w:rPr>
          <w:rFonts w:hint="eastAsia" w:ascii="Times New Roman" w:hAnsi="Times New Roman" w:eastAsia="方正公文小标宋" w:cs="Times New Roman"/>
          <w:sz w:val="44"/>
          <w:szCs w:val="44"/>
          <w:highlight w:val="none"/>
          <w:lang w:eastAsia="zh-CN"/>
        </w:rPr>
        <w:t>2026</w:t>
      </w:r>
      <w:r>
        <w:rPr>
          <w:rFonts w:hint="default" w:ascii="Times New Roman" w:hAnsi="Times New Roman" w:eastAsia="方正公文小标宋" w:cs="Times New Roman"/>
          <w:sz w:val="44"/>
          <w:szCs w:val="44"/>
          <w:highlight w:val="none"/>
        </w:rPr>
        <w:t>年部门</w:t>
      </w:r>
      <w:r>
        <w:rPr>
          <w:rFonts w:hint="default" w:ascii="Times New Roman" w:hAnsi="Times New Roman" w:eastAsia="方正公文小标宋" w:cs="Times New Roman"/>
          <w:sz w:val="44"/>
          <w:szCs w:val="44"/>
          <w:highlight w:val="none"/>
          <w:lang w:val="en-US" w:eastAsia="zh-CN"/>
        </w:rPr>
        <w:t>预算</w:t>
      </w:r>
      <w:r>
        <w:rPr>
          <w:rFonts w:hint="default" w:ascii="Times New Roman" w:hAnsi="Times New Roman" w:eastAsia="方正公文小标宋" w:cs="Times New Roman"/>
          <w:sz w:val="44"/>
          <w:szCs w:val="44"/>
          <w:highlight w:val="none"/>
        </w:rPr>
        <w:t>绩效</w:t>
      </w:r>
      <w:r>
        <w:rPr>
          <w:rFonts w:hint="default" w:ascii="Times New Roman" w:hAnsi="Times New Roman" w:eastAsia="方正公文小标宋" w:cs="Times New Roman"/>
          <w:sz w:val="44"/>
          <w:szCs w:val="44"/>
          <w:highlight w:val="none"/>
          <w:lang w:val="en-US" w:eastAsia="zh-CN"/>
        </w:rPr>
        <w:t>自评</w:t>
      </w:r>
      <w:r>
        <w:rPr>
          <w:rFonts w:hint="default" w:ascii="Times New Roman" w:hAnsi="Times New Roman" w:eastAsia="方正公文小标宋" w:cs="Times New Roman"/>
          <w:sz w:val="44"/>
          <w:szCs w:val="44"/>
          <w:highlight w:val="none"/>
        </w:rPr>
        <w:t>报告</w:t>
      </w:r>
    </w:p>
    <w:p w14:paraId="2C339C46">
      <w:pPr>
        <w:keepNext w:val="0"/>
        <w:keepLines w:val="0"/>
        <w:pageBreakBefore w:val="0"/>
        <w:widowControl/>
        <w:kinsoku/>
        <w:wordWrap/>
        <w:overflowPunct/>
        <w:topLinePunct w:val="0"/>
        <w:bidi w:val="0"/>
        <w:spacing w:line="576" w:lineRule="exact"/>
        <w:ind w:firstLine="472"/>
        <w:rPr>
          <w:rFonts w:hint="default" w:ascii="Times New Roman" w:hAnsi="Times New Roman" w:eastAsia="方正仿宋_GBK" w:cs="Times New Roman"/>
          <w:color w:val="000000"/>
          <w:spacing w:val="-2"/>
          <w:kern w:val="0"/>
          <w:sz w:val="32"/>
          <w:szCs w:val="32"/>
          <w:highlight w:val="none"/>
        </w:rPr>
      </w:pPr>
    </w:p>
    <w:p w14:paraId="764B822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州财政局：</w:t>
      </w:r>
    </w:p>
    <w:p w14:paraId="1D82636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根据阿坝州财政局《关于开展</w:t>
      </w:r>
      <w:r>
        <w:rPr>
          <w:rFonts w:hint="eastAsia" w:ascii="Times New Roman" w:hAnsi="Times New Roman" w:eastAsia="方正仿宋_GBK" w:cs="Times New Roman"/>
          <w:color w:val="000000"/>
          <w:kern w:val="2"/>
          <w:sz w:val="32"/>
          <w:szCs w:val="32"/>
          <w:highlight w:val="none"/>
          <w:lang w:val="en-US" w:eastAsia="zh-CN" w:bidi="ar-SA"/>
        </w:rPr>
        <w:t>2026</w:t>
      </w:r>
      <w:r>
        <w:rPr>
          <w:rFonts w:hint="default" w:ascii="Times New Roman" w:hAnsi="Times New Roman" w:eastAsia="方正仿宋_GBK" w:cs="Times New Roman"/>
          <w:color w:val="000000"/>
          <w:kern w:val="2"/>
          <w:sz w:val="32"/>
          <w:szCs w:val="32"/>
          <w:highlight w:val="none"/>
          <w:lang w:val="en-US" w:eastAsia="zh-CN" w:bidi="ar-SA"/>
        </w:rPr>
        <w:t>年州级部门预算绩效自评工作的通知》(阿州财监绩〔</w:t>
      </w:r>
      <w:r>
        <w:rPr>
          <w:rFonts w:hint="eastAsia" w:ascii="Times New Roman" w:hAnsi="Times New Roman" w:eastAsia="方正仿宋_GBK" w:cs="Times New Roman"/>
          <w:color w:val="000000"/>
          <w:kern w:val="2"/>
          <w:sz w:val="32"/>
          <w:szCs w:val="32"/>
          <w:highlight w:val="none"/>
          <w:lang w:val="en-US" w:eastAsia="zh-CN" w:bidi="ar-SA"/>
        </w:rPr>
        <w:t>2026</w:t>
      </w:r>
      <w:r>
        <w:rPr>
          <w:rFonts w:hint="default" w:ascii="Times New Roman" w:hAnsi="Times New Roman"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3</w:t>
      </w:r>
      <w:r>
        <w:rPr>
          <w:rFonts w:hint="default" w:ascii="Times New Roman" w:hAnsi="Times New Roman" w:eastAsia="方正仿宋_GBK" w:cs="Times New Roman"/>
          <w:color w:val="000000"/>
          <w:kern w:val="2"/>
          <w:sz w:val="32"/>
          <w:szCs w:val="32"/>
          <w:highlight w:val="none"/>
          <w:lang w:val="en-US" w:eastAsia="zh-CN" w:bidi="ar-SA"/>
        </w:rPr>
        <w:t xml:space="preserve"> 号）文件要求，我委对</w:t>
      </w:r>
      <w:r>
        <w:rPr>
          <w:rFonts w:hint="eastAsia" w:ascii="Times New Roman" w:hAnsi="Times New Roman" w:eastAsia="方正仿宋_GBK" w:cs="Times New Roman"/>
          <w:color w:val="000000"/>
          <w:kern w:val="2"/>
          <w:sz w:val="32"/>
          <w:szCs w:val="32"/>
          <w:highlight w:val="none"/>
          <w:lang w:val="en-US" w:eastAsia="zh-CN" w:bidi="ar-SA"/>
        </w:rPr>
        <w:t>2025</w:t>
      </w:r>
      <w:r>
        <w:rPr>
          <w:rFonts w:hint="default" w:ascii="Times New Roman" w:hAnsi="Times New Roman" w:eastAsia="方正仿宋_GBK" w:cs="Times New Roman"/>
          <w:color w:val="000000"/>
          <w:kern w:val="2"/>
          <w:sz w:val="32"/>
          <w:szCs w:val="32"/>
          <w:highlight w:val="none"/>
          <w:lang w:val="en-US" w:eastAsia="zh-CN" w:bidi="ar-SA"/>
        </w:rPr>
        <w:t>年度项目支出绩效情况进行了自评工作，本次评价遵循“科学规范、公正公开、分类管理、绩效相关”的原则，运用科学、合理的绩效评价方法，对本单位</w:t>
      </w:r>
      <w:r>
        <w:rPr>
          <w:rFonts w:hint="eastAsia" w:ascii="Times New Roman" w:hAnsi="Times New Roman" w:eastAsia="方正仿宋_GBK" w:cs="Times New Roman"/>
          <w:color w:val="000000"/>
          <w:kern w:val="2"/>
          <w:sz w:val="32"/>
          <w:szCs w:val="32"/>
          <w:highlight w:val="none"/>
          <w:lang w:val="en-US" w:eastAsia="zh-CN" w:bidi="ar-SA"/>
        </w:rPr>
        <w:t>2025</w:t>
      </w:r>
      <w:r>
        <w:rPr>
          <w:rFonts w:hint="default" w:ascii="Times New Roman" w:hAnsi="Times New Roman" w:eastAsia="方正仿宋_GBK" w:cs="Times New Roman"/>
          <w:color w:val="000000"/>
          <w:kern w:val="2"/>
          <w:sz w:val="32"/>
          <w:szCs w:val="32"/>
          <w:highlight w:val="none"/>
          <w:lang w:val="en-US" w:eastAsia="zh-CN" w:bidi="ar-SA"/>
        </w:rPr>
        <w:t>年度绩效情况进行客观、公正的评价，现就相关情况报告如下。</w:t>
      </w:r>
    </w:p>
    <w:p w14:paraId="7F97FDBA">
      <w:pPr>
        <w:keepNext w:val="0"/>
        <w:keepLines w:val="0"/>
        <w:pageBreakBefore w:val="0"/>
        <w:widowControl/>
        <w:kinsoku/>
        <w:wordWrap/>
        <w:overflowPunct/>
        <w:topLinePunct w:val="0"/>
        <w:autoSpaceDE/>
        <w:autoSpaceDN/>
        <w:bidi w:val="0"/>
        <w:adjustRightInd/>
        <w:snapToGrid/>
        <w:spacing w:line="576" w:lineRule="exact"/>
        <w:ind w:firstLine="632" w:firstLineChars="200"/>
        <w:textAlignment w:val="auto"/>
        <w:rPr>
          <w:rFonts w:hint="default" w:ascii="Times New Roman" w:hAnsi="Times New Roman" w:eastAsia="黑体" w:cs="Times New Roman"/>
          <w:color w:val="000000"/>
          <w:spacing w:val="-2"/>
          <w:kern w:val="0"/>
          <w:sz w:val="32"/>
          <w:szCs w:val="32"/>
          <w:highlight w:val="none"/>
        </w:rPr>
      </w:pPr>
      <w:r>
        <w:rPr>
          <w:rFonts w:hint="default" w:ascii="Times New Roman" w:hAnsi="Times New Roman" w:eastAsia="黑体" w:cs="Times New Roman"/>
          <w:color w:val="000000"/>
          <w:spacing w:val="-2"/>
          <w:kern w:val="0"/>
          <w:sz w:val="32"/>
          <w:szCs w:val="32"/>
          <w:highlight w:val="none"/>
        </w:rPr>
        <w:t>一、部门概况</w:t>
      </w:r>
    </w:p>
    <w:p w14:paraId="32EC6293">
      <w:pPr>
        <w:keepNext w:val="0"/>
        <w:keepLines w:val="0"/>
        <w:pageBreakBefore w:val="0"/>
        <w:widowControl/>
        <w:kinsoku/>
        <w:wordWrap/>
        <w:overflowPunct/>
        <w:topLinePunct w:val="0"/>
        <w:autoSpaceDE/>
        <w:autoSpaceDN/>
        <w:bidi w:val="0"/>
        <w:adjustRightInd/>
        <w:snapToGrid/>
        <w:spacing w:line="576" w:lineRule="exact"/>
        <w:ind w:firstLine="472"/>
        <w:textAlignment w:val="auto"/>
        <w:rPr>
          <w:rFonts w:hint="default" w:ascii="Times New Roman" w:hAnsi="Times New Roman" w:eastAsia="方正楷体_GB2312" w:cs="Times New Roman"/>
          <w:b/>
          <w:color w:val="000000"/>
          <w:spacing w:val="-2"/>
          <w:kern w:val="0"/>
          <w:sz w:val="32"/>
          <w:szCs w:val="32"/>
          <w:highlight w:val="none"/>
          <w:lang w:val="en-US" w:eastAsia="zh-CN" w:bidi="ar-SA"/>
        </w:rPr>
      </w:pPr>
      <w:r>
        <w:rPr>
          <w:rFonts w:hint="default" w:ascii="Times New Roman" w:hAnsi="Times New Roman" w:eastAsia="方正楷体_GB2312" w:cs="Times New Roman"/>
          <w:b/>
          <w:color w:val="000000"/>
          <w:spacing w:val="-2"/>
          <w:kern w:val="0"/>
          <w:sz w:val="32"/>
          <w:szCs w:val="32"/>
          <w:highlight w:val="none"/>
          <w:lang w:val="en-US" w:eastAsia="zh-CN" w:bidi="ar-SA"/>
        </w:rPr>
        <w:t>（一）机构组成。</w:t>
      </w:r>
    </w:p>
    <w:p w14:paraId="5E64081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我委属于一级预算单位。其中：行政单位1个，下属事业单位3个。总编制4</w:t>
      </w:r>
      <w:r>
        <w:rPr>
          <w:rFonts w:hint="eastAsia" w:ascii="Times New Roman" w:hAnsi="Times New Roman" w:eastAsia="方正仿宋_GBK" w:cs="Times New Roman"/>
          <w:color w:val="000000"/>
          <w:kern w:val="2"/>
          <w:sz w:val="32"/>
          <w:szCs w:val="32"/>
          <w:highlight w:val="none"/>
          <w:lang w:val="en-US" w:eastAsia="zh-CN" w:bidi="ar-SA"/>
        </w:rPr>
        <w:t>9</w:t>
      </w:r>
      <w:r>
        <w:rPr>
          <w:rFonts w:hint="default" w:ascii="Times New Roman" w:hAnsi="Times New Roman" w:eastAsia="方正仿宋_GBK" w:cs="Times New Roman"/>
          <w:color w:val="000000"/>
          <w:kern w:val="2"/>
          <w:sz w:val="32"/>
          <w:szCs w:val="32"/>
          <w:highlight w:val="none"/>
          <w:lang w:val="en-US" w:eastAsia="zh-CN" w:bidi="ar-SA"/>
        </w:rPr>
        <w:t>名，其中：行政编制</w:t>
      </w:r>
      <w:r>
        <w:rPr>
          <w:rFonts w:hint="eastAsia" w:ascii="Times New Roman" w:hAnsi="Times New Roman" w:eastAsia="方正仿宋_GBK" w:cs="Times New Roman"/>
          <w:color w:val="000000"/>
          <w:kern w:val="2"/>
          <w:sz w:val="32"/>
          <w:szCs w:val="32"/>
          <w:highlight w:val="none"/>
          <w:lang w:val="en-US" w:eastAsia="zh-CN" w:bidi="ar-SA"/>
        </w:rPr>
        <w:t>30</w:t>
      </w:r>
      <w:r>
        <w:rPr>
          <w:rFonts w:hint="default" w:ascii="Times New Roman" w:hAnsi="Times New Roman" w:eastAsia="方正仿宋_GBK" w:cs="Times New Roman"/>
          <w:color w:val="000000"/>
          <w:kern w:val="2"/>
          <w:sz w:val="32"/>
          <w:szCs w:val="32"/>
          <w:highlight w:val="none"/>
          <w:lang w:val="en-US" w:eastAsia="zh-CN" w:bidi="ar-SA"/>
        </w:rPr>
        <w:t>名，行政工勤7名，其他事业编制12名。</w:t>
      </w:r>
    </w:p>
    <w:p w14:paraId="319364D2">
      <w:pPr>
        <w:keepNext w:val="0"/>
        <w:keepLines w:val="0"/>
        <w:pageBreakBefore w:val="0"/>
        <w:kinsoku/>
        <w:wordWrap/>
        <w:overflowPunct/>
        <w:topLinePunct w:val="0"/>
        <w:autoSpaceDE/>
        <w:autoSpaceDN/>
        <w:bidi w:val="0"/>
        <w:adjustRightInd/>
        <w:snapToGrid/>
        <w:spacing w:line="576" w:lineRule="exact"/>
        <w:ind w:firstLine="635" w:firstLineChars="200"/>
        <w:textAlignment w:val="auto"/>
        <w:rPr>
          <w:rFonts w:hint="default" w:ascii="Times New Roman" w:hAnsi="Times New Roman" w:eastAsia="方正楷体_GB2312" w:cs="Times New Roman"/>
          <w:b/>
          <w:color w:val="000000"/>
          <w:spacing w:val="-2"/>
          <w:kern w:val="0"/>
          <w:sz w:val="32"/>
          <w:szCs w:val="32"/>
          <w:highlight w:val="none"/>
          <w:lang w:val="en-US" w:eastAsia="zh-CN" w:bidi="ar-SA"/>
        </w:rPr>
      </w:pPr>
      <w:r>
        <w:rPr>
          <w:rFonts w:hint="default" w:ascii="Times New Roman" w:hAnsi="Times New Roman" w:eastAsia="方正楷体_GB2312" w:cs="Times New Roman"/>
          <w:b/>
          <w:color w:val="000000"/>
          <w:spacing w:val="-2"/>
          <w:kern w:val="0"/>
          <w:sz w:val="32"/>
          <w:szCs w:val="32"/>
          <w:highlight w:val="none"/>
          <w:lang w:val="en-US" w:eastAsia="zh-CN" w:bidi="ar-SA"/>
        </w:rPr>
        <w:t>（二）机构职能。</w:t>
      </w:r>
    </w:p>
    <w:p w14:paraId="15CE882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1.贯彻执行党和国家关于民族宗教工作的方针、政策、法律、法规，研究提出我州铸牢中华民族共同体意识、加强中华民族共同体建设和坚持我国宗教中国化方向、引导宗教与社会主义社会相适应的政策建议。</w:t>
      </w:r>
    </w:p>
    <w:p w14:paraId="79826C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2.负责民族工作有关协调机制的具体事务,协调推动有关部门履行民族宗教工作相关职责，对县（市）、州级各部门贯彻落实中央、省、州关于民族宗教工作的决策部署、民族宗教工作法律法规开展指导和督促检查。负责对全州民族宗教工作进行业务指导。</w:t>
      </w:r>
    </w:p>
    <w:p w14:paraId="199EE9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3.组织开展以铸牢中华民族共同体意识为主线的民族宗教理论、民族宗教政策和民族宗教工作重大问题的调查研究。负责民族宗教动态和信息的汇总、分析，提出处理民族宗教工作的政策建议。</w:t>
      </w:r>
    </w:p>
    <w:p w14:paraId="09FDB38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4.研究提出推进全州民族事务治理体系和治理能力现代化、全面推进宗教工作法治化建设的政策建议；负责起草民族宗教事务地方性法规和规章草案、政策措施并推动落实。督促指导民族区域自治法的贯彻落实，依法保障各族群众的合法权益。</w:t>
      </w:r>
    </w:p>
    <w:p w14:paraId="5CBD257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5.研究提出我州推进中华民族共有精神家园建设的政策建议，参与中华文化符号和中华民族形象建设。协调推动少数民族优秀文化传承保护和创新融合。负责管理全州少数民族语言文字工作，指导少数民族语言文字翻译、出版和民族古籍收集、整理、出版工作。</w:t>
      </w:r>
    </w:p>
    <w:p w14:paraId="1F28A3E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6.组织实施促进我州各民族交往交流交融的政策,组织开展民族领域示范创建工作，协调推动构建互嵌式社会结构和社区环境建设工作。</w:t>
      </w:r>
    </w:p>
    <w:p w14:paraId="245106D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7.研究提出我州推动各民族共同走向社会主义现代化的政策建议，促进党的民族政策在经济、文化、社会、生态、安全领域的实施、衔接。参与研究分析全州经济发展、社会事业方面的问题并提出特殊政策建议。参与拟订和实施少数民族经济社会发展相关规划。协调推进民族宗教事务公共服务体系建设和管理信息化建设。开展民族地区经济社会发展综合评估工作。</w:t>
      </w:r>
    </w:p>
    <w:p w14:paraId="0FA3ED0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8.研究提出协调民族关系、宗教关系的政策建议，会同有关部门协调处理民族关系、宗教关系中的重大事项，参与民族宗教领域重大风险隐患防范化解工作，维护国家统一、民族团结、社会稳定。</w:t>
      </w:r>
    </w:p>
    <w:p w14:paraId="0D2EBEF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9.协调组织开展铸牢中华民族共同体意识、坚持我国宗教中国化方向和民族宗教方面法律法规和政策的宣传教育工作。组织协调民族自治地方重大庆典活动和全州性民族文化体育活动。</w:t>
      </w:r>
    </w:p>
    <w:p w14:paraId="37AF6F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10.依法履行宗教事务管理职责,依法保护公民宗教信仰自由和正常的宗教活动,维护宗教界合法权益,促进宗教关系和谐。</w:t>
      </w:r>
    </w:p>
    <w:p w14:paraId="054C72E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11.指导宗教团体依法依章开展活动，加强自身建设，推动宗教团体在宗教界开展爱国主义、集体主义、社会主义和维护祖国统一、民族团结教育，办理宗教团体需由政府解决或协调的有关事宜。</w:t>
      </w:r>
    </w:p>
    <w:p w14:paraId="7A55BD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12.指导县（市）民族宗教事务部门依法履行管理职责，防范利用民族宗教进行的非法、违法活动，抵御境外势力利用民族宗教进行的分裂、渗透、破坏活动。</w:t>
      </w:r>
    </w:p>
    <w:p w14:paraId="471BD9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13.组织协调民族宗教工作领域有关对外和对港澳台的交流与合作，参与涉及民族宗教事务的对外宣传工作。</w:t>
      </w:r>
    </w:p>
    <w:p w14:paraId="124F32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14.参与拟订少数民族人才队伍、民族宗教工作干部队伍建设规划，联系少数民族干部和代表人士，协助有关部门做好少数民族干部的培养、教育、使用工作。负责提出加强基层民族宗教工作队伍建设的政策建议。</w:t>
      </w:r>
    </w:p>
    <w:p w14:paraId="4F1AB3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15.负责职责范围内的安全生产和职业健康、生态环境保护、审批服务便民化等工作。</w:t>
      </w:r>
    </w:p>
    <w:p w14:paraId="03A2D9F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16.完成州委、州政府交办的其他任务。</w:t>
      </w:r>
    </w:p>
    <w:p w14:paraId="7F400008">
      <w:pPr>
        <w:keepNext w:val="0"/>
        <w:keepLines w:val="0"/>
        <w:pageBreakBefore w:val="0"/>
        <w:widowControl w:val="0"/>
        <w:kinsoku/>
        <w:wordWrap/>
        <w:overflowPunct/>
        <w:topLinePunct w:val="0"/>
        <w:autoSpaceDE/>
        <w:autoSpaceDN/>
        <w:bidi w:val="0"/>
        <w:adjustRightInd/>
        <w:snapToGrid/>
        <w:spacing w:line="576" w:lineRule="exact"/>
        <w:ind w:firstLine="472"/>
        <w:textAlignment w:val="auto"/>
        <w:rPr>
          <w:rFonts w:hint="default" w:ascii="Times New Roman" w:hAnsi="Times New Roman" w:eastAsia="方正楷体_GB2312" w:cs="Times New Roman"/>
          <w:b/>
          <w:color w:val="000000"/>
          <w:spacing w:val="-2"/>
          <w:kern w:val="0"/>
          <w:sz w:val="32"/>
          <w:szCs w:val="32"/>
          <w:highlight w:val="none"/>
          <w:lang w:val="en-US" w:eastAsia="zh-CN" w:bidi="ar-SA"/>
        </w:rPr>
      </w:pPr>
      <w:r>
        <w:rPr>
          <w:rFonts w:hint="default" w:ascii="Times New Roman" w:hAnsi="Times New Roman" w:eastAsia="方正楷体_GB2312" w:cs="Times New Roman"/>
          <w:b/>
          <w:color w:val="000000"/>
          <w:spacing w:val="-2"/>
          <w:kern w:val="0"/>
          <w:sz w:val="32"/>
          <w:szCs w:val="32"/>
          <w:highlight w:val="none"/>
          <w:lang w:val="en-US" w:eastAsia="zh-CN" w:bidi="ar-SA"/>
        </w:rPr>
        <w:t>（三）人员概况。</w:t>
      </w:r>
    </w:p>
    <w:p w14:paraId="33284F9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在职人员总数4</w:t>
      </w:r>
      <w:r>
        <w:rPr>
          <w:rFonts w:hint="eastAsia" w:ascii="Times New Roman" w:hAnsi="Times New Roman" w:eastAsia="方正仿宋_GBK" w:cs="Times New Roman"/>
          <w:color w:val="000000"/>
          <w:kern w:val="2"/>
          <w:sz w:val="32"/>
          <w:szCs w:val="32"/>
          <w:highlight w:val="none"/>
          <w:lang w:val="en-US" w:eastAsia="zh-CN" w:bidi="ar-SA"/>
        </w:rPr>
        <w:t>6</w:t>
      </w:r>
      <w:r>
        <w:rPr>
          <w:rFonts w:hint="default" w:ascii="Times New Roman" w:hAnsi="Times New Roman" w:eastAsia="方正仿宋_GBK" w:cs="Times New Roman"/>
          <w:color w:val="000000"/>
          <w:kern w:val="2"/>
          <w:sz w:val="32"/>
          <w:szCs w:val="32"/>
          <w:highlight w:val="none"/>
          <w:lang w:val="en-US" w:eastAsia="zh-CN" w:bidi="ar-SA"/>
        </w:rPr>
        <w:t>人，其中：行政人员</w:t>
      </w:r>
      <w:r>
        <w:rPr>
          <w:rFonts w:hint="eastAsia" w:ascii="Times New Roman" w:hAnsi="Times New Roman" w:eastAsia="方正仿宋_GBK" w:cs="Times New Roman"/>
          <w:color w:val="000000"/>
          <w:kern w:val="2"/>
          <w:sz w:val="32"/>
          <w:szCs w:val="32"/>
          <w:highlight w:val="none"/>
          <w:lang w:val="en-US" w:eastAsia="zh-CN" w:bidi="ar-SA"/>
        </w:rPr>
        <w:t>29</w:t>
      </w:r>
      <w:r>
        <w:rPr>
          <w:rFonts w:hint="default" w:ascii="Times New Roman" w:hAnsi="Times New Roman" w:eastAsia="方正仿宋_GBK" w:cs="Times New Roman"/>
          <w:color w:val="000000"/>
          <w:kern w:val="2"/>
          <w:sz w:val="32"/>
          <w:szCs w:val="32"/>
          <w:highlight w:val="none"/>
          <w:lang w:val="en-US" w:eastAsia="zh-CN" w:bidi="ar-SA"/>
        </w:rPr>
        <w:t>人，行政工勤7人，其他事业人员</w:t>
      </w:r>
      <w:r>
        <w:rPr>
          <w:rFonts w:hint="eastAsia" w:ascii="Times New Roman" w:hAnsi="Times New Roman" w:eastAsia="方正仿宋_GBK" w:cs="Times New Roman"/>
          <w:color w:val="000000"/>
          <w:kern w:val="2"/>
          <w:sz w:val="32"/>
          <w:szCs w:val="32"/>
          <w:highlight w:val="none"/>
          <w:lang w:val="en-US" w:eastAsia="zh-CN" w:bidi="ar-SA"/>
        </w:rPr>
        <w:t>10</w:t>
      </w:r>
      <w:r>
        <w:rPr>
          <w:rFonts w:hint="default" w:ascii="Times New Roman" w:hAnsi="Times New Roman" w:eastAsia="方正仿宋_GBK" w:cs="Times New Roman"/>
          <w:color w:val="000000"/>
          <w:kern w:val="2"/>
          <w:sz w:val="32"/>
          <w:szCs w:val="32"/>
          <w:highlight w:val="none"/>
          <w:lang w:val="en-US" w:eastAsia="zh-CN" w:bidi="ar-SA"/>
        </w:rPr>
        <w:t>人，退休人员17人。</w:t>
      </w:r>
    </w:p>
    <w:p w14:paraId="38C77BF2">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default" w:ascii="Times New Roman" w:hAnsi="Times New Roman" w:eastAsia="黑体" w:cs="Times New Roman"/>
          <w:color w:val="000000"/>
          <w:spacing w:val="-2"/>
          <w:kern w:val="0"/>
          <w:sz w:val="32"/>
          <w:szCs w:val="32"/>
          <w:highlight w:val="none"/>
        </w:rPr>
      </w:pPr>
      <w:r>
        <w:rPr>
          <w:rFonts w:hint="default" w:ascii="Times New Roman" w:hAnsi="Times New Roman" w:eastAsia="黑体" w:cs="Times New Roman"/>
          <w:color w:val="000000"/>
          <w:spacing w:val="-2"/>
          <w:kern w:val="0"/>
          <w:sz w:val="32"/>
          <w:szCs w:val="32"/>
          <w:highlight w:val="none"/>
        </w:rPr>
        <w:t>二、部门资金收支情况</w:t>
      </w:r>
    </w:p>
    <w:p w14:paraId="18064569">
      <w:pPr>
        <w:keepNext w:val="0"/>
        <w:keepLines w:val="0"/>
        <w:pageBreakBefore w:val="0"/>
        <w:widowControl w:val="0"/>
        <w:kinsoku/>
        <w:wordWrap/>
        <w:overflowPunct/>
        <w:topLinePunct w:val="0"/>
        <w:autoSpaceDE/>
        <w:autoSpaceDN/>
        <w:bidi w:val="0"/>
        <w:adjustRightInd/>
        <w:snapToGrid/>
        <w:spacing w:line="576" w:lineRule="exact"/>
        <w:ind w:firstLine="635" w:firstLineChars="200"/>
        <w:textAlignment w:val="auto"/>
        <w:rPr>
          <w:rFonts w:hint="default" w:ascii="Times New Roman" w:hAnsi="Times New Roman" w:eastAsia="方正楷体_GB2312" w:cs="Times New Roman"/>
          <w:b/>
          <w:color w:val="000000"/>
          <w:spacing w:val="-2"/>
          <w:kern w:val="0"/>
          <w:sz w:val="32"/>
          <w:szCs w:val="32"/>
          <w:highlight w:val="none"/>
          <w:lang w:val="en-US" w:eastAsia="zh-CN" w:bidi="ar-SA"/>
        </w:rPr>
      </w:pPr>
      <w:r>
        <w:rPr>
          <w:rFonts w:hint="default" w:ascii="Times New Roman" w:hAnsi="Times New Roman" w:eastAsia="方正楷体_GB2312" w:cs="Times New Roman"/>
          <w:b/>
          <w:color w:val="000000"/>
          <w:spacing w:val="-2"/>
          <w:kern w:val="0"/>
          <w:sz w:val="32"/>
          <w:szCs w:val="32"/>
          <w:highlight w:val="none"/>
          <w:lang w:val="en-US" w:eastAsia="zh-CN" w:bidi="ar-SA"/>
        </w:rPr>
        <w:t>（一）收入情况。</w:t>
      </w:r>
    </w:p>
    <w:p w14:paraId="4DD8C3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本单位本年度收入全年预算数为</w:t>
      </w:r>
      <w:r>
        <w:rPr>
          <w:rFonts w:hint="eastAsia" w:ascii="Times New Roman" w:hAnsi="Times New Roman" w:eastAsia="方正仿宋_GBK" w:cs="Times New Roman"/>
          <w:color w:val="000000"/>
          <w:kern w:val="2"/>
          <w:sz w:val="32"/>
          <w:szCs w:val="32"/>
          <w:highlight w:val="none"/>
          <w:lang w:val="en-US" w:eastAsia="zh-CN" w:bidi="ar-SA"/>
        </w:rPr>
        <w:t>1816.77</w:t>
      </w:r>
      <w:r>
        <w:rPr>
          <w:rFonts w:hint="default" w:ascii="Times New Roman" w:hAnsi="Times New Roman" w:eastAsia="方正仿宋_GBK" w:cs="Times New Roman"/>
          <w:color w:val="000000"/>
          <w:kern w:val="2"/>
          <w:sz w:val="32"/>
          <w:szCs w:val="32"/>
          <w:highlight w:val="none"/>
          <w:lang w:val="en-US" w:eastAsia="zh-CN" w:bidi="ar-SA"/>
        </w:rPr>
        <w:t>万元，收入决算数为</w:t>
      </w:r>
      <w:r>
        <w:rPr>
          <w:rFonts w:hint="eastAsia" w:ascii="Times New Roman" w:hAnsi="Times New Roman" w:eastAsia="方正仿宋_GBK" w:cs="Times New Roman"/>
          <w:color w:val="000000"/>
          <w:kern w:val="2"/>
          <w:sz w:val="32"/>
          <w:szCs w:val="32"/>
          <w:highlight w:val="none"/>
          <w:lang w:val="en-US" w:eastAsia="zh-CN" w:bidi="ar-SA"/>
        </w:rPr>
        <w:t>1816.77</w:t>
      </w:r>
      <w:r>
        <w:rPr>
          <w:rFonts w:hint="default" w:ascii="Times New Roman" w:hAnsi="Times New Roman" w:eastAsia="方正仿宋_GBK" w:cs="Times New Roman"/>
          <w:color w:val="000000"/>
          <w:kern w:val="2"/>
          <w:sz w:val="32"/>
          <w:szCs w:val="32"/>
          <w:highlight w:val="none"/>
          <w:lang w:val="en-US" w:eastAsia="zh-CN" w:bidi="ar-SA"/>
        </w:rPr>
        <w:t>万元，预算完成度为100.00%。</w:t>
      </w:r>
    </w:p>
    <w:p w14:paraId="2A44DBF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本单位本年度总收入为</w:t>
      </w:r>
      <w:r>
        <w:rPr>
          <w:rFonts w:hint="eastAsia" w:ascii="Times New Roman" w:hAnsi="Times New Roman" w:eastAsia="仿宋" w:cs="Times New Roman"/>
          <w:sz w:val="32"/>
          <w:szCs w:val="32"/>
          <w:highlight w:val="none"/>
          <w:lang w:eastAsia="zh-CN"/>
        </w:rPr>
        <w:t>1816.77</w:t>
      </w:r>
      <w:r>
        <w:rPr>
          <w:rFonts w:hint="default" w:ascii="Times New Roman" w:hAnsi="Times New Roman" w:eastAsia="仿宋" w:cs="Times New Roman"/>
          <w:sz w:val="32"/>
          <w:szCs w:val="32"/>
          <w:highlight w:val="none"/>
        </w:rPr>
        <w:t>万元。其中：一般公共预算财政拨款收入为</w:t>
      </w:r>
      <w:r>
        <w:rPr>
          <w:rFonts w:hint="eastAsia" w:ascii="Times New Roman" w:hAnsi="Times New Roman" w:eastAsia="仿宋" w:cs="Times New Roman"/>
          <w:sz w:val="32"/>
          <w:szCs w:val="32"/>
          <w:highlight w:val="none"/>
          <w:lang w:eastAsia="zh-CN"/>
        </w:rPr>
        <w:t>1816.77</w:t>
      </w:r>
      <w:r>
        <w:rPr>
          <w:rFonts w:hint="default" w:ascii="Times New Roman" w:hAnsi="Times New Roman" w:eastAsia="仿宋" w:cs="Times New Roman"/>
          <w:sz w:val="32"/>
          <w:szCs w:val="32"/>
          <w:highlight w:val="none"/>
        </w:rPr>
        <w:t xml:space="preserve">万元，占比100.00%；政府性基金预算财政拨款收入为0.00万元，占比0.00%；国有资本经营预算财政拨款收入为0.00)万元，占比0.00%；上级补助收入为0.00万元，占比0.00%；事业收入为0.00万元，占比0.00%；经营收入为0.00万元，占比0.00%；附属单位上缴收入为0.00万元，占比0.00%；其他收入为0.00万元，占比0.00%。                                                        </w:t>
      </w:r>
    </w:p>
    <w:p w14:paraId="4D796324">
      <w:pPr>
        <w:keepNext w:val="0"/>
        <w:keepLines w:val="0"/>
        <w:pageBreakBefore w:val="0"/>
        <w:widowControl w:val="0"/>
        <w:kinsoku/>
        <w:wordWrap/>
        <w:overflowPunct/>
        <w:topLinePunct w:val="0"/>
        <w:autoSpaceDE/>
        <w:autoSpaceDN/>
        <w:bidi w:val="0"/>
        <w:adjustRightInd/>
        <w:snapToGrid/>
        <w:spacing w:line="576" w:lineRule="exact"/>
        <w:ind w:firstLine="635" w:firstLineChars="200"/>
        <w:textAlignment w:val="auto"/>
        <w:rPr>
          <w:rFonts w:hint="default" w:ascii="Times New Roman" w:hAnsi="Times New Roman" w:eastAsia="楷体" w:cs="Times New Roman"/>
          <w:b/>
          <w:color w:val="000000"/>
          <w:spacing w:val="-2"/>
          <w:kern w:val="0"/>
          <w:sz w:val="32"/>
          <w:szCs w:val="32"/>
          <w:highlight w:val="none"/>
        </w:rPr>
      </w:pPr>
      <w:r>
        <w:rPr>
          <w:rFonts w:hint="default" w:ascii="Times New Roman" w:hAnsi="Times New Roman" w:eastAsia="方正楷体_GB2312" w:cs="Times New Roman"/>
          <w:b/>
          <w:color w:val="000000"/>
          <w:spacing w:val="-2"/>
          <w:kern w:val="0"/>
          <w:sz w:val="32"/>
          <w:szCs w:val="32"/>
          <w:highlight w:val="none"/>
          <w:lang w:val="en-US" w:eastAsia="zh-CN" w:bidi="ar-SA"/>
        </w:rPr>
        <w:t>（二）支出情况。</w:t>
      </w:r>
      <w:r>
        <w:rPr>
          <w:rFonts w:hint="default" w:ascii="Times New Roman" w:hAnsi="Times New Roman" w:eastAsia="楷体" w:cs="Times New Roman"/>
          <w:b/>
          <w:color w:val="000000"/>
          <w:spacing w:val="-2"/>
          <w:kern w:val="0"/>
          <w:sz w:val="32"/>
          <w:szCs w:val="32"/>
          <w:highlight w:val="none"/>
        </w:rPr>
        <w:t xml:space="preserve">                                                        </w:t>
      </w:r>
    </w:p>
    <w:p w14:paraId="4306FE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仿宋_GBK" w:cs="Times New Roman"/>
          <w:color w:val="000000"/>
          <w:kern w:val="2"/>
          <w:sz w:val="32"/>
          <w:szCs w:val="32"/>
          <w:highlight w:val="none"/>
          <w:lang w:val="en-US" w:eastAsia="zh-CN" w:bidi="ar-SA"/>
        </w:rPr>
        <w:t>1.</w:t>
      </w:r>
      <w:r>
        <w:rPr>
          <w:rFonts w:hint="default" w:ascii="Times New Roman" w:hAnsi="Times New Roman" w:eastAsia="方正仿宋_GBK" w:cs="Times New Roman"/>
          <w:color w:val="000000"/>
          <w:kern w:val="2"/>
          <w:sz w:val="32"/>
          <w:szCs w:val="32"/>
          <w:highlight w:val="none"/>
          <w:lang w:val="en-US" w:eastAsia="zh-CN" w:bidi="ar-SA"/>
        </w:rPr>
        <w:t>本年度总支出为1818.42万元。其中：一般公共服务支出为1476.08万元，占比81.17%；社会保障和就业支出为176.29万元，占比9.69%；卫生健康支出为68.21万元，占比3.75%；住房保障支出为96.19万元，占比5.29%；其他支出为1.65万元，占比0.09%。</w:t>
      </w:r>
    </w:p>
    <w:p w14:paraId="202A55E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仿宋_GBK" w:cs="Times New Roman"/>
          <w:color w:val="000000"/>
          <w:kern w:val="2"/>
          <w:sz w:val="32"/>
          <w:szCs w:val="32"/>
          <w:highlight w:val="none"/>
          <w:lang w:val="en-US" w:eastAsia="zh-CN" w:bidi="ar-SA"/>
        </w:rPr>
        <w:t>2.</w:t>
      </w:r>
      <w:r>
        <w:rPr>
          <w:rFonts w:hint="default" w:ascii="Times New Roman" w:hAnsi="Times New Roman" w:eastAsia="方正仿宋_GBK" w:cs="Times New Roman"/>
          <w:color w:val="000000"/>
          <w:kern w:val="2"/>
          <w:sz w:val="32"/>
          <w:szCs w:val="32"/>
          <w:highlight w:val="none"/>
          <w:lang w:val="en-US" w:eastAsia="zh-CN" w:bidi="ar-SA"/>
        </w:rPr>
        <w:t>本年度一般公共预算财政拨款收入相比上年度减少183.62万元，下降9.18%，主要原因为项目减少，经费减少；本年度一般公共预算财政拨款支出相比上年度减少183.62万元，下降9.18%，主要原因为项目减少，经费减少。</w:t>
      </w:r>
    </w:p>
    <w:p w14:paraId="2CD04C85">
      <w:pPr>
        <w:keepNext w:val="0"/>
        <w:keepLines w:val="0"/>
        <w:pageBreakBefore w:val="0"/>
        <w:widowControl w:val="0"/>
        <w:kinsoku/>
        <w:wordWrap/>
        <w:overflowPunct/>
        <w:topLinePunct w:val="0"/>
        <w:autoSpaceDE/>
        <w:autoSpaceDN/>
        <w:bidi w:val="0"/>
        <w:adjustRightInd/>
        <w:snapToGrid/>
        <w:spacing w:line="576" w:lineRule="exact"/>
        <w:ind w:firstLine="635" w:firstLineChars="200"/>
        <w:textAlignment w:val="auto"/>
        <w:rPr>
          <w:rFonts w:hint="default" w:ascii="Times New Roman" w:hAnsi="Times New Roman" w:eastAsia="方正楷体_GB2312" w:cs="Times New Roman"/>
          <w:b/>
          <w:color w:val="000000"/>
          <w:spacing w:val="-2"/>
          <w:kern w:val="0"/>
          <w:sz w:val="32"/>
          <w:szCs w:val="32"/>
          <w:highlight w:val="none"/>
          <w:lang w:val="en-US" w:eastAsia="zh-CN" w:bidi="ar-SA"/>
        </w:rPr>
      </w:pPr>
      <w:r>
        <w:rPr>
          <w:rFonts w:hint="default" w:ascii="Times New Roman" w:hAnsi="Times New Roman" w:eastAsia="方正楷体_GB2312" w:cs="Times New Roman"/>
          <w:b/>
          <w:color w:val="000000"/>
          <w:spacing w:val="-2"/>
          <w:kern w:val="0"/>
          <w:sz w:val="32"/>
          <w:szCs w:val="32"/>
          <w:highlight w:val="none"/>
          <w:lang w:val="en-US" w:eastAsia="zh-CN" w:bidi="ar-SA"/>
        </w:rPr>
        <w:t>（三）结余分配和结转结余情况。</w:t>
      </w:r>
    </w:p>
    <w:p w14:paraId="7708F4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202</w:t>
      </w:r>
      <w:r>
        <w:rPr>
          <w:rFonts w:hint="eastAsia" w:ascii="Times New Roman" w:hAnsi="Times New Roman" w:eastAsia="方正仿宋_GBK" w:cs="Times New Roman"/>
          <w:color w:val="000000"/>
          <w:kern w:val="2"/>
          <w:sz w:val="32"/>
          <w:szCs w:val="32"/>
          <w:highlight w:val="none"/>
          <w:lang w:val="en-US" w:eastAsia="zh-CN" w:bidi="ar-SA"/>
        </w:rPr>
        <w:t>5</w:t>
      </w:r>
      <w:r>
        <w:rPr>
          <w:rFonts w:hint="default" w:ascii="Times New Roman" w:hAnsi="Times New Roman" w:eastAsia="方正仿宋_GBK" w:cs="Times New Roman"/>
          <w:color w:val="000000"/>
          <w:kern w:val="2"/>
          <w:sz w:val="32"/>
          <w:szCs w:val="32"/>
          <w:highlight w:val="none"/>
          <w:lang w:val="en-US" w:eastAsia="zh-CN" w:bidi="ar-SA"/>
        </w:rPr>
        <w:t>年度年末收支结余</w:t>
      </w:r>
      <w:r>
        <w:rPr>
          <w:rFonts w:hint="eastAsia" w:ascii="Times New Roman" w:hAnsi="Times New Roman" w:eastAsia="方正仿宋_GBK" w:cs="Times New Roman"/>
          <w:color w:val="000000"/>
          <w:kern w:val="2"/>
          <w:sz w:val="32"/>
          <w:szCs w:val="32"/>
          <w:highlight w:val="none"/>
          <w:lang w:val="en-US" w:eastAsia="zh-CN" w:bidi="ar-SA"/>
        </w:rPr>
        <w:t>0.00</w:t>
      </w:r>
      <w:r>
        <w:rPr>
          <w:rFonts w:hint="default" w:ascii="Times New Roman" w:hAnsi="Times New Roman" w:eastAsia="方正仿宋_GBK" w:cs="Times New Roman"/>
          <w:color w:val="000000"/>
          <w:kern w:val="2"/>
          <w:sz w:val="32"/>
          <w:szCs w:val="32"/>
          <w:highlight w:val="none"/>
          <w:lang w:val="en-US" w:eastAsia="zh-CN" w:bidi="ar-SA"/>
        </w:rPr>
        <w:t>元。</w:t>
      </w:r>
    </w:p>
    <w:p w14:paraId="5C442521">
      <w:pPr>
        <w:keepNext w:val="0"/>
        <w:keepLines w:val="0"/>
        <w:pageBreakBefore w:val="0"/>
        <w:widowControl/>
        <w:kinsoku/>
        <w:wordWrap/>
        <w:overflowPunct/>
        <w:topLinePunct w:val="0"/>
        <w:autoSpaceDE/>
        <w:autoSpaceDN/>
        <w:bidi w:val="0"/>
        <w:adjustRightInd/>
        <w:snapToGrid/>
        <w:spacing w:line="576" w:lineRule="exact"/>
        <w:ind w:firstLine="632" w:firstLineChars="200"/>
        <w:textAlignment w:val="auto"/>
        <w:rPr>
          <w:rFonts w:hint="default" w:ascii="Times New Roman" w:hAnsi="Times New Roman" w:eastAsia="黑体" w:cs="Times New Roman"/>
          <w:color w:val="000000"/>
          <w:spacing w:val="-2"/>
          <w:kern w:val="0"/>
          <w:sz w:val="32"/>
          <w:szCs w:val="32"/>
          <w:highlight w:val="none"/>
        </w:rPr>
      </w:pPr>
      <w:r>
        <w:rPr>
          <w:rFonts w:hint="default" w:ascii="Times New Roman" w:hAnsi="Times New Roman" w:eastAsia="黑体" w:cs="Times New Roman"/>
          <w:color w:val="000000"/>
          <w:spacing w:val="-2"/>
          <w:kern w:val="0"/>
          <w:sz w:val="32"/>
          <w:szCs w:val="32"/>
          <w:highlight w:val="none"/>
        </w:rPr>
        <w:t>三、部门预算绩效分析</w:t>
      </w:r>
    </w:p>
    <w:p w14:paraId="12576FB3">
      <w:pPr>
        <w:pStyle w:val="6"/>
        <w:keepNext w:val="0"/>
        <w:keepLines w:val="0"/>
        <w:pageBreakBefore w:val="0"/>
        <w:kinsoku/>
        <w:wordWrap/>
        <w:overflowPunct/>
        <w:topLinePunct w:val="0"/>
        <w:bidi w:val="0"/>
        <w:spacing w:line="576" w:lineRule="exact"/>
        <w:ind w:left="0" w:leftChars="0" w:firstLine="635"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2312" w:cs="Times New Roman"/>
          <w:b/>
          <w:color w:val="000000"/>
          <w:spacing w:val="-2"/>
          <w:kern w:val="0"/>
          <w:sz w:val="32"/>
          <w:szCs w:val="32"/>
          <w:highlight w:val="none"/>
          <w:lang w:val="en-US" w:eastAsia="zh-CN" w:bidi="ar-SA"/>
        </w:rPr>
        <w:t>（一）部门预算总体绩效分析。</w:t>
      </w:r>
    </w:p>
    <w:p w14:paraId="4B54A557">
      <w:pPr>
        <w:pStyle w:val="6"/>
        <w:keepNext w:val="0"/>
        <w:keepLines w:val="0"/>
        <w:pageBreakBefore w:val="0"/>
        <w:kinsoku/>
        <w:wordWrap/>
        <w:overflowPunct/>
        <w:topLinePunct w:val="0"/>
        <w:bidi w:val="0"/>
        <w:spacing w:line="576"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1.履职效能。</w:t>
      </w:r>
    </w:p>
    <w:p w14:paraId="660E798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抓主线工作，铸牢共同体意识。完善民族工作机制，恢复建立阿坝州民族工作协调机制暨阿坝州民委委员制。积极构建铸牢中华民族共同体意识阵地，建成民族团结广场、铸牢中华民族共同体意识展馆、“石榴籽驿站”等2000余个，培育“石榴籽网格员”3000余名，打造“石榴花开·美丽阿坝”等“1+13+N”工作品牌100余个。深入开展各民族交往交流交融“三项计划”，打造旅游促“三交”精品线路13条，开展青少年跨区域交友、研学活动900余场次，覆盖各族青少年5万余人次，“共叙浙川情逐梦同前行”等案例入选国家发改委“三交典型案例”。整理编撰的《明清及民国时期中央政府与四川民族地区文书史料汇编》（第一辑）作为国家民委和四川省铸牢中华民族共同体意识古籍整理出版书系第一卷出版发行，社会各界反响良好。</w:t>
      </w:r>
    </w:p>
    <w:p w14:paraId="35516EA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抓统筹谋划，序时推进创建。对标国家民委示范州测评体系和年初既定计划，序时召开推进会、专题会、部署会等25场次，压实工作责任，动态攻坚堵点难点。梳理形成创建工作典型案例22篇，按时间节点完成示范州线上线下申报工作。新一轮全国民族团结进步示范州创建顺利通过国家民委和省级现场考评。国家民委工作组认为：阿坝州的创建工作党政领导高度重视、主线突出、思路清晰、措施有力、成果显著，形成了创建工作与中心工作同频共振、互促互进的良好态势。</w:t>
      </w:r>
    </w:p>
    <w:p w14:paraId="5976294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抓助力发展，发挥资金效能。争取到位民族类资金18527万元,实施民族村寨建设、特色产业发展、基础设施建设、村集体经济提升等项目96个，阿坝州民族类资金项目的实施成效和效益发挥，得到了省民族宗教委高度认可，资金项目匹配率居全省前列。认定民贸民品企业36家，对18家民贸民品企业申报贴息资金502.94万元，党和国家对少数民族地区的优惠政策在我州得到充分落实。</w:t>
      </w:r>
    </w:p>
    <w:p w14:paraId="7664D3B8">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4）抓教育引导，凝聚思想合力。纵深推进“联心同行”行动，开展面对面交流35000余人次、组织健康体检4254人、解决困难诉求1000余件。开展“七进+”宣传教育、“民族团结进步活动月”等系列活动1300余场次；发挥阿坝州铸牢中华民族共同体意识主题展馆主阵地用，接待各族各界人士等18000余。全力推进典型培树，10个集体15名个人被省委、省政府表彰为民族团结进步模范集体模范个人。全覆盖开展宗教界“三个意识”教育，开展宣讲2356场次。统筹州县资金1409.9万元，提升1500余名民管会成员生活标准，进一步提升民管成员的积极性和责任心。</w:t>
      </w:r>
    </w:p>
    <w:p w14:paraId="3FFAB259">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预算管理。</w:t>
      </w:r>
    </w:p>
    <w:p w14:paraId="4245991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（1）预算编制质量。</w:t>
      </w:r>
    </w:p>
    <w:p w14:paraId="621C2C7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我委</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年度预算执行数为</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zh-CN" w:eastAsia="zh-CN"/>
        </w:rPr>
        <w:t>万元，</w:t>
      </w:r>
      <w:r>
        <w:rPr>
          <w:rFonts w:hint="default" w:ascii="Times New Roman" w:hAnsi="Times New Roman" w:eastAsia="方正仿宋_GBK" w:cs="Times New Roman"/>
          <w:sz w:val="32"/>
          <w:szCs w:val="32"/>
          <w:highlight w:val="none"/>
          <w:lang w:val="en-US" w:eastAsia="zh-CN"/>
        </w:rPr>
        <w:t>年初预算数为</w:t>
      </w:r>
      <w:r>
        <w:rPr>
          <w:rFonts w:hint="eastAsia" w:ascii="Times New Roman" w:hAnsi="Times New Roman" w:eastAsia="方正仿宋_GBK" w:cs="Times New Roman"/>
          <w:sz w:val="32"/>
          <w:szCs w:val="32"/>
          <w:highlight w:val="none"/>
          <w:lang w:val="en-US" w:eastAsia="zh-CN"/>
        </w:rPr>
        <w:t>1835</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sz w:val="32"/>
          <w:szCs w:val="32"/>
          <w:highlight w:val="none"/>
          <w:lang w:val="zh-CN" w:eastAsia="zh-CN"/>
        </w:rPr>
        <w:t>预算偏离度</w:t>
      </w:r>
      <w:r>
        <w:rPr>
          <w:rFonts w:hint="eastAsia"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1835）/1835</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0.</w:t>
      </w:r>
      <w:r>
        <w:rPr>
          <w:rFonts w:hint="eastAsia" w:ascii="Times New Roman" w:hAnsi="Times New Roman" w:eastAsia="方正仿宋_GBK" w:cs="Times New Roman"/>
          <w:sz w:val="32"/>
          <w:szCs w:val="32"/>
          <w:highlight w:val="none"/>
          <w:lang w:val="en-US" w:eastAsia="zh-CN"/>
        </w:rPr>
        <w:t>99</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年资产配置预算</w:t>
      </w:r>
      <w:r>
        <w:rPr>
          <w:rFonts w:hint="default" w:ascii="Times New Roman" w:hAnsi="Times New Roman" w:eastAsia="方正仿宋_GBK" w:cs="Times New Roman"/>
          <w:sz w:val="32"/>
          <w:szCs w:val="32"/>
          <w:highlight w:val="none"/>
          <w:lang w:val="en-US" w:eastAsia="zh-CN"/>
        </w:rPr>
        <w:t>数为</w:t>
      </w:r>
      <w:r>
        <w:rPr>
          <w:rFonts w:hint="eastAsia"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sz w:val="32"/>
          <w:szCs w:val="32"/>
          <w:highlight w:val="none"/>
          <w:lang w:val="zh-CN" w:eastAsia="zh-CN"/>
        </w:rPr>
        <w:t>，资产配置</w:t>
      </w:r>
      <w:r>
        <w:rPr>
          <w:rFonts w:hint="default" w:ascii="Times New Roman" w:hAnsi="Times New Roman" w:eastAsia="方正仿宋_GBK" w:cs="Times New Roman"/>
          <w:sz w:val="32"/>
          <w:szCs w:val="32"/>
          <w:highlight w:val="none"/>
          <w:lang w:val="en-US" w:eastAsia="zh-CN"/>
        </w:rPr>
        <w:t>数为</w:t>
      </w:r>
      <w:r>
        <w:rPr>
          <w:rFonts w:hint="eastAsia" w:ascii="Times New Roman" w:hAnsi="Times New Roman" w:eastAsia="方正仿宋_GBK" w:cs="Times New Roman"/>
          <w:sz w:val="32"/>
          <w:szCs w:val="32"/>
          <w:highlight w:val="none"/>
          <w:lang w:val="en-US" w:eastAsia="zh-CN"/>
        </w:rPr>
        <w:t>1.32</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sz w:val="32"/>
          <w:szCs w:val="32"/>
          <w:highlight w:val="none"/>
          <w:lang w:val="zh-CN" w:eastAsia="zh-CN"/>
        </w:rPr>
        <w:t>故资产配置预算偏离度</w:t>
      </w:r>
      <w:r>
        <w:rPr>
          <w:rFonts w:hint="eastAsia" w:ascii="Times New Roman" w:hAnsi="Times New Roman" w:eastAsia="方正仿宋_GBK" w:cs="Times New Roman"/>
          <w:sz w:val="32"/>
          <w:szCs w:val="32"/>
          <w:highlight w:val="none"/>
          <w:lang w:val="en-US" w:eastAsia="zh-CN"/>
        </w:rPr>
        <w:t>=（1.32</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0）/0</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w:t>
      </w:r>
      <w:r>
        <w:rPr>
          <w:rFonts w:hint="default" w:ascii="Times New Roman" w:hAnsi="Times New Roman" w:eastAsia="方正仿宋_GBK" w:cs="Times New Roman"/>
          <w:sz w:val="32"/>
          <w:szCs w:val="32"/>
          <w:highlight w:val="none"/>
          <w:lang w:val="en-US" w:eastAsia="zh-CN"/>
        </w:rPr>
        <w:t>我委</w:t>
      </w:r>
      <w:r>
        <w:rPr>
          <w:rFonts w:hint="default" w:ascii="Times New Roman" w:hAnsi="Times New Roman" w:eastAsia="方正仿宋_GBK" w:cs="Times New Roman"/>
          <w:sz w:val="32"/>
          <w:szCs w:val="32"/>
          <w:highlight w:val="none"/>
          <w:lang w:val="zh-CN" w:eastAsia="zh-CN"/>
        </w:rPr>
        <w:t>安排政府采购预算</w:t>
      </w:r>
      <w:r>
        <w:rPr>
          <w:rFonts w:hint="eastAsia" w:ascii="Times New Roman" w:hAnsi="Times New Roman" w:eastAsia="方正仿宋_GBK" w:cs="Times New Roman"/>
          <w:sz w:val="32"/>
          <w:szCs w:val="32"/>
          <w:highlight w:val="none"/>
          <w:lang w:val="en-US" w:eastAsia="zh-CN"/>
        </w:rPr>
        <w:t>115.04</w:t>
      </w:r>
      <w:r>
        <w:rPr>
          <w:rFonts w:hint="default" w:ascii="Times New Roman" w:hAnsi="Times New Roman" w:eastAsia="方正仿宋_GBK" w:cs="Times New Roman"/>
          <w:sz w:val="32"/>
          <w:szCs w:val="32"/>
          <w:highlight w:val="none"/>
          <w:lang w:val="zh-CN" w:eastAsia="zh-CN"/>
        </w:rPr>
        <w:t>万元，主要用于：</w:t>
      </w:r>
      <w:r>
        <w:rPr>
          <w:rFonts w:hint="eastAsia" w:ascii="Times New Roman" w:hAnsi="Times New Roman" w:eastAsia="方正仿宋_GBK" w:cs="Times New Roman"/>
          <w:sz w:val="32"/>
          <w:szCs w:val="32"/>
          <w:highlight w:val="none"/>
          <w:lang w:val="en-US" w:eastAsia="zh-CN"/>
        </w:rPr>
        <w:t>购买《藏医药大全》</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车辆大型维修费、</w:t>
      </w:r>
      <w:r>
        <w:rPr>
          <w:rFonts w:hint="eastAsia" w:ascii="Times New Roman" w:hAnsi="Times New Roman" w:eastAsia="方正仿宋_GBK" w:cs="Times New Roman"/>
          <w:sz w:val="32"/>
          <w:szCs w:val="32"/>
          <w:highlight w:val="none"/>
          <w:lang w:val="en-US" w:eastAsia="zh-CN"/>
        </w:rPr>
        <w:t>车辆保险、</w:t>
      </w:r>
      <w:r>
        <w:rPr>
          <w:rFonts w:hint="default" w:ascii="Times New Roman" w:hAnsi="Times New Roman" w:eastAsia="方正仿宋_GBK" w:cs="Times New Roman"/>
          <w:sz w:val="32"/>
          <w:szCs w:val="32"/>
          <w:highlight w:val="none"/>
          <w:lang w:val="en-US" w:eastAsia="zh-CN"/>
        </w:rPr>
        <w:t>车辆维修和保养</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采购执行数为</w:t>
      </w:r>
      <w:r>
        <w:rPr>
          <w:rFonts w:hint="eastAsia" w:ascii="Times New Roman" w:hAnsi="Times New Roman" w:eastAsia="方正仿宋_GBK" w:cs="Times New Roman"/>
          <w:sz w:val="32"/>
          <w:szCs w:val="32"/>
          <w:highlight w:val="none"/>
          <w:lang w:val="en-US" w:eastAsia="zh-CN"/>
        </w:rPr>
        <w:t>114.99</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sz w:val="32"/>
          <w:szCs w:val="32"/>
          <w:highlight w:val="none"/>
          <w:lang w:val="zh-CN" w:eastAsia="zh-CN"/>
        </w:rPr>
        <w:t>采购预算偏离度为</w:t>
      </w:r>
      <w:r>
        <w:rPr>
          <w:rFonts w:hint="eastAsia"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114.99</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115.04</w:t>
      </w:r>
      <w:r>
        <w:rPr>
          <w:rFonts w:hint="eastAsia"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/115.04</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 xml:space="preserve"> -0.0</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zh-CN" w:eastAsia="zh-CN"/>
        </w:rPr>
        <w:t>。该项指标得分=（1-财政拨款预算偏离度）×100%×4+（1-资产配置预算偏离度）×100%×2+（1-政府采购预算偏离度）×100%×2=（1</w:t>
      </w:r>
      <w:r>
        <w:rPr>
          <w:rFonts w:hint="eastAsia" w:ascii="Times New Roman" w:hAnsi="Times New Roman" w:eastAsia="方正仿宋_GBK" w:cs="Times New Roman"/>
          <w:sz w:val="32"/>
          <w:szCs w:val="32"/>
          <w:highlight w:val="none"/>
          <w:lang w:val="en-US" w:eastAsia="zh-CN"/>
        </w:rPr>
        <w:t>+0.99</w:t>
      </w:r>
      <w:r>
        <w:rPr>
          <w:rFonts w:hint="default" w:ascii="Times New Roman" w:hAnsi="Times New Roman" w:eastAsia="方正仿宋_GBK" w:cs="Times New Roman"/>
          <w:sz w:val="32"/>
          <w:szCs w:val="32"/>
          <w:highlight w:val="none"/>
          <w:lang w:val="zh-CN" w:eastAsia="zh-CN"/>
        </w:rPr>
        <w:t>）*100%*4+（1-</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zh-CN" w:eastAsia="zh-CN"/>
        </w:rPr>
        <w:t>）*100%*2+（1</w:t>
      </w:r>
      <w:r>
        <w:rPr>
          <w:rFonts w:hint="default" w:ascii="Times New Roman" w:hAnsi="Times New Roman" w:eastAsia="方正仿宋_GBK" w:cs="Times New Roman"/>
          <w:sz w:val="32"/>
          <w:szCs w:val="32"/>
          <w:highlight w:val="none"/>
          <w:lang w:val="en-US" w:eastAsia="zh-CN"/>
        </w:rPr>
        <w:t>+0.0</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zh-CN" w:eastAsia="zh-CN"/>
        </w:rPr>
        <w:t>）*100%*2=</w:t>
      </w:r>
      <w:r>
        <w:rPr>
          <w:rFonts w:hint="eastAsia" w:ascii="Times New Roman" w:hAnsi="Times New Roman" w:eastAsia="方正仿宋_GBK" w:cs="Times New Roman"/>
          <w:sz w:val="32"/>
          <w:szCs w:val="32"/>
          <w:highlight w:val="none"/>
          <w:lang w:val="en-US" w:eastAsia="zh-CN"/>
        </w:rPr>
        <w:t>12.04</w:t>
      </w:r>
      <w:r>
        <w:rPr>
          <w:rFonts w:hint="default" w:ascii="Times New Roman" w:hAnsi="Times New Roman" w:eastAsia="方正仿宋_GBK" w:cs="Times New Roman"/>
          <w:sz w:val="32"/>
          <w:szCs w:val="32"/>
          <w:highlight w:val="none"/>
          <w:lang w:val="zh-CN" w:eastAsia="zh-CN"/>
        </w:rPr>
        <w:t>分。</w:t>
      </w:r>
    </w:p>
    <w:p w14:paraId="7A49B06E">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综上，根据评分标准，该项指标扣0分，得</w:t>
      </w:r>
      <w:r>
        <w:rPr>
          <w:rFonts w:hint="eastAsia" w:ascii="Times New Roman" w:hAnsi="Times New Roman" w:eastAsia="方正仿宋_GBK" w:cs="Times New Roman"/>
          <w:sz w:val="32"/>
          <w:szCs w:val="32"/>
          <w:highlight w:val="none"/>
          <w:lang w:val="en-US" w:eastAsia="zh-CN"/>
        </w:rPr>
        <w:t>8</w:t>
      </w:r>
      <w:r>
        <w:rPr>
          <w:rFonts w:hint="default" w:ascii="Times New Roman" w:hAnsi="Times New Roman" w:eastAsia="方正仿宋_GBK" w:cs="Times New Roman"/>
          <w:sz w:val="32"/>
          <w:szCs w:val="32"/>
          <w:highlight w:val="none"/>
          <w:lang w:val="en-US" w:eastAsia="zh-CN"/>
        </w:rPr>
        <w:t>分。</w:t>
      </w:r>
    </w:p>
    <w:p w14:paraId="6B353758">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（2）单位收入统筹。</w:t>
      </w:r>
    </w:p>
    <w:p w14:paraId="6E411E4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年自有收入全年执行数为0.00万元，自有收入年初预算数为0.00万元，因我单位不涉及综合补助比例，故不扣分。</w:t>
      </w:r>
    </w:p>
    <w:p w14:paraId="6F48C829">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综上，根据评分标准，该项指标扣0分，得4分。</w:t>
      </w:r>
    </w:p>
    <w:p w14:paraId="6F5ED443">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（3）支出执行进度。</w:t>
      </w:r>
    </w:p>
    <w:p w14:paraId="74AFF6D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我委1至6月预算执行数为</w:t>
      </w:r>
      <w:r>
        <w:rPr>
          <w:rFonts w:hint="eastAsia" w:ascii="Times New Roman" w:hAnsi="Times New Roman" w:eastAsia="方正仿宋_GBK" w:cs="Times New Roman"/>
          <w:sz w:val="32"/>
          <w:szCs w:val="32"/>
          <w:highlight w:val="none"/>
          <w:lang w:val="en-US" w:eastAsia="zh-CN"/>
        </w:rPr>
        <w:t>820.37</w:t>
      </w:r>
      <w:r>
        <w:rPr>
          <w:rFonts w:hint="default" w:ascii="Times New Roman" w:hAnsi="Times New Roman" w:eastAsia="方正仿宋_GBK" w:cs="Times New Roman"/>
          <w:sz w:val="32"/>
          <w:szCs w:val="32"/>
          <w:highlight w:val="none"/>
          <w:lang w:val="en-US" w:eastAsia="zh-CN"/>
        </w:rPr>
        <w:t>万元，部门预算数为</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万元，1至6月支出预警金额为0万元，占比为0.00%，1至6月无支出违规金额。</w:t>
      </w:r>
    </w:p>
    <w:p w14:paraId="51ED1AC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1至10月预算执行数为</w:t>
      </w:r>
      <w:r>
        <w:rPr>
          <w:rFonts w:hint="eastAsia" w:ascii="Times New Roman" w:hAnsi="Times New Roman" w:eastAsia="方正仿宋_GBK" w:cs="Times New Roman"/>
          <w:sz w:val="32"/>
          <w:szCs w:val="32"/>
          <w:highlight w:val="none"/>
          <w:lang w:val="en-US" w:eastAsia="zh-CN"/>
        </w:rPr>
        <w:t>1390.15</w:t>
      </w:r>
      <w:r>
        <w:rPr>
          <w:rFonts w:hint="default" w:ascii="Times New Roman" w:hAnsi="Times New Roman" w:eastAsia="方正仿宋_GBK" w:cs="Times New Roman"/>
          <w:sz w:val="32"/>
          <w:szCs w:val="32"/>
          <w:highlight w:val="none"/>
          <w:lang w:val="en-US" w:eastAsia="zh-CN"/>
        </w:rPr>
        <w:t>万元，部门预算数为</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万元，1至10月支出预警金额为0万元，占比为0.00%，1至10月无支出违规金额。该项得分为该项指标得分=（1至6月预算执行数</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（部门预算数×50%）×2）+（1-1至6月支出预警金额占比×0.8-1至6月支出违规金额占比×0.2）+（1至10月预算执行数</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（部门预算数×83.33%）×2）+（1-1至10月支出预警金额占比×0.8-1至10月支出违规金额占比×0.2）=</w:t>
      </w:r>
      <w:bookmarkStart w:id="110" w:name="OLE_LINK1"/>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820.37</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*50%）*2〕+（1-（0/</w:t>
      </w:r>
      <w:r>
        <w:rPr>
          <w:rFonts w:hint="eastAsia" w:ascii="Times New Roman" w:hAnsi="Times New Roman" w:eastAsia="方正仿宋_GBK" w:cs="Times New Roman"/>
          <w:sz w:val="32"/>
          <w:szCs w:val="32"/>
          <w:highlight w:val="none"/>
          <w:lang w:val="en-US" w:eastAsia="zh-CN"/>
        </w:rPr>
        <w:t>820.37</w:t>
      </w:r>
      <w:r>
        <w:rPr>
          <w:rFonts w:hint="default" w:ascii="Times New Roman" w:hAnsi="Times New Roman" w:eastAsia="方正仿宋_GBK" w:cs="Times New Roman"/>
          <w:sz w:val="32"/>
          <w:szCs w:val="32"/>
          <w:highlight w:val="none"/>
          <w:lang w:val="en-US" w:eastAsia="zh-CN"/>
        </w:rPr>
        <w:t>）*0.8-（0/</w:t>
      </w:r>
      <w:r>
        <w:rPr>
          <w:rFonts w:hint="eastAsia" w:ascii="Times New Roman" w:hAnsi="Times New Roman" w:eastAsia="方正仿宋_GBK" w:cs="Times New Roman"/>
          <w:sz w:val="32"/>
          <w:szCs w:val="32"/>
          <w:highlight w:val="none"/>
          <w:lang w:val="en-US" w:eastAsia="zh-CN"/>
        </w:rPr>
        <w:t>820.37</w:t>
      </w:r>
      <w:r>
        <w:rPr>
          <w:rFonts w:hint="default" w:ascii="Times New Roman" w:hAnsi="Times New Roman" w:eastAsia="方正仿宋_GBK" w:cs="Times New Roman"/>
          <w:sz w:val="32"/>
          <w:szCs w:val="32"/>
          <w:highlight w:val="none"/>
          <w:lang w:val="en-US" w:eastAsia="zh-CN"/>
        </w:rPr>
        <w:t>）*0.2）+〔</w:t>
      </w:r>
      <w:r>
        <w:rPr>
          <w:rFonts w:hint="eastAsia" w:ascii="Times New Roman" w:hAnsi="Times New Roman" w:eastAsia="方正仿宋_GBK" w:cs="Times New Roman"/>
          <w:sz w:val="32"/>
          <w:szCs w:val="32"/>
          <w:highlight w:val="none"/>
          <w:lang w:val="en-US" w:eastAsia="zh-CN"/>
        </w:rPr>
        <w:t>1390.15</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*83.33%）*2〕+（1-（0/</w:t>
      </w:r>
      <w:r>
        <w:rPr>
          <w:rFonts w:hint="eastAsia" w:ascii="Times New Roman" w:hAnsi="Times New Roman" w:eastAsia="方正仿宋_GBK" w:cs="Times New Roman"/>
          <w:sz w:val="32"/>
          <w:szCs w:val="32"/>
          <w:highlight w:val="none"/>
          <w:lang w:val="en-US" w:eastAsia="zh-CN"/>
        </w:rPr>
        <w:t>1390.15</w:t>
      </w:r>
      <w:r>
        <w:rPr>
          <w:rFonts w:hint="default" w:ascii="Times New Roman" w:hAnsi="Times New Roman" w:eastAsia="方正仿宋_GBK" w:cs="Times New Roman"/>
          <w:sz w:val="32"/>
          <w:szCs w:val="32"/>
          <w:highlight w:val="none"/>
          <w:lang w:val="en-US" w:eastAsia="zh-CN"/>
        </w:rPr>
        <w:t>）*0.8-（0/</w:t>
      </w:r>
      <w:r>
        <w:rPr>
          <w:rFonts w:hint="eastAsia" w:ascii="Times New Roman" w:hAnsi="Times New Roman" w:eastAsia="方正仿宋_GBK" w:cs="Times New Roman"/>
          <w:sz w:val="32"/>
          <w:szCs w:val="32"/>
          <w:highlight w:val="none"/>
          <w:lang w:val="en-US" w:eastAsia="zh-CN"/>
        </w:rPr>
        <w:t>1390.15</w:t>
      </w:r>
      <w:r>
        <w:rPr>
          <w:rFonts w:hint="default" w:ascii="Times New Roman" w:hAnsi="Times New Roman" w:eastAsia="方正仿宋_GBK" w:cs="Times New Roman"/>
          <w:sz w:val="32"/>
          <w:szCs w:val="32"/>
          <w:highlight w:val="none"/>
          <w:lang w:val="en-US" w:eastAsia="zh-CN"/>
        </w:rPr>
        <w:t>）*0.2）</w:t>
      </w:r>
      <w:bookmarkEnd w:id="110"/>
      <w:r>
        <w:rPr>
          <w:rFonts w:hint="default" w:ascii="Times New Roman" w:hAnsi="Times New Roman" w:eastAsia="方正仿宋_GBK" w:cs="Times New Roman"/>
          <w:sz w:val="32"/>
          <w:szCs w:val="32"/>
          <w:highlight w:val="none"/>
          <w:lang w:val="en-US" w:eastAsia="zh-CN"/>
        </w:rPr>
        <w:t>=5.6</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分</w:t>
      </w:r>
    </w:p>
    <w:p w14:paraId="6001E6DB">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综上，根据评分标准，该项指标扣0.3</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分，得5.6</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分。</w:t>
      </w:r>
    </w:p>
    <w:p w14:paraId="0FFED00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（4）部门整体年终预算结余情况。</w:t>
      </w:r>
    </w:p>
    <w:p w14:paraId="5911D06B">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年我委年终注销金额为0.00万元，年末结转结余金额为</w:t>
      </w:r>
      <w:r>
        <w:rPr>
          <w:rFonts w:hint="eastAsia" w:ascii="Times New Roman" w:hAnsi="Times New Roman" w:eastAsia="方正仿宋_GBK" w:cs="Times New Roman"/>
          <w:sz w:val="32"/>
          <w:szCs w:val="32"/>
          <w:highlight w:val="none"/>
          <w:lang w:val="en-US" w:eastAsia="zh-CN"/>
        </w:rPr>
        <w:t>42.99</w:t>
      </w:r>
      <w:r>
        <w:rPr>
          <w:rFonts w:hint="default" w:ascii="Times New Roman" w:hAnsi="Times New Roman" w:eastAsia="方正仿宋_GBK" w:cs="Times New Roman"/>
          <w:sz w:val="32"/>
          <w:szCs w:val="32"/>
          <w:highlight w:val="none"/>
          <w:lang w:val="en-US" w:eastAsia="zh-CN"/>
        </w:rPr>
        <w:t>万元，调整后全年预算数为</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万元，部门整体预算结余率=（年终部门预算注销金额合计+年终部门预算结转金额合计）</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调整后的年度部门预算数=（0+</w:t>
      </w:r>
      <w:r>
        <w:rPr>
          <w:rFonts w:hint="eastAsia" w:ascii="Times New Roman" w:hAnsi="Times New Roman" w:eastAsia="方正仿宋_GBK" w:cs="Times New Roman"/>
          <w:sz w:val="32"/>
          <w:szCs w:val="32"/>
          <w:highlight w:val="none"/>
          <w:lang w:val="en-US" w:eastAsia="zh-CN"/>
        </w:rPr>
        <w:t>42.99</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1816.77</w:t>
      </w:r>
      <w:r>
        <w:rPr>
          <w:rFonts w:hint="default" w:ascii="Times New Roman" w:hAnsi="Times New Roman" w:eastAsia="方正仿宋_GBK" w:cs="Times New Roman"/>
          <w:sz w:val="32"/>
          <w:szCs w:val="32"/>
          <w:highlight w:val="none"/>
          <w:lang w:val="en-US" w:eastAsia="zh-CN"/>
        </w:rPr>
        <w:t>=0.0</w:t>
      </w: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，该项指标得分=（1-部门整体预算结余率）×100%×2=（1-0.0</w:t>
      </w: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）*100%*2=1.</w:t>
      </w:r>
      <w:r>
        <w:rPr>
          <w:rFonts w:hint="eastAsia" w:ascii="Times New Roman" w:hAnsi="Times New Roman" w:eastAsia="方正仿宋_GBK" w:cs="Times New Roman"/>
          <w:sz w:val="32"/>
          <w:szCs w:val="32"/>
          <w:highlight w:val="none"/>
          <w:lang w:val="en-US" w:eastAsia="zh-CN"/>
        </w:rPr>
        <w:t>96</w:t>
      </w:r>
      <w:r>
        <w:rPr>
          <w:rFonts w:hint="default" w:ascii="Times New Roman" w:hAnsi="Times New Roman" w:eastAsia="方正仿宋_GBK" w:cs="Times New Roman"/>
          <w:sz w:val="32"/>
          <w:szCs w:val="32"/>
          <w:highlight w:val="none"/>
          <w:lang w:val="en-US" w:eastAsia="zh-CN"/>
        </w:rPr>
        <w:t>分。</w:t>
      </w:r>
    </w:p>
    <w:p w14:paraId="75FE8E6B">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w:t>
      </w:r>
      <w:r>
        <w:rPr>
          <w:rFonts w:hint="eastAsia" w:ascii="Times New Roman" w:hAnsi="Times New Roman" w:eastAsia="方正仿宋_GBK" w:cs="Times New Roman"/>
          <w:sz w:val="32"/>
          <w:szCs w:val="32"/>
          <w:highlight w:val="none"/>
          <w:lang w:val="en-US" w:eastAsia="zh-CN"/>
        </w:rPr>
        <w:t>04</w:t>
      </w:r>
      <w:r>
        <w:rPr>
          <w:rFonts w:hint="default" w:ascii="Times New Roman" w:hAnsi="Times New Roman" w:eastAsia="方正仿宋_GBK" w:cs="Times New Roman"/>
          <w:sz w:val="32"/>
          <w:szCs w:val="32"/>
          <w:highlight w:val="none"/>
          <w:lang w:val="en-US" w:eastAsia="zh-CN"/>
        </w:rPr>
        <w:t>分，得1.</w:t>
      </w:r>
      <w:r>
        <w:rPr>
          <w:rFonts w:hint="eastAsia" w:ascii="Times New Roman" w:hAnsi="Times New Roman" w:eastAsia="方正仿宋_GBK" w:cs="Times New Roman"/>
          <w:sz w:val="32"/>
          <w:szCs w:val="32"/>
          <w:highlight w:val="none"/>
          <w:lang w:val="en-US" w:eastAsia="zh-CN"/>
        </w:rPr>
        <w:t>96</w:t>
      </w:r>
      <w:r>
        <w:rPr>
          <w:rFonts w:hint="default" w:ascii="Times New Roman" w:hAnsi="Times New Roman" w:eastAsia="方正仿宋_GBK" w:cs="Times New Roman"/>
          <w:sz w:val="32"/>
          <w:szCs w:val="32"/>
          <w:highlight w:val="none"/>
          <w:lang w:val="en-US" w:eastAsia="zh-CN"/>
        </w:rPr>
        <w:t>分。</w:t>
      </w:r>
    </w:p>
    <w:p w14:paraId="19BF6C9C">
      <w:pPr>
        <w:pStyle w:val="6"/>
        <w:keepNext w:val="0"/>
        <w:keepLines w:val="0"/>
        <w:pageBreakBefore w:val="0"/>
        <w:kinsoku/>
        <w:wordWrap/>
        <w:overflowPunct/>
        <w:topLinePunct w:val="0"/>
        <w:bidi w:val="0"/>
        <w:spacing w:line="576"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en-US" w:eastAsia="zh-CN"/>
        </w:rPr>
        <w:t>）部门严控“三公”经费、会议、培训、差旅、办节办展、办公设备购置、信息网络及软件购置更新、课题经费等8项一般性支出情况。</w:t>
      </w:r>
    </w:p>
    <w:p w14:paraId="6A7A736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cs="Times New Roman"/>
          <w:color w:val="000000"/>
          <w:kern w:val="0"/>
          <w:sz w:val="24"/>
          <w:szCs w:val="24"/>
          <w:highlight w:val="none"/>
          <w:shd w:val="clear" w:color="auto" w:fill="FFFFFF"/>
          <w:lang w:val="zh-CN"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年我委一般性支出年初预算247.54万元，较上年一般性支出财政拨款预算数233.68万元增加</w:t>
      </w:r>
      <w:r>
        <w:rPr>
          <w:rFonts w:hint="eastAsia" w:ascii="Times New Roman" w:hAnsi="Times New Roman" w:eastAsia="方正仿宋_GBK" w:cs="Times New Roman"/>
          <w:sz w:val="32"/>
          <w:szCs w:val="32"/>
          <w:highlight w:val="none"/>
          <w:lang w:val="en-US" w:eastAsia="zh-CN"/>
        </w:rPr>
        <w:t>13.86</w:t>
      </w:r>
      <w:r>
        <w:rPr>
          <w:rFonts w:hint="default" w:ascii="Times New Roman" w:hAnsi="Times New Roman" w:eastAsia="方正仿宋_GBK" w:cs="Times New Roman"/>
          <w:sz w:val="32"/>
          <w:szCs w:val="32"/>
          <w:highlight w:val="none"/>
          <w:lang w:val="en-US" w:eastAsia="zh-CN"/>
        </w:rPr>
        <w:t>万元，增长</w:t>
      </w:r>
      <w:r>
        <w:rPr>
          <w:rFonts w:hint="eastAsia" w:ascii="Times New Roman" w:hAnsi="Times New Roman" w:eastAsia="方正仿宋_GBK" w:cs="Times New Roman"/>
          <w:sz w:val="32"/>
          <w:szCs w:val="32"/>
          <w:highlight w:val="none"/>
          <w:lang w:val="en-US" w:eastAsia="zh-CN"/>
        </w:rPr>
        <w:t>5.93</w:t>
      </w:r>
      <w:r>
        <w:rPr>
          <w:rFonts w:hint="default" w:ascii="Times New Roman" w:hAnsi="Times New Roman" w:eastAsia="方正仿宋_GBK" w:cs="Times New Roman"/>
          <w:sz w:val="32"/>
          <w:szCs w:val="32"/>
          <w:highlight w:val="none"/>
          <w:lang w:val="en-US" w:eastAsia="zh-CN"/>
        </w:rPr>
        <w:t>%，预算未实现压减。</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年度一般性支出决算数为198.88万元，较上年决算数345.68万元</w:t>
      </w:r>
      <w:r>
        <w:rPr>
          <w:rFonts w:hint="eastAsia" w:ascii="Times New Roman" w:hAnsi="Times New Roman" w:eastAsia="方正仿宋_GBK" w:cs="Times New Roman"/>
          <w:sz w:val="32"/>
          <w:szCs w:val="32"/>
          <w:highlight w:val="none"/>
          <w:lang w:val="en-US" w:eastAsia="zh-CN"/>
        </w:rPr>
        <w:t>减少146.8</w:t>
      </w:r>
      <w:r>
        <w:rPr>
          <w:rFonts w:hint="default" w:ascii="Times New Roman" w:hAnsi="Times New Roman" w:eastAsia="方正仿宋_GBK" w:cs="Times New Roman"/>
          <w:sz w:val="32"/>
          <w:szCs w:val="32"/>
          <w:highlight w:val="none"/>
          <w:lang w:val="en-US" w:eastAsia="zh-CN"/>
        </w:rPr>
        <w:t>万元，增长</w:t>
      </w:r>
      <w:r>
        <w:rPr>
          <w:rFonts w:hint="eastAsia" w:ascii="Times New Roman" w:hAnsi="Times New Roman" w:eastAsia="方正仿宋_GBK" w:cs="Times New Roman"/>
          <w:sz w:val="32"/>
          <w:szCs w:val="32"/>
          <w:highlight w:val="none"/>
          <w:lang w:val="en-US" w:eastAsia="zh-CN"/>
        </w:rPr>
        <w:t>42.47</w:t>
      </w:r>
      <w:r>
        <w:rPr>
          <w:rFonts w:hint="default" w:ascii="Times New Roman" w:hAnsi="Times New Roman" w:eastAsia="方正仿宋_GBK" w:cs="Times New Roman"/>
          <w:sz w:val="32"/>
          <w:szCs w:val="32"/>
          <w:highlight w:val="none"/>
          <w:lang w:val="en-US" w:eastAsia="zh-CN"/>
        </w:rPr>
        <w:t>%。（详见下表3-1）。</w:t>
      </w:r>
    </w:p>
    <w:p w14:paraId="6312C113">
      <w:pPr>
        <w:pStyle w:val="3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000000"/>
          <w:kern w:val="0"/>
          <w:sz w:val="24"/>
          <w:szCs w:val="24"/>
          <w:highlight w:val="none"/>
          <w:shd w:val="clear" w:color="auto" w:fill="FFFFFF"/>
          <w:lang w:val="en-US" w:eastAsia="zh-CN"/>
        </w:rPr>
      </w:pPr>
      <w:r>
        <w:rPr>
          <w:rFonts w:hint="default" w:ascii="Times New Roman" w:hAnsi="Times New Roman" w:cs="Times New Roman"/>
          <w:color w:val="000000"/>
          <w:kern w:val="0"/>
          <w:sz w:val="24"/>
          <w:szCs w:val="24"/>
          <w:highlight w:val="none"/>
          <w:shd w:val="clear" w:color="auto" w:fill="FFFFFF"/>
          <w:lang w:val="zh-CN" w:eastAsia="zh-CN"/>
        </w:rPr>
        <w:t>表3-1</w:t>
      </w:r>
      <w:r>
        <w:rPr>
          <w:rFonts w:hint="default" w:ascii="Times New Roman" w:hAnsi="Times New Roman" w:cs="Times New Roman"/>
          <w:color w:val="000000"/>
          <w:kern w:val="0"/>
          <w:sz w:val="24"/>
          <w:szCs w:val="24"/>
          <w:highlight w:val="none"/>
          <w:shd w:val="clear" w:color="auto" w:fill="FFFFFF"/>
          <w:lang w:val="en-US" w:eastAsia="zh-CN"/>
        </w:rPr>
        <w:t>一般性支出情况表</w:t>
      </w:r>
    </w:p>
    <w:p w14:paraId="5A6D9DD9">
      <w:pPr>
        <w:pStyle w:val="36"/>
        <w:keepNext w:val="0"/>
        <w:keepLines w:val="0"/>
        <w:pageBreakBefore w:val="0"/>
        <w:kinsoku/>
        <w:wordWrap/>
        <w:overflowPunct/>
        <w:topLinePunct w:val="0"/>
        <w:autoSpaceDE/>
        <w:autoSpaceDN/>
        <w:bidi w:val="0"/>
        <w:spacing w:line="576" w:lineRule="exact"/>
        <w:jc w:val="right"/>
        <w:textAlignment w:val="auto"/>
        <w:rPr>
          <w:rFonts w:hint="default" w:ascii="Times New Roman" w:hAnsi="Times New Roman" w:cs="Times New Roman"/>
          <w:highlight w:val="none"/>
          <w:lang w:val="zh-CN" w:eastAsia="zh-CN"/>
        </w:rPr>
      </w:pPr>
      <w:r>
        <w:rPr>
          <w:rFonts w:hint="default" w:ascii="Times New Roman" w:hAnsi="Times New Roman" w:cs="Times New Roman"/>
          <w:color w:val="000000"/>
          <w:kern w:val="0"/>
          <w:sz w:val="24"/>
          <w:szCs w:val="24"/>
          <w:highlight w:val="none"/>
          <w:shd w:val="clear" w:color="auto" w:fill="FFFFFF"/>
          <w:lang w:val="en-US" w:eastAsia="zh-CN"/>
        </w:rPr>
        <w:t>单位：万元</w:t>
      </w:r>
    </w:p>
    <w:tbl>
      <w:tblPr>
        <w:tblStyle w:val="17"/>
        <w:tblpPr w:leftFromText="180" w:rightFromText="180" w:vertAnchor="text" w:horzAnchor="page" w:tblpX="1125" w:tblpY="574"/>
        <w:tblOverlap w:val="never"/>
        <w:tblW w:w="9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34"/>
        <w:gridCol w:w="1674"/>
        <w:gridCol w:w="1480"/>
        <w:gridCol w:w="1336"/>
        <w:gridCol w:w="1318"/>
        <w:gridCol w:w="1308"/>
        <w:gridCol w:w="749"/>
      </w:tblGrid>
      <w:tr w14:paraId="484E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trPr>
        <w:tc>
          <w:tcPr>
            <w:tcW w:w="571" w:type="dxa"/>
            <w:vMerge w:val="restart"/>
            <w:noWrap w:val="0"/>
            <w:vAlign w:val="center"/>
          </w:tcPr>
          <w:p w14:paraId="6E6A025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序号</w:t>
            </w:r>
          </w:p>
        </w:tc>
        <w:tc>
          <w:tcPr>
            <w:tcW w:w="1434" w:type="dxa"/>
            <w:vMerge w:val="restart"/>
            <w:noWrap w:val="0"/>
            <w:vAlign w:val="center"/>
          </w:tcPr>
          <w:p w14:paraId="149793D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项目名称</w:t>
            </w:r>
          </w:p>
        </w:tc>
        <w:tc>
          <w:tcPr>
            <w:tcW w:w="1674" w:type="dxa"/>
            <w:noWrap w:val="0"/>
            <w:vAlign w:val="center"/>
          </w:tcPr>
          <w:p w14:paraId="2483836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Times New Roman" w:hAnsi="Times New Roman" w:eastAsia="方正仿宋_GB2312" w:cs="Times New Roman"/>
                <w:color w:val="000000"/>
                <w:kern w:val="0"/>
                <w:sz w:val="24"/>
                <w:szCs w:val="24"/>
                <w:highlight w:val="none"/>
                <w:shd w:val="clear" w:color="auto" w:fill="FFFFFF"/>
                <w:vertAlign w:val="baseline"/>
                <w:lang w:val="en-US" w:eastAsia="zh-CN"/>
              </w:rPr>
              <w:t>2024</w:t>
            </w: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年度</w:t>
            </w:r>
          </w:p>
        </w:tc>
        <w:tc>
          <w:tcPr>
            <w:tcW w:w="1480" w:type="dxa"/>
            <w:noWrap w:val="0"/>
            <w:vAlign w:val="center"/>
          </w:tcPr>
          <w:p w14:paraId="729232B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Times New Roman" w:hAnsi="Times New Roman" w:eastAsia="方正仿宋_GB2312" w:cs="Times New Roman"/>
                <w:color w:val="000000"/>
                <w:kern w:val="0"/>
                <w:sz w:val="24"/>
                <w:szCs w:val="24"/>
                <w:highlight w:val="none"/>
                <w:shd w:val="clear" w:color="auto" w:fill="FFFFFF"/>
                <w:vertAlign w:val="baseline"/>
                <w:lang w:val="en-US" w:eastAsia="zh-CN"/>
              </w:rPr>
              <w:t>2025</w:t>
            </w: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年度</w:t>
            </w:r>
          </w:p>
        </w:tc>
        <w:tc>
          <w:tcPr>
            <w:tcW w:w="1336" w:type="dxa"/>
            <w:vMerge w:val="restart"/>
            <w:noWrap w:val="0"/>
            <w:vAlign w:val="center"/>
          </w:tcPr>
          <w:p w14:paraId="7380956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变动情况</w:t>
            </w:r>
          </w:p>
        </w:tc>
        <w:tc>
          <w:tcPr>
            <w:tcW w:w="1318" w:type="dxa"/>
            <w:noWrap w:val="0"/>
            <w:vAlign w:val="center"/>
          </w:tcPr>
          <w:p w14:paraId="44454DF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left"/>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Times New Roman" w:hAnsi="Times New Roman" w:eastAsia="方正仿宋_GB2312" w:cs="Times New Roman"/>
                <w:color w:val="000000"/>
                <w:kern w:val="0"/>
                <w:sz w:val="24"/>
                <w:szCs w:val="24"/>
                <w:highlight w:val="none"/>
                <w:shd w:val="clear" w:color="auto" w:fill="FFFFFF"/>
                <w:vertAlign w:val="baseline"/>
                <w:lang w:val="en-US" w:eastAsia="zh-CN"/>
              </w:rPr>
              <w:t>2024年</w:t>
            </w: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度</w:t>
            </w:r>
          </w:p>
        </w:tc>
        <w:tc>
          <w:tcPr>
            <w:tcW w:w="1308" w:type="dxa"/>
            <w:noWrap w:val="0"/>
            <w:vAlign w:val="center"/>
          </w:tcPr>
          <w:p w14:paraId="2720828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Times New Roman" w:hAnsi="Times New Roman" w:eastAsia="方正仿宋_GB2312" w:cs="Times New Roman"/>
                <w:color w:val="000000"/>
                <w:kern w:val="0"/>
                <w:sz w:val="24"/>
                <w:szCs w:val="24"/>
                <w:highlight w:val="none"/>
                <w:shd w:val="clear" w:color="auto" w:fill="FFFFFF"/>
                <w:vertAlign w:val="baseline"/>
                <w:lang w:val="en-US" w:eastAsia="zh-CN"/>
              </w:rPr>
              <w:t>2025</w:t>
            </w: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年度</w:t>
            </w:r>
          </w:p>
        </w:tc>
        <w:tc>
          <w:tcPr>
            <w:tcW w:w="749" w:type="dxa"/>
            <w:vMerge w:val="restart"/>
            <w:noWrap w:val="0"/>
            <w:vAlign w:val="center"/>
          </w:tcPr>
          <w:p w14:paraId="23264DF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变动情况</w:t>
            </w:r>
          </w:p>
        </w:tc>
      </w:tr>
      <w:tr w14:paraId="713F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tblHeader/>
        </w:trPr>
        <w:tc>
          <w:tcPr>
            <w:tcW w:w="571" w:type="dxa"/>
            <w:vMerge w:val="continue"/>
            <w:noWrap w:val="0"/>
            <w:vAlign w:val="center"/>
          </w:tcPr>
          <w:p w14:paraId="156CAB2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p>
        </w:tc>
        <w:tc>
          <w:tcPr>
            <w:tcW w:w="1434" w:type="dxa"/>
            <w:vMerge w:val="continue"/>
            <w:noWrap w:val="0"/>
            <w:vAlign w:val="center"/>
          </w:tcPr>
          <w:p w14:paraId="5EB71F4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p>
        </w:tc>
        <w:tc>
          <w:tcPr>
            <w:tcW w:w="1674" w:type="dxa"/>
            <w:noWrap w:val="0"/>
            <w:vAlign w:val="center"/>
          </w:tcPr>
          <w:p w14:paraId="7BF7706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财政拨款年初预算数</w:t>
            </w:r>
          </w:p>
        </w:tc>
        <w:tc>
          <w:tcPr>
            <w:tcW w:w="1480" w:type="dxa"/>
            <w:noWrap w:val="0"/>
            <w:vAlign w:val="center"/>
          </w:tcPr>
          <w:p w14:paraId="6B81966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财政拨款年初预算数</w:t>
            </w:r>
          </w:p>
        </w:tc>
        <w:tc>
          <w:tcPr>
            <w:tcW w:w="1336" w:type="dxa"/>
            <w:vMerge w:val="continue"/>
            <w:noWrap w:val="0"/>
            <w:vAlign w:val="center"/>
          </w:tcPr>
          <w:p w14:paraId="533BDE9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p>
        </w:tc>
        <w:tc>
          <w:tcPr>
            <w:tcW w:w="1318" w:type="dxa"/>
            <w:noWrap w:val="0"/>
            <w:vAlign w:val="center"/>
          </w:tcPr>
          <w:p w14:paraId="3557FEB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财政拨款预算执行数</w:t>
            </w:r>
          </w:p>
        </w:tc>
        <w:tc>
          <w:tcPr>
            <w:tcW w:w="1308" w:type="dxa"/>
            <w:noWrap w:val="0"/>
            <w:vAlign w:val="center"/>
          </w:tcPr>
          <w:p w14:paraId="1B5E9E4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财政拨款预算执行数</w:t>
            </w:r>
          </w:p>
        </w:tc>
        <w:tc>
          <w:tcPr>
            <w:tcW w:w="749" w:type="dxa"/>
            <w:vMerge w:val="continue"/>
            <w:noWrap w:val="0"/>
            <w:vAlign w:val="center"/>
          </w:tcPr>
          <w:p w14:paraId="65712BD7">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p>
        </w:tc>
      </w:tr>
      <w:tr w14:paraId="7D17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71" w:type="dxa"/>
            <w:noWrap w:val="0"/>
            <w:vAlign w:val="center"/>
          </w:tcPr>
          <w:p w14:paraId="4914B1B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1</w:t>
            </w:r>
          </w:p>
        </w:tc>
        <w:tc>
          <w:tcPr>
            <w:tcW w:w="1434" w:type="dxa"/>
            <w:noWrap w:val="0"/>
            <w:vAlign w:val="center"/>
          </w:tcPr>
          <w:p w14:paraId="0F15A9A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“三公”经费</w:t>
            </w:r>
          </w:p>
        </w:tc>
        <w:tc>
          <w:tcPr>
            <w:tcW w:w="1674" w:type="dxa"/>
            <w:noWrap w:val="0"/>
            <w:vAlign w:val="center"/>
          </w:tcPr>
          <w:p w14:paraId="00A2557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86.93</w:t>
            </w:r>
          </w:p>
        </w:tc>
        <w:tc>
          <w:tcPr>
            <w:tcW w:w="1480" w:type="dxa"/>
            <w:noWrap w:val="0"/>
            <w:vAlign w:val="center"/>
          </w:tcPr>
          <w:p w14:paraId="4681082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88.08</w:t>
            </w:r>
          </w:p>
        </w:tc>
        <w:tc>
          <w:tcPr>
            <w:tcW w:w="1336" w:type="dxa"/>
            <w:noWrap w:val="0"/>
            <w:vAlign w:val="center"/>
          </w:tcPr>
          <w:p w14:paraId="79938C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增加</w:t>
            </w:r>
          </w:p>
        </w:tc>
        <w:tc>
          <w:tcPr>
            <w:tcW w:w="1318" w:type="dxa"/>
            <w:noWrap w:val="0"/>
            <w:vAlign w:val="center"/>
          </w:tcPr>
          <w:p w14:paraId="17508EF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131.7</w:t>
            </w:r>
          </w:p>
        </w:tc>
        <w:tc>
          <w:tcPr>
            <w:tcW w:w="1308" w:type="dxa"/>
            <w:noWrap w:val="0"/>
            <w:vAlign w:val="center"/>
          </w:tcPr>
          <w:p w14:paraId="7EB8EF7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66.06</w:t>
            </w:r>
          </w:p>
        </w:tc>
        <w:tc>
          <w:tcPr>
            <w:tcW w:w="749" w:type="dxa"/>
            <w:noWrap w:val="0"/>
            <w:vAlign w:val="center"/>
          </w:tcPr>
          <w:p w14:paraId="22F959F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r w14:paraId="1F33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71" w:type="dxa"/>
            <w:noWrap w:val="0"/>
            <w:vAlign w:val="center"/>
          </w:tcPr>
          <w:p w14:paraId="356C52D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2</w:t>
            </w:r>
          </w:p>
        </w:tc>
        <w:tc>
          <w:tcPr>
            <w:tcW w:w="1434" w:type="dxa"/>
            <w:noWrap w:val="0"/>
            <w:vAlign w:val="center"/>
          </w:tcPr>
          <w:p w14:paraId="414E149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会议经费</w:t>
            </w:r>
          </w:p>
        </w:tc>
        <w:tc>
          <w:tcPr>
            <w:tcW w:w="1674" w:type="dxa"/>
            <w:noWrap w:val="0"/>
            <w:vAlign w:val="center"/>
          </w:tcPr>
          <w:p w14:paraId="44C6A14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10</w:t>
            </w:r>
          </w:p>
        </w:tc>
        <w:tc>
          <w:tcPr>
            <w:tcW w:w="1480" w:type="dxa"/>
            <w:noWrap w:val="0"/>
            <w:vAlign w:val="center"/>
          </w:tcPr>
          <w:p w14:paraId="036789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5</w:t>
            </w:r>
          </w:p>
        </w:tc>
        <w:tc>
          <w:tcPr>
            <w:tcW w:w="1336" w:type="dxa"/>
            <w:noWrap w:val="0"/>
            <w:vAlign w:val="center"/>
          </w:tcPr>
          <w:p w14:paraId="6FD19B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c>
          <w:tcPr>
            <w:tcW w:w="1318" w:type="dxa"/>
            <w:noWrap w:val="0"/>
            <w:vAlign w:val="center"/>
          </w:tcPr>
          <w:p w14:paraId="1145A50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4.59</w:t>
            </w:r>
          </w:p>
        </w:tc>
        <w:tc>
          <w:tcPr>
            <w:tcW w:w="1308" w:type="dxa"/>
            <w:noWrap w:val="0"/>
            <w:vAlign w:val="center"/>
          </w:tcPr>
          <w:p w14:paraId="2EEE9D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3.46</w:t>
            </w:r>
          </w:p>
        </w:tc>
        <w:tc>
          <w:tcPr>
            <w:tcW w:w="749" w:type="dxa"/>
            <w:noWrap w:val="0"/>
            <w:vAlign w:val="center"/>
          </w:tcPr>
          <w:p w14:paraId="6AC6331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r w14:paraId="1BCE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71" w:type="dxa"/>
            <w:noWrap w:val="0"/>
            <w:vAlign w:val="center"/>
          </w:tcPr>
          <w:p w14:paraId="007ED21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3</w:t>
            </w:r>
          </w:p>
        </w:tc>
        <w:tc>
          <w:tcPr>
            <w:tcW w:w="1434" w:type="dxa"/>
            <w:noWrap w:val="0"/>
            <w:vAlign w:val="center"/>
          </w:tcPr>
          <w:p w14:paraId="34B767C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培训经费</w:t>
            </w:r>
          </w:p>
        </w:tc>
        <w:tc>
          <w:tcPr>
            <w:tcW w:w="1674" w:type="dxa"/>
            <w:noWrap w:val="0"/>
            <w:vAlign w:val="center"/>
          </w:tcPr>
          <w:p w14:paraId="380633F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49.59</w:t>
            </w:r>
          </w:p>
        </w:tc>
        <w:tc>
          <w:tcPr>
            <w:tcW w:w="1480" w:type="dxa"/>
            <w:noWrap w:val="0"/>
            <w:vAlign w:val="center"/>
          </w:tcPr>
          <w:p w14:paraId="0B8255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66.38</w:t>
            </w:r>
          </w:p>
        </w:tc>
        <w:tc>
          <w:tcPr>
            <w:tcW w:w="1336" w:type="dxa"/>
            <w:noWrap w:val="0"/>
            <w:vAlign w:val="center"/>
          </w:tcPr>
          <w:p w14:paraId="056C1B7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增加</w:t>
            </w:r>
          </w:p>
        </w:tc>
        <w:tc>
          <w:tcPr>
            <w:tcW w:w="1318" w:type="dxa"/>
            <w:noWrap w:val="0"/>
            <w:vAlign w:val="center"/>
          </w:tcPr>
          <w:p w14:paraId="4C39A03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40.35</w:t>
            </w:r>
          </w:p>
        </w:tc>
        <w:tc>
          <w:tcPr>
            <w:tcW w:w="1308" w:type="dxa"/>
            <w:noWrap w:val="0"/>
            <w:vAlign w:val="center"/>
          </w:tcPr>
          <w:p w14:paraId="373D06F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37.19</w:t>
            </w:r>
          </w:p>
        </w:tc>
        <w:tc>
          <w:tcPr>
            <w:tcW w:w="749" w:type="dxa"/>
            <w:noWrap w:val="0"/>
            <w:vAlign w:val="center"/>
          </w:tcPr>
          <w:p w14:paraId="00342B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r w14:paraId="583E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571" w:type="dxa"/>
            <w:noWrap w:val="0"/>
            <w:vAlign w:val="center"/>
          </w:tcPr>
          <w:p w14:paraId="415DC0E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4</w:t>
            </w:r>
          </w:p>
        </w:tc>
        <w:tc>
          <w:tcPr>
            <w:tcW w:w="1434" w:type="dxa"/>
            <w:noWrap w:val="0"/>
            <w:vAlign w:val="center"/>
          </w:tcPr>
          <w:p w14:paraId="20E3DF1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差旅经费</w:t>
            </w:r>
          </w:p>
        </w:tc>
        <w:tc>
          <w:tcPr>
            <w:tcW w:w="1674" w:type="dxa"/>
            <w:noWrap w:val="0"/>
            <w:vAlign w:val="center"/>
          </w:tcPr>
          <w:p w14:paraId="14BBF79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82.16</w:t>
            </w:r>
          </w:p>
        </w:tc>
        <w:tc>
          <w:tcPr>
            <w:tcW w:w="1480" w:type="dxa"/>
            <w:noWrap w:val="0"/>
            <w:vAlign w:val="center"/>
          </w:tcPr>
          <w:p w14:paraId="63711A6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88.08</w:t>
            </w:r>
          </w:p>
        </w:tc>
        <w:tc>
          <w:tcPr>
            <w:tcW w:w="1336" w:type="dxa"/>
            <w:noWrap w:val="0"/>
            <w:vAlign w:val="center"/>
          </w:tcPr>
          <w:p w14:paraId="36F0176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增加</w:t>
            </w:r>
          </w:p>
        </w:tc>
        <w:tc>
          <w:tcPr>
            <w:tcW w:w="1318" w:type="dxa"/>
            <w:noWrap w:val="0"/>
            <w:vAlign w:val="center"/>
          </w:tcPr>
          <w:p w14:paraId="4BDD20A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107.75</w:t>
            </w:r>
          </w:p>
        </w:tc>
        <w:tc>
          <w:tcPr>
            <w:tcW w:w="1308" w:type="dxa"/>
            <w:noWrap w:val="0"/>
            <w:vAlign w:val="center"/>
          </w:tcPr>
          <w:p w14:paraId="5F1901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90.85</w:t>
            </w:r>
          </w:p>
        </w:tc>
        <w:tc>
          <w:tcPr>
            <w:tcW w:w="749" w:type="dxa"/>
            <w:noWrap w:val="0"/>
            <w:vAlign w:val="center"/>
          </w:tcPr>
          <w:p w14:paraId="21DD787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r w14:paraId="4842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71" w:type="dxa"/>
            <w:noWrap w:val="0"/>
            <w:vAlign w:val="center"/>
          </w:tcPr>
          <w:p w14:paraId="40A7394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5</w:t>
            </w:r>
          </w:p>
        </w:tc>
        <w:tc>
          <w:tcPr>
            <w:tcW w:w="1434" w:type="dxa"/>
            <w:noWrap w:val="0"/>
            <w:vAlign w:val="center"/>
          </w:tcPr>
          <w:p w14:paraId="0B42754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办节办展</w:t>
            </w:r>
          </w:p>
          <w:p w14:paraId="4119458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经费</w:t>
            </w:r>
          </w:p>
        </w:tc>
        <w:tc>
          <w:tcPr>
            <w:tcW w:w="1674" w:type="dxa"/>
            <w:noWrap w:val="0"/>
            <w:vAlign w:val="center"/>
          </w:tcPr>
          <w:p w14:paraId="64609A7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80" w:type="dxa"/>
            <w:noWrap w:val="0"/>
            <w:vAlign w:val="center"/>
          </w:tcPr>
          <w:p w14:paraId="5FD8B24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36" w:type="dxa"/>
            <w:noWrap w:val="0"/>
            <w:vAlign w:val="center"/>
          </w:tcPr>
          <w:p w14:paraId="6ECD1A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c>
          <w:tcPr>
            <w:tcW w:w="1318" w:type="dxa"/>
            <w:noWrap w:val="0"/>
            <w:vAlign w:val="center"/>
          </w:tcPr>
          <w:p w14:paraId="186003E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08" w:type="dxa"/>
            <w:noWrap w:val="0"/>
            <w:vAlign w:val="center"/>
          </w:tcPr>
          <w:p w14:paraId="1FCEFF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749" w:type="dxa"/>
            <w:noWrap w:val="0"/>
            <w:vAlign w:val="center"/>
          </w:tcPr>
          <w:p w14:paraId="6089654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r>
      <w:tr w14:paraId="4A1E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571" w:type="dxa"/>
            <w:noWrap w:val="0"/>
            <w:vAlign w:val="center"/>
          </w:tcPr>
          <w:p w14:paraId="5F92C6D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6</w:t>
            </w:r>
          </w:p>
        </w:tc>
        <w:tc>
          <w:tcPr>
            <w:tcW w:w="1434" w:type="dxa"/>
            <w:noWrap w:val="0"/>
            <w:vAlign w:val="center"/>
          </w:tcPr>
          <w:p w14:paraId="171D278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办公设备</w:t>
            </w:r>
          </w:p>
          <w:p w14:paraId="1CAC7D5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购置经费</w:t>
            </w:r>
          </w:p>
        </w:tc>
        <w:tc>
          <w:tcPr>
            <w:tcW w:w="1674" w:type="dxa"/>
            <w:noWrap w:val="0"/>
            <w:vAlign w:val="center"/>
          </w:tcPr>
          <w:p w14:paraId="1F628B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5</w:t>
            </w:r>
          </w:p>
        </w:tc>
        <w:tc>
          <w:tcPr>
            <w:tcW w:w="1480" w:type="dxa"/>
            <w:noWrap w:val="0"/>
            <w:vAlign w:val="center"/>
          </w:tcPr>
          <w:p w14:paraId="5166F2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36" w:type="dxa"/>
            <w:noWrap w:val="0"/>
            <w:vAlign w:val="center"/>
          </w:tcPr>
          <w:p w14:paraId="1DBC048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c>
          <w:tcPr>
            <w:tcW w:w="1318" w:type="dxa"/>
            <w:noWrap w:val="0"/>
            <w:vAlign w:val="center"/>
          </w:tcPr>
          <w:p w14:paraId="39563FD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61.29</w:t>
            </w:r>
          </w:p>
        </w:tc>
        <w:tc>
          <w:tcPr>
            <w:tcW w:w="1308" w:type="dxa"/>
            <w:noWrap w:val="0"/>
            <w:vAlign w:val="center"/>
          </w:tcPr>
          <w:p w14:paraId="3C009BC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1.32</w:t>
            </w:r>
          </w:p>
        </w:tc>
        <w:tc>
          <w:tcPr>
            <w:tcW w:w="749" w:type="dxa"/>
            <w:noWrap w:val="0"/>
            <w:vAlign w:val="center"/>
          </w:tcPr>
          <w:p w14:paraId="60A6C1E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r w14:paraId="3FAC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571" w:type="dxa"/>
            <w:noWrap w:val="0"/>
            <w:vAlign w:val="center"/>
          </w:tcPr>
          <w:p w14:paraId="30BDF15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7</w:t>
            </w:r>
          </w:p>
        </w:tc>
        <w:tc>
          <w:tcPr>
            <w:tcW w:w="1434" w:type="dxa"/>
            <w:noWrap w:val="0"/>
            <w:vAlign w:val="center"/>
          </w:tcPr>
          <w:p w14:paraId="4CAC6CA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信息网络及软件购置更新经费</w:t>
            </w:r>
          </w:p>
        </w:tc>
        <w:tc>
          <w:tcPr>
            <w:tcW w:w="1674" w:type="dxa"/>
            <w:noWrap w:val="0"/>
            <w:vAlign w:val="center"/>
          </w:tcPr>
          <w:p w14:paraId="43D70F0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80" w:type="dxa"/>
            <w:noWrap w:val="0"/>
            <w:vAlign w:val="center"/>
          </w:tcPr>
          <w:p w14:paraId="39B0671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36" w:type="dxa"/>
            <w:noWrap w:val="0"/>
            <w:vAlign w:val="center"/>
          </w:tcPr>
          <w:p w14:paraId="0C392A0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c>
          <w:tcPr>
            <w:tcW w:w="1318" w:type="dxa"/>
            <w:noWrap w:val="0"/>
            <w:vAlign w:val="center"/>
          </w:tcPr>
          <w:p w14:paraId="56A5EA9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08" w:type="dxa"/>
            <w:noWrap w:val="0"/>
            <w:vAlign w:val="center"/>
          </w:tcPr>
          <w:p w14:paraId="74C568F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749" w:type="dxa"/>
            <w:noWrap w:val="0"/>
            <w:vAlign w:val="center"/>
          </w:tcPr>
          <w:p w14:paraId="3F70F87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r>
      <w:tr w14:paraId="6388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571" w:type="dxa"/>
            <w:noWrap w:val="0"/>
            <w:vAlign w:val="center"/>
          </w:tcPr>
          <w:p w14:paraId="56EBF83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8</w:t>
            </w:r>
          </w:p>
        </w:tc>
        <w:tc>
          <w:tcPr>
            <w:tcW w:w="1434" w:type="dxa"/>
            <w:noWrap w:val="0"/>
            <w:vAlign w:val="center"/>
          </w:tcPr>
          <w:p w14:paraId="1BEAD0D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课题经费</w:t>
            </w:r>
          </w:p>
        </w:tc>
        <w:tc>
          <w:tcPr>
            <w:tcW w:w="1674" w:type="dxa"/>
            <w:noWrap w:val="0"/>
            <w:vAlign w:val="center"/>
          </w:tcPr>
          <w:p w14:paraId="160BC8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480" w:type="dxa"/>
            <w:noWrap w:val="0"/>
            <w:vAlign w:val="center"/>
          </w:tcPr>
          <w:p w14:paraId="77007F3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36" w:type="dxa"/>
            <w:noWrap w:val="0"/>
            <w:vAlign w:val="center"/>
          </w:tcPr>
          <w:p w14:paraId="2D2D7E4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c>
          <w:tcPr>
            <w:tcW w:w="1318" w:type="dxa"/>
            <w:noWrap w:val="0"/>
            <w:vAlign w:val="center"/>
          </w:tcPr>
          <w:p w14:paraId="7005AE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1308" w:type="dxa"/>
            <w:noWrap w:val="0"/>
            <w:vAlign w:val="center"/>
          </w:tcPr>
          <w:p w14:paraId="415E46C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0</w:t>
            </w:r>
          </w:p>
        </w:tc>
        <w:tc>
          <w:tcPr>
            <w:tcW w:w="749" w:type="dxa"/>
            <w:noWrap w:val="0"/>
            <w:vAlign w:val="center"/>
          </w:tcPr>
          <w:p w14:paraId="15A3FE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持平</w:t>
            </w:r>
          </w:p>
        </w:tc>
      </w:tr>
      <w:tr w14:paraId="1E7B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71" w:type="dxa"/>
            <w:noWrap w:val="0"/>
            <w:vAlign w:val="center"/>
          </w:tcPr>
          <w:p w14:paraId="052390E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9</w:t>
            </w:r>
          </w:p>
        </w:tc>
        <w:tc>
          <w:tcPr>
            <w:tcW w:w="1434" w:type="dxa"/>
            <w:noWrap w:val="0"/>
            <w:vAlign w:val="center"/>
          </w:tcPr>
          <w:p w14:paraId="58299FC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contextualSpacing/>
              <w:jc w:val="center"/>
              <w:textAlignment w:val="auto"/>
              <w:outlineLvl w:val="9"/>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t>合计</w:t>
            </w:r>
          </w:p>
        </w:tc>
        <w:tc>
          <w:tcPr>
            <w:tcW w:w="1674" w:type="dxa"/>
            <w:noWrap w:val="0"/>
            <w:vAlign w:val="center"/>
          </w:tcPr>
          <w:p w14:paraId="354EB33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233.68</w:t>
            </w:r>
          </w:p>
        </w:tc>
        <w:tc>
          <w:tcPr>
            <w:tcW w:w="1480" w:type="dxa"/>
            <w:noWrap w:val="0"/>
            <w:vAlign w:val="center"/>
          </w:tcPr>
          <w:p w14:paraId="6E0444C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247.54</w:t>
            </w:r>
          </w:p>
        </w:tc>
        <w:tc>
          <w:tcPr>
            <w:tcW w:w="1336" w:type="dxa"/>
            <w:noWrap w:val="0"/>
            <w:vAlign w:val="center"/>
          </w:tcPr>
          <w:p w14:paraId="5610EDC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增加</w:t>
            </w:r>
          </w:p>
        </w:tc>
        <w:tc>
          <w:tcPr>
            <w:tcW w:w="1318" w:type="dxa"/>
            <w:noWrap w:val="0"/>
            <w:vAlign w:val="center"/>
          </w:tcPr>
          <w:p w14:paraId="5D1CD11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345.68</w:t>
            </w:r>
          </w:p>
        </w:tc>
        <w:tc>
          <w:tcPr>
            <w:tcW w:w="1308" w:type="dxa"/>
            <w:noWrap w:val="0"/>
            <w:vAlign w:val="center"/>
          </w:tcPr>
          <w:p w14:paraId="22264F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198.88</w:t>
            </w:r>
          </w:p>
        </w:tc>
        <w:tc>
          <w:tcPr>
            <w:tcW w:w="749" w:type="dxa"/>
            <w:noWrap w:val="0"/>
            <w:vAlign w:val="center"/>
          </w:tcPr>
          <w:p w14:paraId="35CDC74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方正仿宋_GB2312" w:cs="Times New Roman"/>
                <w:color w:val="000000"/>
                <w:kern w:val="0"/>
                <w:sz w:val="24"/>
                <w:szCs w:val="24"/>
                <w:highlight w:val="none"/>
                <w:shd w:val="clear" w:color="auto" w:fill="FFFFFF"/>
                <w:vertAlign w:val="baseline"/>
                <w:lang w:val="en-US" w:eastAsia="zh-CN"/>
              </w:rPr>
            </w:pPr>
            <w:r>
              <w:rPr>
                <w:rFonts w:hint="eastAsia" w:ascii="方正仿宋_GB2312" w:hAnsi="方正仿宋_GB2312" w:eastAsia="方正仿宋_GB2312" w:cs="方正仿宋_GB2312"/>
                <w:i w:val="0"/>
                <w:iCs w:val="0"/>
                <w:color w:val="000000"/>
                <w:kern w:val="0"/>
                <w:sz w:val="24"/>
                <w:szCs w:val="24"/>
                <w:highlight w:val="none"/>
                <w:u w:val="none"/>
                <w:lang w:val="en-US" w:eastAsia="zh-CN" w:bidi="ar"/>
              </w:rPr>
              <w:t>减少</w:t>
            </w:r>
          </w:p>
        </w:tc>
      </w:tr>
    </w:tbl>
    <w:p w14:paraId="6E4793C9">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综上，按照评分标准，该项指标扣</w:t>
      </w: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分，得</w:t>
      </w: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en-US" w:eastAsia="zh-CN"/>
        </w:rPr>
        <w:t>分。</w:t>
      </w:r>
    </w:p>
    <w:p w14:paraId="159148E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3.财务管理。</w:t>
      </w:r>
    </w:p>
    <w:p w14:paraId="70CD177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（1）我委严格执行国家有关财务管理法规制度，依法设置会计账簿，根据本单位实际发生的业务事项进行会计核算、填制会计凭证、登记会计账簿、编制财务会计报告。我委</w:t>
      </w:r>
      <w:r>
        <w:rPr>
          <w:rFonts w:hint="default" w:ascii="Times New Roman" w:hAnsi="Times New Roman" w:eastAsia="方正仿宋_GBK" w:cs="Times New Roman"/>
          <w:sz w:val="32"/>
          <w:szCs w:val="32"/>
          <w:highlight w:val="none"/>
          <w:lang w:val="zh-CN" w:eastAsia="zh-CN"/>
        </w:rPr>
        <w:t>不断完善财务运行机制，强化内控建设，规范会计行为，结合内控制度建设，紧盯核心业务和关键环节，加大对日常审批、预算管理、资金使用等重点领域、关键岗位、重要环节的风险排查，及时查漏补缺，强化制度约束。目前</w:t>
      </w:r>
      <w:r>
        <w:rPr>
          <w:rFonts w:hint="default" w:ascii="Times New Roman" w:hAnsi="Times New Roman" w:eastAsia="方正仿宋_GBK" w:cs="Times New Roman"/>
          <w:sz w:val="32"/>
          <w:szCs w:val="32"/>
          <w:highlight w:val="none"/>
          <w:lang w:val="en-US" w:eastAsia="zh-CN"/>
        </w:rPr>
        <w:t>已</w:t>
      </w:r>
      <w:r>
        <w:rPr>
          <w:rFonts w:hint="default" w:ascii="Times New Roman" w:hAnsi="Times New Roman" w:eastAsia="方正仿宋_GBK" w:cs="Times New Roman"/>
          <w:sz w:val="32"/>
          <w:szCs w:val="32"/>
          <w:highlight w:val="none"/>
          <w:lang w:val="zh-CN" w:eastAsia="zh-CN"/>
        </w:rPr>
        <w:t>围绕内控六大业务板块建</w:t>
      </w:r>
      <w:r>
        <w:rPr>
          <w:rFonts w:hint="default" w:ascii="Times New Roman" w:hAnsi="Times New Roman" w:eastAsia="方正仿宋_GBK" w:cs="Times New Roman"/>
          <w:sz w:val="32"/>
          <w:szCs w:val="32"/>
          <w:highlight w:val="none"/>
          <w:lang w:val="en-US" w:eastAsia="zh-CN"/>
        </w:rPr>
        <w:t>立</w:t>
      </w:r>
      <w:r>
        <w:rPr>
          <w:rFonts w:hint="default" w:ascii="Times New Roman" w:hAnsi="Times New Roman" w:eastAsia="方正仿宋_GBK" w:cs="Times New Roman"/>
          <w:sz w:val="32"/>
          <w:szCs w:val="32"/>
          <w:highlight w:val="none"/>
          <w:lang w:val="zh-CN" w:eastAsia="zh-CN"/>
        </w:rPr>
        <w:t>相关制度，其中</w:t>
      </w:r>
      <w:r>
        <w:rPr>
          <w:rFonts w:hint="default" w:ascii="Times New Roman" w:hAnsi="Times New Roman" w:eastAsia="方正仿宋_GBK" w:cs="Times New Roman"/>
          <w:sz w:val="32"/>
          <w:szCs w:val="32"/>
          <w:highlight w:val="none"/>
          <w:lang w:val="en-US" w:eastAsia="zh-CN"/>
        </w:rPr>
        <w:t>已建立的</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财务管理制度</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预算管理制度</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等制度</w:t>
      </w:r>
      <w:r>
        <w:rPr>
          <w:rFonts w:hint="default" w:ascii="Times New Roman" w:hAnsi="Times New Roman" w:eastAsia="方正仿宋_GBK" w:cs="Times New Roman"/>
          <w:sz w:val="32"/>
          <w:szCs w:val="32"/>
          <w:highlight w:val="none"/>
          <w:lang w:val="zh-CN" w:eastAsia="zh-CN"/>
        </w:rPr>
        <w:t>切实提高财务会计管理水平。</w:t>
      </w:r>
    </w:p>
    <w:p w14:paraId="355B7A3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综上，根据评分标准，该项指标</w:t>
      </w:r>
      <w:r>
        <w:rPr>
          <w:rFonts w:hint="default" w:ascii="Times New Roman" w:hAnsi="Times New Roman" w:eastAsia="方正仿宋_GBK" w:cs="Times New Roman"/>
          <w:sz w:val="32"/>
          <w:szCs w:val="32"/>
          <w:highlight w:val="none"/>
          <w:lang w:val="en-US" w:eastAsia="zh-CN"/>
        </w:rPr>
        <w:t>扣0分，</w:t>
      </w:r>
      <w:r>
        <w:rPr>
          <w:rFonts w:hint="default" w:ascii="Times New Roman" w:hAnsi="Times New Roman" w:eastAsia="方正仿宋_GBK" w:cs="Times New Roman"/>
          <w:sz w:val="32"/>
          <w:szCs w:val="32"/>
          <w:highlight w:val="none"/>
          <w:lang w:val="zh-CN" w:eastAsia="zh-CN"/>
        </w:rPr>
        <w:t>得4分。</w:t>
      </w:r>
    </w:p>
    <w:p w14:paraId="1DA879BA">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（2）财务岗位设置</w:t>
      </w:r>
    </w:p>
    <w:p w14:paraId="760D647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我委已</w:t>
      </w:r>
      <w:r>
        <w:rPr>
          <w:rFonts w:hint="default" w:ascii="Times New Roman" w:hAnsi="Times New Roman" w:eastAsia="方正仿宋_GBK" w:cs="Times New Roman"/>
          <w:sz w:val="32"/>
          <w:szCs w:val="32"/>
          <w:highlight w:val="none"/>
          <w:lang w:val="zh-CN" w:eastAsia="zh-CN"/>
        </w:rPr>
        <w:t>科学设置财务岗位，严格实行不相容岗位分离，明确财务岗位设置，严格落实定员定岗，建立健全岗位责任制，审核与支付分设，会计与出纳分立，对资金支付、票据审核等财务管理关键环节，建立明确责任制度，形成了有效的制约机制，严控岗位风险，提升工作效率。</w:t>
      </w:r>
    </w:p>
    <w:p w14:paraId="0731B46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综上，根据评分标准，该项指标</w:t>
      </w:r>
      <w:r>
        <w:rPr>
          <w:rFonts w:hint="default" w:ascii="Times New Roman" w:hAnsi="Times New Roman" w:eastAsia="方正仿宋_GBK" w:cs="Times New Roman"/>
          <w:sz w:val="32"/>
          <w:szCs w:val="32"/>
          <w:highlight w:val="none"/>
          <w:lang w:val="en-US" w:eastAsia="zh-CN"/>
        </w:rPr>
        <w:t>扣</w:t>
      </w:r>
      <w:r>
        <w:rPr>
          <w:rFonts w:hint="eastAsia"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en-US" w:eastAsia="zh-CN"/>
        </w:rPr>
        <w:t>分，</w:t>
      </w:r>
      <w:r>
        <w:rPr>
          <w:rFonts w:hint="default" w:ascii="Times New Roman" w:hAnsi="Times New Roman" w:eastAsia="方正仿宋_GBK" w:cs="Times New Roman"/>
          <w:sz w:val="32"/>
          <w:szCs w:val="32"/>
          <w:highlight w:val="none"/>
          <w:lang w:val="zh-CN" w:eastAsia="zh-CN"/>
        </w:rPr>
        <w:t>得2分。</w:t>
      </w:r>
    </w:p>
    <w:p w14:paraId="150D248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（3）资金使用规范</w:t>
      </w:r>
    </w:p>
    <w:p w14:paraId="615A4858">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我委</w:t>
      </w:r>
      <w:r>
        <w:rPr>
          <w:rFonts w:hint="default" w:ascii="Times New Roman" w:hAnsi="Times New Roman" w:eastAsia="方正仿宋_GBK" w:cs="Times New Roman"/>
          <w:sz w:val="32"/>
          <w:szCs w:val="32"/>
          <w:highlight w:val="none"/>
          <w:lang w:val="zh-CN" w:eastAsia="zh-CN"/>
        </w:rPr>
        <w:t>资金严格按照相关财务管理制度进行使用，坚持量入为出、确保重点、厉行节约、注重实效、重大经济事项支出由集体决策研究决定的原则，保证资金使用合法合规。</w:t>
      </w:r>
    </w:p>
    <w:p w14:paraId="17D38A03">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zh-CN" w:eastAsia="zh-CN"/>
        </w:rPr>
        <w:t>综上，根据评分标准，该项指标</w:t>
      </w:r>
      <w:r>
        <w:rPr>
          <w:rFonts w:hint="default" w:ascii="Times New Roman" w:hAnsi="Times New Roman" w:eastAsia="方正仿宋_GBK" w:cs="Times New Roman"/>
          <w:sz w:val="32"/>
          <w:szCs w:val="32"/>
          <w:highlight w:val="none"/>
          <w:lang w:val="en-US" w:eastAsia="zh-CN"/>
        </w:rPr>
        <w:t>扣</w:t>
      </w:r>
      <w:r>
        <w:rPr>
          <w:rFonts w:hint="eastAsia"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en-US" w:eastAsia="zh-CN"/>
        </w:rPr>
        <w:t>分，</w:t>
      </w:r>
      <w:r>
        <w:rPr>
          <w:rFonts w:hint="default" w:ascii="Times New Roman" w:hAnsi="Times New Roman" w:eastAsia="方正仿宋_GBK" w:cs="Times New Roman"/>
          <w:sz w:val="32"/>
          <w:szCs w:val="32"/>
          <w:highlight w:val="none"/>
          <w:lang w:val="zh-CN" w:eastAsia="zh-CN"/>
        </w:rPr>
        <w:t>得4分。</w:t>
      </w:r>
    </w:p>
    <w:p w14:paraId="60C38AC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zh-CN" w:eastAsia="zh-CN"/>
        </w:rPr>
        <w:t>资产管理。</w:t>
      </w:r>
    </w:p>
    <w:p w14:paraId="2F74405E">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（1）人均资产变化率</w:t>
      </w:r>
    </w:p>
    <w:p w14:paraId="44FDFDB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我委</w:t>
      </w:r>
      <w:r>
        <w:rPr>
          <w:rFonts w:hint="eastAsia" w:ascii="Times New Roman" w:hAnsi="Times New Roman" w:eastAsia="方正仿宋_GBK" w:cs="Times New Roman"/>
          <w:sz w:val="32"/>
          <w:szCs w:val="32"/>
          <w:highlight w:val="none"/>
          <w:lang w:val="zh-CN" w:eastAsia="zh-CN"/>
        </w:rPr>
        <w:t>2024</w:t>
      </w:r>
      <w:r>
        <w:rPr>
          <w:rFonts w:hint="default" w:ascii="Times New Roman" w:hAnsi="Times New Roman" w:eastAsia="方正仿宋_GBK" w:cs="Times New Roman"/>
          <w:sz w:val="32"/>
          <w:szCs w:val="32"/>
          <w:highlight w:val="none"/>
          <w:lang w:val="zh-CN" w:eastAsia="zh-CN"/>
        </w:rPr>
        <w:t>年末实有人数为47人，固定资产和无形资产净值合计259.45万元；</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年末实有人数为</w:t>
      </w:r>
      <w:r>
        <w:rPr>
          <w:rFonts w:hint="default" w:ascii="Times New Roman" w:hAnsi="Times New Roman" w:eastAsia="方正仿宋_GBK" w:cs="Times New Roman"/>
          <w:sz w:val="32"/>
          <w:szCs w:val="32"/>
          <w:highlight w:val="none"/>
          <w:lang w:val="en-US" w:eastAsia="zh-CN"/>
        </w:rPr>
        <w:t>4</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zh-CN" w:eastAsia="zh-CN"/>
        </w:rPr>
        <w:t>人，固定资产和无形资产净值合计</w:t>
      </w:r>
      <w:r>
        <w:rPr>
          <w:rFonts w:hint="eastAsia" w:ascii="Times New Roman" w:hAnsi="Times New Roman" w:eastAsia="方正仿宋_GBK" w:cs="Times New Roman"/>
          <w:sz w:val="32"/>
          <w:szCs w:val="32"/>
          <w:highlight w:val="none"/>
          <w:lang w:val="en-US" w:eastAsia="zh-CN"/>
        </w:rPr>
        <w:t>203.41</w:t>
      </w:r>
      <w:r>
        <w:rPr>
          <w:rFonts w:hint="default" w:ascii="Times New Roman" w:hAnsi="Times New Roman" w:eastAsia="方正仿宋_GBK" w:cs="Times New Roman"/>
          <w:sz w:val="32"/>
          <w:szCs w:val="32"/>
          <w:highlight w:val="none"/>
          <w:lang w:val="en-US" w:eastAsia="zh-CN"/>
        </w:rPr>
        <w:t>万</w:t>
      </w:r>
      <w:r>
        <w:rPr>
          <w:rFonts w:hint="default" w:ascii="Times New Roman" w:hAnsi="Times New Roman" w:eastAsia="方正仿宋_GBK" w:cs="Times New Roman"/>
          <w:sz w:val="32"/>
          <w:szCs w:val="32"/>
          <w:highlight w:val="none"/>
          <w:lang w:val="zh-CN" w:eastAsia="zh-CN"/>
        </w:rPr>
        <w:t>元。</w:t>
      </w:r>
    </w:p>
    <w:p w14:paraId="412490B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2024</w:t>
      </w:r>
      <w:r>
        <w:rPr>
          <w:rFonts w:hint="default" w:ascii="Times New Roman" w:hAnsi="Times New Roman" w:eastAsia="方正仿宋_GBK" w:cs="Times New Roman"/>
          <w:sz w:val="32"/>
          <w:szCs w:val="32"/>
          <w:highlight w:val="none"/>
          <w:lang w:val="en-US" w:eastAsia="zh-CN"/>
        </w:rPr>
        <w:t>年人均占有资产=259.45/47=5.52（万元/人），</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年人均占有资产=</w:t>
      </w:r>
      <w:r>
        <w:rPr>
          <w:rFonts w:hint="eastAsia" w:ascii="Times New Roman" w:hAnsi="Times New Roman" w:eastAsia="方正仿宋_GBK" w:cs="Times New Roman"/>
          <w:sz w:val="32"/>
          <w:szCs w:val="32"/>
          <w:highlight w:val="none"/>
          <w:lang w:val="en-US" w:eastAsia="zh-CN"/>
        </w:rPr>
        <w:t>203.41/</w:t>
      </w:r>
      <w:r>
        <w:rPr>
          <w:rFonts w:hint="default" w:ascii="Times New Roman" w:hAnsi="Times New Roman" w:eastAsia="方正仿宋_GBK" w:cs="Times New Roman"/>
          <w:sz w:val="32"/>
          <w:szCs w:val="32"/>
          <w:highlight w:val="none"/>
          <w:lang w:val="en-US" w:eastAsia="zh-CN"/>
        </w:rPr>
        <w:t>4</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4.42</w:t>
      </w:r>
      <w:r>
        <w:rPr>
          <w:rFonts w:hint="default" w:ascii="Times New Roman" w:hAnsi="Times New Roman" w:eastAsia="方正仿宋_GBK" w:cs="Times New Roman"/>
          <w:sz w:val="32"/>
          <w:szCs w:val="32"/>
          <w:highlight w:val="none"/>
          <w:lang w:val="en-US" w:eastAsia="zh-CN"/>
        </w:rPr>
        <w:t>（万元/人），</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年我委人均资产变化率=（当年单位人均占有资产-上年单位人均占有资产）</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上年单位人均占有资产=（</w:t>
      </w:r>
      <w:r>
        <w:rPr>
          <w:rFonts w:hint="eastAsia" w:ascii="Times New Roman" w:hAnsi="Times New Roman" w:eastAsia="方正仿宋_GBK" w:cs="Times New Roman"/>
          <w:sz w:val="32"/>
          <w:szCs w:val="32"/>
          <w:highlight w:val="none"/>
          <w:lang w:val="en-US" w:eastAsia="zh-CN"/>
        </w:rPr>
        <w:t>4.42</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5.52</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/5.52</w:t>
      </w:r>
      <w:r>
        <w:rPr>
          <w:rFonts w:hint="default" w:ascii="Times New Roman" w:hAnsi="Times New Roman" w:eastAsia="方正仿宋_GBK" w:cs="Times New Roman"/>
          <w:sz w:val="32"/>
          <w:szCs w:val="32"/>
          <w:highlight w:val="none"/>
          <w:lang w:val="en-US" w:eastAsia="zh-CN"/>
        </w:rPr>
        <w:t xml:space="preserve">×100%= </w:t>
      </w:r>
      <w:r>
        <w:rPr>
          <w:rFonts w:hint="eastAsia" w:ascii="Times New Roman" w:hAnsi="Times New Roman" w:eastAsia="方正仿宋_GBK" w:cs="Times New Roman"/>
          <w:sz w:val="32"/>
          <w:szCs w:val="32"/>
          <w:highlight w:val="none"/>
          <w:lang w:val="en-US" w:eastAsia="zh-CN"/>
        </w:rPr>
        <w:t>-19.93</w:t>
      </w:r>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小于</w:t>
      </w:r>
      <w:r>
        <w:rPr>
          <w:rFonts w:hint="eastAsia" w:ascii="Times New Roman" w:hAnsi="Times New Roman" w:eastAsia="方正仿宋_GBK" w:cs="Times New Roman"/>
          <w:color w:val="auto"/>
          <w:sz w:val="32"/>
          <w:szCs w:val="32"/>
          <w:highlight w:val="none"/>
          <w:lang w:val="en-US" w:eastAsia="zh-CN"/>
        </w:rPr>
        <w:t>2025</w:t>
      </w:r>
      <w:r>
        <w:rPr>
          <w:rFonts w:hint="default" w:ascii="Times New Roman" w:hAnsi="Times New Roman" w:eastAsia="方正仿宋_GBK" w:cs="Times New Roman"/>
          <w:color w:val="auto"/>
          <w:sz w:val="32"/>
          <w:szCs w:val="32"/>
          <w:highlight w:val="none"/>
          <w:lang w:val="en-US" w:eastAsia="zh-CN"/>
        </w:rPr>
        <w:t>年州直行政事业单位人均资产变化率-3.49%，</w:t>
      </w:r>
      <w:r>
        <w:rPr>
          <w:rFonts w:hint="eastAsia" w:ascii="Times New Roman" w:hAnsi="Times New Roman" w:eastAsia="方正仿宋_GBK" w:cs="Times New Roman"/>
          <w:color w:val="auto"/>
          <w:sz w:val="32"/>
          <w:szCs w:val="32"/>
          <w:highlight w:val="none"/>
          <w:lang w:val="en-US" w:eastAsia="zh-CN"/>
        </w:rPr>
        <w:t>小</w:t>
      </w:r>
      <w:r>
        <w:rPr>
          <w:rFonts w:hint="default" w:ascii="Times New Roman" w:hAnsi="Times New Roman" w:eastAsia="方正仿宋_GBK" w:cs="Times New Roman"/>
          <w:color w:val="auto"/>
          <w:sz w:val="32"/>
          <w:szCs w:val="32"/>
          <w:highlight w:val="none"/>
          <w:lang w:val="en-US" w:eastAsia="zh-CN"/>
        </w:rPr>
        <w:t>于</w:t>
      </w:r>
      <w:r>
        <w:rPr>
          <w:rFonts w:hint="eastAsia" w:ascii="Times New Roman" w:hAnsi="Times New Roman" w:eastAsia="方正仿宋_GBK" w:cs="Times New Roman"/>
          <w:color w:val="auto"/>
          <w:sz w:val="32"/>
          <w:szCs w:val="32"/>
          <w:highlight w:val="none"/>
          <w:lang w:val="en-US" w:eastAsia="zh-CN"/>
        </w:rPr>
        <w:t>2025</w:t>
      </w:r>
      <w:r>
        <w:rPr>
          <w:rFonts w:hint="default" w:ascii="Times New Roman" w:hAnsi="Times New Roman" w:eastAsia="方正仿宋_GBK" w:cs="Times New Roman"/>
          <w:color w:val="auto"/>
          <w:sz w:val="32"/>
          <w:szCs w:val="32"/>
          <w:highlight w:val="none"/>
          <w:lang w:val="en-US" w:eastAsia="zh-CN"/>
        </w:rPr>
        <w:t>年州级财政收入增长率17.1%</w:t>
      </w:r>
      <w:r>
        <w:rPr>
          <w:rFonts w:hint="eastAsia" w:ascii="Times New Roman" w:hAnsi="Times New Roman" w:eastAsia="方正仿宋_GBK" w:cs="Times New Roman"/>
          <w:color w:val="auto"/>
          <w:sz w:val="32"/>
          <w:szCs w:val="32"/>
          <w:highlight w:val="none"/>
          <w:lang w:val="en-US" w:eastAsia="zh-CN"/>
        </w:rPr>
        <w:t>且小于0</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ab/>
      </w:r>
    </w:p>
    <w:p w14:paraId="53E788E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综上，根据评分标准，该项指标扣</w:t>
      </w:r>
      <w:r>
        <w:rPr>
          <w:rFonts w:hint="eastAsia"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val="en-US" w:eastAsia="zh-CN"/>
        </w:rPr>
        <w:t>分，得</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分。</w:t>
      </w:r>
    </w:p>
    <w:p w14:paraId="1CCCFF2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（2）资产利用率</w:t>
      </w:r>
    </w:p>
    <w:p w14:paraId="6B0935D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年办公家具账面价值为60.</w:t>
      </w:r>
      <w:r>
        <w:rPr>
          <w:rFonts w:hint="eastAsia" w:ascii="Times New Roman" w:hAnsi="Times New Roman" w:eastAsia="方正仿宋_GBK" w:cs="Times New Roman"/>
          <w:sz w:val="32"/>
          <w:szCs w:val="32"/>
          <w:highlight w:val="none"/>
          <w:lang w:val="en-US" w:eastAsia="zh-CN"/>
        </w:rPr>
        <w:t>98</w:t>
      </w:r>
      <w:r>
        <w:rPr>
          <w:rFonts w:hint="default" w:ascii="Times New Roman" w:hAnsi="Times New Roman" w:eastAsia="方正仿宋_GBK" w:cs="Times New Roman"/>
          <w:sz w:val="32"/>
          <w:szCs w:val="32"/>
          <w:highlight w:val="none"/>
          <w:lang w:val="en-US" w:eastAsia="zh-CN"/>
        </w:rPr>
        <w:t>万元，超最低使用年限的办公家具账面价值为</w:t>
      </w:r>
      <w:r>
        <w:rPr>
          <w:rFonts w:hint="eastAsia" w:ascii="Times New Roman" w:hAnsi="Times New Roman" w:eastAsia="方正仿宋_GBK" w:cs="Times New Roman"/>
          <w:sz w:val="32"/>
          <w:szCs w:val="32"/>
          <w:highlight w:val="none"/>
          <w:lang w:val="en-US" w:eastAsia="zh-CN"/>
        </w:rPr>
        <w:t>15</w:t>
      </w:r>
      <w:r>
        <w:rPr>
          <w:rFonts w:hint="default" w:ascii="Times New Roman" w:hAnsi="Times New Roman" w:eastAsia="方正仿宋_GBK" w:cs="Times New Roman"/>
          <w:sz w:val="32"/>
          <w:szCs w:val="32"/>
          <w:highlight w:val="none"/>
          <w:lang w:val="en-US" w:eastAsia="zh-CN"/>
        </w:rPr>
        <w:t>.1万元，故办公家具超最低使用年限资产利用率=超最低使用年限的办公家具账面价值</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办公家具账面价值×100%=</w:t>
      </w:r>
      <w:r>
        <w:rPr>
          <w:rFonts w:hint="eastAsia" w:ascii="Times New Roman" w:hAnsi="Times New Roman" w:eastAsia="方正仿宋_GBK" w:cs="Times New Roman"/>
          <w:sz w:val="32"/>
          <w:szCs w:val="32"/>
          <w:highlight w:val="none"/>
          <w:lang w:val="en-US" w:eastAsia="zh-CN"/>
        </w:rPr>
        <w:t>15</w:t>
      </w:r>
      <w:r>
        <w:rPr>
          <w:rFonts w:hint="default"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60.</w:t>
      </w:r>
      <w:r>
        <w:rPr>
          <w:rFonts w:hint="eastAsia" w:ascii="Times New Roman" w:hAnsi="Times New Roman" w:eastAsia="方正仿宋_GBK" w:cs="Times New Roman"/>
          <w:sz w:val="32"/>
          <w:szCs w:val="32"/>
          <w:highlight w:val="none"/>
          <w:lang w:val="en-US" w:eastAsia="zh-CN"/>
        </w:rPr>
        <w:t>98</w:t>
      </w:r>
      <w:r>
        <w:rPr>
          <w:rFonts w:hint="default" w:ascii="Times New Roman" w:hAnsi="Times New Roman" w:eastAsia="方正仿宋_GBK" w:cs="Times New Roman"/>
          <w:sz w:val="32"/>
          <w:szCs w:val="32"/>
          <w:highlight w:val="none"/>
          <w:lang w:val="en-US" w:eastAsia="zh-CN"/>
        </w:rPr>
        <w:t>×100%=</w:t>
      </w:r>
      <w:r>
        <w:rPr>
          <w:rFonts w:hint="eastAsia" w:ascii="Times New Roman" w:hAnsi="Times New Roman" w:eastAsia="方正仿宋_GBK" w:cs="Times New Roman"/>
          <w:sz w:val="32"/>
          <w:szCs w:val="32"/>
          <w:highlight w:val="none"/>
          <w:lang w:val="en-US" w:eastAsia="zh-CN"/>
        </w:rPr>
        <w:t>24.76</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大</w:t>
      </w:r>
      <w:r>
        <w:rPr>
          <w:rFonts w:hint="default" w:ascii="Times New Roman" w:hAnsi="Times New Roman" w:eastAsia="方正仿宋_GBK" w:cs="Times New Roman"/>
          <w:sz w:val="32"/>
          <w:szCs w:val="32"/>
          <w:highlight w:val="none"/>
          <w:lang w:val="en-US" w:eastAsia="zh-CN"/>
        </w:rPr>
        <w:t>于州直行政事业单位平均值</w:t>
      </w:r>
      <w:r>
        <w:rPr>
          <w:rFonts w:hint="eastAsia" w:ascii="Times New Roman" w:hAnsi="Times New Roman" w:eastAsia="方正仿宋_GBK" w:cs="Times New Roman"/>
          <w:sz w:val="32"/>
          <w:szCs w:val="32"/>
          <w:highlight w:val="none"/>
          <w:lang w:val="en-US" w:eastAsia="zh-CN"/>
        </w:rPr>
        <w:t>12.93</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年办公设备账面价值为</w:t>
      </w:r>
      <w:r>
        <w:rPr>
          <w:rFonts w:hint="eastAsia" w:ascii="Times New Roman" w:hAnsi="Times New Roman" w:eastAsia="方正仿宋_GBK" w:cs="Times New Roman"/>
          <w:sz w:val="32"/>
          <w:szCs w:val="32"/>
          <w:highlight w:val="none"/>
          <w:lang w:val="en-US" w:eastAsia="zh-CN"/>
        </w:rPr>
        <w:t>546</w:t>
      </w:r>
      <w:r>
        <w:rPr>
          <w:rFonts w:hint="default" w:ascii="Times New Roman" w:hAnsi="Times New Roman" w:eastAsia="方正仿宋_GBK" w:cs="Times New Roman"/>
          <w:sz w:val="32"/>
          <w:szCs w:val="32"/>
          <w:highlight w:val="none"/>
          <w:lang w:val="en-US" w:eastAsia="zh-CN"/>
        </w:rPr>
        <w:t>万元，超最低使用年限的办公设备账面价值为</w:t>
      </w:r>
      <w:r>
        <w:rPr>
          <w:rFonts w:hint="eastAsia" w:ascii="Times New Roman" w:hAnsi="Times New Roman" w:eastAsia="方正仿宋_GBK" w:cs="Times New Roman"/>
          <w:sz w:val="32"/>
          <w:szCs w:val="32"/>
          <w:highlight w:val="none"/>
          <w:lang w:val="en-US" w:eastAsia="zh-CN"/>
        </w:rPr>
        <w:t>218.59</w:t>
      </w:r>
      <w:r>
        <w:rPr>
          <w:rFonts w:hint="default" w:ascii="Times New Roman" w:hAnsi="Times New Roman" w:eastAsia="方正仿宋_GBK" w:cs="Times New Roman"/>
          <w:sz w:val="32"/>
          <w:szCs w:val="32"/>
          <w:highlight w:val="none"/>
          <w:lang w:val="en-US" w:eastAsia="zh-CN"/>
        </w:rPr>
        <w:t>万元，故办公设备超最低使用年限资产利用率=超最低使用年限的办公设备账面价值</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办公设备账面价值×100%=</w:t>
      </w:r>
      <w:r>
        <w:rPr>
          <w:rFonts w:hint="eastAsia" w:ascii="Times New Roman" w:hAnsi="Times New Roman" w:eastAsia="方正仿宋_GBK" w:cs="Times New Roman"/>
          <w:sz w:val="32"/>
          <w:szCs w:val="32"/>
          <w:highlight w:val="none"/>
          <w:lang w:val="en-US" w:eastAsia="zh-CN"/>
        </w:rPr>
        <w:t>218.59/</w:t>
      </w:r>
      <w:r>
        <w:rPr>
          <w:rFonts w:hint="default" w:ascii="Times New Roman" w:hAnsi="Times New Roman"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lang w:val="en-US" w:eastAsia="zh-CN"/>
        </w:rPr>
        <w:t>46</w:t>
      </w:r>
      <w:r>
        <w:rPr>
          <w:rFonts w:hint="default" w:ascii="Times New Roman" w:hAnsi="Times New Roman" w:eastAsia="方正仿宋_GBK" w:cs="Times New Roman"/>
          <w:sz w:val="32"/>
          <w:szCs w:val="32"/>
          <w:highlight w:val="none"/>
          <w:lang w:val="en-US" w:eastAsia="zh-CN"/>
        </w:rPr>
        <w:t>×100%=</w:t>
      </w:r>
      <w:r>
        <w:rPr>
          <w:rFonts w:hint="eastAsia" w:ascii="Times New Roman" w:hAnsi="Times New Roman" w:eastAsia="方正仿宋_GBK" w:cs="Times New Roman"/>
          <w:sz w:val="32"/>
          <w:szCs w:val="32"/>
          <w:highlight w:val="none"/>
          <w:lang w:val="en-US" w:eastAsia="zh-CN"/>
        </w:rPr>
        <w:t>40.03</w:t>
      </w:r>
      <w:r>
        <w:rPr>
          <w:rFonts w:hint="default" w:ascii="Times New Roman" w:hAnsi="Times New Roman" w:eastAsia="方正仿宋_GBK" w:cs="Times New Roman"/>
          <w:sz w:val="32"/>
          <w:szCs w:val="32"/>
          <w:highlight w:val="none"/>
          <w:lang w:val="en-US" w:eastAsia="zh-CN"/>
        </w:rPr>
        <w:t>%，小于州直行政事业单位平均值53.14%</w:t>
      </w:r>
      <w:r>
        <w:rPr>
          <w:rFonts w:hint="eastAsia" w:ascii="Times New Roman" w:hAnsi="Times New Roman" w:eastAsia="方正仿宋_GBK" w:cs="Times New Roman"/>
          <w:sz w:val="32"/>
          <w:szCs w:val="32"/>
          <w:highlight w:val="none"/>
          <w:lang w:val="en-US" w:eastAsia="zh-CN"/>
        </w:rPr>
        <w:t>，大于州直行政事业单位平均值53.14%的60%，小于州直行政事业单位平均值53.14%的80%</w:t>
      </w:r>
      <w:r>
        <w:rPr>
          <w:rFonts w:hint="default" w:ascii="Times New Roman" w:hAnsi="Times New Roman" w:eastAsia="方正仿宋_GBK" w:cs="Times New Roman"/>
          <w:sz w:val="32"/>
          <w:szCs w:val="32"/>
          <w:highlight w:val="none"/>
          <w:lang w:val="en-US" w:eastAsia="zh-CN"/>
        </w:rPr>
        <w:t>。</w:t>
      </w:r>
    </w:p>
    <w:p w14:paraId="2EE2633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w:t>
      </w:r>
      <w:r>
        <w:rPr>
          <w:rFonts w:hint="eastAsia" w:ascii="Times New Roman" w:hAnsi="Times New Roman" w:eastAsia="方正仿宋_GBK" w:cs="Times New Roman"/>
          <w:sz w:val="32"/>
          <w:szCs w:val="32"/>
          <w:highlight w:val="none"/>
          <w:lang w:val="en-US" w:eastAsia="zh-CN"/>
        </w:rPr>
        <w:t>0.9</w:t>
      </w:r>
      <w:r>
        <w:rPr>
          <w:rFonts w:hint="default" w:ascii="Times New Roman" w:hAnsi="Times New Roman" w:eastAsia="方正仿宋_GBK" w:cs="Times New Roman"/>
          <w:sz w:val="32"/>
          <w:szCs w:val="32"/>
          <w:highlight w:val="none"/>
          <w:lang w:val="en-US" w:eastAsia="zh-CN"/>
        </w:rPr>
        <w:t>分，得</w:t>
      </w:r>
      <w:r>
        <w:rPr>
          <w:rFonts w:hint="eastAsia" w:ascii="Times New Roman" w:hAnsi="Times New Roman" w:eastAsia="方正仿宋_GBK" w:cs="Times New Roman"/>
          <w:sz w:val="32"/>
          <w:szCs w:val="32"/>
          <w:highlight w:val="none"/>
          <w:lang w:val="en-US" w:eastAsia="zh-CN"/>
        </w:rPr>
        <w:t>2.1</w:t>
      </w:r>
      <w:r>
        <w:rPr>
          <w:rFonts w:hint="default" w:ascii="Times New Roman" w:hAnsi="Times New Roman" w:eastAsia="方正仿宋_GBK" w:cs="Times New Roman"/>
          <w:sz w:val="32"/>
          <w:szCs w:val="32"/>
          <w:highlight w:val="none"/>
          <w:lang w:val="en-US" w:eastAsia="zh-CN"/>
        </w:rPr>
        <w:t>分。</w:t>
      </w:r>
    </w:p>
    <w:p w14:paraId="0E362ACF">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（3）资产盘活率</w:t>
      </w:r>
    </w:p>
    <w:p w14:paraId="68636A8E">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w:t>
      </w:r>
      <w:r>
        <w:rPr>
          <w:rFonts w:hint="eastAsia" w:ascii="Times New Roman" w:hAnsi="Times New Roman" w:eastAsia="方正仿宋_GBK" w:cs="Times New Roman"/>
          <w:sz w:val="32"/>
          <w:szCs w:val="32"/>
          <w:highlight w:val="none"/>
          <w:lang w:val="en-US" w:eastAsia="zh-CN"/>
        </w:rPr>
        <w:t>2024</w:t>
      </w:r>
      <w:r>
        <w:rPr>
          <w:rFonts w:hint="default" w:ascii="Times New Roman" w:hAnsi="Times New Roman" w:eastAsia="方正仿宋_GBK" w:cs="Times New Roman"/>
          <w:sz w:val="32"/>
          <w:szCs w:val="32"/>
          <w:highlight w:val="none"/>
          <w:lang w:val="en-US" w:eastAsia="zh-CN"/>
        </w:rPr>
        <w:t>年、</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年均无闲置资产。</w:t>
      </w:r>
    </w:p>
    <w:p w14:paraId="4B786F9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综上，根据评分标准，该项指标0扣分，得3分。</w:t>
      </w:r>
    </w:p>
    <w:p w14:paraId="713036CA">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zh-CN" w:eastAsia="zh-CN"/>
        </w:rPr>
        <w:t>采购管理。</w:t>
      </w:r>
    </w:p>
    <w:p w14:paraId="25A47535">
      <w:pPr>
        <w:pStyle w:val="6"/>
        <w:keepNext w:val="0"/>
        <w:keepLines w:val="0"/>
        <w:pageBreakBefore w:val="0"/>
        <w:kinsoku/>
        <w:wordWrap/>
        <w:overflowPunct/>
        <w:topLinePunct w:val="0"/>
        <w:bidi w:val="0"/>
        <w:spacing w:line="576" w:lineRule="exact"/>
        <w:ind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）支持中小企业发展。</w:t>
      </w:r>
    </w:p>
    <w:p w14:paraId="0A682A1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年严格执行政府采购促进中小企业发展相关管理办法，对适宜由中小企业提供的采购项目和采购包，预留采购份额专门面向中小企业采购，</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年我委不涉及该部分。</w:t>
      </w:r>
    </w:p>
    <w:p w14:paraId="39A2534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综上，根据评分标准，该项指标扣0分，得3分。</w:t>
      </w:r>
    </w:p>
    <w:p w14:paraId="31477D0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）采购执行率。</w:t>
      </w:r>
    </w:p>
    <w:p w14:paraId="377B230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年我委安排政府采购预算</w:t>
      </w:r>
      <w:r>
        <w:rPr>
          <w:rFonts w:hint="eastAsia" w:ascii="Times New Roman" w:hAnsi="Times New Roman" w:eastAsia="方正仿宋_GBK" w:cs="Times New Roman"/>
          <w:sz w:val="32"/>
          <w:szCs w:val="32"/>
          <w:highlight w:val="none"/>
          <w:lang w:val="en-US" w:eastAsia="zh-CN"/>
        </w:rPr>
        <w:t>115.04</w:t>
      </w:r>
      <w:r>
        <w:rPr>
          <w:rFonts w:hint="default" w:ascii="Times New Roman" w:hAnsi="Times New Roman" w:eastAsia="方正仿宋_GBK" w:cs="Times New Roman"/>
          <w:sz w:val="32"/>
          <w:szCs w:val="32"/>
          <w:highlight w:val="none"/>
          <w:lang w:val="zh-CN" w:eastAsia="zh-CN"/>
        </w:rPr>
        <w:t>万元，主采购执行数为</w:t>
      </w:r>
      <w:r>
        <w:rPr>
          <w:rFonts w:hint="eastAsia" w:ascii="Times New Roman" w:hAnsi="Times New Roman" w:eastAsia="方正仿宋_GBK" w:cs="Times New Roman"/>
          <w:sz w:val="32"/>
          <w:szCs w:val="32"/>
          <w:highlight w:val="none"/>
          <w:lang w:val="en-US" w:eastAsia="zh-CN"/>
        </w:rPr>
        <w:t>114.99</w:t>
      </w:r>
      <w:r>
        <w:rPr>
          <w:rFonts w:hint="default" w:ascii="Times New Roman" w:hAnsi="Times New Roman" w:eastAsia="方正仿宋_GBK" w:cs="Times New Roman"/>
          <w:sz w:val="32"/>
          <w:szCs w:val="32"/>
          <w:highlight w:val="none"/>
          <w:lang w:val="zh-CN" w:eastAsia="zh-CN"/>
        </w:rPr>
        <w:t>万元，该项得分=当年政府采购实际支付总金额</w:t>
      </w:r>
      <w:r>
        <w:rPr>
          <w:rFonts w:hint="eastAsia"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zh-CN" w:eastAsia="zh-CN"/>
        </w:rPr>
        <w:t>（当年政府采购总预算数-当年已完成采购项目节约金额）×100%×3</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114.99</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115.04</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0.05</w:t>
      </w:r>
      <w:r>
        <w:rPr>
          <w:rFonts w:hint="default" w:ascii="Times New Roman" w:hAnsi="Times New Roman" w:eastAsia="方正仿宋_GBK" w:cs="Times New Roman"/>
          <w:sz w:val="32"/>
          <w:szCs w:val="32"/>
          <w:highlight w:val="none"/>
          <w:lang w:val="zh-CN" w:eastAsia="zh-CN"/>
        </w:rPr>
        <w:t>）*3=</w:t>
      </w:r>
      <w:r>
        <w:rPr>
          <w:rFonts w:hint="default" w:ascii="Times New Roman" w:hAnsi="Times New Roman" w:eastAsia="方正仿宋_GBK" w:cs="Times New Roman"/>
          <w:sz w:val="32"/>
          <w:szCs w:val="32"/>
          <w:highlight w:val="none"/>
          <w:lang w:val="en-US" w:eastAsia="zh-CN"/>
        </w:rPr>
        <w:t>3分。</w:t>
      </w:r>
    </w:p>
    <w:p w14:paraId="5277387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w:t>
      </w:r>
      <w:r>
        <w:rPr>
          <w:rFonts w:hint="default" w:ascii="Times New Roman" w:hAnsi="Times New Roman" w:eastAsia="方正仿宋_GBK" w:cs="Times New Roman"/>
          <w:sz w:val="32"/>
          <w:szCs w:val="32"/>
          <w:highlight w:val="none"/>
          <w:lang w:val="zh-CN" w:eastAsia="zh-CN"/>
        </w:rPr>
        <w:t>该项</w:t>
      </w:r>
      <w:r>
        <w:rPr>
          <w:rFonts w:hint="default" w:ascii="Times New Roman" w:hAnsi="Times New Roman" w:eastAsia="方正仿宋_GBK" w:cs="Times New Roman"/>
          <w:sz w:val="32"/>
          <w:szCs w:val="32"/>
          <w:highlight w:val="none"/>
          <w:lang w:val="en-US" w:eastAsia="zh-CN"/>
        </w:rPr>
        <w:t>扣0分，得3分。</w:t>
      </w:r>
    </w:p>
    <w:p w14:paraId="6AB19D0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6" w:lineRule="exact"/>
        <w:ind w:leftChars="0"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4B08711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常年项目绩效分析。</w:t>
      </w:r>
      <w:r>
        <w:rPr>
          <w:rFonts w:hint="default" w:ascii="Times New Roman" w:hAnsi="Times New Roman" w:eastAsia="方正仿宋_GBK" w:cs="Times New Roman"/>
          <w:sz w:val="32"/>
          <w:szCs w:val="32"/>
          <w:highlight w:val="none"/>
          <w:lang w:val="zh-CN" w:eastAsia="zh-CN"/>
        </w:rPr>
        <w:t>该类项目总数</w:t>
      </w:r>
      <w:r>
        <w:rPr>
          <w:rFonts w:hint="default" w:ascii="Times New Roman" w:hAnsi="Times New Roman" w:eastAsia="方正仿宋_GBK" w:cs="Times New Roman"/>
          <w:sz w:val="32"/>
          <w:szCs w:val="32"/>
          <w:highlight w:val="none"/>
          <w:lang w:val="en-US" w:eastAsia="zh-CN"/>
        </w:rPr>
        <w:t>13</w:t>
      </w:r>
      <w:r>
        <w:rPr>
          <w:rFonts w:hint="default" w:ascii="Times New Roman" w:hAnsi="Times New Roman" w:eastAsia="方正仿宋_GBK" w:cs="Times New Roman"/>
          <w:sz w:val="32"/>
          <w:szCs w:val="32"/>
          <w:highlight w:val="none"/>
          <w:lang w:val="zh-CN" w:eastAsia="zh-CN"/>
        </w:rPr>
        <w:t>个，涉及预算总金额</w:t>
      </w:r>
      <w:r>
        <w:rPr>
          <w:rFonts w:hint="eastAsia" w:ascii="Times New Roman" w:hAnsi="Times New Roman" w:eastAsia="方正仿宋_GBK" w:cs="Times New Roman"/>
          <w:sz w:val="32"/>
          <w:szCs w:val="32"/>
          <w:highlight w:val="none"/>
          <w:lang w:val="en-US" w:eastAsia="zh-CN"/>
        </w:rPr>
        <w:t>303</w:t>
      </w:r>
      <w:r>
        <w:rPr>
          <w:rFonts w:hint="default" w:ascii="Times New Roman" w:hAnsi="Times New Roman" w:eastAsia="方正仿宋_GBK" w:cs="Times New Roman"/>
          <w:sz w:val="32"/>
          <w:szCs w:val="32"/>
          <w:highlight w:val="none"/>
          <w:lang w:val="zh-CN" w:eastAsia="zh-CN"/>
        </w:rPr>
        <w:t>万元，1—1</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月预算执行</w:t>
      </w:r>
      <w:r>
        <w:rPr>
          <w:rFonts w:hint="default" w:ascii="Times New Roman" w:hAnsi="Times New Roman" w:eastAsia="方正仿宋_GBK" w:cs="Times New Roman"/>
          <w:sz w:val="32"/>
          <w:szCs w:val="32"/>
          <w:highlight w:val="none"/>
          <w:lang w:val="en-US" w:eastAsia="zh-CN"/>
        </w:rPr>
        <w:t>总金额为2</w:t>
      </w:r>
      <w:r>
        <w:rPr>
          <w:rFonts w:hint="eastAsia" w:ascii="Times New Roman" w:hAnsi="Times New Roman" w:eastAsia="方正仿宋_GBK" w:cs="Times New Roman"/>
          <w:sz w:val="32"/>
          <w:szCs w:val="32"/>
          <w:highlight w:val="none"/>
          <w:lang w:val="en-US" w:eastAsia="zh-CN"/>
        </w:rPr>
        <w:t>61.94</w:t>
      </w:r>
      <w:r>
        <w:rPr>
          <w:rFonts w:hint="default" w:ascii="Times New Roman" w:hAnsi="Times New Roman" w:eastAsia="方正仿宋_GBK" w:cs="Times New Roman"/>
          <w:sz w:val="32"/>
          <w:szCs w:val="32"/>
          <w:highlight w:val="none"/>
          <w:lang w:val="en-US" w:eastAsia="zh-CN"/>
        </w:rPr>
        <w:t>万元</w:t>
      </w:r>
      <w:r>
        <w:rPr>
          <w:rFonts w:hint="default" w:ascii="Times New Roman" w:hAnsi="Times New Roman" w:eastAsia="方正仿宋_GBK" w:cs="Times New Roman"/>
          <w:sz w:val="32"/>
          <w:szCs w:val="32"/>
          <w:highlight w:val="none"/>
          <w:lang w:val="zh-CN" w:eastAsia="zh-CN"/>
        </w:rPr>
        <w:t>，预算执行</w:t>
      </w:r>
      <w:r>
        <w:rPr>
          <w:rFonts w:hint="default" w:ascii="Times New Roman" w:hAnsi="Times New Roman" w:eastAsia="方正仿宋_GBK" w:cs="Times New Roman"/>
          <w:sz w:val="32"/>
          <w:szCs w:val="32"/>
          <w:highlight w:val="none"/>
          <w:lang w:val="en-US" w:eastAsia="zh-CN"/>
        </w:rPr>
        <w:t>总体</w:t>
      </w:r>
      <w:r>
        <w:rPr>
          <w:rFonts w:hint="default" w:ascii="Times New Roman" w:hAnsi="Times New Roman" w:eastAsia="方正仿宋_GBK" w:cs="Times New Roman"/>
          <w:sz w:val="32"/>
          <w:szCs w:val="32"/>
          <w:highlight w:val="none"/>
          <w:lang w:val="zh-CN" w:eastAsia="zh-CN"/>
        </w:rPr>
        <w:t>进度为</w:t>
      </w:r>
      <w:r>
        <w:rPr>
          <w:rFonts w:hint="eastAsia" w:ascii="Times New Roman" w:hAnsi="Times New Roman" w:eastAsia="方正仿宋_GBK" w:cs="Times New Roman"/>
          <w:sz w:val="32"/>
          <w:szCs w:val="32"/>
          <w:highlight w:val="none"/>
          <w:lang w:val="en-US" w:eastAsia="zh-CN"/>
        </w:rPr>
        <w:t>86.45</w:t>
      </w:r>
      <w:r>
        <w:rPr>
          <w:rFonts w:hint="default" w:ascii="Times New Roman" w:hAnsi="Times New Roman" w:eastAsia="方正仿宋_GBK" w:cs="Times New Roman"/>
          <w:sz w:val="32"/>
          <w:szCs w:val="32"/>
          <w:highlight w:val="none"/>
          <w:lang w:val="zh-CN" w:eastAsia="zh-CN"/>
        </w:rPr>
        <w:t>%，其中：预算结余率大于</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lang w:val="zh-CN" w:eastAsia="zh-CN"/>
        </w:rPr>
        <w:t>的项目共计</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zh-CN" w:eastAsia="zh-CN"/>
        </w:rPr>
        <w:t>个</w:t>
      </w:r>
      <w:r>
        <w:rPr>
          <w:rFonts w:hint="default" w:ascii="Times New Roman" w:hAnsi="Times New Roman" w:eastAsia="方正仿宋_GBK" w:cs="Times New Roman"/>
          <w:sz w:val="32"/>
          <w:szCs w:val="32"/>
          <w:highlight w:val="none"/>
          <w:lang w:val="en-US" w:eastAsia="zh-CN"/>
        </w:rPr>
        <w:t>。</w:t>
      </w:r>
    </w:p>
    <w:p w14:paraId="13D5B30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阶段（一次性）项目绩效分析。</w:t>
      </w:r>
      <w:r>
        <w:rPr>
          <w:rFonts w:hint="default" w:ascii="Times New Roman" w:hAnsi="Times New Roman" w:eastAsia="方正仿宋_GBK" w:cs="Times New Roman"/>
          <w:sz w:val="32"/>
          <w:szCs w:val="32"/>
          <w:highlight w:val="none"/>
          <w:lang w:val="zh-CN" w:eastAsia="zh-CN"/>
        </w:rPr>
        <w:t>该类项目总数</w:t>
      </w: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个，涉及预算总金额</w:t>
      </w:r>
      <w:r>
        <w:rPr>
          <w:rFonts w:hint="eastAsia" w:ascii="Times New Roman" w:hAnsi="Times New Roman" w:eastAsia="方正仿宋_GBK" w:cs="Times New Roman"/>
          <w:sz w:val="32"/>
          <w:szCs w:val="32"/>
          <w:highlight w:val="none"/>
          <w:lang w:val="en-US" w:eastAsia="zh-CN"/>
        </w:rPr>
        <w:t>128.99</w:t>
      </w:r>
      <w:r>
        <w:rPr>
          <w:rFonts w:hint="default" w:ascii="Times New Roman" w:hAnsi="Times New Roman" w:eastAsia="方正仿宋_GBK" w:cs="Times New Roman"/>
          <w:sz w:val="32"/>
          <w:szCs w:val="32"/>
          <w:highlight w:val="none"/>
          <w:lang w:val="zh-CN" w:eastAsia="zh-CN"/>
        </w:rPr>
        <w:t>万元，1—1</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月预算执行</w:t>
      </w:r>
      <w:r>
        <w:rPr>
          <w:rFonts w:hint="default" w:ascii="Times New Roman" w:hAnsi="Times New Roman" w:eastAsia="方正仿宋_GBK" w:cs="Times New Roman"/>
          <w:sz w:val="32"/>
          <w:szCs w:val="32"/>
          <w:highlight w:val="none"/>
          <w:lang w:val="en-US" w:eastAsia="zh-CN"/>
        </w:rPr>
        <w:t>总金额为</w:t>
      </w:r>
      <w:r>
        <w:rPr>
          <w:rFonts w:hint="eastAsia" w:ascii="Times New Roman" w:hAnsi="Times New Roman" w:eastAsia="方正仿宋_GBK" w:cs="Times New Roman"/>
          <w:sz w:val="32"/>
          <w:szCs w:val="32"/>
          <w:highlight w:val="none"/>
          <w:lang w:val="en-US" w:eastAsia="zh-CN"/>
        </w:rPr>
        <w:t>105.95</w:t>
      </w:r>
      <w:r>
        <w:rPr>
          <w:rFonts w:hint="default" w:ascii="Times New Roman" w:hAnsi="Times New Roman" w:eastAsia="方正仿宋_GBK" w:cs="Times New Roman"/>
          <w:sz w:val="32"/>
          <w:szCs w:val="32"/>
          <w:highlight w:val="none"/>
          <w:lang w:val="en-US" w:eastAsia="zh-CN"/>
        </w:rPr>
        <w:t>万元</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zh-CN" w:eastAsia="zh-CN"/>
        </w:rPr>
        <w:t>预算执行总体进度为</w:t>
      </w:r>
      <w:r>
        <w:rPr>
          <w:rFonts w:hint="eastAsia" w:ascii="Times New Roman" w:hAnsi="Times New Roman" w:eastAsia="方正仿宋_GBK" w:cs="Times New Roman"/>
          <w:sz w:val="32"/>
          <w:szCs w:val="32"/>
          <w:highlight w:val="none"/>
          <w:lang w:val="en-US" w:eastAsia="zh-CN"/>
        </w:rPr>
        <w:t>82.14</w:t>
      </w:r>
      <w:r>
        <w:rPr>
          <w:rFonts w:hint="default" w:ascii="Times New Roman" w:hAnsi="Times New Roman" w:eastAsia="方正仿宋_GBK" w:cs="Times New Roman"/>
          <w:sz w:val="32"/>
          <w:szCs w:val="32"/>
          <w:highlight w:val="none"/>
          <w:lang w:val="zh-CN" w:eastAsia="zh-CN"/>
        </w:rPr>
        <w:t>%，其中：预算结余率大于</w:t>
      </w:r>
      <w:r>
        <w:rPr>
          <w:rFonts w:hint="default" w:ascii="Times New Roman" w:hAnsi="Times New Roman"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lang w:val="zh-CN" w:eastAsia="zh-CN"/>
        </w:rPr>
        <w:t>的项目共计</w:t>
      </w:r>
      <w:r>
        <w:rPr>
          <w:rFonts w:hint="eastAsia"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个。</w:t>
      </w:r>
    </w:p>
    <w:p w14:paraId="4CC7F9E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项目决策。</w:t>
      </w:r>
    </w:p>
    <w:p w14:paraId="0DEA817A">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）决策程序</w:t>
      </w:r>
    </w:p>
    <w:p w14:paraId="3A5B5B4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根据阿坝州事前绩效评估相关要求，</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年我委需履行事前评估程序的部门预算阶段项目（含一次性项目）共有</w:t>
      </w:r>
      <w:r>
        <w:rPr>
          <w:rFonts w:hint="default"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zh-CN" w:eastAsia="zh-CN"/>
        </w:rPr>
        <w:t>个，项目设立均严格按规定履行评估论证、申报程序，开展了项目事前绩效评估，项目立项依据充分，决策程序规范。</w:t>
      </w:r>
    </w:p>
    <w:p w14:paraId="37CA8AD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w:t>
      </w:r>
      <w:r>
        <w:rPr>
          <w:rFonts w:hint="default" w:ascii="Times New Roman" w:hAnsi="Times New Roman" w:eastAsia="方正仿宋_GBK" w:cs="Times New Roman"/>
          <w:sz w:val="32"/>
          <w:szCs w:val="32"/>
          <w:highlight w:val="none"/>
          <w:lang w:val="zh-CN" w:eastAsia="zh-CN"/>
        </w:rPr>
        <w:t>根据评分标准，该项指标扣</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zh-CN" w:eastAsia="zh-CN"/>
        </w:rPr>
        <w:t>分，得4分。</w:t>
      </w:r>
    </w:p>
    <w:p w14:paraId="2B29B74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（2）目标设置</w:t>
      </w:r>
    </w:p>
    <w:p w14:paraId="36956D2F">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w:t>
      </w:r>
      <w:r>
        <w:rPr>
          <w:rFonts w:hint="default" w:ascii="Times New Roman" w:hAnsi="Times New Roman" w:eastAsia="方正仿宋_GBK" w:cs="Times New Roman"/>
          <w:sz w:val="32"/>
          <w:szCs w:val="32"/>
          <w:highlight w:val="none"/>
          <w:lang w:val="zh-CN" w:eastAsia="zh-CN"/>
        </w:rPr>
        <w:t>开展绩效目标管理的</w:t>
      </w:r>
      <w:r>
        <w:rPr>
          <w:rFonts w:hint="default" w:ascii="Times New Roman" w:hAnsi="Times New Roman" w:eastAsia="方正仿宋_GBK" w:cs="Times New Roman"/>
          <w:sz w:val="32"/>
          <w:szCs w:val="32"/>
          <w:highlight w:val="none"/>
          <w:lang w:val="en-US" w:eastAsia="zh-CN"/>
        </w:rPr>
        <w:t>部门预算阶段项目（含一次性项目）共有</w:t>
      </w:r>
      <w:r>
        <w:rPr>
          <w:rFonts w:hint="eastAsia"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lang w:val="en-US" w:eastAsia="zh-CN"/>
        </w:rPr>
        <w:t>个</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为充分发挥绩效目标引领作用，</w:t>
      </w:r>
      <w:r>
        <w:rPr>
          <w:rFonts w:hint="default" w:ascii="Times New Roman" w:hAnsi="Times New Roman" w:eastAsia="方正仿宋_GBK" w:cs="Times New Roman"/>
          <w:sz w:val="32"/>
          <w:szCs w:val="32"/>
          <w:highlight w:val="none"/>
          <w:lang w:val="zh-CN" w:eastAsia="zh-CN"/>
        </w:rPr>
        <w:t>我委</w:t>
      </w:r>
      <w:r>
        <w:rPr>
          <w:rFonts w:hint="default" w:ascii="Times New Roman" w:hAnsi="Times New Roman" w:eastAsia="方正仿宋_GBK" w:cs="Times New Roman"/>
          <w:sz w:val="32"/>
          <w:szCs w:val="32"/>
          <w:highlight w:val="none"/>
          <w:lang w:val="en-US" w:eastAsia="zh-CN"/>
        </w:rPr>
        <w:t>贯彻落实《中共四川省委办公厅四川省人民政府办公厅关于深入实施预算绩效管理的通知》（川委厅〔2021〕5号）文件精神，根据项目实施计划等资料，及时按照指向明确、细化量化、合理可行、相应匹配的要求设定绩效目标，按照高度关联、重点突出、量化易评的要求设置绩效指标，合理确定指标值，全面反映产出、效益和成本等绩效信息，项目绩效目标设置科学合理、规范完整、量化细化、预算匹配。</w:t>
      </w:r>
    </w:p>
    <w:p w14:paraId="7FDA390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综上，根据评分标准，该项指标扣0分，得4分。</w:t>
      </w:r>
    </w:p>
    <w:p w14:paraId="3E42AC2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（3）项目入库</w:t>
      </w:r>
    </w:p>
    <w:p w14:paraId="3528DCB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年我委需在</w:t>
      </w:r>
      <w:r>
        <w:rPr>
          <w:rFonts w:hint="default" w:ascii="Times New Roman" w:hAnsi="Times New Roman" w:eastAsia="方正仿宋_GBK" w:cs="Times New Roman"/>
          <w:sz w:val="32"/>
          <w:szCs w:val="32"/>
          <w:highlight w:val="none"/>
          <w:lang w:val="en-US" w:eastAsia="zh-CN"/>
        </w:rPr>
        <w:t>规定时间内进行入库的</w:t>
      </w:r>
      <w:r>
        <w:rPr>
          <w:rFonts w:hint="default" w:ascii="Times New Roman" w:hAnsi="Times New Roman" w:eastAsia="方正仿宋_GBK" w:cs="Times New Roman"/>
          <w:sz w:val="32"/>
          <w:szCs w:val="32"/>
          <w:highlight w:val="none"/>
          <w:lang w:val="zh-CN" w:eastAsia="zh-CN"/>
        </w:rPr>
        <w:t>项目共有</w:t>
      </w:r>
      <w:r>
        <w:rPr>
          <w:rFonts w:hint="eastAsia"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lang w:val="en-US" w:eastAsia="zh-CN"/>
        </w:rPr>
        <w:t>个</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均在规定时间内完成了项目入库。</w:t>
      </w:r>
    </w:p>
    <w:p w14:paraId="082D428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综上，根据评分标准，该项指标扣0分，得4分。</w:t>
      </w:r>
    </w:p>
    <w:p w14:paraId="7D327D5F">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2.项目执行</w:t>
      </w:r>
      <w:r>
        <w:rPr>
          <w:rFonts w:hint="default" w:ascii="Times New Roman" w:hAnsi="Times New Roman" w:eastAsia="方正仿宋_GBK" w:cs="Times New Roman"/>
          <w:sz w:val="32"/>
          <w:szCs w:val="32"/>
          <w:highlight w:val="none"/>
          <w:lang w:val="zh-CN" w:eastAsia="zh-CN"/>
        </w:rPr>
        <w:t>。</w:t>
      </w:r>
    </w:p>
    <w:p w14:paraId="0C33864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）执行同向</w:t>
      </w:r>
    </w:p>
    <w:p w14:paraId="5693838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我委严格按照部门预算项目批复内容实施项目，项目资金使用符合预算批复用途，与项目绩效目标设置方向相符，没有相悖或不合理之处。</w:t>
      </w:r>
    </w:p>
    <w:p w14:paraId="68D5A2E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w:t>
      </w:r>
      <w:r>
        <w:rPr>
          <w:rFonts w:hint="default" w:ascii="Times New Roman" w:hAnsi="Times New Roman" w:eastAsia="方正仿宋_GBK" w:cs="Times New Roman"/>
          <w:sz w:val="32"/>
          <w:szCs w:val="32"/>
          <w:highlight w:val="none"/>
          <w:lang w:val="zh-CN" w:eastAsia="zh-CN"/>
        </w:rPr>
        <w:t>根据评分标准，该项指标扣</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zh-CN" w:eastAsia="zh-CN"/>
        </w:rPr>
        <w:t>分，得4分。</w:t>
      </w:r>
    </w:p>
    <w:p w14:paraId="5CAB7B2B">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）项目调整</w:t>
      </w:r>
    </w:p>
    <w:p w14:paraId="38D0DE6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年我委年初设置的部门预算项目绩效目标科学合理，与实际情况相符，项目实施过程规范有序，预算执行与绩效目标无偏差，故不涉及收回预算、调整目标等处置措施。</w:t>
      </w:r>
    </w:p>
    <w:p w14:paraId="1B07294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w:t>
      </w:r>
      <w:r>
        <w:rPr>
          <w:rFonts w:hint="default" w:ascii="Times New Roman" w:hAnsi="Times New Roman" w:eastAsia="方正仿宋_GBK" w:cs="Times New Roman"/>
          <w:sz w:val="32"/>
          <w:szCs w:val="32"/>
          <w:highlight w:val="none"/>
          <w:lang w:val="zh-CN" w:eastAsia="zh-CN"/>
        </w:rPr>
        <w:t>根据评分标准，该项指标扣</w:t>
      </w:r>
      <w:r>
        <w:rPr>
          <w:rFonts w:hint="default"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zh-CN" w:eastAsia="zh-CN"/>
        </w:rPr>
        <w:t>分，得4分。</w:t>
      </w:r>
    </w:p>
    <w:p w14:paraId="31516FE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）执行结果</w:t>
      </w:r>
    </w:p>
    <w:p w14:paraId="7C88BD9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w:t>
      </w:r>
      <w:r>
        <w:rPr>
          <w:rFonts w:hint="default" w:ascii="Times New Roman" w:hAnsi="Times New Roman" w:eastAsia="方正仿宋_GBK" w:cs="Times New Roman"/>
          <w:sz w:val="32"/>
          <w:szCs w:val="32"/>
          <w:highlight w:val="none"/>
          <w:lang w:val="zh-CN" w:eastAsia="zh-CN"/>
        </w:rPr>
        <w:t>常年项目</w:t>
      </w:r>
      <w:r>
        <w:rPr>
          <w:rFonts w:hint="default" w:ascii="Times New Roman" w:hAnsi="Times New Roman" w:eastAsia="方正仿宋_GBK" w:cs="Times New Roman"/>
          <w:sz w:val="32"/>
          <w:szCs w:val="32"/>
          <w:highlight w:val="none"/>
          <w:lang w:val="en-US" w:eastAsia="zh-CN"/>
        </w:rPr>
        <w:t>共计13</w:t>
      </w:r>
      <w:r>
        <w:rPr>
          <w:rFonts w:hint="default" w:ascii="Times New Roman" w:hAnsi="Times New Roman" w:eastAsia="方正仿宋_GBK" w:cs="Times New Roman"/>
          <w:sz w:val="32"/>
          <w:szCs w:val="32"/>
          <w:highlight w:val="none"/>
          <w:lang w:val="zh-CN" w:eastAsia="zh-CN"/>
        </w:rPr>
        <w:t>个，其中预算结余率</w:t>
      </w:r>
      <w:r>
        <w:rPr>
          <w:rFonts w:hint="default" w:ascii="Times New Roman" w:hAnsi="Times New Roman" w:eastAsia="方正仿宋_GBK" w:cs="Times New Roman"/>
          <w:sz w:val="32"/>
          <w:szCs w:val="32"/>
          <w:highlight w:val="none"/>
          <w:lang w:val="en-US" w:eastAsia="zh-CN"/>
        </w:rPr>
        <w:t>小</w:t>
      </w:r>
      <w:r>
        <w:rPr>
          <w:rFonts w:hint="default" w:ascii="Times New Roman" w:hAnsi="Times New Roman" w:eastAsia="方正仿宋_GBK" w:cs="Times New Roman"/>
          <w:sz w:val="32"/>
          <w:szCs w:val="32"/>
          <w:highlight w:val="none"/>
          <w:lang w:val="zh-CN" w:eastAsia="zh-CN"/>
        </w:rPr>
        <w:t>于10%的项目共计</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zh-CN" w:eastAsia="zh-CN"/>
        </w:rPr>
        <w:t>个；阶段（一次性）项目</w:t>
      </w:r>
      <w:r>
        <w:rPr>
          <w:rFonts w:hint="default" w:ascii="Times New Roman" w:hAnsi="Times New Roman" w:eastAsia="方正仿宋_GBK" w:cs="Times New Roman"/>
          <w:sz w:val="32"/>
          <w:szCs w:val="32"/>
          <w:highlight w:val="none"/>
          <w:lang w:val="en-US" w:eastAsia="zh-CN"/>
        </w:rPr>
        <w:t>共计</w:t>
      </w: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个，其中预算结余率</w:t>
      </w:r>
      <w:r>
        <w:rPr>
          <w:rFonts w:hint="default" w:ascii="Times New Roman" w:hAnsi="Times New Roman" w:eastAsia="方正仿宋_GBK" w:cs="Times New Roman"/>
          <w:sz w:val="32"/>
          <w:szCs w:val="32"/>
          <w:highlight w:val="none"/>
          <w:lang w:val="en-US" w:eastAsia="zh-CN"/>
        </w:rPr>
        <w:t>小</w:t>
      </w:r>
      <w:r>
        <w:rPr>
          <w:rFonts w:hint="default" w:ascii="Times New Roman" w:hAnsi="Times New Roman" w:eastAsia="方正仿宋_GBK" w:cs="Times New Roman"/>
          <w:sz w:val="32"/>
          <w:szCs w:val="32"/>
          <w:highlight w:val="none"/>
          <w:lang w:val="zh-CN" w:eastAsia="zh-CN"/>
        </w:rPr>
        <w:t>于10%的项目共计</w:t>
      </w:r>
      <w:r>
        <w:rPr>
          <w:rFonts w:hint="eastAsia"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个。该项指标得分=预算结余率小于10%的常年项目数量</w:t>
      </w:r>
      <w:r>
        <w:rPr>
          <w:rFonts w:hint="eastAsia"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zh-CN" w:eastAsia="zh-CN"/>
        </w:rPr>
        <w:t>部门预算常年项目总数×100%×2+预算结余率小于10%的一次性项目和阶段项目数量</w:t>
      </w:r>
      <w:r>
        <w:rPr>
          <w:rFonts w:hint="eastAsia"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zh-CN" w:eastAsia="zh-CN"/>
        </w:rPr>
        <w:t>部门预算一次性项目和阶段项目总数×100%×2</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/13</w:t>
      </w:r>
      <w:r>
        <w:rPr>
          <w:rFonts w:hint="default" w:ascii="Times New Roman" w:hAnsi="Times New Roman" w:eastAsia="方正仿宋_GBK" w:cs="Times New Roman"/>
          <w:sz w:val="32"/>
          <w:szCs w:val="32"/>
          <w:highlight w:val="none"/>
          <w:lang w:val="zh-CN" w:eastAsia="zh-CN"/>
        </w:rPr>
        <w:t>×100%×2</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×100%×2</w:t>
      </w:r>
      <w:r>
        <w:rPr>
          <w:rFonts w:hint="default"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lang w:val="en-US" w:eastAsia="zh-CN"/>
        </w:rPr>
        <w:t>59分。</w:t>
      </w:r>
    </w:p>
    <w:p w14:paraId="36F6CBE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w:t>
      </w:r>
      <w:r>
        <w:rPr>
          <w:rFonts w:hint="default" w:ascii="Times New Roman" w:hAnsi="Times New Roman" w:eastAsia="方正仿宋_GBK" w:cs="Times New Roman"/>
          <w:sz w:val="32"/>
          <w:szCs w:val="32"/>
          <w:highlight w:val="none"/>
          <w:lang w:val="zh-CN" w:eastAsia="zh-CN"/>
        </w:rPr>
        <w:t>根据评分标准，该项指标扣</w:t>
      </w:r>
      <w:r>
        <w:rPr>
          <w:rFonts w:hint="default"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highlight w:val="none"/>
          <w:lang w:val="en-US" w:eastAsia="zh-CN"/>
        </w:rPr>
        <w:t>41</w:t>
      </w:r>
      <w:r>
        <w:rPr>
          <w:rFonts w:hint="default" w:ascii="Times New Roman" w:hAnsi="Times New Roman" w:eastAsia="方正仿宋_GBK" w:cs="Times New Roman"/>
          <w:sz w:val="32"/>
          <w:szCs w:val="32"/>
          <w:highlight w:val="none"/>
          <w:lang w:val="zh-CN" w:eastAsia="zh-CN"/>
        </w:rPr>
        <w:t>分，得</w:t>
      </w:r>
      <w:r>
        <w:rPr>
          <w:rFonts w:hint="default"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lang w:val="en-US" w:eastAsia="zh-CN"/>
        </w:rPr>
        <w:t>59</w:t>
      </w:r>
      <w:r>
        <w:rPr>
          <w:rFonts w:hint="default" w:ascii="Times New Roman" w:hAnsi="Times New Roman" w:eastAsia="方正仿宋_GBK" w:cs="Times New Roman"/>
          <w:sz w:val="32"/>
          <w:szCs w:val="32"/>
          <w:highlight w:val="none"/>
          <w:lang w:val="zh-CN" w:eastAsia="zh-CN"/>
        </w:rPr>
        <w:t>分。</w:t>
      </w:r>
    </w:p>
    <w:p w14:paraId="4F1AD53A">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目标实现。</w:t>
      </w:r>
    </w:p>
    <w:p w14:paraId="5D676B1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zh-CN" w:eastAsia="zh-CN"/>
        </w:rPr>
        <w:t>我委</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年度不涉及国有资本经营预算、社会保险基金预算。部门预算项目实现情况如下：</w:t>
      </w:r>
    </w:p>
    <w:p w14:paraId="4447AC1D">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）目标完成</w:t>
      </w:r>
    </w:p>
    <w:p w14:paraId="13693B7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年部门预算阶段项目（含一次性项目）共有</w:t>
      </w:r>
      <w:r>
        <w:rPr>
          <w:rFonts w:hint="eastAsia"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lang w:val="en-US" w:eastAsia="zh-CN"/>
        </w:rPr>
        <w:t>个</w:t>
      </w: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我委对照预期设定的绩效目标实施项目，</w:t>
      </w:r>
      <w:r>
        <w:rPr>
          <w:rFonts w:hint="eastAsia" w:ascii="Times New Roman" w:hAnsi="Times New Roman" w:eastAsia="方正仿宋_GBK" w:cs="Times New Roman"/>
          <w:sz w:val="32"/>
          <w:szCs w:val="32"/>
          <w:highlight w:val="none"/>
          <w:lang w:val="en-US" w:eastAsia="zh-CN"/>
        </w:rPr>
        <w:t>有7个</w:t>
      </w:r>
      <w:r>
        <w:rPr>
          <w:rFonts w:hint="default" w:ascii="Times New Roman" w:hAnsi="Times New Roman" w:eastAsia="方正仿宋_GBK" w:cs="Times New Roman"/>
          <w:sz w:val="32"/>
          <w:szCs w:val="32"/>
          <w:highlight w:val="none"/>
          <w:lang w:val="en-US" w:eastAsia="zh-CN"/>
        </w:rPr>
        <w:t>项目数量指标完成</w:t>
      </w:r>
      <w:r>
        <w:rPr>
          <w:rFonts w:hint="eastAsia" w:ascii="Times New Roman" w:hAnsi="Times New Roman" w:eastAsia="方正仿宋_GBK" w:cs="Times New Roman"/>
          <w:sz w:val="32"/>
          <w:szCs w:val="32"/>
          <w:highlight w:val="none"/>
          <w:lang w:val="en-US" w:eastAsia="zh-CN"/>
        </w:rPr>
        <w:t>情况一般</w:t>
      </w:r>
      <w:r>
        <w:rPr>
          <w:rFonts w:hint="default" w:ascii="Times New Roman" w:hAnsi="Times New Roman" w:eastAsia="方正仿宋_GBK" w:cs="Times New Roman"/>
          <w:sz w:val="32"/>
          <w:szCs w:val="32"/>
          <w:highlight w:val="none"/>
          <w:lang w:val="en-US" w:eastAsia="zh-CN"/>
        </w:rPr>
        <w:t>。该项指标得分=完成绩效目标数量指标的部门预算阶段项目（含一次性项目）数量÷部门预算阶段项目（含一次性项目）总数×100%×4</w:t>
      </w:r>
      <w:r>
        <w:rPr>
          <w:rFonts w:hint="eastAsia" w:ascii="Times New Roman" w:hAnsi="Times New Roman" w:eastAsia="方正仿宋_GBK" w:cs="Times New Roman"/>
          <w:sz w:val="32"/>
          <w:szCs w:val="32"/>
          <w:highlight w:val="none"/>
          <w:lang w:val="en-US" w:eastAsia="zh-CN"/>
        </w:rPr>
        <w:t>=9/16</w:t>
      </w:r>
      <w:r>
        <w:rPr>
          <w:rFonts w:hint="default" w:ascii="Times New Roman" w:hAnsi="Times New Roman" w:eastAsia="方正仿宋_GBK" w:cs="Times New Roman"/>
          <w:sz w:val="32"/>
          <w:szCs w:val="32"/>
          <w:highlight w:val="none"/>
          <w:lang w:val="en-US" w:eastAsia="zh-CN"/>
        </w:rPr>
        <w:t>×100%×4</w:t>
      </w:r>
      <w:r>
        <w:rPr>
          <w:rFonts w:hint="eastAsia" w:ascii="Times New Roman" w:hAnsi="Times New Roman" w:eastAsia="方正仿宋_GBK" w:cs="Times New Roman"/>
          <w:sz w:val="32"/>
          <w:szCs w:val="32"/>
          <w:highlight w:val="none"/>
          <w:lang w:val="en-US" w:eastAsia="zh-CN"/>
        </w:rPr>
        <w:t>=2.25分。</w:t>
      </w:r>
    </w:p>
    <w:p w14:paraId="6D9A663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w:t>
      </w:r>
      <w:r>
        <w:rPr>
          <w:rFonts w:hint="default" w:ascii="Times New Roman" w:hAnsi="Times New Roman" w:eastAsia="方正仿宋_GBK" w:cs="Times New Roman"/>
          <w:sz w:val="32"/>
          <w:szCs w:val="32"/>
          <w:highlight w:val="none"/>
          <w:lang w:val="zh-CN" w:eastAsia="zh-CN"/>
        </w:rPr>
        <w:t>根据评分标准，该项指标扣</w:t>
      </w:r>
      <w:r>
        <w:rPr>
          <w:rFonts w:hint="eastAsia" w:ascii="Times New Roman" w:hAnsi="Times New Roman" w:eastAsia="方正仿宋_GBK" w:cs="Times New Roman"/>
          <w:sz w:val="32"/>
          <w:szCs w:val="32"/>
          <w:highlight w:val="none"/>
          <w:lang w:val="en-US" w:eastAsia="zh-CN"/>
        </w:rPr>
        <w:t>1.75</w:t>
      </w:r>
      <w:r>
        <w:rPr>
          <w:rFonts w:hint="default" w:ascii="Times New Roman" w:hAnsi="Times New Roman" w:eastAsia="方正仿宋_GBK" w:cs="Times New Roman"/>
          <w:sz w:val="32"/>
          <w:szCs w:val="32"/>
          <w:highlight w:val="none"/>
          <w:lang w:val="zh-CN" w:eastAsia="zh-CN"/>
        </w:rPr>
        <w:t>分，得</w:t>
      </w:r>
      <w:r>
        <w:rPr>
          <w:rFonts w:hint="eastAsia" w:ascii="Times New Roman" w:hAnsi="Times New Roman" w:eastAsia="方正仿宋_GBK" w:cs="Times New Roman"/>
          <w:sz w:val="32"/>
          <w:szCs w:val="32"/>
          <w:highlight w:val="none"/>
          <w:lang w:val="en-US" w:eastAsia="zh-CN"/>
        </w:rPr>
        <w:t>2.25</w:t>
      </w:r>
      <w:r>
        <w:rPr>
          <w:rFonts w:hint="default" w:ascii="Times New Roman" w:hAnsi="Times New Roman" w:eastAsia="方正仿宋_GBK" w:cs="Times New Roman"/>
          <w:sz w:val="32"/>
          <w:szCs w:val="32"/>
          <w:highlight w:val="none"/>
          <w:lang w:val="zh-CN" w:eastAsia="zh-CN"/>
        </w:rPr>
        <w:t>分。</w:t>
      </w:r>
    </w:p>
    <w:p w14:paraId="550AE15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）目标偏离</w:t>
      </w:r>
    </w:p>
    <w:p w14:paraId="1587F3F8">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年我委部门预算阶段项目（含一次性项目）共有</w:t>
      </w:r>
      <w:r>
        <w:rPr>
          <w:rFonts w:hint="eastAsia"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lang w:val="en-US" w:eastAsia="zh-CN"/>
        </w:rPr>
        <w:t>个</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lang w:val="en-US" w:eastAsia="zh-CN"/>
        </w:rPr>
        <w:t>项目数量指标的完成值与设定预期指标值的偏离度均在30%以内</w:t>
      </w:r>
      <w:r>
        <w:rPr>
          <w:rFonts w:hint="eastAsia" w:ascii="Times New Roman" w:hAnsi="Times New Roman" w:eastAsia="方正仿宋_GBK" w:cs="Times New Roman"/>
          <w:sz w:val="32"/>
          <w:szCs w:val="32"/>
          <w:highlight w:val="none"/>
          <w:lang w:val="en-US" w:eastAsia="zh-CN"/>
        </w:rPr>
        <w:t>，7个未支付完毕未达到预期</w:t>
      </w:r>
      <w:r>
        <w:rPr>
          <w:rFonts w:hint="default" w:ascii="Times New Roman" w:hAnsi="Times New Roman" w:eastAsia="方正仿宋_GBK" w:cs="Times New Roman"/>
          <w:sz w:val="32"/>
          <w:szCs w:val="32"/>
          <w:highlight w:val="none"/>
          <w:lang w:val="en-US" w:eastAsia="zh-CN"/>
        </w:rPr>
        <w:t>。</w:t>
      </w:r>
    </w:p>
    <w:p w14:paraId="4C20ECB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综上，根据评分标准，该项指标扣</w:t>
      </w:r>
      <w:r>
        <w:rPr>
          <w:rFonts w:hint="eastAsia"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分，得</w:t>
      </w:r>
      <w:r>
        <w:rPr>
          <w:rFonts w:hint="eastAsia" w:ascii="Times New Roman" w:hAnsi="Times New Roman" w:eastAsia="方正仿宋_GBK" w:cs="Times New Roman"/>
          <w:sz w:val="32"/>
          <w:szCs w:val="32"/>
          <w:highlight w:val="none"/>
          <w:lang w:val="en-US" w:eastAsia="zh-CN"/>
        </w:rPr>
        <w:t>0</w:t>
      </w:r>
      <w:r>
        <w:rPr>
          <w:rFonts w:hint="default" w:ascii="Times New Roman" w:hAnsi="Times New Roman" w:eastAsia="方正仿宋_GBK" w:cs="Times New Roman"/>
          <w:sz w:val="32"/>
          <w:szCs w:val="32"/>
          <w:highlight w:val="none"/>
          <w:lang w:val="en-US" w:eastAsia="zh-CN"/>
        </w:rPr>
        <w:t>分。</w:t>
      </w:r>
    </w:p>
    <w:p w14:paraId="39E7561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highlight w:val="none"/>
          <w:lang w:val="zh-CN" w:eastAsia="zh-CN"/>
        </w:rPr>
        <w:t>）实现效果</w:t>
      </w:r>
    </w:p>
    <w:p w14:paraId="3BEEAA03">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年我委需进行绩效目标管理的部门预算阶段项目共有</w:t>
      </w:r>
      <w:r>
        <w:rPr>
          <w:rFonts w:hint="eastAsia" w:ascii="Times New Roman" w:hAnsi="Times New Roman" w:eastAsia="方正仿宋_GBK" w:cs="Times New Roman"/>
          <w:sz w:val="32"/>
          <w:szCs w:val="32"/>
          <w:highlight w:val="none"/>
          <w:lang w:val="en-US" w:eastAsia="zh-CN"/>
        </w:rPr>
        <w:t>16</w:t>
      </w:r>
      <w:r>
        <w:rPr>
          <w:rFonts w:hint="default" w:ascii="Times New Roman" w:hAnsi="Times New Roman" w:eastAsia="方正仿宋_GBK" w:cs="Times New Roman"/>
          <w:sz w:val="32"/>
          <w:szCs w:val="32"/>
          <w:highlight w:val="none"/>
          <w:lang w:val="en-US" w:eastAsia="zh-CN"/>
        </w:rPr>
        <w:t>个</w:t>
      </w:r>
      <w:r>
        <w:rPr>
          <w:rFonts w:hint="default" w:ascii="Times New Roman" w:hAnsi="Times New Roman" w:eastAsia="方正仿宋_GBK" w:cs="Times New Roman"/>
          <w:sz w:val="32"/>
          <w:szCs w:val="32"/>
          <w:highlight w:val="none"/>
          <w:lang w:val="zh-CN" w:eastAsia="zh-CN"/>
        </w:rPr>
        <w:t>，</w:t>
      </w:r>
      <w:r>
        <w:rPr>
          <w:rFonts w:hint="eastAsia" w:ascii="Times New Roman" w:hAnsi="Times New Roman" w:eastAsia="方正仿宋_GBK" w:cs="Times New Roman"/>
          <w:sz w:val="32"/>
          <w:szCs w:val="32"/>
          <w:highlight w:val="none"/>
          <w:lang w:val="en-US" w:eastAsia="zh-CN"/>
        </w:rPr>
        <w:t>9个</w:t>
      </w:r>
      <w:r>
        <w:rPr>
          <w:rFonts w:hint="default" w:ascii="Times New Roman" w:hAnsi="Times New Roman" w:eastAsia="方正仿宋_GBK" w:cs="Times New Roman"/>
          <w:sz w:val="32"/>
          <w:szCs w:val="32"/>
          <w:highlight w:val="none"/>
          <w:lang w:val="en-US" w:eastAsia="zh-CN"/>
        </w:rPr>
        <w:t>项目实施情况良好，预期效益指标均已完成</w:t>
      </w:r>
      <w:r>
        <w:rPr>
          <w:rFonts w:hint="eastAsia" w:ascii="Times New Roman" w:hAnsi="Times New Roman" w:eastAsia="方正仿宋_GBK" w:cs="Times New Roman"/>
          <w:sz w:val="32"/>
          <w:szCs w:val="32"/>
          <w:highlight w:val="none"/>
          <w:lang w:val="en-US" w:eastAsia="zh-CN"/>
        </w:rPr>
        <w:t>，7个</w:t>
      </w:r>
      <w:r>
        <w:rPr>
          <w:rFonts w:hint="default" w:ascii="Times New Roman" w:hAnsi="Times New Roman" w:eastAsia="方正仿宋_GBK" w:cs="Times New Roman"/>
          <w:sz w:val="32"/>
          <w:szCs w:val="32"/>
          <w:highlight w:val="none"/>
          <w:lang w:val="en-US" w:eastAsia="zh-CN"/>
        </w:rPr>
        <w:t>项目实施情况</w:t>
      </w:r>
      <w:r>
        <w:rPr>
          <w:rFonts w:hint="eastAsia" w:ascii="Times New Roman" w:hAnsi="Times New Roman" w:eastAsia="方正仿宋_GBK" w:cs="Times New Roman"/>
          <w:sz w:val="32"/>
          <w:szCs w:val="32"/>
          <w:highlight w:val="none"/>
          <w:lang w:val="en-US" w:eastAsia="zh-CN"/>
        </w:rPr>
        <w:t>一般</w:t>
      </w:r>
      <w:r>
        <w:rPr>
          <w:rFonts w:hint="default" w:ascii="Times New Roman" w:hAnsi="Times New Roman" w:eastAsia="方正仿宋_GBK" w:cs="Times New Roman"/>
          <w:sz w:val="32"/>
          <w:szCs w:val="32"/>
          <w:highlight w:val="none"/>
          <w:lang w:val="en-US" w:eastAsia="zh-CN"/>
        </w:rPr>
        <w:t>，预期效益指标</w:t>
      </w:r>
      <w:r>
        <w:rPr>
          <w:rFonts w:hint="eastAsia" w:ascii="Times New Roman" w:hAnsi="Times New Roman" w:eastAsia="方正仿宋_GBK" w:cs="Times New Roman"/>
          <w:sz w:val="32"/>
          <w:szCs w:val="32"/>
          <w:highlight w:val="none"/>
          <w:lang w:val="en-US" w:eastAsia="zh-CN"/>
        </w:rPr>
        <w:t>未</w:t>
      </w:r>
      <w:r>
        <w:rPr>
          <w:rFonts w:hint="default" w:ascii="Times New Roman" w:hAnsi="Times New Roman" w:eastAsia="方正仿宋_GBK" w:cs="Times New Roman"/>
          <w:sz w:val="32"/>
          <w:szCs w:val="32"/>
          <w:highlight w:val="none"/>
          <w:lang w:val="en-US" w:eastAsia="zh-CN"/>
        </w:rPr>
        <w:t>完成。该项指标得分=完成绩效目标效益指标的部门预算阶段项目（含一次性项目）数量÷部门预算阶段项目（含一次性项目）总数×100%×3。</w:t>
      </w:r>
      <w:r>
        <w:rPr>
          <w:rFonts w:hint="eastAsia" w:ascii="Times New Roman" w:hAnsi="Times New Roman" w:eastAsia="方正仿宋_GBK" w:cs="Times New Roman"/>
          <w:sz w:val="32"/>
          <w:szCs w:val="32"/>
          <w:highlight w:val="none"/>
          <w:lang w:val="en-US" w:eastAsia="zh-CN"/>
        </w:rPr>
        <w:t>=9/16</w:t>
      </w:r>
      <w:r>
        <w:rPr>
          <w:rFonts w:hint="default" w:ascii="Times New Roman" w:hAnsi="Times New Roman" w:eastAsia="方正仿宋_GBK" w:cs="Times New Roman"/>
          <w:sz w:val="32"/>
          <w:szCs w:val="32"/>
          <w:highlight w:val="none"/>
          <w:lang w:val="en-US" w:eastAsia="zh-CN"/>
        </w:rPr>
        <w:t>×100%×3</w:t>
      </w:r>
      <w:r>
        <w:rPr>
          <w:rFonts w:hint="eastAsia" w:ascii="Times New Roman" w:hAnsi="Times New Roman" w:eastAsia="方正仿宋_GBK" w:cs="Times New Roman"/>
          <w:sz w:val="32"/>
          <w:szCs w:val="32"/>
          <w:highlight w:val="none"/>
          <w:lang w:val="en-US" w:eastAsia="zh-CN"/>
        </w:rPr>
        <w:t>=1.69分。</w:t>
      </w:r>
    </w:p>
    <w:p w14:paraId="1323A7B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en-US" w:eastAsia="zh-CN"/>
        </w:rPr>
        <w:t>综上，根据评分标准，该项指标扣</w:t>
      </w:r>
      <w:r>
        <w:rPr>
          <w:rFonts w:hint="eastAsia" w:ascii="Times New Roman" w:hAnsi="Times New Roman" w:eastAsia="方正仿宋_GBK" w:cs="Times New Roman"/>
          <w:sz w:val="32"/>
          <w:szCs w:val="32"/>
          <w:highlight w:val="none"/>
          <w:lang w:val="en-US" w:eastAsia="zh-CN"/>
        </w:rPr>
        <w:t>1.31</w:t>
      </w:r>
      <w:r>
        <w:rPr>
          <w:rFonts w:hint="default" w:ascii="Times New Roman" w:hAnsi="Times New Roman" w:eastAsia="方正仿宋_GBK" w:cs="Times New Roman"/>
          <w:sz w:val="32"/>
          <w:szCs w:val="32"/>
          <w:highlight w:val="none"/>
          <w:lang w:val="en-US" w:eastAsia="zh-CN"/>
        </w:rPr>
        <w:t>分，得</w:t>
      </w:r>
      <w:r>
        <w:rPr>
          <w:rFonts w:hint="eastAsia" w:ascii="Times New Roman" w:hAnsi="Times New Roman" w:eastAsia="方正仿宋_GBK" w:cs="Times New Roman"/>
          <w:sz w:val="32"/>
          <w:szCs w:val="32"/>
          <w:highlight w:val="none"/>
          <w:lang w:val="en-US" w:eastAsia="zh-CN"/>
        </w:rPr>
        <w:t>1.69</w:t>
      </w:r>
      <w:r>
        <w:rPr>
          <w:rFonts w:hint="default" w:ascii="Times New Roman" w:hAnsi="Times New Roman" w:eastAsia="方正仿宋_GBK" w:cs="Times New Roman"/>
          <w:sz w:val="32"/>
          <w:szCs w:val="32"/>
          <w:highlight w:val="none"/>
          <w:lang w:val="en-US" w:eastAsia="zh-CN"/>
        </w:rPr>
        <w:t>分。</w:t>
      </w:r>
    </w:p>
    <w:p w14:paraId="64B02828">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13259E27">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我委</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年度不涉及国有资本、债券资金，行政事业性国有资产、政府采购和政府购买服务等重点领域的绩效情况如下：</w:t>
      </w:r>
    </w:p>
    <w:p w14:paraId="0367482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1.行政事业性国有资产。</w:t>
      </w:r>
    </w:p>
    <w:p w14:paraId="772346E0">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为了加强国有资产管理，提高固定资产的使用效率，保证国有资产的完整，我委根据《行政单位国有资产管理暂行办法》（财政部令第35号）和《四川省省级机关国有资产管理暂行办法》（川办发〔2005〕45号）等文件规定，结合</w:t>
      </w:r>
      <w:r>
        <w:rPr>
          <w:rFonts w:hint="default" w:ascii="Times New Roman" w:hAnsi="Times New Roman" w:eastAsia="方正仿宋_GBK" w:cs="Times New Roman"/>
          <w:sz w:val="32"/>
          <w:szCs w:val="32"/>
          <w:highlight w:val="none"/>
          <w:lang w:val="en-US" w:eastAsia="zh-CN"/>
        </w:rPr>
        <w:t>部门</w:t>
      </w:r>
      <w:r>
        <w:rPr>
          <w:rFonts w:hint="default" w:ascii="Times New Roman" w:hAnsi="Times New Roman" w:eastAsia="方正仿宋_GBK" w:cs="Times New Roman"/>
          <w:sz w:val="32"/>
          <w:szCs w:val="32"/>
          <w:highlight w:val="none"/>
          <w:lang w:val="zh-CN" w:eastAsia="zh-CN"/>
        </w:rPr>
        <w:t>实际，制定了《固定资产管理办法》，并严格按照制度执行，具体情况如下：</w:t>
      </w:r>
    </w:p>
    <w:p w14:paraId="56E2794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度，我委认真实行资产配置计划预算管理，严格执行资产配置标准和资产购置程序，在年度内按计划顺利完成相关资产配置，并及时在资产管理系统中录入资产信息，确保资产卡片的完整性和准确性；严格按照《固定资产管理办法》要求，做好国有资产的清理盘点、统计报告及日常监督检查工作，</w:t>
      </w:r>
      <w:r>
        <w:rPr>
          <w:rFonts w:hint="eastAsia" w:ascii="Times New Roman" w:hAnsi="Times New Roman" w:eastAsia="方正仿宋_GBK" w:cs="Times New Roman"/>
          <w:sz w:val="32"/>
          <w:szCs w:val="32"/>
          <w:highlight w:val="none"/>
          <w:lang w:val="zh-CN" w:eastAsia="zh-CN"/>
        </w:rPr>
        <w:t>2025</w:t>
      </w:r>
      <w:r>
        <w:rPr>
          <w:rFonts w:hint="default" w:ascii="Times New Roman" w:hAnsi="Times New Roman" w:eastAsia="方正仿宋_GBK" w:cs="Times New Roman"/>
          <w:sz w:val="32"/>
          <w:szCs w:val="32"/>
          <w:highlight w:val="none"/>
          <w:lang w:val="zh-CN" w:eastAsia="zh-CN"/>
        </w:rPr>
        <w:t>年度国有资产基础管理、日常管理、效率管理等方面整体效益较好，有效保障了国有资产安全，提高了国有资产利用率。</w:t>
      </w:r>
    </w:p>
    <w:p w14:paraId="66D42C49">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en-US" w:eastAsia="zh-CN"/>
        </w:rPr>
        <w:t>.政府采购绩效分析</w:t>
      </w:r>
    </w:p>
    <w:p w14:paraId="464B38CC">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我委严格按照政府采购程序进行采购，政府采购预算执行率较高，所购服务和货物均达到质量要求，采购流程遵循相关规定，采购程序合理合规。</w:t>
      </w:r>
    </w:p>
    <w:p w14:paraId="289C315E">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仿宋_GB2312" w:cs="Times New Roman"/>
          <w:sz w:val="24"/>
          <w:szCs w:val="24"/>
          <w:highlight w:val="none"/>
          <w:u w:val="none"/>
          <w:lang w:val="en-US" w:eastAsia="zh-CN"/>
        </w:rPr>
      </w:pPr>
      <w:r>
        <w:rPr>
          <w:rFonts w:hint="default" w:ascii="Times New Roman" w:hAnsi="Times New Roman" w:eastAsia="方正仿宋_GBK" w:cs="Times New Roman"/>
          <w:sz w:val="32"/>
          <w:szCs w:val="32"/>
          <w:highlight w:val="none"/>
          <w:lang w:val="en-US" w:eastAsia="zh-CN"/>
        </w:rPr>
        <w:t>政府采购完成情况如下表3-2</w:t>
      </w:r>
    </w:p>
    <w:p w14:paraId="7DBDB208">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center"/>
        <w:textAlignment w:val="auto"/>
        <w:outlineLvl w:val="9"/>
        <w:rPr>
          <w:rFonts w:hint="default" w:ascii="Times New Roman" w:hAnsi="Times New Roman" w:cs="Times New Roman"/>
          <w:highlight w:val="none"/>
        </w:rPr>
      </w:pPr>
      <w:r>
        <w:rPr>
          <w:rFonts w:hint="default" w:ascii="Times New Roman" w:hAnsi="Times New Roman" w:eastAsia="仿宋_GB2312" w:cs="Times New Roman"/>
          <w:sz w:val="24"/>
          <w:szCs w:val="24"/>
          <w:highlight w:val="none"/>
          <w:u w:val="none"/>
          <w:lang w:val="en-US" w:eastAsia="zh-CN"/>
        </w:rPr>
        <w:t xml:space="preserve">表3-2 </w:t>
      </w:r>
      <w:r>
        <w:rPr>
          <w:rFonts w:hint="eastAsia" w:ascii="Times New Roman" w:hAnsi="Times New Roman" w:eastAsia="仿宋_GB2312" w:cs="Times New Roman"/>
          <w:sz w:val="24"/>
          <w:szCs w:val="24"/>
          <w:highlight w:val="none"/>
          <w:u w:val="none"/>
          <w:lang w:eastAsia="zh-CN"/>
        </w:rPr>
        <w:t>2025</w:t>
      </w:r>
      <w:r>
        <w:rPr>
          <w:rFonts w:hint="default" w:ascii="Times New Roman" w:hAnsi="Times New Roman" w:eastAsia="仿宋_GB2312" w:cs="Times New Roman"/>
          <w:sz w:val="24"/>
          <w:szCs w:val="24"/>
          <w:highlight w:val="none"/>
          <w:u w:val="none"/>
        </w:rPr>
        <w:t>年</w:t>
      </w:r>
      <w:r>
        <w:rPr>
          <w:rFonts w:hint="default" w:ascii="Times New Roman" w:hAnsi="Times New Roman" w:eastAsia="仿宋_GB2312" w:cs="Times New Roman"/>
          <w:sz w:val="24"/>
          <w:szCs w:val="24"/>
          <w:highlight w:val="none"/>
          <w:u w:val="none"/>
          <w:lang w:val="en-US" w:eastAsia="zh-CN"/>
        </w:rPr>
        <w:t>政府采</w:t>
      </w:r>
      <w:r>
        <w:rPr>
          <w:rFonts w:hint="default" w:ascii="Times New Roman" w:hAnsi="Times New Roman" w:eastAsia="仿宋_GB2312" w:cs="Times New Roman"/>
          <w:sz w:val="24"/>
          <w:szCs w:val="24"/>
          <w:highlight w:val="none"/>
          <w:u w:val="none"/>
        </w:rPr>
        <w:t>购情况表</w:t>
      </w:r>
    </w:p>
    <w:p w14:paraId="60158CDC">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right"/>
        <w:textAlignment w:val="auto"/>
        <w:outlineLvl w:val="9"/>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24"/>
          <w:szCs w:val="24"/>
          <w:highlight w:val="none"/>
          <w:u w:val="none"/>
        </w:rPr>
        <w:t>单位</w:t>
      </w:r>
      <w:r>
        <w:rPr>
          <w:rFonts w:hint="default" w:ascii="Times New Roman" w:hAnsi="Times New Roman" w:eastAsia="仿宋_GB2312" w:cs="Times New Roman"/>
          <w:sz w:val="24"/>
          <w:szCs w:val="24"/>
          <w:highlight w:val="none"/>
          <w:u w:val="none"/>
          <w:lang w:eastAsia="zh-CN"/>
        </w:rPr>
        <w:t>：</w:t>
      </w:r>
      <w:r>
        <w:rPr>
          <w:rFonts w:hint="default" w:ascii="Times New Roman" w:hAnsi="Times New Roman" w:eastAsia="仿宋_GB2312" w:cs="Times New Roman"/>
          <w:sz w:val="24"/>
          <w:szCs w:val="24"/>
          <w:highlight w:val="none"/>
          <w:u w:val="none"/>
        </w:rPr>
        <w:t>万元</w:t>
      </w:r>
    </w:p>
    <w:tbl>
      <w:tblPr>
        <w:tblStyle w:val="17"/>
        <w:tblpPr w:leftFromText="180" w:rightFromText="180" w:vertAnchor="text" w:horzAnchor="page" w:tblpX="1335" w:tblpY="198"/>
        <w:tblOverlap w:val="never"/>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1296"/>
        <w:gridCol w:w="3173"/>
        <w:gridCol w:w="850"/>
        <w:gridCol w:w="796"/>
        <w:gridCol w:w="1898"/>
      </w:tblGrid>
      <w:tr w14:paraId="3028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dxa"/>
            <w:noWrap w:val="0"/>
            <w:vAlign w:val="center"/>
          </w:tcPr>
          <w:p w14:paraId="7ADC76E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序号</w:t>
            </w:r>
          </w:p>
        </w:tc>
        <w:tc>
          <w:tcPr>
            <w:tcW w:w="1296" w:type="dxa"/>
            <w:noWrap w:val="0"/>
            <w:vAlign w:val="center"/>
          </w:tcPr>
          <w:p w14:paraId="188F249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单位信息</w:t>
            </w:r>
          </w:p>
        </w:tc>
        <w:tc>
          <w:tcPr>
            <w:tcW w:w="3173" w:type="dxa"/>
            <w:noWrap w:val="0"/>
            <w:vAlign w:val="center"/>
          </w:tcPr>
          <w:p w14:paraId="0B263A6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采购项目</w:t>
            </w:r>
          </w:p>
        </w:tc>
        <w:tc>
          <w:tcPr>
            <w:tcW w:w="850" w:type="dxa"/>
            <w:noWrap w:val="0"/>
            <w:vAlign w:val="center"/>
          </w:tcPr>
          <w:p w14:paraId="3CE25CB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计划总额</w:t>
            </w:r>
          </w:p>
        </w:tc>
        <w:tc>
          <w:tcPr>
            <w:tcW w:w="796" w:type="dxa"/>
            <w:noWrap w:val="0"/>
            <w:vAlign w:val="center"/>
          </w:tcPr>
          <w:p w14:paraId="5C1D435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已下订单金额</w:t>
            </w:r>
          </w:p>
        </w:tc>
        <w:tc>
          <w:tcPr>
            <w:tcW w:w="1898" w:type="dxa"/>
            <w:noWrap w:val="0"/>
            <w:vAlign w:val="center"/>
          </w:tcPr>
          <w:p w14:paraId="194534D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kern w:val="2"/>
                <w:sz w:val="18"/>
                <w:szCs w:val="18"/>
                <w:highlight w:val="none"/>
                <w:vertAlign w:val="baseline"/>
                <w:lang w:val="en-US" w:eastAsia="zh-CN" w:bidi="ar-SA"/>
              </w:rPr>
              <w:t>采购执行状态</w:t>
            </w:r>
          </w:p>
        </w:tc>
      </w:tr>
      <w:tr w14:paraId="089D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2018" w:type="dxa"/>
            <w:noWrap w:val="0"/>
            <w:vAlign w:val="top"/>
          </w:tcPr>
          <w:p w14:paraId="2ECC595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296" w:type="dxa"/>
            <w:noWrap w:val="0"/>
            <w:vAlign w:val="center"/>
          </w:tcPr>
          <w:p w14:paraId="1C5B9CF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州民族宗教委</w:t>
            </w:r>
          </w:p>
        </w:tc>
        <w:tc>
          <w:tcPr>
            <w:tcW w:w="3173" w:type="dxa"/>
            <w:noWrap w:val="0"/>
            <w:vAlign w:val="center"/>
          </w:tcPr>
          <w:p w14:paraId="70021D9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车辆维修</w:t>
            </w:r>
          </w:p>
        </w:tc>
        <w:tc>
          <w:tcPr>
            <w:tcW w:w="850" w:type="dxa"/>
            <w:noWrap w:val="0"/>
            <w:vAlign w:val="center"/>
          </w:tcPr>
          <w:p w14:paraId="35B41CA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796" w:type="dxa"/>
            <w:noWrap w:val="0"/>
            <w:vAlign w:val="center"/>
          </w:tcPr>
          <w:p w14:paraId="042E49D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7</w:t>
            </w:r>
          </w:p>
        </w:tc>
        <w:tc>
          <w:tcPr>
            <w:tcW w:w="1898" w:type="dxa"/>
            <w:noWrap w:val="0"/>
            <w:vAlign w:val="top"/>
          </w:tcPr>
          <w:p w14:paraId="20A533BB">
            <w:pPr>
              <w:keepNext w:val="0"/>
              <w:keepLines w:val="0"/>
              <w:pageBreakBefore w:val="0"/>
              <w:widowControl/>
              <w:suppressLineNumbers w:val="0"/>
              <w:kinsoku/>
              <w:wordWrap/>
              <w:overflowPunct/>
              <w:topLinePunct w:val="0"/>
              <w:bidi w:val="0"/>
              <w:spacing w:line="576" w:lineRule="exact"/>
              <w:jc w:val="center"/>
              <w:textAlignment w:val="top"/>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外网已备案采购合同</w:t>
            </w:r>
          </w:p>
        </w:tc>
      </w:tr>
      <w:tr w14:paraId="3FB3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018" w:type="dxa"/>
            <w:noWrap w:val="0"/>
            <w:vAlign w:val="center"/>
          </w:tcPr>
          <w:p w14:paraId="7855B80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1296" w:type="dxa"/>
            <w:noWrap w:val="0"/>
            <w:vAlign w:val="center"/>
          </w:tcPr>
          <w:p w14:paraId="39129B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州民族宗教委</w:t>
            </w:r>
          </w:p>
        </w:tc>
        <w:tc>
          <w:tcPr>
            <w:tcW w:w="3173" w:type="dxa"/>
            <w:noWrap w:val="0"/>
            <w:vAlign w:val="center"/>
          </w:tcPr>
          <w:p w14:paraId="56B648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购买藏医药大全</w:t>
            </w:r>
          </w:p>
        </w:tc>
        <w:tc>
          <w:tcPr>
            <w:tcW w:w="850" w:type="dxa"/>
            <w:noWrap w:val="0"/>
            <w:vAlign w:val="center"/>
          </w:tcPr>
          <w:p w14:paraId="43EFD7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96</w:t>
            </w:r>
          </w:p>
        </w:tc>
        <w:tc>
          <w:tcPr>
            <w:tcW w:w="796" w:type="dxa"/>
            <w:noWrap w:val="0"/>
            <w:vAlign w:val="center"/>
          </w:tcPr>
          <w:p w14:paraId="69384CB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95.95</w:t>
            </w:r>
          </w:p>
        </w:tc>
        <w:tc>
          <w:tcPr>
            <w:tcW w:w="1898" w:type="dxa"/>
            <w:noWrap w:val="0"/>
            <w:vAlign w:val="top"/>
          </w:tcPr>
          <w:p w14:paraId="3D49424A">
            <w:pPr>
              <w:keepNext w:val="0"/>
              <w:keepLines w:val="0"/>
              <w:pageBreakBefore w:val="0"/>
              <w:widowControl/>
              <w:suppressLineNumbers w:val="0"/>
              <w:kinsoku/>
              <w:wordWrap/>
              <w:overflowPunct/>
              <w:topLinePunct w:val="0"/>
              <w:bidi w:val="0"/>
              <w:spacing w:line="576" w:lineRule="exact"/>
              <w:jc w:val="center"/>
              <w:textAlignment w:val="top"/>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外网已备案采购合同</w:t>
            </w:r>
          </w:p>
        </w:tc>
      </w:tr>
      <w:tr w14:paraId="3941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018" w:type="dxa"/>
            <w:noWrap w:val="0"/>
            <w:vAlign w:val="center"/>
          </w:tcPr>
          <w:p w14:paraId="2B8D424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1296" w:type="dxa"/>
            <w:noWrap w:val="0"/>
            <w:vAlign w:val="center"/>
          </w:tcPr>
          <w:p w14:paraId="52FF4E9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州民族宗教委</w:t>
            </w:r>
          </w:p>
        </w:tc>
        <w:tc>
          <w:tcPr>
            <w:tcW w:w="3173" w:type="dxa"/>
            <w:noWrap w:val="0"/>
            <w:vAlign w:val="center"/>
          </w:tcPr>
          <w:p w14:paraId="0EFC569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车辆保险</w:t>
            </w:r>
          </w:p>
        </w:tc>
        <w:tc>
          <w:tcPr>
            <w:tcW w:w="850" w:type="dxa"/>
            <w:noWrap w:val="0"/>
            <w:vAlign w:val="center"/>
          </w:tcPr>
          <w:p w14:paraId="417A2BE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2.98</w:t>
            </w:r>
          </w:p>
        </w:tc>
        <w:tc>
          <w:tcPr>
            <w:tcW w:w="796" w:type="dxa"/>
            <w:noWrap w:val="0"/>
            <w:vAlign w:val="center"/>
          </w:tcPr>
          <w:p w14:paraId="243D7B8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仿宋_GB2312" w:cs="Times New Roman"/>
                <w:kern w:val="2"/>
                <w:sz w:val="18"/>
                <w:szCs w:val="18"/>
                <w:highlight w:val="none"/>
                <w:vertAlign w:val="baseline"/>
                <w:lang w:val="en-US" w:eastAsia="zh-CN" w:bidi="ar-SA"/>
              </w:rPr>
            </w:pPr>
            <w:r>
              <w:rPr>
                <w:rFonts w:hint="eastAsia" w:ascii="Times New Roman" w:hAnsi="Times New Roman" w:eastAsia="宋体" w:cs="Times New Roman"/>
                <w:i w:val="0"/>
                <w:iCs w:val="0"/>
                <w:color w:val="000000"/>
                <w:kern w:val="0"/>
                <w:sz w:val="18"/>
                <w:szCs w:val="18"/>
                <w:highlight w:val="none"/>
                <w:u w:val="none"/>
                <w:lang w:val="en-US" w:eastAsia="zh-CN" w:bidi="ar"/>
              </w:rPr>
              <w:t>2.98</w:t>
            </w:r>
          </w:p>
        </w:tc>
        <w:tc>
          <w:tcPr>
            <w:tcW w:w="1898" w:type="dxa"/>
            <w:noWrap w:val="0"/>
            <w:vAlign w:val="top"/>
          </w:tcPr>
          <w:p w14:paraId="28409B77">
            <w:pPr>
              <w:keepNext w:val="0"/>
              <w:keepLines w:val="0"/>
              <w:pageBreakBefore w:val="0"/>
              <w:widowControl/>
              <w:suppressLineNumbers w:val="0"/>
              <w:kinsoku/>
              <w:wordWrap/>
              <w:overflowPunct/>
              <w:topLinePunct w:val="0"/>
              <w:bidi w:val="0"/>
              <w:spacing w:line="576" w:lineRule="exact"/>
              <w:jc w:val="center"/>
              <w:textAlignment w:val="top"/>
              <w:rPr>
                <w:rFonts w:hint="default" w:ascii="Times New Roman" w:hAnsi="Times New Roman" w:eastAsia="仿宋_GB2312" w:cs="Times New Roman"/>
                <w:kern w:val="2"/>
                <w:sz w:val="18"/>
                <w:szCs w:val="18"/>
                <w:highlight w:val="none"/>
                <w:vertAlign w:val="baseli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外网已备案采购合同</w:t>
            </w:r>
          </w:p>
        </w:tc>
      </w:tr>
      <w:tr w14:paraId="448C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018" w:type="dxa"/>
            <w:noWrap w:val="0"/>
            <w:vAlign w:val="center"/>
          </w:tcPr>
          <w:p w14:paraId="0D5F31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1296" w:type="dxa"/>
            <w:noWrap w:val="0"/>
            <w:vAlign w:val="center"/>
          </w:tcPr>
          <w:p w14:paraId="07DB7F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州民族宗教委</w:t>
            </w:r>
          </w:p>
        </w:tc>
        <w:tc>
          <w:tcPr>
            <w:tcW w:w="3173" w:type="dxa"/>
            <w:noWrap w:val="0"/>
            <w:vAlign w:val="center"/>
          </w:tcPr>
          <w:p w14:paraId="4F688CE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车辆保养</w:t>
            </w:r>
          </w:p>
        </w:tc>
        <w:tc>
          <w:tcPr>
            <w:tcW w:w="850" w:type="dxa"/>
            <w:noWrap w:val="0"/>
            <w:vAlign w:val="center"/>
          </w:tcPr>
          <w:p w14:paraId="10BC153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9.06</w:t>
            </w:r>
          </w:p>
        </w:tc>
        <w:tc>
          <w:tcPr>
            <w:tcW w:w="796" w:type="dxa"/>
            <w:noWrap w:val="0"/>
            <w:vAlign w:val="center"/>
          </w:tcPr>
          <w:p w14:paraId="444207A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9.06</w:t>
            </w:r>
          </w:p>
        </w:tc>
        <w:tc>
          <w:tcPr>
            <w:tcW w:w="1898" w:type="dxa"/>
            <w:noWrap w:val="0"/>
            <w:vAlign w:val="top"/>
          </w:tcPr>
          <w:p w14:paraId="6FCB475D">
            <w:pPr>
              <w:keepNext w:val="0"/>
              <w:keepLines w:val="0"/>
              <w:pageBreakBefore w:val="0"/>
              <w:widowControl/>
              <w:suppressLineNumbers w:val="0"/>
              <w:kinsoku/>
              <w:wordWrap/>
              <w:overflowPunct/>
              <w:topLinePunct w:val="0"/>
              <w:bidi w:val="0"/>
              <w:spacing w:line="576" w:lineRule="exact"/>
              <w:jc w:val="center"/>
              <w:textAlignment w:val="top"/>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外网已备案采购合同</w:t>
            </w:r>
          </w:p>
        </w:tc>
      </w:tr>
    </w:tbl>
    <w:p w14:paraId="6F48D5A0">
      <w:pPr>
        <w:keepNext w:val="0"/>
        <w:keepLines w:val="0"/>
        <w:pageBreakBefore w:val="0"/>
        <w:widowControl w:val="0"/>
        <w:kinsoku/>
        <w:wordWrap/>
        <w:overflowPunct/>
        <w:topLinePunct w:val="0"/>
        <w:autoSpaceDE/>
        <w:autoSpaceDN/>
        <w:bidi w:val="0"/>
        <w:snapToGrid w:val="0"/>
        <w:spacing w:line="576" w:lineRule="exact"/>
        <w:ind w:firstLine="643" w:firstLineChars="200"/>
        <w:textAlignment w:val="auto"/>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bCs/>
          <w:sz w:val="32"/>
          <w:szCs w:val="32"/>
          <w:highlight w:val="none"/>
          <w:lang w:val="zh-CN"/>
        </w:rPr>
        <w:t>（四）绩效结果应用情况。</w:t>
      </w:r>
    </w:p>
    <w:p w14:paraId="270A17FE">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zh-CN" w:eastAsia="zh-CN"/>
        </w:rPr>
      </w:pPr>
      <w:r>
        <w:rPr>
          <w:rFonts w:hint="default" w:ascii="Times New Roman" w:hAnsi="Times New Roman" w:eastAsia="方正仿宋_GBK" w:cs="Times New Roman"/>
          <w:sz w:val="32"/>
          <w:szCs w:val="32"/>
          <w:highlight w:val="none"/>
          <w:lang w:val="zh-CN" w:eastAsia="zh-CN"/>
        </w:rPr>
        <w:t>为进一步提高行政事业单位内部管理水平和风险防范能力，规范内部控制，加强廉政风险防控机制建设，我委在对预算、收支、政府采购、资产、建设项目、合同等各类经济业务活动流程梳理的基础上，明确业务环节，系统分析经济活动风险，确定风险点，选择应对策略，形成了内部控制制度</w:t>
      </w:r>
      <w:r>
        <w:rPr>
          <w:rFonts w:hint="default" w:ascii="Times New Roman" w:hAnsi="Times New Roman" w:eastAsia="方正仿宋_GBK" w:cs="Times New Roman"/>
          <w:sz w:val="32"/>
          <w:szCs w:val="32"/>
          <w:highlight w:val="none"/>
          <w:lang w:val="en-US" w:eastAsia="zh-CN"/>
        </w:rPr>
        <w:t>流程手册</w:t>
      </w:r>
      <w:r>
        <w:rPr>
          <w:rFonts w:hint="default" w:ascii="Times New Roman" w:hAnsi="Times New Roman" w:eastAsia="方正仿宋_GBK" w:cs="Times New Roman"/>
          <w:sz w:val="32"/>
          <w:szCs w:val="32"/>
          <w:highlight w:val="none"/>
          <w:lang w:val="zh-CN" w:eastAsia="zh-CN"/>
        </w:rPr>
        <w:t>，我委严格按照内控制度进行预算绩效管理，并按照相关要求将绩效信息随同</w:t>
      </w:r>
      <w:r>
        <w:rPr>
          <w:rFonts w:hint="default" w:ascii="Times New Roman" w:hAnsi="Times New Roman" w:eastAsia="方正仿宋_GBK" w:cs="Times New Roman"/>
          <w:sz w:val="32"/>
          <w:szCs w:val="32"/>
          <w:highlight w:val="none"/>
          <w:lang w:val="en-US" w:eastAsia="zh-CN"/>
        </w:rPr>
        <w:t>预</w:t>
      </w:r>
      <w:r>
        <w:rPr>
          <w:rFonts w:hint="default" w:ascii="Times New Roman" w:hAnsi="Times New Roman" w:eastAsia="方正仿宋_GBK" w:cs="Times New Roman"/>
          <w:sz w:val="32"/>
          <w:szCs w:val="32"/>
          <w:highlight w:val="none"/>
          <w:lang w:val="zh-CN" w:eastAsia="zh-CN"/>
        </w:rPr>
        <w:t>决算公开。在</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年度的</w:t>
      </w:r>
      <w:r>
        <w:rPr>
          <w:rFonts w:hint="default" w:ascii="Times New Roman" w:hAnsi="Times New Roman" w:eastAsia="方正仿宋_GBK" w:cs="Times New Roman"/>
          <w:sz w:val="32"/>
          <w:szCs w:val="32"/>
          <w:highlight w:val="none"/>
          <w:lang w:val="zh-CN" w:eastAsia="zh-CN"/>
        </w:rPr>
        <w:t>绩效管理过程中，未发现我委存在相关问题。</w:t>
      </w:r>
    </w:p>
    <w:p w14:paraId="0013EDC6">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46534809">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6B37BEEF">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以高度的政治责任和思想认识推进各项工作开展，切实履行了部门职责，部门预算管理、财务管理、资产管理和采购管理等规范有序，较好地完成了各项年度任务，部门预算支出使用效益达到预期，根据部门预算绩效评价指标体系，</w:t>
      </w:r>
      <w:r>
        <w:rPr>
          <w:rFonts w:hint="eastAsia" w:ascii="Times New Roman" w:hAnsi="Times New Roman" w:eastAsia="方正仿宋_GBK" w:cs="Times New Roman"/>
          <w:sz w:val="32"/>
          <w:szCs w:val="32"/>
          <w:highlight w:val="none"/>
          <w:lang w:val="en-US" w:eastAsia="zh-CN"/>
        </w:rPr>
        <w:t>2025</w:t>
      </w:r>
      <w:r>
        <w:rPr>
          <w:rFonts w:hint="default" w:ascii="Times New Roman" w:hAnsi="Times New Roman" w:eastAsia="方正仿宋_GBK" w:cs="Times New Roman"/>
          <w:sz w:val="32"/>
          <w:szCs w:val="32"/>
          <w:highlight w:val="none"/>
          <w:lang w:val="en-US" w:eastAsia="zh-CN"/>
        </w:rPr>
        <w:t>年我委部门预算绩效评价综合得分8</w:t>
      </w:r>
      <w:r>
        <w:rPr>
          <w:rFonts w:hint="eastAsia" w:ascii="Times New Roman" w:hAnsi="Times New Roman" w:eastAsia="方正仿宋_GBK" w:cs="Times New Roman"/>
          <w:sz w:val="32"/>
          <w:szCs w:val="32"/>
          <w:highlight w:val="none"/>
          <w:lang w:val="en-US" w:eastAsia="zh-CN"/>
        </w:rPr>
        <w:t>7.23</w:t>
      </w:r>
      <w:r>
        <w:rPr>
          <w:rFonts w:hint="default" w:ascii="Times New Roman" w:hAnsi="Times New Roman" w:eastAsia="方正仿宋_GBK" w:cs="Times New Roman"/>
          <w:sz w:val="32"/>
          <w:szCs w:val="32"/>
          <w:highlight w:val="none"/>
          <w:lang w:val="en-US" w:eastAsia="zh-CN"/>
        </w:rPr>
        <w:t>分。</w:t>
      </w:r>
    </w:p>
    <w:p w14:paraId="19D5C22A">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7A88B5C0">
      <w:pPr>
        <w:pStyle w:val="6"/>
        <w:keepNext w:val="0"/>
        <w:keepLines w:val="0"/>
        <w:pageBreakBefore w:val="0"/>
        <w:kinsoku/>
        <w:wordWrap/>
        <w:overflowPunct/>
        <w:topLinePunct w:val="0"/>
        <w:bidi w:val="0"/>
        <w:spacing w:line="576" w:lineRule="exact"/>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1.预算编制准确性有待进一步提高。</w:t>
      </w:r>
    </w:p>
    <w:p w14:paraId="5C47A9E1">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部门预算编制整体科学合理、符合实际，但仍存在年初未编制资产配置预算和政府采购预算的问题，预算编制长远性谋划不足，对部门预算执行进度考核和部门整体绩效评价有一定影响。          </w:t>
      </w:r>
    </w:p>
    <w:p w14:paraId="38AD9145">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2.我委严格按照预算执行进度相关要求，强化责任主体意识，积极采取有效措施，不断优化支出结构，不断提升预算执行管理水平，但预算支出进度还有待提高。</w:t>
      </w:r>
    </w:p>
    <w:p w14:paraId="5E80D72D">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111" w:name="_Hlk110546638"/>
    </w:p>
    <w:p w14:paraId="59140A36">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1.合理进行预算测算，提高预算编制准确性。</w:t>
      </w:r>
    </w:p>
    <w:p w14:paraId="4CFFEEF2">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加强研究分析，夯实预算编制工作的基础，在编制部门预算时，深入调研和分析实际需求，根据事业发展规划、年度工作计划和履职需要，科学合理地预测未来一年的资产配置需求、政府采购规模和方向，并充分考虑市场变化、政策调整等因素对计划的影响，增强预算的计划性、前瞻性，提高预算编制的科学性、准确性。</w:t>
      </w:r>
    </w:p>
    <w:p w14:paraId="71B76378">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2.厉行勤俭节约，压减一般性支出。</w:t>
      </w:r>
    </w:p>
    <w:p w14:paraId="1C1D96D4">
      <w:pPr>
        <w:pStyle w:val="6"/>
        <w:keepNext w:val="0"/>
        <w:keepLines w:val="0"/>
        <w:pageBreakBefore w:val="0"/>
        <w:kinsoku/>
        <w:wordWrap/>
        <w:overflowPunct/>
        <w:topLinePunct w:val="0"/>
        <w:bidi w:val="0"/>
        <w:spacing w:line="576" w:lineRule="exact"/>
        <w:ind w:left="0" w:leftChars="0" w:firstLine="640" w:firstLineChars="200"/>
        <w:rPr>
          <w:rFonts w:hint="default" w:ascii="Times New Roman" w:hAnsi="Times New Roman" w:eastAsia="方正仿宋_GBK" w:cs="Times New Roman"/>
          <w:sz w:val="32"/>
          <w:szCs w:val="32"/>
          <w:highlight w:val="none"/>
          <w:lang w:val="en" w:eastAsia="zh-CN"/>
        </w:rPr>
      </w:pPr>
      <w:r>
        <w:rPr>
          <w:rFonts w:hint="default" w:ascii="Times New Roman" w:hAnsi="Times New Roman" w:eastAsia="方正仿宋_GBK" w:cs="Times New Roman"/>
          <w:sz w:val="32"/>
          <w:szCs w:val="32"/>
          <w:highlight w:val="none"/>
          <w:lang w:val="en-US" w:eastAsia="zh-CN"/>
        </w:rPr>
        <w:t>牢固树立过紧日子思想，坚持严预算、提绩效，压缩非急需非刚性支出，严格控制“三公”经费支出，进一步提高资金配置效率，全面提高财政资金使用效益。加快支出标准体系建设，加强预算项目管理，进一步细化预算编制工作，认真做好预算编制不断提高预算编制的科学性、严谨性和可控性，推动全过程预算绩效管理提质增效。</w:t>
      </w:r>
    </w:p>
    <w:bookmarkEnd w:id="111"/>
    <w:p w14:paraId="1E18CD3F">
      <w:pPr>
        <w:keepNext w:val="0"/>
        <w:keepLines w:val="0"/>
        <w:pageBreakBefore w:val="0"/>
        <w:widowControl/>
        <w:kinsoku/>
        <w:wordWrap/>
        <w:overflowPunct/>
        <w:topLinePunct w:val="0"/>
        <w:autoSpaceDE/>
        <w:autoSpaceDN/>
        <w:bidi w:val="0"/>
        <w:adjustRightInd/>
        <w:snapToGrid/>
        <w:spacing w:line="576" w:lineRule="exact"/>
        <w:ind w:firstLine="68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方正仿宋_GBK" w:cs="Times New Roman"/>
          <w:b w:val="0"/>
          <w:bCs w:val="0"/>
          <w:spacing w:val="10"/>
          <w:kern w:val="36"/>
          <w:sz w:val="32"/>
          <w:szCs w:val="32"/>
          <w:highlight w:val="none"/>
          <w:lang w:val="en-US" w:eastAsia="zh-CN" w:bidi="ar"/>
        </w:rPr>
        <w:t xml:space="preserve">特此报告。                     </w:t>
      </w:r>
      <w:r>
        <w:rPr>
          <w:rFonts w:hint="default" w:ascii="Times New Roman" w:hAnsi="Times New Roman" w:eastAsia="仿宋" w:cs="Times New Roman"/>
          <w:sz w:val="32"/>
          <w:szCs w:val="32"/>
          <w:highlight w:val="none"/>
        </w:rPr>
        <w:t xml:space="preserve">   </w:t>
      </w:r>
    </w:p>
    <w:p w14:paraId="2A4F1444">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 </w:t>
      </w:r>
    </w:p>
    <w:p w14:paraId="37B08FF5">
      <w:pPr>
        <w:keepNext w:val="0"/>
        <w:keepLines w:val="0"/>
        <w:pageBreakBefore w:val="0"/>
        <w:kinsoku/>
        <w:wordWrap/>
        <w:overflowPunct/>
        <w:topLinePunct w:val="0"/>
        <w:autoSpaceDE/>
        <w:autoSpaceDN/>
        <w:bidi w:val="0"/>
        <w:adjustRightInd/>
        <w:snapToGrid/>
        <w:spacing w:line="576" w:lineRule="exact"/>
        <w:ind w:firstLine="644"/>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附表：1.部门预算绩效自评打分表</w:t>
      </w:r>
    </w:p>
    <w:p w14:paraId="57E244E1">
      <w:pPr>
        <w:keepNext w:val="0"/>
        <w:keepLines w:val="0"/>
        <w:pageBreakBefore w:val="0"/>
        <w:kinsoku/>
        <w:wordWrap/>
        <w:overflowPunct/>
        <w:topLinePunct w:val="0"/>
        <w:autoSpaceDE/>
        <w:autoSpaceDN/>
        <w:bidi w:val="0"/>
        <w:adjustRightInd/>
        <w:snapToGrid/>
        <w:spacing w:line="576" w:lineRule="exact"/>
        <w:ind w:firstLine="1600" w:firstLineChars="5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2.部门整体绩效目标完成情况自评表</w:t>
      </w:r>
    </w:p>
    <w:p w14:paraId="10CBDC3A">
      <w:pPr>
        <w:keepNext w:val="0"/>
        <w:keepLines w:val="0"/>
        <w:pageBreakBefore w:val="0"/>
        <w:kinsoku/>
        <w:wordWrap/>
        <w:overflowPunct/>
        <w:topLinePunct w:val="0"/>
        <w:autoSpaceDE/>
        <w:autoSpaceDN/>
        <w:bidi w:val="0"/>
        <w:adjustRightInd/>
        <w:snapToGrid/>
        <w:spacing w:line="576" w:lineRule="exact"/>
        <w:ind w:firstLine="1600" w:firstLineChars="5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3.部门预算项目支出绩效评价表（</w:t>
      </w:r>
      <w:r>
        <w:rPr>
          <w:rFonts w:hint="eastAsia" w:ascii="Times New Roman" w:hAnsi="Times New Roman" w:eastAsia="仿宋" w:cs="Times New Roman"/>
          <w:sz w:val="32"/>
          <w:szCs w:val="32"/>
          <w:highlight w:val="none"/>
          <w:lang w:eastAsia="zh-CN"/>
        </w:rPr>
        <w:t>2025</w:t>
      </w:r>
      <w:r>
        <w:rPr>
          <w:rFonts w:hint="default" w:ascii="Times New Roman" w:hAnsi="Times New Roman" w:eastAsia="仿宋" w:cs="Times New Roman"/>
          <w:sz w:val="32"/>
          <w:szCs w:val="32"/>
          <w:highlight w:val="none"/>
        </w:rPr>
        <w:t>年度）表</w:t>
      </w:r>
    </w:p>
    <w:p w14:paraId="7C426AFF">
      <w:pPr>
        <w:keepNext w:val="0"/>
        <w:keepLines w:val="0"/>
        <w:pageBreakBefore w:val="0"/>
        <w:kinsoku/>
        <w:wordWrap/>
        <w:overflowPunct/>
        <w:topLinePunct w:val="0"/>
        <w:autoSpaceDE/>
        <w:autoSpaceDN/>
        <w:bidi w:val="0"/>
        <w:adjustRightInd/>
        <w:snapToGrid/>
        <w:spacing w:line="576" w:lineRule="exact"/>
        <w:ind w:firstLine="644"/>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  </w:t>
      </w:r>
    </w:p>
    <w:p w14:paraId="6BE3665D">
      <w:pPr>
        <w:keepNext w:val="0"/>
        <w:keepLines w:val="0"/>
        <w:pageBreakBefore w:val="0"/>
        <w:kinsoku/>
        <w:wordWrap/>
        <w:overflowPunct/>
        <w:topLinePunct w:val="0"/>
        <w:bidi w:val="0"/>
        <w:spacing w:line="576" w:lineRule="exact"/>
        <w:rPr>
          <w:rFonts w:hint="default" w:ascii="Times New Roman" w:hAnsi="Times New Roman" w:cs="Times New Roman"/>
          <w:highlight w:val="none"/>
        </w:rPr>
      </w:pPr>
    </w:p>
    <w:p w14:paraId="544F757B">
      <w:pPr>
        <w:keepNext w:val="0"/>
        <w:keepLines w:val="0"/>
        <w:pageBreakBefore w:val="0"/>
        <w:kinsoku/>
        <w:wordWrap/>
        <w:overflowPunct/>
        <w:topLinePunct w:val="0"/>
        <w:bidi w:val="0"/>
        <w:spacing w:line="576" w:lineRule="exact"/>
        <w:ind w:firstLine="800" w:firstLineChars="25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            </w:t>
      </w:r>
      <w:r>
        <w:rPr>
          <w:rFonts w:hint="default" w:ascii="Times New Roman" w:hAnsi="Times New Roman" w:eastAsia="仿宋" w:cs="Times New Roman"/>
          <w:sz w:val="32"/>
          <w:szCs w:val="32"/>
          <w:highlight w:val="none"/>
          <w:lang w:val="en-US" w:eastAsia="zh-CN"/>
        </w:rPr>
        <w:t xml:space="preserve"> </w:t>
      </w:r>
    </w:p>
    <w:p w14:paraId="33A70FD9">
      <w:pPr>
        <w:pStyle w:val="2"/>
        <w:rPr>
          <w:rFonts w:hint="default" w:ascii="Times New Roman" w:hAnsi="Times New Roman" w:eastAsia="仿宋" w:cs="Times New Roman"/>
          <w:sz w:val="32"/>
          <w:szCs w:val="32"/>
          <w:highlight w:val="none"/>
        </w:rPr>
      </w:pPr>
    </w:p>
    <w:p w14:paraId="02C13615">
      <w:pPr>
        <w:rPr>
          <w:rFonts w:hint="default" w:ascii="Times New Roman" w:hAnsi="Times New Roman" w:eastAsia="仿宋" w:cs="Times New Roman"/>
          <w:sz w:val="32"/>
          <w:szCs w:val="32"/>
          <w:highlight w:val="none"/>
        </w:rPr>
      </w:pPr>
    </w:p>
    <w:p w14:paraId="317D4A1B">
      <w:pPr>
        <w:pStyle w:val="2"/>
        <w:rPr>
          <w:rFonts w:hint="default" w:ascii="Times New Roman" w:hAnsi="Times New Roman" w:eastAsia="仿宋" w:cs="Times New Roman"/>
          <w:sz w:val="32"/>
          <w:szCs w:val="32"/>
          <w:highlight w:val="none"/>
        </w:rPr>
      </w:pPr>
    </w:p>
    <w:p w14:paraId="4A2BB7AA">
      <w:pPr>
        <w:rPr>
          <w:rFonts w:hint="default" w:ascii="Times New Roman" w:hAnsi="Times New Roman" w:eastAsia="仿宋" w:cs="Times New Roman"/>
          <w:sz w:val="32"/>
          <w:szCs w:val="32"/>
          <w:highlight w:val="none"/>
        </w:rPr>
      </w:pPr>
    </w:p>
    <w:p w14:paraId="0CA6A780">
      <w:pPr>
        <w:pStyle w:val="2"/>
        <w:rPr>
          <w:rFonts w:hint="default" w:ascii="Times New Roman" w:hAnsi="Times New Roman" w:eastAsia="仿宋" w:cs="Times New Roman"/>
          <w:sz w:val="32"/>
          <w:szCs w:val="32"/>
          <w:highlight w:val="none"/>
        </w:rPr>
      </w:pPr>
    </w:p>
    <w:p w14:paraId="3DAEFC4D">
      <w:pPr>
        <w:rPr>
          <w:rFonts w:hint="default" w:ascii="Times New Roman" w:hAnsi="Times New Roman" w:eastAsia="仿宋" w:cs="Times New Roman"/>
          <w:sz w:val="32"/>
          <w:szCs w:val="32"/>
          <w:highlight w:val="none"/>
        </w:rPr>
      </w:pPr>
    </w:p>
    <w:p w14:paraId="296A240E">
      <w:pPr>
        <w:pStyle w:val="2"/>
        <w:rPr>
          <w:rFonts w:hint="default" w:ascii="Times New Roman" w:hAnsi="Times New Roman" w:eastAsia="仿宋" w:cs="Times New Roman"/>
          <w:sz w:val="32"/>
          <w:szCs w:val="32"/>
          <w:highlight w:val="none"/>
        </w:rPr>
      </w:pPr>
    </w:p>
    <w:p w14:paraId="45D61D05">
      <w:pPr>
        <w:rPr>
          <w:rFonts w:hint="default" w:ascii="Times New Roman" w:hAnsi="Times New Roman" w:eastAsia="仿宋" w:cs="Times New Roman"/>
          <w:sz w:val="32"/>
          <w:szCs w:val="32"/>
          <w:highlight w:val="none"/>
        </w:rPr>
      </w:pPr>
    </w:p>
    <w:p w14:paraId="066E9A0A">
      <w:pPr>
        <w:pStyle w:val="2"/>
        <w:rPr>
          <w:rFonts w:hint="default" w:ascii="Times New Roman" w:hAnsi="Times New Roman" w:eastAsia="仿宋" w:cs="Times New Roman"/>
          <w:sz w:val="32"/>
          <w:szCs w:val="32"/>
          <w:highlight w:val="none"/>
        </w:rPr>
      </w:pPr>
    </w:p>
    <w:p w14:paraId="3F5DF6F2">
      <w:pPr>
        <w:rPr>
          <w:rFonts w:hint="default" w:ascii="Times New Roman" w:hAnsi="Times New Roman" w:eastAsia="仿宋" w:cs="Times New Roman"/>
          <w:sz w:val="32"/>
          <w:szCs w:val="32"/>
          <w:highlight w:val="none"/>
        </w:rPr>
      </w:pPr>
    </w:p>
    <w:p w14:paraId="14A38472">
      <w:pPr>
        <w:pStyle w:val="2"/>
        <w:rPr>
          <w:rFonts w:hint="default"/>
        </w:rPr>
      </w:pPr>
    </w:p>
    <w:p w14:paraId="52C06D9A">
      <w:pPr>
        <w:rPr>
          <w:rFonts w:hint="default"/>
        </w:rPr>
      </w:pPr>
    </w:p>
    <w:p w14:paraId="58EB190D">
      <w:pPr>
        <w:pStyle w:val="6"/>
        <w:outlineLvl w:val="0"/>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w:t>
      </w:r>
      <w:r>
        <w:rPr>
          <w:rFonts w:hint="eastAsia" w:ascii="Times New Roman" w:eastAsia="黑体" w:cs="黑体"/>
          <w:color w:val="auto"/>
          <w:kern w:val="0"/>
          <w:sz w:val="32"/>
          <w:szCs w:val="32"/>
          <w:highlight w:val="none"/>
          <w:shd w:val="clear" w:color="auto" w:fill="FFFFFF"/>
          <w:lang w:val="en-US" w:eastAsia="zh-CN"/>
        </w:rPr>
        <w:t>表</w:t>
      </w:r>
      <w:bookmarkEnd w:id="108"/>
      <w:bookmarkEnd w:id="109"/>
    </w:p>
    <w:tbl>
      <w:tblPr>
        <w:tblStyle w:val="16"/>
        <w:tblW w:w="54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1"/>
        <w:gridCol w:w="884"/>
        <w:gridCol w:w="1417"/>
        <w:gridCol w:w="1808"/>
        <w:gridCol w:w="629"/>
        <w:gridCol w:w="482"/>
        <w:gridCol w:w="618"/>
        <w:gridCol w:w="686"/>
        <w:gridCol w:w="568"/>
        <w:gridCol w:w="528"/>
        <w:gridCol w:w="1123"/>
      </w:tblGrid>
      <w:tr w14:paraId="1EAF7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88" w:type="pct"/>
            <w:gridSpan w:val="4"/>
            <w:tcBorders>
              <w:top w:val="nil"/>
              <w:left w:val="nil"/>
              <w:bottom w:val="nil"/>
              <w:right w:val="nil"/>
            </w:tcBorders>
            <w:shd w:val="clear" w:color="auto" w:fill="auto"/>
            <w:vAlign w:val="center"/>
          </w:tcPr>
          <w:p w14:paraId="10BE3B9D">
            <w:pPr>
              <w:keepNext w:val="0"/>
              <w:keepLines w:val="0"/>
              <w:widowControl/>
              <w:suppressLineNumbers w:val="0"/>
              <w:snapToGrid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340" w:type="pct"/>
            <w:tcBorders>
              <w:top w:val="nil"/>
              <w:left w:val="nil"/>
              <w:bottom w:val="nil"/>
              <w:right w:val="nil"/>
            </w:tcBorders>
            <w:shd w:val="clear" w:color="auto" w:fill="auto"/>
            <w:noWrap/>
            <w:vAlign w:val="center"/>
          </w:tcPr>
          <w:p w14:paraId="323973A2">
            <w:pPr>
              <w:snapToGrid w:val="0"/>
              <w:rPr>
                <w:rFonts w:hint="eastAsia" w:ascii="宋体" w:hAnsi="宋体" w:eastAsia="宋体" w:cs="宋体"/>
                <w:i w:val="0"/>
                <w:iCs w:val="0"/>
                <w:color w:val="000000"/>
                <w:sz w:val="22"/>
                <w:szCs w:val="22"/>
                <w:u w:val="none"/>
              </w:rPr>
            </w:pPr>
          </w:p>
        </w:tc>
        <w:tc>
          <w:tcPr>
            <w:tcW w:w="968" w:type="pct"/>
            <w:gridSpan w:val="3"/>
            <w:tcBorders>
              <w:top w:val="nil"/>
              <w:left w:val="nil"/>
              <w:bottom w:val="nil"/>
              <w:right w:val="nil"/>
            </w:tcBorders>
            <w:shd w:val="clear" w:color="auto" w:fill="auto"/>
            <w:vAlign w:val="center"/>
          </w:tcPr>
          <w:p w14:paraId="5022911D">
            <w:pPr>
              <w:snapToGrid w:val="0"/>
              <w:rPr>
                <w:rFonts w:hint="eastAsia" w:ascii="宋体" w:hAnsi="宋体" w:eastAsia="宋体" w:cs="宋体"/>
                <w:i w:val="0"/>
                <w:iCs w:val="0"/>
                <w:color w:val="000000"/>
                <w:sz w:val="20"/>
                <w:szCs w:val="20"/>
                <w:u w:val="none"/>
              </w:rPr>
            </w:pPr>
          </w:p>
        </w:tc>
        <w:tc>
          <w:tcPr>
            <w:tcW w:w="307" w:type="pct"/>
            <w:tcBorders>
              <w:top w:val="nil"/>
              <w:left w:val="nil"/>
              <w:bottom w:val="nil"/>
              <w:right w:val="nil"/>
            </w:tcBorders>
            <w:shd w:val="clear" w:color="auto" w:fill="auto"/>
            <w:noWrap/>
            <w:vAlign w:val="center"/>
          </w:tcPr>
          <w:p w14:paraId="7E3B3AB2">
            <w:pPr>
              <w:snapToGrid w:val="0"/>
              <w:rPr>
                <w:rFonts w:hint="eastAsia" w:ascii="宋体" w:hAnsi="宋体" w:eastAsia="宋体" w:cs="宋体"/>
                <w:i w:val="0"/>
                <w:iCs w:val="0"/>
                <w:color w:val="000000"/>
                <w:sz w:val="22"/>
                <w:szCs w:val="22"/>
                <w:u w:val="none"/>
              </w:rPr>
            </w:pPr>
          </w:p>
        </w:tc>
        <w:tc>
          <w:tcPr>
            <w:tcW w:w="286" w:type="pct"/>
            <w:tcBorders>
              <w:top w:val="nil"/>
              <w:left w:val="nil"/>
              <w:bottom w:val="nil"/>
              <w:right w:val="nil"/>
            </w:tcBorders>
            <w:shd w:val="clear" w:color="auto" w:fill="auto"/>
            <w:noWrap/>
            <w:vAlign w:val="center"/>
          </w:tcPr>
          <w:p w14:paraId="7E2F7207">
            <w:pPr>
              <w:snapToGrid w:val="0"/>
              <w:rPr>
                <w:rFonts w:hint="eastAsia" w:ascii="宋体" w:hAnsi="宋体" w:eastAsia="宋体" w:cs="宋体"/>
                <w:i w:val="0"/>
                <w:iCs w:val="0"/>
                <w:color w:val="000000"/>
                <w:sz w:val="22"/>
                <w:szCs w:val="22"/>
                <w:u w:val="none"/>
              </w:rPr>
            </w:pPr>
          </w:p>
        </w:tc>
        <w:tc>
          <w:tcPr>
            <w:tcW w:w="608" w:type="pct"/>
            <w:tcBorders>
              <w:top w:val="nil"/>
              <w:left w:val="nil"/>
              <w:bottom w:val="nil"/>
              <w:right w:val="nil"/>
            </w:tcBorders>
            <w:shd w:val="clear" w:color="auto" w:fill="auto"/>
            <w:noWrap/>
            <w:vAlign w:val="center"/>
          </w:tcPr>
          <w:p w14:paraId="15031AD5">
            <w:pPr>
              <w:snapToGrid w:val="0"/>
              <w:rPr>
                <w:rFonts w:hint="eastAsia" w:ascii="宋体" w:hAnsi="宋体" w:eastAsia="宋体" w:cs="宋体"/>
                <w:i w:val="0"/>
                <w:iCs w:val="0"/>
                <w:color w:val="000000"/>
                <w:sz w:val="22"/>
                <w:szCs w:val="22"/>
                <w:u w:val="none"/>
              </w:rPr>
            </w:pPr>
          </w:p>
        </w:tc>
      </w:tr>
      <w:tr w14:paraId="23B6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5D910E">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60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DF1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D69A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51320021T000000062094-少数民族语言文字管理工作经费</w:t>
            </w:r>
          </w:p>
        </w:tc>
      </w:tr>
      <w:tr w14:paraId="3C070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18B6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A9D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F5D3DCB">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2A6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1668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1B52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DC5D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C582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A0396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33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9AB2">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8DDD2">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E758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按照《国家民委关于做好少数民族语言文字管理工作的意见》、</w:t>
            </w:r>
            <w:r>
              <w:rPr>
                <w:rFonts w:hint="eastAsia" w:ascii="宋体" w:hAnsi="宋体" w:eastAsia="宋体" w:cs="宋体"/>
                <w:i w:val="0"/>
                <w:iCs w:val="0"/>
                <w:color w:val="000000"/>
                <w:kern w:val="0"/>
                <w:sz w:val="18"/>
                <w:szCs w:val="18"/>
                <w:u w:val="none"/>
                <w:lang w:val="en-US" w:eastAsia="zh-CN" w:bidi="ar"/>
              </w:rPr>
              <w:t>《中华人民共和国民族区域自治法》</w:t>
            </w:r>
            <w:r>
              <w:rPr>
                <w:rFonts w:ascii="宋体" w:hAnsi="宋体" w:eastAsia="宋体" w:cs="宋体"/>
                <w:i w:val="0"/>
                <w:iCs w:val="0"/>
                <w:color w:val="000000"/>
                <w:kern w:val="0"/>
                <w:sz w:val="18"/>
                <w:szCs w:val="18"/>
                <w:u w:val="none"/>
                <w:lang w:val="en-US" w:eastAsia="zh-CN" w:bidi="ar"/>
              </w:rPr>
              <w:t>、《阿坝藏族羌族自治州自治条例》《阿坝藏族羌族自治州藏文社会用字管理办法》以及《阿坝藏族羌族自治州藏语言文字条例》的规定要求富有成效的开展藏、羌语言文字管理、督查、考察等工作，进一步巩固我州民族团结进步成果，进一步有序推进我州藏文社会用字法治化、规范化建设，根据历年工作开展所需经费测算，其中包括差旅、考察、督查、公务用车运行、印制相关资料、少数民族语言文字中级职称评审及其他商品与服务支出等费用.</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398DD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采取线上监督举报通道和提供便捷的翻译服务、线下实地检查整改和规范的翻译服务的方式，做到用字文明规范；按照“分片规划、分类指导”的业务指导原则，会同深入相关县(市)及相关部门开展藏文社会用字督导，有序推进了我州藏文社会用字法治化、规范化建设。</w:t>
            </w:r>
          </w:p>
        </w:tc>
      </w:tr>
      <w:tr w14:paraId="26E09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BB78">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1AC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76483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按照《国家民委关于做好少数民族语言文字管理工作的意见》、</w:t>
            </w:r>
            <w:r>
              <w:rPr>
                <w:rFonts w:hint="eastAsia" w:ascii="宋体" w:hAnsi="宋体" w:eastAsia="宋体" w:cs="宋体"/>
                <w:i w:val="0"/>
                <w:iCs w:val="0"/>
                <w:color w:val="000000"/>
                <w:kern w:val="0"/>
                <w:sz w:val="18"/>
                <w:szCs w:val="18"/>
                <w:u w:val="none"/>
                <w:lang w:val="en-US" w:eastAsia="zh-CN" w:bidi="ar"/>
              </w:rPr>
              <w:t>《中华人民共和国民族区域自治法》</w:t>
            </w:r>
            <w:r>
              <w:rPr>
                <w:rFonts w:ascii="宋体" w:hAnsi="宋体" w:eastAsia="宋体" w:cs="宋体"/>
                <w:i w:val="0"/>
                <w:iCs w:val="0"/>
                <w:color w:val="000000"/>
                <w:kern w:val="0"/>
                <w:sz w:val="18"/>
                <w:szCs w:val="18"/>
                <w:u w:val="none"/>
                <w:lang w:val="en-US" w:eastAsia="zh-CN" w:bidi="ar"/>
              </w:rPr>
              <w:t>、《阿坝藏族羌族自治州自治条例》《阿坝藏族羌族自治州藏文社会用字管理办法》以及《阿坝藏族羌族自治州藏语言文字条例》的规定要求富有成效的开展藏、羌语言文字管理、督查等工作，进一步巩固我州民族团结进步成果，有序推进我州藏文社会用字法治化、规范化建设。</w:t>
            </w:r>
          </w:p>
        </w:tc>
      </w:tr>
      <w:tr w14:paraId="71E3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DA4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3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53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44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95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CA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70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C1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40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2B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01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26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44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1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449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14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58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C1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F35D5">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结合年度工作实际，对原计划开展的语言资源保护、业务培训等相关工作进行统筹优化，调整为分期分批实施，部分项目延后至下一年度推进，导致当年经费支出相应减少</w:t>
            </w:r>
          </w:p>
        </w:tc>
      </w:tr>
      <w:tr w14:paraId="03DE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FC2E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80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9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84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0E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DE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D2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66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4248">
            <w:pPr>
              <w:snapToGrid w:val="0"/>
              <w:rPr>
                <w:rFonts w:hint="eastAsia" w:ascii="黑体" w:hAnsi="黑体" w:eastAsia="黑体" w:cs="黑体"/>
                <w:i/>
                <w:iCs/>
                <w:color w:val="000000"/>
                <w:sz w:val="18"/>
                <w:szCs w:val="18"/>
                <w:u w:val="none"/>
              </w:rPr>
            </w:pPr>
          </w:p>
        </w:tc>
      </w:tr>
      <w:tr w14:paraId="7893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99FC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D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A8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39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73C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44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BA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8D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5A18">
            <w:pPr>
              <w:snapToGrid w:val="0"/>
              <w:rPr>
                <w:rFonts w:hint="eastAsia" w:ascii="黑体" w:hAnsi="黑体" w:eastAsia="黑体" w:cs="黑体"/>
                <w:i/>
                <w:iCs/>
                <w:color w:val="000000"/>
                <w:sz w:val="18"/>
                <w:szCs w:val="18"/>
                <w:u w:val="none"/>
              </w:rPr>
            </w:pPr>
          </w:p>
        </w:tc>
      </w:tr>
      <w:tr w14:paraId="4CBC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363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7A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88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C2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327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FCC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89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39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B2279">
            <w:pPr>
              <w:snapToGrid w:val="0"/>
              <w:rPr>
                <w:rFonts w:hint="eastAsia" w:ascii="黑体" w:hAnsi="黑体" w:eastAsia="黑体" w:cs="黑体"/>
                <w:i/>
                <w:iCs/>
                <w:color w:val="000000"/>
                <w:sz w:val="18"/>
                <w:szCs w:val="18"/>
                <w:u w:val="none"/>
              </w:rPr>
            </w:pPr>
          </w:p>
        </w:tc>
      </w:tr>
      <w:tr w14:paraId="0F9C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81AD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C7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309E">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700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866EE">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0E5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21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74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21373">
            <w:pPr>
              <w:snapToGrid w:val="0"/>
              <w:rPr>
                <w:rFonts w:hint="eastAsia" w:ascii="黑体" w:hAnsi="黑体" w:eastAsia="黑体" w:cs="黑体"/>
                <w:i/>
                <w:iCs/>
                <w:color w:val="000000"/>
                <w:sz w:val="18"/>
                <w:szCs w:val="18"/>
                <w:u w:val="none"/>
              </w:rPr>
            </w:pPr>
          </w:p>
        </w:tc>
      </w:tr>
      <w:tr w14:paraId="23C8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CE4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5F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8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14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F5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9FB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47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6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6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38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8D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90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88F88">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FE5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858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11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督查次数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20F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E2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2C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8F7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69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DB8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84C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工作进行统筹优化，部分项目延后至下一年度推进.</w:t>
            </w:r>
          </w:p>
        </w:tc>
      </w:tr>
      <w:tr w14:paraId="148F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AC0B7">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D86E8">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6824C">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F7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涵盖单位数量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A1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4B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5D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F2A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02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A2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6677">
            <w:pPr>
              <w:snapToGrid w:val="0"/>
              <w:jc w:val="center"/>
              <w:rPr>
                <w:rFonts w:hint="eastAsia" w:ascii="微软雅黑" w:hAnsi="微软雅黑" w:eastAsia="微软雅黑" w:cs="微软雅黑"/>
                <w:i/>
                <w:iCs/>
                <w:color w:val="000000"/>
                <w:sz w:val="16"/>
                <w:szCs w:val="16"/>
                <w:u w:val="none"/>
              </w:rPr>
            </w:pPr>
          </w:p>
        </w:tc>
      </w:tr>
      <w:tr w14:paraId="672B4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95EB">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CD8D">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9FF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64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语言文字管理规范率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2EF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638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4C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DEA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6E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D4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243E">
            <w:pPr>
              <w:snapToGrid w:val="0"/>
              <w:jc w:val="center"/>
              <w:rPr>
                <w:rFonts w:hint="eastAsia" w:ascii="微软雅黑" w:hAnsi="微软雅黑" w:eastAsia="微软雅黑" w:cs="微软雅黑"/>
                <w:i/>
                <w:iCs/>
                <w:color w:val="000000"/>
                <w:sz w:val="16"/>
                <w:szCs w:val="16"/>
                <w:u w:val="none"/>
              </w:rPr>
            </w:pPr>
          </w:p>
        </w:tc>
      </w:tr>
      <w:tr w14:paraId="6E6A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A36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5D91">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1DF1">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61C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语言文字管理合格率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D7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13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AB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431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91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D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57CC">
            <w:pPr>
              <w:snapToGrid w:val="0"/>
              <w:jc w:val="center"/>
              <w:rPr>
                <w:rFonts w:hint="eastAsia" w:ascii="微软雅黑" w:hAnsi="微软雅黑" w:eastAsia="微软雅黑" w:cs="微软雅黑"/>
                <w:i/>
                <w:iCs/>
                <w:color w:val="000000"/>
                <w:sz w:val="16"/>
                <w:szCs w:val="16"/>
                <w:u w:val="none"/>
              </w:rPr>
            </w:pPr>
          </w:p>
        </w:tc>
      </w:tr>
      <w:tr w14:paraId="774A4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7A20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AB4E3">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7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51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A35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85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32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DD5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A6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F1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F7E9">
            <w:pPr>
              <w:snapToGrid w:val="0"/>
              <w:jc w:val="center"/>
              <w:rPr>
                <w:rFonts w:hint="eastAsia" w:ascii="微软雅黑" w:hAnsi="微软雅黑" w:eastAsia="微软雅黑" w:cs="微软雅黑"/>
                <w:i/>
                <w:iCs/>
                <w:color w:val="000000"/>
                <w:sz w:val="16"/>
                <w:szCs w:val="16"/>
                <w:u w:val="none"/>
              </w:rPr>
            </w:pPr>
          </w:p>
        </w:tc>
      </w:tr>
      <w:tr w14:paraId="042C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2B63">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741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349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F0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民族团结进步成果巩固程度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18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25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3519">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B53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C1F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BF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4D7E">
            <w:pPr>
              <w:snapToGrid w:val="0"/>
              <w:jc w:val="center"/>
              <w:rPr>
                <w:rFonts w:hint="eastAsia" w:ascii="微软雅黑" w:hAnsi="微软雅黑" w:eastAsia="微软雅黑" w:cs="微软雅黑"/>
                <w:i/>
                <w:iCs/>
                <w:color w:val="000000"/>
                <w:sz w:val="16"/>
                <w:szCs w:val="16"/>
                <w:u w:val="none"/>
              </w:rPr>
            </w:pPr>
          </w:p>
        </w:tc>
      </w:tr>
      <w:tr w14:paraId="5836B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96E0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675B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8C80D">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98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藏文社会用字规范化水平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AD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F53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2506">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B9B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B7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FDA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AE89">
            <w:pPr>
              <w:snapToGrid w:val="0"/>
              <w:jc w:val="center"/>
              <w:rPr>
                <w:rFonts w:hint="eastAsia" w:ascii="微软雅黑" w:hAnsi="微软雅黑" w:eastAsia="微软雅黑" w:cs="微软雅黑"/>
                <w:i/>
                <w:iCs/>
                <w:color w:val="000000"/>
                <w:sz w:val="16"/>
                <w:szCs w:val="16"/>
                <w:u w:val="none"/>
              </w:rPr>
            </w:pPr>
          </w:p>
        </w:tc>
      </w:tr>
      <w:tr w14:paraId="4444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391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01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0F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FC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F4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B6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E1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141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3B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3B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2A8B">
            <w:pPr>
              <w:snapToGrid w:val="0"/>
              <w:jc w:val="center"/>
              <w:rPr>
                <w:rFonts w:hint="eastAsia" w:ascii="微软雅黑" w:hAnsi="微软雅黑" w:eastAsia="微软雅黑" w:cs="微软雅黑"/>
                <w:i/>
                <w:iCs/>
                <w:color w:val="000000"/>
                <w:sz w:val="16"/>
                <w:szCs w:val="16"/>
                <w:u w:val="none"/>
              </w:rPr>
            </w:pPr>
          </w:p>
        </w:tc>
      </w:tr>
      <w:tr w14:paraId="703EC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28B8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F4D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F5F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80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93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0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2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E6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28E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4E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3E19">
            <w:pPr>
              <w:snapToGrid w:val="0"/>
              <w:jc w:val="center"/>
              <w:rPr>
                <w:rFonts w:hint="eastAsia" w:ascii="微软雅黑" w:hAnsi="微软雅黑" w:eastAsia="微软雅黑" w:cs="微软雅黑"/>
                <w:i/>
                <w:iCs/>
                <w:color w:val="000000"/>
                <w:sz w:val="16"/>
                <w:szCs w:val="16"/>
                <w:u w:val="none"/>
              </w:rPr>
            </w:pPr>
          </w:p>
        </w:tc>
      </w:tr>
      <w:tr w14:paraId="4154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4C80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B0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92B91">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9007">
            <w:pPr>
              <w:snapToGrid w:val="0"/>
              <w:rPr>
                <w:rFonts w:hint="eastAsia" w:ascii="宋体" w:hAnsi="宋体" w:eastAsia="宋体" w:cs="宋体"/>
                <w:i w:val="0"/>
                <w:iCs w:val="0"/>
                <w:color w:val="FF0000"/>
                <w:sz w:val="18"/>
                <w:szCs w:val="18"/>
                <w:u w:val="none"/>
              </w:rPr>
            </w:pPr>
          </w:p>
        </w:tc>
      </w:tr>
      <w:tr w14:paraId="13DE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82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06553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采取线上监督举报通道和提供便捷的翻译服务、线下实地检查整改和规范的翻译服务的方式，做到用字文明规范；按照“分片规划、分类指导”的业务指导原则，会同深入相关县(市)及相关部门开展藏文社会用字督导，有序推进了我州藏文社会用字法治化、规范化建设，巩固了民族团结进步创建成果。</w:t>
            </w:r>
          </w:p>
        </w:tc>
      </w:tr>
      <w:tr w14:paraId="54C0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75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9736D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结合年度工作实际，对原计划开展的语言资源保护、业务培训等相关工作进行统筹优化，调整为分期分批实施，部分项目延后至下一年度推进，导致当年经费支出相应减少。</w:t>
            </w:r>
          </w:p>
        </w:tc>
      </w:tr>
      <w:tr w14:paraId="2D84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20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B1B8F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1.科学统筹项目实施，提前谋划年度少数民族语言文字工作，细化项目实施方案，合理安排时序，确保项目按期推进，经费及时列支。</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2.严格资金规范管理，严守专款专用、厉行节约要求，加强经费使用全过程管控，精准列支项目支出。</w:t>
            </w:r>
          </w:p>
        </w:tc>
      </w:tr>
      <w:tr w14:paraId="696B8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E436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08ED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40E3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AAC9B6F">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A94405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4FE294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CAD5D3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8AD2D76">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CBDBAB7">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0F4443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A86C01D">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D97A6A7">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9259665">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417E4FF">
            <w:pPr>
              <w:snapToGrid w:val="0"/>
              <w:rPr>
                <w:rFonts w:hint="eastAsia" w:ascii="宋体" w:hAnsi="宋体" w:eastAsia="宋体" w:cs="宋体"/>
                <w:i w:val="0"/>
                <w:iCs w:val="0"/>
                <w:color w:val="000000"/>
                <w:sz w:val="18"/>
                <w:szCs w:val="18"/>
                <w:u w:val="none"/>
              </w:rPr>
            </w:pPr>
          </w:p>
        </w:tc>
      </w:tr>
      <w:tr w14:paraId="2A8C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71BD36">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C33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0F7E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5342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51320021T000000062150-维稳应急工作经费</w:t>
            </w:r>
          </w:p>
        </w:tc>
      </w:tr>
      <w:tr w14:paraId="436D0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4B9E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78CF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1CFA9D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C93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5D2A6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9BF4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E30F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0BB0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498C7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45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9A487">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2B8BA">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335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开展宗教场所督导工作30次以上,场所管理合格率和规范率达到100%,减少宗教领域重大事件发生次数.</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6ED18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圆满完成年度维稳应急各项工作任务，经费保障及时到位，有效维护宗教领域安全稳定。</w:t>
            </w:r>
          </w:p>
        </w:tc>
      </w:tr>
      <w:tr w14:paraId="421B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7023">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B1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67D9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维稳应急工作经费主要用于隐患排查、应急处置及安全保障，全程规范支出、及时保障，有力支撑各项任务落实。</w:t>
            </w:r>
          </w:p>
        </w:tc>
      </w:tr>
      <w:tr w14:paraId="3A3F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472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AD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C0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24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0E8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664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C5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D7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20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4B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D620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CB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06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4E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00D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52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57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92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66ED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预算执行规范有序，执行率达标，根据应急处置实际需求合理支出，资金使用高效合规。</w:t>
            </w:r>
          </w:p>
        </w:tc>
      </w:tr>
      <w:tr w14:paraId="20ADF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54F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B3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34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664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DCF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1D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46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9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18558">
            <w:pPr>
              <w:snapToGrid w:val="0"/>
              <w:rPr>
                <w:rFonts w:hint="eastAsia" w:ascii="黑体" w:hAnsi="黑体" w:eastAsia="黑体" w:cs="黑体"/>
                <w:i/>
                <w:iCs/>
                <w:color w:val="000000"/>
                <w:sz w:val="18"/>
                <w:szCs w:val="18"/>
                <w:u w:val="none"/>
              </w:rPr>
            </w:pPr>
          </w:p>
        </w:tc>
      </w:tr>
      <w:tr w14:paraId="342C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7A7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928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00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D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75C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78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D7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EB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38509">
            <w:pPr>
              <w:snapToGrid w:val="0"/>
              <w:rPr>
                <w:rFonts w:hint="eastAsia" w:ascii="黑体" w:hAnsi="黑体" w:eastAsia="黑体" w:cs="黑体"/>
                <w:i/>
                <w:iCs/>
                <w:color w:val="000000"/>
                <w:sz w:val="18"/>
                <w:szCs w:val="18"/>
                <w:u w:val="none"/>
              </w:rPr>
            </w:pPr>
          </w:p>
        </w:tc>
      </w:tr>
      <w:tr w14:paraId="0A52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729C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3E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C7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B8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56B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85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94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E9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5572">
            <w:pPr>
              <w:snapToGrid w:val="0"/>
              <w:rPr>
                <w:rFonts w:hint="eastAsia" w:ascii="黑体" w:hAnsi="黑体" w:eastAsia="黑体" w:cs="黑体"/>
                <w:i/>
                <w:iCs/>
                <w:color w:val="000000"/>
                <w:sz w:val="18"/>
                <w:szCs w:val="18"/>
                <w:u w:val="none"/>
              </w:rPr>
            </w:pPr>
          </w:p>
        </w:tc>
      </w:tr>
      <w:tr w14:paraId="1DD8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C5E8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2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A4EB">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8C6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7D49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B2D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34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82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50BD4">
            <w:pPr>
              <w:snapToGrid w:val="0"/>
              <w:rPr>
                <w:rFonts w:hint="eastAsia" w:ascii="黑体" w:hAnsi="黑体" w:eastAsia="黑体" w:cs="黑体"/>
                <w:i/>
                <w:iCs/>
                <w:color w:val="000000"/>
                <w:sz w:val="18"/>
                <w:szCs w:val="18"/>
                <w:u w:val="none"/>
              </w:rPr>
            </w:pPr>
          </w:p>
        </w:tc>
      </w:tr>
      <w:tr w14:paraId="51B2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D11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F2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E2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15B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D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65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26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0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85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1A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7EA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42A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7D81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BF7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747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16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开展督导工作次数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537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95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BD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64F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8F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5D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D1DB">
            <w:pPr>
              <w:snapToGrid w:val="0"/>
              <w:jc w:val="center"/>
              <w:rPr>
                <w:rFonts w:hint="eastAsia" w:ascii="微软雅黑" w:hAnsi="微软雅黑" w:eastAsia="微软雅黑" w:cs="微软雅黑"/>
                <w:i/>
                <w:iCs/>
                <w:color w:val="000000"/>
                <w:sz w:val="16"/>
                <w:szCs w:val="16"/>
                <w:u w:val="none"/>
              </w:rPr>
            </w:pPr>
          </w:p>
        </w:tc>
      </w:tr>
      <w:tr w14:paraId="3E877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3C18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45A6E">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6D4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E5D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场所管理规范率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7C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65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E2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0F36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AD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2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A0B97">
            <w:pPr>
              <w:snapToGrid w:val="0"/>
              <w:jc w:val="center"/>
              <w:rPr>
                <w:rFonts w:hint="eastAsia" w:ascii="微软雅黑" w:hAnsi="微软雅黑" w:eastAsia="微软雅黑" w:cs="微软雅黑"/>
                <w:i/>
                <w:iCs/>
                <w:color w:val="000000"/>
                <w:sz w:val="16"/>
                <w:szCs w:val="16"/>
                <w:u w:val="none"/>
              </w:rPr>
            </w:pPr>
          </w:p>
        </w:tc>
      </w:tr>
      <w:tr w14:paraId="1EDB8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A4B6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23FC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E667B">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27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场所管理合格率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A9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60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75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698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4B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69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F71F">
            <w:pPr>
              <w:snapToGrid w:val="0"/>
              <w:jc w:val="center"/>
              <w:rPr>
                <w:rFonts w:hint="eastAsia" w:ascii="微软雅黑" w:hAnsi="微软雅黑" w:eastAsia="微软雅黑" w:cs="微软雅黑"/>
                <w:i/>
                <w:iCs/>
                <w:color w:val="000000"/>
                <w:sz w:val="16"/>
                <w:szCs w:val="16"/>
                <w:u w:val="none"/>
              </w:rPr>
            </w:pPr>
          </w:p>
        </w:tc>
      </w:tr>
      <w:tr w14:paraId="427BA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A4DB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219AF">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D4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7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2A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E5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9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2F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43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10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01E7">
            <w:pPr>
              <w:snapToGrid w:val="0"/>
              <w:jc w:val="center"/>
              <w:rPr>
                <w:rFonts w:hint="eastAsia" w:ascii="微软雅黑" w:hAnsi="微软雅黑" w:eastAsia="微软雅黑" w:cs="微软雅黑"/>
                <w:i/>
                <w:iCs/>
                <w:color w:val="000000"/>
                <w:sz w:val="16"/>
                <w:szCs w:val="16"/>
                <w:u w:val="none"/>
              </w:rPr>
            </w:pPr>
          </w:p>
        </w:tc>
      </w:tr>
      <w:tr w14:paraId="3229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7877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49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B1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20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维护宗教领域和谐稳定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9A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3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FFEF">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8C8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B6F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6D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9DF6">
            <w:pPr>
              <w:snapToGrid w:val="0"/>
              <w:jc w:val="center"/>
              <w:rPr>
                <w:rFonts w:hint="eastAsia" w:ascii="微软雅黑" w:hAnsi="微软雅黑" w:eastAsia="微软雅黑" w:cs="微软雅黑"/>
                <w:i/>
                <w:iCs/>
                <w:color w:val="000000"/>
                <w:sz w:val="16"/>
                <w:szCs w:val="16"/>
                <w:u w:val="none"/>
              </w:rPr>
            </w:pPr>
          </w:p>
        </w:tc>
      </w:tr>
      <w:tr w14:paraId="493C8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EFC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0A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93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73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宗教人士满意度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14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C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B2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187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99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D44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23F2">
            <w:pPr>
              <w:snapToGrid w:val="0"/>
              <w:jc w:val="center"/>
              <w:rPr>
                <w:rFonts w:hint="eastAsia" w:ascii="微软雅黑" w:hAnsi="微软雅黑" w:eastAsia="微软雅黑" w:cs="微软雅黑"/>
                <w:i/>
                <w:iCs/>
                <w:color w:val="000000"/>
                <w:sz w:val="16"/>
                <w:szCs w:val="16"/>
                <w:u w:val="none"/>
              </w:rPr>
            </w:pPr>
          </w:p>
        </w:tc>
      </w:tr>
      <w:tr w14:paraId="30B2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FF23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37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8D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5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A11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31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0D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1A3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FF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C7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27BD">
            <w:pPr>
              <w:snapToGrid w:val="0"/>
              <w:jc w:val="center"/>
              <w:rPr>
                <w:rFonts w:hint="eastAsia" w:ascii="微软雅黑" w:hAnsi="微软雅黑" w:eastAsia="微软雅黑" w:cs="微软雅黑"/>
                <w:i/>
                <w:iCs/>
                <w:color w:val="000000"/>
                <w:sz w:val="16"/>
                <w:szCs w:val="16"/>
                <w:u w:val="none"/>
              </w:rPr>
            </w:pPr>
          </w:p>
        </w:tc>
      </w:tr>
      <w:tr w14:paraId="1F657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D708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67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6D94">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8528">
            <w:pPr>
              <w:snapToGrid w:val="0"/>
              <w:rPr>
                <w:rFonts w:hint="eastAsia" w:ascii="宋体" w:hAnsi="宋体" w:eastAsia="宋体" w:cs="宋体"/>
                <w:i w:val="0"/>
                <w:iCs w:val="0"/>
                <w:color w:val="FF0000"/>
                <w:sz w:val="18"/>
                <w:szCs w:val="18"/>
                <w:u w:val="none"/>
              </w:rPr>
            </w:pPr>
          </w:p>
        </w:tc>
      </w:tr>
      <w:tr w14:paraId="7296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92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344B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该项目支出绩效评价指标总分值100分，自评89分。项目自评成绩优良，经费使用规范高效，应急保障有力，维稳工作取得显著成效。</w:t>
            </w:r>
          </w:p>
        </w:tc>
      </w:tr>
      <w:tr w14:paraId="0FB35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1F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ADB26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应急经费精细化管理有待加强，部分台账资料不够完善，风险预判和统筹力度仍需提升。</w:t>
            </w:r>
          </w:p>
        </w:tc>
      </w:tr>
      <w:tr w14:paraId="0F3F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B0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7B5CF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健全应急经费管理机制，强化风险研判，提升应急保障规范化水平。</w:t>
            </w:r>
          </w:p>
        </w:tc>
      </w:tr>
      <w:tr w14:paraId="33F4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415F1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70200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22F7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BDE544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B56CB92">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4CEAFA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C383866">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A6213A4">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81EA1AF">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17EB07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8314DA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92D3F6">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0A4AA98">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2F28DAF">
            <w:pPr>
              <w:snapToGrid w:val="0"/>
              <w:rPr>
                <w:rFonts w:hint="eastAsia" w:ascii="宋体" w:hAnsi="宋体" w:eastAsia="宋体" w:cs="宋体"/>
                <w:i w:val="0"/>
                <w:iCs w:val="0"/>
                <w:color w:val="000000"/>
                <w:sz w:val="18"/>
                <w:szCs w:val="18"/>
                <w:u w:val="none"/>
              </w:rPr>
            </w:pPr>
          </w:p>
        </w:tc>
      </w:tr>
      <w:tr w14:paraId="2BCB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19A259">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47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C5E4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EE3F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51320021T000000062156-阿坝州民族团结进步创建工作经费</w:t>
            </w:r>
          </w:p>
        </w:tc>
      </w:tr>
      <w:tr w14:paraId="77C7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0DE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F34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529FE9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86C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2B885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1B1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F3F4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ED02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3569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89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11D8">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42A7B">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5723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2025年巩固提升全国民族团结进步示范州成果，提升民族地区社会和谐稳定水平,完成新一轮全国民族团结进步示范州创建工作。</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6F310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深入持久开展民族团结进步创建工作，统揽阿坝州经济社会发展各项工作，群众生产生活条件得到全面提升，幸福指标明显增强，25年阿坝州再次被命名“全国民族团结进步示范州”，创建工作得到国家民委、省民族宗教委认可。</w:t>
            </w:r>
          </w:p>
        </w:tc>
      </w:tr>
      <w:tr w14:paraId="27AC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8E42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798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77642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州于2019年成功创建全国民族团结进步示范州，期间持续巩固提升全国民族团结进步示范州创建成果，全面深入持久开展民族团结进步创建工作，在2025年推动并完成新一轮全国民族团结进步示范州创建工作，阿坝州再次被命名“全国民族团结进步示范州”，壤塘县被命名为“全国民族团结进步示范县”，我州国家级示范命名质效保持全国、全省第一。</w:t>
            </w:r>
          </w:p>
        </w:tc>
      </w:tr>
      <w:tr w14:paraId="1E46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47B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770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C0A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5E9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D319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3B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3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FA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A9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7C1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D029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78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02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79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174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D6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17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EC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9A1A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24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CF5B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40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74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37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25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139.82</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4F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A5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B7E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B47F2">
            <w:pPr>
              <w:snapToGrid w:val="0"/>
              <w:rPr>
                <w:rFonts w:hint="eastAsia" w:ascii="黑体" w:hAnsi="黑体" w:eastAsia="黑体" w:cs="黑体"/>
                <w:i/>
                <w:iCs/>
                <w:color w:val="000000"/>
                <w:sz w:val="18"/>
                <w:szCs w:val="18"/>
                <w:u w:val="none"/>
              </w:rPr>
            </w:pPr>
          </w:p>
        </w:tc>
      </w:tr>
      <w:tr w14:paraId="5B5E2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522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73A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E7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56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1EE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22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DF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CB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6378">
            <w:pPr>
              <w:snapToGrid w:val="0"/>
              <w:rPr>
                <w:rFonts w:hint="eastAsia" w:ascii="黑体" w:hAnsi="黑体" w:eastAsia="黑体" w:cs="黑体"/>
                <w:i/>
                <w:iCs/>
                <w:color w:val="000000"/>
                <w:sz w:val="18"/>
                <w:szCs w:val="18"/>
                <w:u w:val="none"/>
              </w:rPr>
            </w:pPr>
          </w:p>
        </w:tc>
      </w:tr>
      <w:tr w14:paraId="368A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87B9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596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C0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83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612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CA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4F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9D0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229BE">
            <w:pPr>
              <w:snapToGrid w:val="0"/>
              <w:rPr>
                <w:rFonts w:hint="eastAsia" w:ascii="黑体" w:hAnsi="黑体" w:eastAsia="黑体" w:cs="黑体"/>
                <w:i/>
                <w:iCs/>
                <w:color w:val="000000"/>
                <w:sz w:val="18"/>
                <w:szCs w:val="18"/>
                <w:u w:val="none"/>
              </w:rPr>
            </w:pPr>
          </w:p>
        </w:tc>
      </w:tr>
      <w:tr w14:paraId="71FD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F6CD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A6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D9714">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3276">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CC284">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4538">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E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22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B9A74">
            <w:pPr>
              <w:snapToGrid w:val="0"/>
              <w:rPr>
                <w:rFonts w:hint="eastAsia" w:ascii="黑体" w:hAnsi="黑体" w:eastAsia="黑体" w:cs="黑体"/>
                <w:i/>
                <w:iCs/>
                <w:color w:val="000000"/>
                <w:sz w:val="18"/>
                <w:szCs w:val="18"/>
                <w:u w:val="none"/>
              </w:rPr>
            </w:pPr>
          </w:p>
        </w:tc>
      </w:tr>
      <w:tr w14:paraId="42D1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89E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22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B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F9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1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A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60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17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97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7D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2C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15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A58A">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051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B0B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D9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民族团结进步示范点巩固提升数量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1F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5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CC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FBF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6F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2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3E51">
            <w:pPr>
              <w:snapToGrid w:val="0"/>
              <w:jc w:val="center"/>
              <w:rPr>
                <w:rFonts w:hint="eastAsia" w:ascii="微软雅黑" w:hAnsi="微软雅黑" w:eastAsia="微软雅黑" w:cs="微软雅黑"/>
                <w:i/>
                <w:iCs/>
                <w:color w:val="000000"/>
                <w:sz w:val="16"/>
                <w:szCs w:val="16"/>
                <w:u w:val="none"/>
              </w:rPr>
            </w:pPr>
          </w:p>
        </w:tc>
      </w:tr>
      <w:tr w14:paraId="6219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D2E4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8FC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C72D7">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DE3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创建示范区（单位）个数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E0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277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16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079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4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44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9A5C">
            <w:pPr>
              <w:snapToGrid w:val="0"/>
              <w:jc w:val="center"/>
              <w:rPr>
                <w:rFonts w:hint="eastAsia" w:ascii="微软雅黑" w:hAnsi="微软雅黑" w:eastAsia="微软雅黑" w:cs="微软雅黑"/>
                <w:i/>
                <w:iCs/>
                <w:color w:val="000000"/>
                <w:sz w:val="16"/>
                <w:szCs w:val="16"/>
                <w:u w:val="none"/>
              </w:rPr>
            </w:pPr>
          </w:p>
        </w:tc>
      </w:tr>
      <w:tr w14:paraId="08BC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F351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AACB4">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EB508">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37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开展民族团结进步宣传活动次数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8B8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78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3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A71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C0D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CA9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BEFC">
            <w:pPr>
              <w:snapToGrid w:val="0"/>
              <w:jc w:val="center"/>
              <w:rPr>
                <w:rFonts w:hint="eastAsia" w:ascii="微软雅黑" w:hAnsi="微软雅黑" w:eastAsia="微软雅黑" w:cs="微软雅黑"/>
                <w:i/>
                <w:iCs/>
                <w:color w:val="000000"/>
                <w:sz w:val="16"/>
                <w:szCs w:val="16"/>
                <w:u w:val="none"/>
              </w:rPr>
            </w:pPr>
          </w:p>
        </w:tc>
      </w:tr>
      <w:tr w14:paraId="73DD1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8972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7125C">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F60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C2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示范测评达标率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D0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F2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86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8FB1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6A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09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169D">
            <w:pPr>
              <w:snapToGrid w:val="0"/>
              <w:jc w:val="center"/>
              <w:rPr>
                <w:rFonts w:hint="eastAsia" w:ascii="微软雅黑" w:hAnsi="微软雅黑" w:eastAsia="微软雅黑" w:cs="微软雅黑"/>
                <w:i/>
                <w:iCs/>
                <w:color w:val="000000"/>
                <w:sz w:val="16"/>
                <w:szCs w:val="16"/>
                <w:u w:val="none"/>
              </w:rPr>
            </w:pPr>
          </w:p>
        </w:tc>
      </w:tr>
      <w:tr w14:paraId="0EEE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655B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CB2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F7B5">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FB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示范单位民族团结政策知晓率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E9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7B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4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A85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97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52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07E0">
            <w:pPr>
              <w:snapToGrid w:val="0"/>
              <w:jc w:val="center"/>
              <w:rPr>
                <w:rFonts w:hint="eastAsia" w:ascii="微软雅黑" w:hAnsi="微软雅黑" w:eastAsia="微软雅黑" w:cs="微软雅黑"/>
                <w:i/>
                <w:iCs/>
                <w:color w:val="000000"/>
                <w:sz w:val="16"/>
                <w:szCs w:val="16"/>
                <w:u w:val="none"/>
              </w:rPr>
            </w:pPr>
          </w:p>
        </w:tc>
      </w:tr>
      <w:tr w14:paraId="3489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9B52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A868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49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EB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13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5A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A4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7A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D4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AC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F0268">
            <w:pPr>
              <w:snapToGrid w:val="0"/>
              <w:jc w:val="center"/>
              <w:rPr>
                <w:rFonts w:hint="eastAsia" w:ascii="微软雅黑" w:hAnsi="微软雅黑" w:eastAsia="微软雅黑" w:cs="微软雅黑"/>
                <w:i/>
                <w:iCs/>
                <w:color w:val="000000"/>
                <w:sz w:val="16"/>
                <w:szCs w:val="16"/>
                <w:u w:val="none"/>
              </w:rPr>
            </w:pPr>
          </w:p>
        </w:tc>
      </w:tr>
      <w:tr w14:paraId="6223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3D92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835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C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D3F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60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30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3753">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92A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A6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58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9551">
            <w:pPr>
              <w:snapToGrid w:val="0"/>
              <w:jc w:val="center"/>
              <w:rPr>
                <w:rFonts w:hint="eastAsia" w:ascii="微软雅黑" w:hAnsi="微软雅黑" w:eastAsia="微软雅黑" w:cs="微软雅黑"/>
                <w:i/>
                <w:iCs/>
                <w:color w:val="000000"/>
                <w:sz w:val="16"/>
                <w:szCs w:val="16"/>
                <w:u w:val="none"/>
              </w:rPr>
            </w:pPr>
          </w:p>
        </w:tc>
      </w:tr>
      <w:tr w14:paraId="1E07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D01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02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DC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22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少数民族群众生活满意度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5F9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D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CA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0EC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97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18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FF99">
            <w:pPr>
              <w:snapToGrid w:val="0"/>
              <w:jc w:val="center"/>
              <w:rPr>
                <w:rFonts w:hint="eastAsia" w:ascii="微软雅黑" w:hAnsi="微软雅黑" w:eastAsia="微软雅黑" w:cs="微软雅黑"/>
                <w:i/>
                <w:iCs/>
                <w:color w:val="000000"/>
                <w:sz w:val="16"/>
                <w:szCs w:val="16"/>
                <w:u w:val="none"/>
              </w:rPr>
            </w:pPr>
          </w:p>
        </w:tc>
      </w:tr>
      <w:tr w14:paraId="6B11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0C5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AC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76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E3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86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AC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C5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1F2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DE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4E7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1F99">
            <w:pPr>
              <w:snapToGrid w:val="0"/>
              <w:jc w:val="center"/>
              <w:rPr>
                <w:rFonts w:hint="eastAsia" w:ascii="微软雅黑" w:hAnsi="微软雅黑" w:eastAsia="微软雅黑" w:cs="微软雅黑"/>
                <w:i/>
                <w:iCs/>
                <w:color w:val="000000"/>
                <w:sz w:val="16"/>
                <w:szCs w:val="16"/>
                <w:u w:val="none"/>
              </w:rPr>
            </w:pPr>
          </w:p>
        </w:tc>
      </w:tr>
      <w:tr w14:paraId="2944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DE1B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5D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0E2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DB391">
            <w:pPr>
              <w:snapToGrid w:val="0"/>
              <w:rPr>
                <w:rFonts w:hint="eastAsia" w:ascii="宋体" w:hAnsi="宋体" w:eastAsia="宋体" w:cs="宋体"/>
                <w:i w:val="0"/>
                <w:iCs w:val="0"/>
                <w:color w:val="FF0000"/>
                <w:sz w:val="18"/>
                <w:szCs w:val="18"/>
                <w:u w:val="none"/>
              </w:rPr>
            </w:pPr>
          </w:p>
        </w:tc>
      </w:tr>
      <w:tr w14:paraId="2EE3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DA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FE41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阿坝州通过开展民族团结进步创建工作，取得了显著效果。经济上，优势产业发展，综合实力提升。民生方面，就业改善，医疗保障健全，群众获得感增强。文化领域，文化遗产保护传承，文旅融合发展，特色文化活动丰富。思想上，“三个离不开”“四个与共”“五个认同”思想根基筑牢，民族团结意识深入人心。基层治理不断优化，通过“微网实格”等工作举措，促进了各族群众交流交融，社会和谐稳定，民族团结进步之花全域盛开。</w:t>
            </w:r>
          </w:p>
        </w:tc>
      </w:tr>
      <w:tr w14:paraId="38F34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FC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B809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1.前期调研不够充分，预算编制不够精准，导致资金有结余。</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2.因我州于6月和10月接受示范州创建省检和国检，导致资金拨付较为缓慢。</w:t>
            </w:r>
          </w:p>
        </w:tc>
      </w:tr>
      <w:tr w14:paraId="41C89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D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429ED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1.加强前期调研，充分论证项目实施可行性，提高预算编制科学性，推行零基预算，打破“往年花多少今年批多少”的惯性思维。</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2.提前谋划，对紧急性项目和资金滞留情况，加强项目管理和资金拨付，使资金发挥最大效益，项目尽快实施落地。</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3.以铸牢中华民族共同体意识为主线，持续深化民族团结进步创建工作，巩固阿坝州“全国民族团结进步示范州”成果，稳步推动阿坝州民族团结进步事业落地生花。</w:t>
            </w:r>
          </w:p>
        </w:tc>
      </w:tr>
      <w:tr w14:paraId="0E6E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2E507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3AB64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3976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8945474">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2C8BCC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6BE0F3E">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EFEE21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29A6A765">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19D56E35">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6AF9511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A9DDF5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B6F6833">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2745EC9">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E23F572">
            <w:pPr>
              <w:snapToGrid w:val="0"/>
              <w:rPr>
                <w:rFonts w:hint="eastAsia" w:ascii="宋体" w:hAnsi="宋体" w:eastAsia="宋体" w:cs="宋体"/>
                <w:i w:val="0"/>
                <w:iCs w:val="0"/>
                <w:color w:val="000000"/>
                <w:sz w:val="18"/>
                <w:szCs w:val="18"/>
                <w:u w:val="none"/>
              </w:rPr>
            </w:pPr>
          </w:p>
        </w:tc>
      </w:tr>
      <w:tr w14:paraId="3D6E2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CD193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8C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0C9D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3F2B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51320021T000000062259-古籍收集整理及协助指导项目经费</w:t>
            </w:r>
          </w:p>
        </w:tc>
      </w:tr>
      <w:tr w14:paraId="77646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EEF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F6C6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427E00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F2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3893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FE26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EAD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A83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C19E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0F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B100">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09A9B">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1E56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开展古籍收集整理及协助指导工作,提升文物保护工作水平,继续对我州少数民族古籍基本情况进行普查,赴相关县开展系列丛书编撰相关工作,开展阿坝州《明清及民国时期中央政府与四川民族地区文书史料汇编》第二辑编撰相关工作。</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57215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抢救保护藏羌等民族古籍，提升基层保护能力，传承民族文化，铸牢中华民族共同体意识。支持古籍普查征集、整理编目、数字化、修复、基层培训指导及业务督导，完善古籍保护体系。开展古籍整理与指导工作，对我州少数民族古籍情况开展普查。赴13县（市）开展系列丛书编撰工作。</w:t>
            </w:r>
          </w:p>
        </w:tc>
      </w:tr>
      <w:tr w14:paraId="17C1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DCF6">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788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89C4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抢救保护藏羌等民族古籍，提升基层保护能力，传承民族文化，铸牢中华民族共同体意识。支持古籍普查征集、整理编目、数字化、修复、基层培训指导及业务督导，完善古籍保护体系。</w:t>
            </w:r>
          </w:p>
        </w:tc>
      </w:tr>
      <w:tr w14:paraId="5F31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70E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5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F7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26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62F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91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6D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E7C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559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50C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4C1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92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B1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87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131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4B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92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6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CE1E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F6A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04A3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D5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B8C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D4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A27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2C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8F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FA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E13F2">
            <w:pPr>
              <w:snapToGrid w:val="0"/>
              <w:rPr>
                <w:rFonts w:hint="eastAsia" w:ascii="黑体" w:hAnsi="黑体" w:eastAsia="黑体" w:cs="黑体"/>
                <w:i/>
                <w:iCs/>
                <w:color w:val="000000"/>
                <w:sz w:val="18"/>
                <w:szCs w:val="18"/>
                <w:u w:val="none"/>
              </w:rPr>
            </w:pPr>
          </w:p>
        </w:tc>
      </w:tr>
      <w:tr w14:paraId="575C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B68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09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AF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B93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072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B3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05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62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0C20">
            <w:pPr>
              <w:snapToGrid w:val="0"/>
              <w:rPr>
                <w:rFonts w:hint="eastAsia" w:ascii="黑体" w:hAnsi="黑体" w:eastAsia="黑体" w:cs="黑体"/>
                <w:i/>
                <w:iCs/>
                <w:color w:val="000000"/>
                <w:sz w:val="18"/>
                <w:szCs w:val="18"/>
                <w:u w:val="none"/>
              </w:rPr>
            </w:pPr>
          </w:p>
        </w:tc>
      </w:tr>
      <w:tr w14:paraId="72AA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591C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7A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A8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BE5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E58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B1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D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1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4D56">
            <w:pPr>
              <w:snapToGrid w:val="0"/>
              <w:rPr>
                <w:rFonts w:hint="eastAsia" w:ascii="黑体" w:hAnsi="黑体" w:eastAsia="黑体" w:cs="黑体"/>
                <w:i/>
                <w:iCs/>
                <w:color w:val="000000"/>
                <w:sz w:val="18"/>
                <w:szCs w:val="18"/>
                <w:u w:val="none"/>
              </w:rPr>
            </w:pPr>
          </w:p>
        </w:tc>
      </w:tr>
      <w:tr w14:paraId="75F9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9D27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52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9D4D">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6F90">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B453E">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6BCD">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D4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3D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8CEA6">
            <w:pPr>
              <w:snapToGrid w:val="0"/>
              <w:rPr>
                <w:rFonts w:hint="eastAsia" w:ascii="黑体" w:hAnsi="黑体" w:eastAsia="黑体" w:cs="黑体"/>
                <w:i/>
                <w:iCs/>
                <w:color w:val="000000"/>
                <w:sz w:val="18"/>
                <w:szCs w:val="18"/>
                <w:u w:val="none"/>
              </w:rPr>
            </w:pPr>
          </w:p>
        </w:tc>
      </w:tr>
      <w:tr w14:paraId="4DCC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0B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9E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51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A9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2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FD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098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BF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B5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4D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A0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E4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3E9C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BEE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04E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D1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收集整理协助指导工作次数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D5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90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4F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8FB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F1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5DF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543C">
            <w:pPr>
              <w:snapToGrid w:val="0"/>
              <w:jc w:val="center"/>
              <w:rPr>
                <w:rFonts w:hint="eastAsia" w:ascii="微软雅黑" w:hAnsi="微软雅黑" w:eastAsia="微软雅黑" w:cs="微软雅黑"/>
                <w:i/>
                <w:iCs/>
                <w:color w:val="000000"/>
                <w:sz w:val="16"/>
                <w:szCs w:val="16"/>
                <w:u w:val="none"/>
              </w:rPr>
            </w:pPr>
          </w:p>
        </w:tc>
      </w:tr>
      <w:tr w14:paraId="3B0A6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991A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8D496">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8C0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10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古籍收集合格率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C2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A0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8C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6E4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DC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9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D9D8">
            <w:pPr>
              <w:snapToGrid w:val="0"/>
              <w:jc w:val="center"/>
              <w:rPr>
                <w:rFonts w:hint="eastAsia" w:ascii="微软雅黑" w:hAnsi="微软雅黑" w:eastAsia="微软雅黑" w:cs="微软雅黑"/>
                <w:i/>
                <w:iCs/>
                <w:color w:val="000000"/>
                <w:sz w:val="16"/>
                <w:szCs w:val="16"/>
                <w:u w:val="none"/>
              </w:rPr>
            </w:pPr>
          </w:p>
        </w:tc>
      </w:tr>
      <w:tr w14:paraId="16558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8D8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921B">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23338">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BF6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古籍工作规范率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24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C9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5F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F79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DD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9E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8D55">
            <w:pPr>
              <w:snapToGrid w:val="0"/>
              <w:jc w:val="center"/>
              <w:rPr>
                <w:rFonts w:hint="eastAsia" w:ascii="微软雅黑" w:hAnsi="微软雅黑" w:eastAsia="微软雅黑" w:cs="微软雅黑"/>
                <w:i/>
                <w:iCs/>
                <w:color w:val="000000"/>
                <w:sz w:val="16"/>
                <w:szCs w:val="16"/>
                <w:u w:val="none"/>
              </w:rPr>
            </w:pPr>
          </w:p>
        </w:tc>
      </w:tr>
      <w:tr w14:paraId="7A13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1C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74F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301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A1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少数民族古籍普查按时完成率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52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25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65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F8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A1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A2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9B09">
            <w:pPr>
              <w:snapToGrid w:val="0"/>
              <w:jc w:val="center"/>
              <w:rPr>
                <w:rFonts w:hint="eastAsia" w:ascii="微软雅黑" w:hAnsi="微软雅黑" w:eastAsia="微软雅黑" w:cs="微软雅黑"/>
                <w:i/>
                <w:iCs/>
                <w:color w:val="000000"/>
                <w:sz w:val="16"/>
                <w:szCs w:val="16"/>
                <w:u w:val="none"/>
              </w:rPr>
            </w:pPr>
          </w:p>
        </w:tc>
      </w:tr>
      <w:tr w14:paraId="2CC0C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FACEE">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E4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E9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7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古籍损毁下降率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E4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74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B3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3B3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E1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71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C274B">
            <w:pPr>
              <w:snapToGrid w:val="0"/>
              <w:jc w:val="center"/>
              <w:rPr>
                <w:rFonts w:hint="eastAsia" w:ascii="微软雅黑" w:hAnsi="微软雅黑" w:eastAsia="微软雅黑" w:cs="微软雅黑"/>
                <w:i/>
                <w:iCs/>
                <w:color w:val="000000"/>
                <w:sz w:val="16"/>
                <w:szCs w:val="16"/>
                <w:u w:val="none"/>
              </w:rPr>
            </w:pPr>
          </w:p>
        </w:tc>
      </w:tr>
      <w:tr w14:paraId="5238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08F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901BD">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B1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AD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文物保护工作成效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561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D4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235B">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7CE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8C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3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32A3">
            <w:pPr>
              <w:snapToGrid w:val="0"/>
              <w:jc w:val="center"/>
              <w:rPr>
                <w:rFonts w:hint="eastAsia" w:ascii="微软雅黑" w:hAnsi="微软雅黑" w:eastAsia="微软雅黑" w:cs="微软雅黑"/>
                <w:i/>
                <w:iCs/>
                <w:color w:val="000000"/>
                <w:sz w:val="16"/>
                <w:szCs w:val="16"/>
                <w:u w:val="none"/>
              </w:rPr>
            </w:pPr>
          </w:p>
        </w:tc>
      </w:tr>
      <w:tr w14:paraId="282A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E0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ED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D1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BC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古籍工作人员满意度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168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8C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31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6BE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0B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CA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E69C">
            <w:pPr>
              <w:snapToGrid w:val="0"/>
              <w:jc w:val="center"/>
              <w:rPr>
                <w:rFonts w:hint="eastAsia" w:ascii="微软雅黑" w:hAnsi="微软雅黑" w:eastAsia="微软雅黑" w:cs="微软雅黑"/>
                <w:i/>
                <w:iCs/>
                <w:color w:val="000000"/>
                <w:sz w:val="16"/>
                <w:szCs w:val="16"/>
                <w:u w:val="none"/>
              </w:rPr>
            </w:pPr>
          </w:p>
        </w:tc>
      </w:tr>
      <w:tr w14:paraId="6A50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2E29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F06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17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37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4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C7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DD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AF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EC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87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EB44">
            <w:pPr>
              <w:snapToGrid w:val="0"/>
              <w:jc w:val="center"/>
              <w:rPr>
                <w:rFonts w:hint="eastAsia" w:ascii="微软雅黑" w:hAnsi="微软雅黑" w:eastAsia="微软雅黑" w:cs="微软雅黑"/>
                <w:i/>
                <w:iCs/>
                <w:color w:val="000000"/>
                <w:sz w:val="16"/>
                <w:szCs w:val="16"/>
                <w:u w:val="none"/>
              </w:rPr>
            </w:pPr>
          </w:p>
        </w:tc>
      </w:tr>
      <w:tr w14:paraId="4DE0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882B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1A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86B5F">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5534">
            <w:pPr>
              <w:snapToGrid w:val="0"/>
              <w:rPr>
                <w:rFonts w:hint="eastAsia" w:ascii="宋体" w:hAnsi="宋体" w:eastAsia="宋体" w:cs="宋体"/>
                <w:i w:val="0"/>
                <w:iCs w:val="0"/>
                <w:color w:val="FF0000"/>
                <w:sz w:val="18"/>
                <w:szCs w:val="18"/>
                <w:u w:val="none"/>
              </w:rPr>
            </w:pPr>
          </w:p>
        </w:tc>
      </w:tr>
      <w:tr w14:paraId="68B3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3E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94032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古籍收集整理及协助指导工作扎实推进，全面梳理多民族古籍文献，分类规范、保管妥善。同步开展专业指导，有效提升基层实操能力。既抢救保护了珍贵文脉，又助力文化传承与民族团结，圆满完成各项任务，成效良好。</w:t>
            </w:r>
          </w:p>
        </w:tc>
      </w:tr>
      <w:tr w14:paraId="144D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2E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00657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B8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01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DEC82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3A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DED1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47682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CCC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2BA5AAB">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F8C90CC">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0D05D9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4B6EA85B">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3DE705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8668B3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486EA3E">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1DEBC15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E38692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08D6B4A">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7AEE3C8">
            <w:pPr>
              <w:snapToGrid w:val="0"/>
              <w:rPr>
                <w:rFonts w:hint="eastAsia" w:ascii="宋体" w:hAnsi="宋体" w:eastAsia="宋体" w:cs="宋体"/>
                <w:i w:val="0"/>
                <w:iCs w:val="0"/>
                <w:color w:val="000000"/>
                <w:sz w:val="18"/>
                <w:szCs w:val="18"/>
                <w:u w:val="none"/>
              </w:rPr>
            </w:pPr>
          </w:p>
        </w:tc>
      </w:tr>
      <w:tr w14:paraId="722D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14F770">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BF5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0F54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1679C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51320021T000000062277-修车费</w:t>
            </w:r>
          </w:p>
        </w:tc>
      </w:tr>
      <w:tr w14:paraId="67B9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0B0C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435BF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17ABE27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0ED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3EE1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301B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A858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73C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0C0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EEC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35B3">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0B08E">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9775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对单位里程数较大、安全隐患较大的公务用车进行大修，以确保公务用车车况较好，满足单位正常工作需要。</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5864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对单位里程数较大、安全隐患较大的公务用车进行大修。</w:t>
            </w:r>
          </w:p>
        </w:tc>
      </w:tr>
      <w:tr w14:paraId="5C45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9669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5F3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A9FB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通过价格咨询后，定点对里程数较大、安全隐患较大的公务用车川U57616进行大修。</w:t>
            </w:r>
          </w:p>
        </w:tc>
      </w:tr>
      <w:tr w14:paraId="62DC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C0B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F3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BB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91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27E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2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80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D42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09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5B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6D47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A8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26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936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3D9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D1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64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9C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88ED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AE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62B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05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DC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39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5F8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74F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74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0F9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425BD">
            <w:pPr>
              <w:snapToGrid w:val="0"/>
              <w:rPr>
                <w:rFonts w:hint="eastAsia" w:ascii="黑体" w:hAnsi="黑体" w:eastAsia="黑体" w:cs="黑体"/>
                <w:i/>
                <w:iCs/>
                <w:color w:val="000000"/>
                <w:sz w:val="18"/>
                <w:szCs w:val="18"/>
                <w:u w:val="none"/>
              </w:rPr>
            </w:pPr>
          </w:p>
        </w:tc>
      </w:tr>
      <w:tr w14:paraId="1B78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1309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0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5A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26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DF5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334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6E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84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94C6">
            <w:pPr>
              <w:snapToGrid w:val="0"/>
              <w:rPr>
                <w:rFonts w:hint="eastAsia" w:ascii="黑体" w:hAnsi="黑体" w:eastAsia="黑体" w:cs="黑体"/>
                <w:i/>
                <w:iCs/>
                <w:color w:val="000000"/>
                <w:sz w:val="18"/>
                <w:szCs w:val="18"/>
                <w:u w:val="none"/>
              </w:rPr>
            </w:pPr>
          </w:p>
        </w:tc>
      </w:tr>
      <w:tr w14:paraId="177D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CBC7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F3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39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1B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72C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5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BF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1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7A2DC">
            <w:pPr>
              <w:snapToGrid w:val="0"/>
              <w:rPr>
                <w:rFonts w:hint="eastAsia" w:ascii="黑体" w:hAnsi="黑体" w:eastAsia="黑体" w:cs="黑体"/>
                <w:i/>
                <w:iCs/>
                <w:color w:val="000000"/>
                <w:sz w:val="18"/>
                <w:szCs w:val="18"/>
                <w:u w:val="none"/>
              </w:rPr>
            </w:pPr>
          </w:p>
        </w:tc>
      </w:tr>
      <w:tr w14:paraId="03649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DCB3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A6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80A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73B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4FA8F">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4D38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FC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C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CB444">
            <w:pPr>
              <w:snapToGrid w:val="0"/>
              <w:rPr>
                <w:rFonts w:hint="eastAsia" w:ascii="黑体" w:hAnsi="黑体" w:eastAsia="黑体" w:cs="黑体"/>
                <w:i/>
                <w:iCs/>
                <w:color w:val="000000"/>
                <w:sz w:val="18"/>
                <w:szCs w:val="18"/>
                <w:u w:val="none"/>
              </w:rPr>
            </w:pPr>
          </w:p>
        </w:tc>
      </w:tr>
      <w:tr w14:paraId="1F23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C9A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03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93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0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B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C9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13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AA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2C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08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C5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2F4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CC5C">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AB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152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EB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维修车辆数量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5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07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63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46E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1A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C8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69DE">
            <w:pPr>
              <w:snapToGrid w:val="0"/>
              <w:jc w:val="center"/>
              <w:rPr>
                <w:rFonts w:hint="eastAsia" w:ascii="微软雅黑" w:hAnsi="微软雅黑" w:eastAsia="微软雅黑" w:cs="微软雅黑"/>
                <w:i/>
                <w:iCs/>
                <w:color w:val="000000"/>
                <w:sz w:val="16"/>
                <w:szCs w:val="16"/>
                <w:u w:val="none"/>
              </w:rPr>
            </w:pPr>
          </w:p>
        </w:tc>
      </w:tr>
      <w:tr w14:paraId="66EA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269D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3D266">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89D21">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CA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维修项目数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A1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8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6E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412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A1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AB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CC60">
            <w:pPr>
              <w:snapToGrid w:val="0"/>
              <w:jc w:val="center"/>
              <w:rPr>
                <w:rFonts w:hint="eastAsia" w:ascii="微软雅黑" w:hAnsi="微软雅黑" w:eastAsia="微软雅黑" w:cs="微软雅黑"/>
                <w:i/>
                <w:iCs/>
                <w:color w:val="000000"/>
                <w:sz w:val="16"/>
                <w:szCs w:val="16"/>
                <w:u w:val="none"/>
              </w:rPr>
            </w:pPr>
          </w:p>
        </w:tc>
      </w:tr>
      <w:tr w14:paraId="1D31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1223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32A6D">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95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C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AD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22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CD8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EA4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F9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99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FA94">
            <w:pPr>
              <w:snapToGrid w:val="0"/>
              <w:jc w:val="center"/>
              <w:rPr>
                <w:rFonts w:hint="eastAsia" w:ascii="微软雅黑" w:hAnsi="微软雅黑" w:eastAsia="微软雅黑" w:cs="微软雅黑"/>
                <w:i/>
                <w:iCs/>
                <w:color w:val="000000"/>
                <w:sz w:val="16"/>
                <w:szCs w:val="16"/>
                <w:u w:val="none"/>
              </w:rPr>
            </w:pPr>
          </w:p>
        </w:tc>
      </w:tr>
      <w:tr w14:paraId="1A75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746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864B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C6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3A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F6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BD9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73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F3A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61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0D6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6AF2">
            <w:pPr>
              <w:snapToGrid w:val="0"/>
              <w:jc w:val="center"/>
              <w:rPr>
                <w:rFonts w:hint="eastAsia" w:ascii="微软雅黑" w:hAnsi="微软雅黑" w:eastAsia="微软雅黑" w:cs="微软雅黑"/>
                <w:i/>
                <w:iCs/>
                <w:color w:val="000000"/>
                <w:sz w:val="16"/>
                <w:szCs w:val="16"/>
                <w:u w:val="none"/>
              </w:rPr>
            </w:pPr>
          </w:p>
        </w:tc>
      </w:tr>
      <w:tr w14:paraId="2BE0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DA6EC">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D56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8B7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605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提升车辆舒适性和安全性</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3D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52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2C6F">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2DDD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4F7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F8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AD6C">
            <w:pPr>
              <w:snapToGrid w:val="0"/>
              <w:jc w:val="center"/>
              <w:rPr>
                <w:rFonts w:hint="eastAsia" w:ascii="微软雅黑" w:hAnsi="微软雅黑" w:eastAsia="微软雅黑" w:cs="微软雅黑"/>
                <w:i/>
                <w:iCs/>
                <w:color w:val="000000"/>
                <w:sz w:val="16"/>
                <w:szCs w:val="16"/>
                <w:u w:val="none"/>
              </w:rPr>
            </w:pPr>
          </w:p>
        </w:tc>
      </w:tr>
      <w:tr w14:paraId="32E99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4E72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0E4F4">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81164">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8F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保障单位正常公务出行</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7C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0B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674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487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8B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68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1562">
            <w:pPr>
              <w:snapToGrid w:val="0"/>
              <w:jc w:val="center"/>
              <w:rPr>
                <w:rFonts w:hint="eastAsia" w:ascii="微软雅黑" w:hAnsi="微软雅黑" w:eastAsia="微软雅黑" w:cs="微软雅黑"/>
                <w:i/>
                <w:iCs/>
                <w:color w:val="000000"/>
                <w:sz w:val="16"/>
                <w:szCs w:val="16"/>
                <w:u w:val="none"/>
              </w:rPr>
            </w:pPr>
          </w:p>
        </w:tc>
      </w:tr>
      <w:tr w14:paraId="44EF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E64E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B47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C4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0D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车辆使用人员满意度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9E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490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2F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1A8B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C6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B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662A">
            <w:pPr>
              <w:snapToGrid w:val="0"/>
              <w:jc w:val="center"/>
              <w:rPr>
                <w:rFonts w:hint="eastAsia" w:ascii="微软雅黑" w:hAnsi="微软雅黑" w:eastAsia="微软雅黑" w:cs="微软雅黑"/>
                <w:i/>
                <w:iCs/>
                <w:color w:val="000000"/>
                <w:sz w:val="16"/>
                <w:szCs w:val="16"/>
                <w:u w:val="none"/>
              </w:rPr>
            </w:pPr>
          </w:p>
        </w:tc>
      </w:tr>
      <w:tr w14:paraId="56EA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278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57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96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90F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19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8A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64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DB8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EF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DD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54F9">
            <w:pPr>
              <w:snapToGrid w:val="0"/>
              <w:jc w:val="center"/>
              <w:rPr>
                <w:rFonts w:hint="eastAsia" w:ascii="微软雅黑" w:hAnsi="微软雅黑" w:eastAsia="微软雅黑" w:cs="微软雅黑"/>
                <w:i/>
                <w:iCs/>
                <w:color w:val="000000"/>
                <w:sz w:val="16"/>
                <w:szCs w:val="16"/>
                <w:u w:val="none"/>
              </w:rPr>
            </w:pPr>
          </w:p>
        </w:tc>
      </w:tr>
      <w:tr w14:paraId="23951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256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CE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6CE1">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76861">
            <w:pPr>
              <w:snapToGrid w:val="0"/>
              <w:rPr>
                <w:rFonts w:hint="eastAsia" w:ascii="宋体" w:hAnsi="宋体" w:eastAsia="宋体" w:cs="宋体"/>
                <w:i w:val="0"/>
                <w:iCs w:val="0"/>
                <w:color w:val="FF0000"/>
                <w:sz w:val="18"/>
                <w:szCs w:val="18"/>
                <w:u w:val="none"/>
              </w:rPr>
            </w:pPr>
          </w:p>
        </w:tc>
      </w:tr>
      <w:tr w14:paraId="3A68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AC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1E21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 87分。对单位里程数较大、安全隐患较大的公务用车川U57616进行大修，目前车况良好。</w:t>
            </w:r>
          </w:p>
        </w:tc>
      </w:tr>
      <w:tr w14:paraId="0805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22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8ABA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经费支付进度还有待提高。</w:t>
            </w:r>
          </w:p>
        </w:tc>
      </w:tr>
      <w:tr w14:paraId="34CC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1A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BB283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在确保资金支出安全有序高效的前提下，正确进行项目的实施，力争完成年度目标任务。</w:t>
            </w:r>
          </w:p>
        </w:tc>
      </w:tr>
      <w:tr w14:paraId="11D6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B9E46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E3364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7DEF2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B7EDE5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A7911D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6F0A9B6">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E49444B">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065A4A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F4B0E6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8887055">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95BF587">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E56F1E9">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02F50B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DB5FB81">
            <w:pPr>
              <w:snapToGrid w:val="0"/>
              <w:rPr>
                <w:rFonts w:hint="eastAsia" w:ascii="宋体" w:hAnsi="宋体" w:eastAsia="宋体" w:cs="宋体"/>
                <w:i w:val="0"/>
                <w:iCs w:val="0"/>
                <w:color w:val="000000"/>
                <w:sz w:val="18"/>
                <w:szCs w:val="18"/>
                <w:u w:val="none"/>
              </w:rPr>
            </w:pPr>
          </w:p>
        </w:tc>
      </w:tr>
      <w:tr w14:paraId="17CC4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A13E5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8FD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85D6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01975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51320021T000000062289-藏历年和羌年活动经费</w:t>
            </w:r>
          </w:p>
        </w:tc>
      </w:tr>
      <w:tr w14:paraId="5E6FD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7013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7EB0D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91C769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4D4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4ED2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376C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F397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3B43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50884C">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E22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29875">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EA228">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988C6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铸牢中华民族共同体意识为主线，充分展示民族团结进步创建成果，进一步弘扬、传承藏羌民族民间民俗文化，大力营造喜庆热烈、文明祥和的节日氛围，全面展示我州高质量发展的新形象新面貌新风采，激发全州干部群众的爱党爱国热情，凝聚团结奋进力量。</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450FE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通过藏历新年及“羌年”活动的开展，弘扬了中华民族优秀的传统文化，树立了民族自信心、自豪感，坚定文化自信，助力铸牢中华民族共同体意识，构筑中华民族共有精神家园，促进了各民族交往交流交融。</w:t>
            </w:r>
          </w:p>
        </w:tc>
      </w:tr>
      <w:tr w14:paraId="27D4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36FC2">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9C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BAEBF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年初开展了藏历新年慰问活动。慰问了在民族团结工作中做出积极贡献的13个基层县（市）单位及62名各界代表人士。 11 月 与相关部门共同在茂县承办承办羌年庆祝活动。</w:t>
            </w:r>
          </w:p>
        </w:tc>
      </w:tr>
      <w:tr w14:paraId="4EB5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9D1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7B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1CA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D8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5E1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E8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4F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61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E2E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D3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F205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F6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32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40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92F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03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68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AC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C5F54">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25F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BEF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D72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3C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0B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42C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528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6B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C3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9DAEB">
            <w:pPr>
              <w:snapToGrid w:val="0"/>
              <w:rPr>
                <w:rFonts w:hint="eastAsia" w:ascii="黑体" w:hAnsi="黑体" w:eastAsia="黑体" w:cs="黑体"/>
                <w:i/>
                <w:iCs/>
                <w:color w:val="000000"/>
                <w:sz w:val="18"/>
                <w:szCs w:val="18"/>
                <w:u w:val="none"/>
              </w:rPr>
            </w:pPr>
          </w:p>
        </w:tc>
      </w:tr>
      <w:tr w14:paraId="0CB05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4EB6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E2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9F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A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100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CE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D3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B7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E6E7">
            <w:pPr>
              <w:snapToGrid w:val="0"/>
              <w:rPr>
                <w:rFonts w:hint="eastAsia" w:ascii="黑体" w:hAnsi="黑体" w:eastAsia="黑体" w:cs="黑体"/>
                <w:i/>
                <w:iCs/>
                <w:color w:val="000000"/>
                <w:sz w:val="18"/>
                <w:szCs w:val="18"/>
                <w:u w:val="none"/>
              </w:rPr>
            </w:pPr>
          </w:p>
        </w:tc>
      </w:tr>
      <w:tr w14:paraId="2D9B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00D0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D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C2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ED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9CF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2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F5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62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2C22">
            <w:pPr>
              <w:snapToGrid w:val="0"/>
              <w:rPr>
                <w:rFonts w:hint="eastAsia" w:ascii="黑体" w:hAnsi="黑体" w:eastAsia="黑体" w:cs="黑体"/>
                <w:i/>
                <w:iCs/>
                <w:color w:val="000000"/>
                <w:sz w:val="18"/>
                <w:szCs w:val="18"/>
                <w:u w:val="none"/>
              </w:rPr>
            </w:pPr>
          </w:p>
        </w:tc>
      </w:tr>
      <w:tr w14:paraId="5BF26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4DE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1B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1F9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76BA">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D8332">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A717">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AC0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53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8FE53">
            <w:pPr>
              <w:snapToGrid w:val="0"/>
              <w:rPr>
                <w:rFonts w:hint="eastAsia" w:ascii="黑体" w:hAnsi="黑体" w:eastAsia="黑体" w:cs="黑体"/>
                <w:i/>
                <w:iCs/>
                <w:color w:val="000000"/>
                <w:sz w:val="18"/>
                <w:szCs w:val="18"/>
                <w:u w:val="none"/>
              </w:rPr>
            </w:pPr>
          </w:p>
        </w:tc>
      </w:tr>
      <w:tr w14:paraId="27F2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B3B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D2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08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E8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DB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70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BE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1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D7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F2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7D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B8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096BF">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A34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61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4A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藏历年和羌年活动参与人数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D3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8F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1C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47B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89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BC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316B7">
            <w:pPr>
              <w:snapToGrid w:val="0"/>
              <w:jc w:val="center"/>
              <w:rPr>
                <w:rFonts w:hint="eastAsia" w:ascii="微软雅黑" w:hAnsi="微软雅黑" w:eastAsia="微软雅黑" w:cs="微软雅黑"/>
                <w:i/>
                <w:iCs/>
                <w:color w:val="000000"/>
                <w:sz w:val="16"/>
                <w:szCs w:val="16"/>
                <w:u w:val="none"/>
              </w:rPr>
            </w:pPr>
          </w:p>
        </w:tc>
      </w:tr>
      <w:tr w14:paraId="2D5F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01B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03A22">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7CA99">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A9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78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66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51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AC85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0B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D2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FAD0">
            <w:pPr>
              <w:snapToGrid w:val="0"/>
              <w:jc w:val="center"/>
              <w:rPr>
                <w:rFonts w:hint="eastAsia" w:ascii="微软雅黑" w:hAnsi="微软雅黑" w:eastAsia="微软雅黑" w:cs="微软雅黑"/>
                <w:i/>
                <w:iCs/>
                <w:color w:val="000000"/>
                <w:sz w:val="16"/>
                <w:szCs w:val="16"/>
                <w:u w:val="none"/>
              </w:rPr>
            </w:pPr>
          </w:p>
        </w:tc>
      </w:tr>
      <w:tr w14:paraId="0316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B87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5BC6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FE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8E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藏历年和羌年活动合格率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49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74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3D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B74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55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C64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093F">
            <w:pPr>
              <w:snapToGrid w:val="0"/>
              <w:jc w:val="center"/>
              <w:rPr>
                <w:rFonts w:hint="eastAsia" w:ascii="微软雅黑" w:hAnsi="微软雅黑" w:eastAsia="微软雅黑" w:cs="微软雅黑"/>
                <w:i/>
                <w:iCs/>
                <w:color w:val="000000"/>
                <w:sz w:val="16"/>
                <w:szCs w:val="16"/>
                <w:u w:val="none"/>
              </w:rPr>
            </w:pPr>
          </w:p>
        </w:tc>
      </w:tr>
      <w:tr w14:paraId="4209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1FC27">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B65CB">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0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DA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093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69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B9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6BC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15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450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52DC">
            <w:pPr>
              <w:snapToGrid w:val="0"/>
              <w:jc w:val="center"/>
              <w:rPr>
                <w:rFonts w:hint="eastAsia" w:ascii="微软雅黑" w:hAnsi="微软雅黑" w:eastAsia="微软雅黑" w:cs="微软雅黑"/>
                <w:i/>
                <w:iCs/>
                <w:color w:val="000000"/>
                <w:sz w:val="16"/>
                <w:szCs w:val="16"/>
                <w:u w:val="none"/>
              </w:rPr>
            </w:pPr>
          </w:p>
        </w:tc>
      </w:tr>
      <w:tr w14:paraId="70F2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582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DD1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B14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22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社会和谐的局面</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7A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92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498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86E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明显改善</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BE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0E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3606">
            <w:pPr>
              <w:snapToGrid w:val="0"/>
              <w:jc w:val="center"/>
              <w:rPr>
                <w:rFonts w:hint="eastAsia" w:ascii="微软雅黑" w:hAnsi="微软雅黑" w:eastAsia="微软雅黑" w:cs="微软雅黑"/>
                <w:i/>
                <w:iCs/>
                <w:color w:val="000000"/>
                <w:sz w:val="16"/>
                <w:szCs w:val="16"/>
                <w:u w:val="none"/>
              </w:rPr>
            </w:pPr>
          </w:p>
        </w:tc>
      </w:tr>
      <w:tr w14:paraId="7721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6B8C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71A">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A634">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C6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民族文化认同感提升度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1C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14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7E78">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E6F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9D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AE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42CB3">
            <w:pPr>
              <w:snapToGrid w:val="0"/>
              <w:jc w:val="center"/>
              <w:rPr>
                <w:rFonts w:hint="eastAsia" w:ascii="微软雅黑" w:hAnsi="微软雅黑" w:eastAsia="微软雅黑" w:cs="微软雅黑"/>
                <w:i/>
                <w:iCs/>
                <w:color w:val="000000"/>
                <w:sz w:val="16"/>
                <w:szCs w:val="16"/>
                <w:u w:val="none"/>
              </w:rPr>
            </w:pPr>
          </w:p>
        </w:tc>
      </w:tr>
      <w:tr w14:paraId="3C2E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174B">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329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98B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5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参与活动的群众满意度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92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FA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2E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5DE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BA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5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4A33">
            <w:pPr>
              <w:snapToGrid w:val="0"/>
              <w:jc w:val="center"/>
              <w:rPr>
                <w:rFonts w:hint="eastAsia" w:ascii="微软雅黑" w:hAnsi="微软雅黑" w:eastAsia="微软雅黑" w:cs="微软雅黑"/>
                <w:i/>
                <w:iCs/>
                <w:color w:val="000000"/>
                <w:sz w:val="16"/>
                <w:szCs w:val="16"/>
                <w:u w:val="none"/>
              </w:rPr>
            </w:pPr>
          </w:p>
        </w:tc>
      </w:tr>
      <w:tr w14:paraId="17658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A24C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10877">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4EECA">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75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藏羌同胞人员满意度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24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C3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12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FEC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CF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3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7680">
            <w:pPr>
              <w:snapToGrid w:val="0"/>
              <w:jc w:val="center"/>
              <w:rPr>
                <w:rFonts w:hint="eastAsia" w:ascii="微软雅黑" w:hAnsi="微软雅黑" w:eastAsia="微软雅黑" w:cs="微软雅黑"/>
                <w:i/>
                <w:iCs/>
                <w:color w:val="000000"/>
                <w:sz w:val="16"/>
                <w:szCs w:val="16"/>
                <w:u w:val="none"/>
              </w:rPr>
            </w:pPr>
          </w:p>
        </w:tc>
      </w:tr>
      <w:tr w14:paraId="2400D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012D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F4D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00C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145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BC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D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2F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1D7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1AE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12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69EC">
            <w:pPr>
              <w:snapToGrid w:val="0"/>
              <w:jc w:val="center"/>
              <w:rPr>
                <w:rFonts w:hint="eastAsia" w:ascii="微软雅黑" w:hAnsi="微软雅黑" w:eastAsia="微软雅黑" w:cs="微软雅黑"/>
                <w:i/>
                <w:iCs/>
                <w:color w:val="000000"/>
                <w:sz w:val="16"/>
                <w:szCs w:val="16"/>
                <w:u w:val="none"/>
              </w:rPr>
            </w:pPr>
          </w:p>
        </w:tc>
      </w:tr>
      <w:tr w14:paraId="3261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1AD0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8BB43">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EEC7">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68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70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17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421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494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91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86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CEE8">
            <w:pPr>
              <w:snapToGrid w:val="0"/>
              <w:jc w:val="center"/>
              <w:rPr>
                <w:rFonts w:hint="eastAsia" w:ascii="微软雅黑" w:hAnsi="微软雅黑" w:eastAsia="微软雅黑" w:cs="微软雅黑"/>
                <w:i/>
                <w:iCs/>
                <w:color w:val="000000"/>
                <w:sz w:val="16"/>
                <w:szCs w:val="16"/>
                <w:u w:val="none"/>
              </w:rPr>
            </w:pPr>
          </w:p>
        </w:tc>
      </w:tr>
      <w:tr w14:paraId="23CB6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EE85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96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FCF75">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B814">
            <w:pPr>
              <w:snapToGrid w:val="0"/>
              <w:rPr>
                <w:rFonts w:hint="eastAsia" w:ascii="宋体" w:hAnsi="宋体" w:eastAsia="宋体" w:cs="宋体"/>
                <w:i w:val="0"/>
                <w:iCs w:val="0"/>
                <w:color w:val="FF0000"/>
                <w:sz w:val="18"/>
                <w:szCs w:val="18"/>
                <w:u w:val="none"/>
              </w:rPr>
            </w:pPr>
          </w:p>
        </w:tc>
      </w:tr>
      <w:tr w14:paraId="39FF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CA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87C59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以铸牢中华民族共同体意识为主线，充分展示民族团结进步创建成果，进一步弘扬、传承了藏羌民族民间民俗文化，丰富了各族群众精神文化生活，推动了全州民族文化事业的繁荣与发展，大力营造了喜庆热烈、文明祥和的节日氛围，全面展示了我州高质量发展的新形象新面貌新风采，激发了全州干部群众的爱党爱国热情，凝聚了团结奋进力量。</w:t>
            </w:r>
          </w:p>
        </w:tc>
      </w:tr>
      <w:tr w14:paraId="2428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91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E17C0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34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0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FE301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B4D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57BE0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A532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2B3D2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86A4E0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592A3F0">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AC0EE61">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9156DA2">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C52DEA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245337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6518E12">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AB9EEB7">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A8DE2D5">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C48628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D8927EE">
            <w:pPr>
              <w:snapToGrid w:val="0"/>
              <w:rPr>
                <w:rFonts w:hint="eastAsia" w:ascii="宋体" w:hAnsi="宋体" w:eastAsia="宋体" w:cs="宋体"/>
                <w:i w:val="0"/>
                <w:iCs w:val="0"/>
                <w:color w:val="000000"/>
                <w:sz w:val="18"/>
                <w:szCs w:val="18"/>
                <w:u w:val="none"/>
              </w:rPr>
            </w:pPr>
          </w:p>
        </w:tc>
      </w:tr>
      <w:tr w14:paraId="58A3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254FC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D30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EDC4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8B32A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51320022T000006669535-代管资金-国家民委下拨工作经费</w:t>
            </w:r>
          </w:p>
        </w:tc>
      </w:tr>
      <w:tr w14:paraId="6AEF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0CFE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08082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E3B29B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7B6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14FD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9BF5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2400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F5D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7BEF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62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68EC5">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8BAB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09E29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国家民委下拨工作经费.</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4419C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用于民族团结进步创建工作相关经费</w:t>
            </w:r>
          </w:p>
        </w:tc>
      </w:tr>
      <w:tr w14:paraId="3D2A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02FC1">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490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7338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民族团结进步创建工作相关经费用于支付1-12月新媒体后台维护工作。</w:t>
            </w:r>
          </w:p>
        </w:tc>
      </w:tr>
      <w:tr w14:paraId="047F1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4BD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FFA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A0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846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7CB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8B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6B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91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334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494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B0B5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FF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4B7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959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18F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0E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83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0B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1EAF0">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23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1F0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38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26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FB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A67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0D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F5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8C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4538">
            <w:pPr>
              <w:snapToGrid w:val="0"/>
              <w:rPr>
                <w:rFonts w:hint="eastAsia" w:ascii="黑体" w:hAnsi="黑体" w:eastAsia="黑体" w:cs="黑体"/>
                <w:i/>
                <w:iCs/>
                <w:color w:val="000000"/>
                <w:sz w:val="18"/>
                <w:szCs w:val="18"/>
                <w:u w:val="none"/>
              </w:rPr>
            </w:pPr>
          </w:p>
        </w:tc>
      </w:tr>
      <w:tr w14:paraId="315F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7A8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07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E54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B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D8C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68C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B9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60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1C9B">
            <w:pPr>
              <w:snapToGrid w:val="0"/>
              <w:rPr>
                <w:rFonts w:hint="eastAsia" w:ascii="黑体" w:hAnsi="黑体" w:eastAsia="黑体" w:cs="黑体"/>
                <w:i/>
                <w:iCs/>
                <w:color w:val="000000"/>
                <w:sz w:val="18"/>
                <w:szCs w:val="18"/>
                <w:u w:val="none"/>
              </w:rPr>
            </w:pPr>
          </w:p>
        </w:tc>
      </w:tr>
      <w:tr w14:paraId="4AC8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3C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AC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E4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A1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EC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2A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93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70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10FE">
            <w:pPr>
              <w:snapToGrid w:val="0"/>
              <w:rPr>
                <w:rFonts w:hint="eastAsia" w:ascii="黑体" w:hAnsi="黑体" w:eastAsia="黑体" w:cs="黑体"/>
                <w:i/>
                <w:iCs/>
                <w:color w:val="000000"/>
                <w:sz w:val="18"/>
                <w:szCs w:val="18"/>
                <w:u w:val="none"/>
              </w:rPr>
            </w:pPr>
          </w:p>
        </w:tc>
      </w:tr>
      <w:tr w14:paraId="00258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1FBD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84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E62C">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FA0B">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981C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CDF3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ED7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38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791E">
            <w:pPr>
              <w:snapToGrid w:val="0"/>
              <w:rPr>
                <w:rFonts w:hint="eastAsia" w:ascii="黑体" w:hAnsi="黑体" w:eastAsia="黑体" w:cs="黑体"/>
                <w:i/>
                <w:iCs/>
                <w:color w:val="000000"/>
                <w:sz w:val="18"/>
                <w:szCs w:val="18"/>
                <w:u w:val="none"/>
              </w:rPr>
            </w:pPr>
          </w:p>
        </w:tc>
      </w:tr>
      <w:tr w14:paraId="3F55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E47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6A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5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39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14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F46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93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E1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F0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A1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DE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3D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43914">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9E9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89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B2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民族团结工作规范率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D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72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8E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B4CE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76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CB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7FED">
            <w:pPr>
              <w:snapToGrid w:val="0"/>
              <w:jc w:val="center"/>
              <w:rPr>
                <w:rFonts w:hint="eastAsia" w:ascii="微软雅黑" w:hAnsi="微软雅黑" w:eastAsia="微软雅黑" w:cs="微软雅黑"/>
                <w:i/>
                <w:iCs/>
                <w:color w:val="000000"/>
                <w:sz w:val="16"/>
                <w:szCs w:val="16"/>
                <w:u w:val="none"/>
              </w:rPr>
            </w:pPr>
          </w:p>
        </w:tc>
      </w:tr>
      <w:tr w14:paraId="6FCD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1D87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66A9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A2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D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EA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0E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C7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1FD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BA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838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463A">
            <w:pPr>
              <w:snapToGrid w:val="0"/>
              <w:jc w:val="center"/>
              <w:rPr>
                <w:rFonts w:hint="eastAsia" w:ascii="微软雅黑" w:hAnsi="微软雅黑" w:eastAsia="微软雅黑" w:cs="微软雅黑"/>
                <w:i/>
                <w:iCs/>
                <w:color w:val="000000"/>
                <w:sz w:val="16"/>
                <w:szCs w:val="16"/>
                <w:u w:val="none"/>
              </w:rPr>
            </w:pPr>
          </w:p>
        </w:tc>
      </w:tr>
      <w:tr w14:paraId="31CE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E748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F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DA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93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813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CDFE8">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C7B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24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43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C3E6">
            <w:pPr>
              <w:snapToGrid w:val="0"/>
              <w:jc w:val="center"/>
              <w:rPr>
                <w:rFonts w:hint="eastAsia" w:ascii="微软雅黑" w:hAnsi="微软雅黑" w:eastAsia="微软雅黑" w:cs="微软雅黑"/>
                <w:i/>
                <w:iCs/>
                <w:color w:val="000000"/>
                <w:sz w:val="16"/>
                <w:szCs w:val="16"/>
                <w:u w:val="none"/>
              </w:rPr>
            </w:pPr>
          </w:p>
        </w:tc>
      </w:tr>
      <w:tr w14:paraId="28D2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51DE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52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4D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446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民族团结工作人员满意度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27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0DB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D7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0FC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4F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21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9206">
            <w:pPr>
              <w:snapToGrid w:val="0"/>
              <w:jc w:val="center"/>
              <w:rPr>
                <w:rFonts w:hint="eastAsia" w:ascii="微软雅黑" w:hAnsi="微软雅黑" w:eastAsia="微软雅黑" w:cs="微软雅黑"/>
                <w:i/>
                <w:iCs/>
                <w:color w:val="000000"/>
                <w:sz w:val="16"/>
                <w:szCs w:val="16"/>
                <w:u w:val="none"/>
              </w:rPr>
            </w:pPr>
          </w:p>
        </w:tc>
      </w:tr>
      <w:tr w14:paraId="45C5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25F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76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EF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B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E9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94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F6F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A18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8D1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BB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27E8">
            <w:pPr>
              <w:snapToGrid w:val="0"/>
              <w:jc w:val="center"/>
              <w:rPr>
                <w:rFonts w:hint="eastAsia" w:ascii="微软雅黑" w:hAnsi="微软雅黑" w:eastAsia="微软雅黑" w:cs="微软雅黑"/>
                <w:i/>
                <w:iCs/>
                <w:color w:val="000000"/>
                <w:sz w:val="16"/>
                <w:szCs w:val="16"/>
                <w:u w:val="none"/>
              </w:rPr>
            </w:pPr>
          </w:p>
        </w:tc>
      </w:tr>
      <w:tr w14:paraId="3934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8DAF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C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016D">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0426">
            <w:pPr>
              <w:snapToGrid w:val="0"/>
              <w:rPr>
                <w:rFonts w:hint="eastAsia" w:ascii="宋体" w:hAnsi="宋体" w:eastAsia="宋体" w:cs="宋体"/>
                <w:i w:val="0"/>
                <w:iCs w:val="0"/>
                <w:color w:val="FF0000"/>
                <w:sz w:val="18"/>
                <w:szCs w:val="18"/>
                <w:u w:val="none"/>
              </w:rPr>
            </w:pPr>
          </w:p>
        </w:tc>
      </w:tr>
      <w:tr w14:paraId="0FA8A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D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C8C7D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该项目支出绩效评价指标总分值100分，自评88分。该资金是国家民委下拨工作经费，主要用于民族团结进步创建相关工作，主要支付新媒体后台维护经费。</w:t>
            </w:r>
          </w:p>
        </w:tc>
      </w:tr>
      <w:tr w14:paraId="1E12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12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A85C5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CAF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DB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34F61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17C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D4761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FED2D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78B3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8F4CCFA">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DEE3E60">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6D13AD3">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028E6EC3">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44DD5B2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F65AADC">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1500D9B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CE4B8E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D7AC5E9">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38239DF">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3E4633D5">
            <w:pPr>
              <w:snapToGrid w:val="0"/>
              <w:rPr>
                <w:rFonts w:hint="eastAsia" w:ascii="宋体" w:hAnsi="宋体" w:eastAsia="宋体" w:cs="宋体"/>
                <w:i w:val="0"/>
                <w:iCs w:val="0"/>
                <w:color w:val="000000"/>
                <w:sz w:val="18"/>
                <w:szCs w:val="18"/>
                <w:u w:val="none"/>
              </w:rPr>
            </w:pPr>
          </w:p>
        </w:tc>
      </w:tr>
      <w:tr w14:paraId="4E48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47FC9C">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E7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B70A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C1314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51320022T000006669590-代管资金-省拨经师评聘经费</w:t>
            </w:r>
          </w:p>
        </w:tc>
      </w:tr>
      <w:tr w14:paraId="30B2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319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BFE1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E6BB83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A46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7B110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883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777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BF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A82BA">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20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0795D">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324E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10B3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2017年国家民委拨民族团结进步创建经费(拟请求收回财政)</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71F60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该资金已收回财政。</w:t>
            </w:r>
          </w:p>
        </w:tc>
      </w:tr>
      <w:tr w14:paraId="6CAE5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0561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DA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2D0FF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该资金已收回财政。</w:t>
            </w:r>
          </w:p>
        </w:tc>
      </w:tr>
      <w:tr w14:paraId="5EA8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F92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17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4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32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8C9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5A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91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9A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BA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4A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87D1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6B2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120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73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F06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19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7E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9F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B350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BB0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604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6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80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6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167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01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20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5A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62350">
            <w:pPr>
              <w:snapToGrid w:val="0"/>
              <w:rPr>
                <w:rFonts w:hint="eastAsia" w:ascii="黑体" w:hAnsi="黑体" w:eastAsia="黑体" w:cs="黑体"/>
                <w:i/>
                <w:iCs/>
                <w:color w:val="000000"/>
                <w:sz w:val="18"/>
                <w:szCs w:val="18"/>
                <w:u w:val="none"/>
              </w:rPr>
            </w:pPr>
          </w:p>
        </w:tc>
      </w:tr>
      <w:tr w14:paraId="6542C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E092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92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A8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8D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9B4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95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01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6E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8F111">
            <w:pPr>
              <w:snapToGrid w:val="0"/>
              <w:rPr>
                <w:rFonts w:hint="eastAsia" w:ascii="黑体" w:hAnsi="黑体" w:eastAsia="黑体" w:cs="黑体"/>
                <w:i/>
                <w:iCs/>
                <w:color w:val="000000"/>
                <w:sz w:val="18"/>
                <w:szCs w:val="18"/>
                <w:u w:val="none"/>
              </w:rPr>
            </w:pPr>
          </w:p>
        </w:tc>
      </w:tr>
      <w:tr w14:paraId="0698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EF36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9A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90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C6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E1A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0.49</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19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72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39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4BFA7">
            <w:pPr>
              <w:snapToGrid w:val="0"/>
              <w:rPr>
                <w:rFonts w:hint="eastAsia" w:ascii="黑体" w:hAnsi="黑体" w:eastAsia="黑体" w:cs="黑体"/>
                <w:i/>
                <w:iCs/>
                <w:color w:val="000000"/>
                <w:sz w:val="18"/>
                <w:szCs w:val="18"/>
                <w:u w:val="none"/>
              </w:rPr>
            </w:pPr>
          </w:p>
        </w:tc>
      </w:tr>
      <w:tr w14:paraId="7B284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9E6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7A0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DE96">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9CEF">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2D8CF">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C405">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AC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5F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708D4">
            <w:pPr>
              <w:snapToGrid w:val="0"/>
              <w:rPr>
                <w:rFonts w:hint="eastAsia" w:ascii="黑体" w:hAnsi="黑体" w:eastAsia="黑体" w:cs="黑体"/>
                <w:i/>
                <w:iCs/>
                <w:color w:val="000000"/>
                <w:sz w:val="18"/>
                <w:szCs w:val="18"/>
                <w:u w:val="none"/>
              </w:rPr>
            </w:pPr>
          </w:p>
        </w:tc>
      </w:tr>
      <w:tr w14:paraId="4B11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13E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6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11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7B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60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AF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F81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C0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3E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04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29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8F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C693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FA7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9DE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66D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F2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E3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6F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07B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82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0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F060">
            <w:pPr>
              <w:snapToGrid w:val="0"/>
              <w:jc w:val="center"/>
              <w:rPr>
                <w:rFonts w:hint="eastAsia" w:ascii="微软雅黑" w:hAnsi="微软雅黑" w:eastAsia="微软雅黑" w:cs="微软雅黑"/>
                <w:i/>
                <w:iCs/>
                <w:color w:val="000000"/>
                <w:sz w:val="16"/>
                <w:szCs w:val="16"/>
                <w:u w:val="none"/>
              </w:rPr>
            </w:pPr>
          </w:p>
        </w:tc>
      </w:tr>
      <w:tr w14:paraId="1684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5C4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35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ED4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53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提升财政资金利用效率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14D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52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A12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6DA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F6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20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87369">
            <w:pPr>
              <w:snapToGrid w:val="0"/>
              <w:jc w:val="center"/>
              <w:rPr>
                <w:rFonts w:hint="eastAsia" w:ascii="微软雅黑" w:hAnsi="微软雅黑" w:eastAsia="微软雅黑" w:cs="微软雅黑"/>
                <w:i/>
                <w:iCs/>
                <w:color w:val="000000"/>
                <w:sz w:val="16"/>
                <w:szCs w:val="16"/>
                <w:u w:val="none"/>
              </w:rPr>
            </w:pPr>
          </w:p>
        </w:tc>
      </w:tr>
      <w:tr w14:paraId="0DB6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04E5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4D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01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F7B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财政资金使用人员满意度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28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DB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76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122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62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24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7D2D4">
            <w:pPr>
              <w:snapToGrid w:val="0"/>
              <w:jc w:val="center"/>
              <w:rPr>
                <w:rFonts w:hint="eastAsia" w:ascii="微软雅黑" w:hAnsi="微软雅黑" w:eastAsia="微软雅黑" w:cs="微软雅黑"/>
                <w:i/>
                <w:iCs/>
                <w:color w:val="000000"/>
                <w:sz w:val="16"/>
                <w:szCs w:val="16"/>
                <w:u w:val="none"/>
              </w:rPr>
            </w:pPr>
          </w:p>
        </w:tc>
      </w:tr>
      <w:tr w14:paraId="26AFD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6FA5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04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ED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E1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96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B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C6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8840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BB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90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BBA83">
            <w:pPr>
              <w:snapToGrid w:val="0"/>
              <w:jc w:val="center"/>
              <w:rPr>
                <w:rFonts w:hint="eastAsia" w:ascii="微软雅黑" w:hAnsi="微软雅黑" w:eastAsia="微软雅黑" w:cs="微软雅黑"/>
                <w:i/>
                <w:iCs/>
                <w:color w:val="000000"/>
                <w:sz w:val="16"/>
                <w:szCs w:val="16"/>
                <w:u w:val="none"/>
              </w:rPr>
            </w:pPr>
          </w:p>
        </w:tc>
      </w:tr>
      <w:tr w14:paraId="3489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7CC3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2F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26F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731E">
            <w:pPr>
              <w:snapToGrid w:val="0"/>
              <w:rPr>
                <w:rFonts w:hint="eastAsia" w:ascii="宋体" w:hAnsi="宋体" w:eastAsia="宋体" w:cs="宋体"/>
                <w:i w:val="0"/>
                <w:iCs w:val="0"/>
                <w:color w:val="FF0000"/>
                <w:sz w:val="18"/>
                <w:szCs w:val="18"/>
                <w:u w:val="none"/>
              </w:rPr>
            </w:pPr>
          </w:p>
        </w:tc>
      </w:tr>
      <w:tr w14:paraId="2B64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A4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CEE77A">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该项目支出绩效评价指标总分值100分，自评89分。该项目未支付，因下拨时间比较久，已请求财政收回。</w:t>
            </w:r>
          </w:p>
        </w:tc>
      </w:tr>
      <w:tr w14:paraId="5BD7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D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59376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4A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944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27F5F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294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61E9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项目负责人：罗壤</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FD62B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500C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725617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2C4EFF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F958B3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2D182D0D">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EE40739">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636DC5A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BBCE51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A72C19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5C583B60">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458B6C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4FEA277">
            <w:pPr>
              <w:snapToGrid w:val="0"/>
              <w:rPr>
                <w:rFonts w:hint="eastAsia" w:ascii="宋体" w:hAnsi="宋体" w:eastAsia="宋体" w:cs="宋体"/>
                <w:i w:val="0"/>
                <w:iCs w:val="0"/>
                <w:color w:val="000000"/>
                <w:sz w:val="18"/>
                <w:szCs w:val="18"/>
                <w:u w:val="none"/>
              </w:rPr>
            </w:pPr>
          </w:p>
        </w:tc>
      </w:tr>
      <w:tr w14:paraId="1A55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A6C74C">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416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746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89C15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51320023T000008565672-两资项目管理培训费</w:t>
            </w:r>
          </w:p>
        </w:tc>
      </w:tr>
      <w:tr w14:paraId="18E7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2FD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C10E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0664335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E21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7DA0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99CB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5EF7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906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BCB88C">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74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4406">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7385">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3623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四川省民族地区开发资金，项目规划编制、前期调研、勘察设计、评诂论证、财评和审计、项目公示、业务培训等。</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7ADB9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两资项目管理培训费专项资金，严格按照当年项目备案指南资金使用方向和要求支付，专项资金按照财务管理制度、《四川省民族地区开发资金管理办法》和有关资金支付程序执行，较好的完成各项工作。</w:t>
            </w:r>
          </w:p>
        </w:tc>
      </w:tr>
      <w:tr w14:paraId="26A3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59D4">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D1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1D5BC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业务科室根据实际工作需要及年初工作安排，拟定培训及评审方案提交委党组审议，同意后实施培训和项目评审。二是在委办公室签订的协议酒店组织实施培训和项目评审。三是两资管理人员业务培训和全州“四川省民族团结进步示范重点项目评审”结束后支付资金，并于2024年12月前完成。</w:t>
            </w:r>
          </w:p>
        </w:tc>
      </w:tr>
      <w:tr w14:paraId="3E140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BE1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88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4E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6B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D14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D7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47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0C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4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CB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D339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D5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02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D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8BA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0B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F1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88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884D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69F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1712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A1A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67B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7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CB1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4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FC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31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A3004">
            <w:pPr>
              <w:snapToGrid w:val="0"/>
              <w:rPr>
                <w:rFonts w:hint="eastAsia" w:ascii="黑体" w:hAnsi="黑体" w:eastAsia="黑体" w:cs="黑体"/>
                <w:i/>
                <w:iCs/>
                <w:color w:val="000000"/>
                <w:sz w:val="18"/>
                <w:szCs w:val="18"/>
                <w:u w:val="none"/>
              </w:rPr>
            </w:pPr>
          </w:p>
        </w:tc>
      </w:tr>
      <w:tr w14:paraId="7FEF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EFF0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20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A76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6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261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FC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A9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C4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04A6A">
            <w:pPr>
              <w:snapToGrid w:val="0"/>
              <w:rPr>
                <w:rFonts w:hint="eastAsia" w:ascii="黑体" w:hAnsi="黑体" w:eastAsia="黑体" w:cs="黑体"/>
                <w:i/>
                <w:iCs/>
                <w:color w:val="000000"/>
                <w:sz w:val="18"/>
                <w:szCs w:val="18"/>
                <w:u w:val="none"/>
              </w:rPr>
            </w:pPr>
          </w:p>
        </w:tc>
      </w:tr>
      <w:tr w14:paraId="0362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8D9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38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33C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55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061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31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45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F4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8C638">
            <w:pPr>
              <w:snapToGrid w:val="0"/>
              <w:rPr>
                <w:rFonts w:hint="eastAsia" w:ascii="黑体" w:hAnsi="黑体" w:eastAsia="黑体" w:cs="黑体"/>
                <w:i/>
                <w:iCs/>
                <w:color w:val="000000"/>
                <w:sz w:val="18"/>
                <w:szCs w:val="18"/>
                <w:u w:val="none"/>
              </w:rPr>
            </w:pPr>
          </w:p>
        </w:tc>
      </w:tr>
      <w:tr w14:paraId="56E4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F62E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39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F4D09">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D17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35400">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E136">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10D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32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CC9C9">
            <w:pPr>
              <w:snapToGrid w:val="0"/>
              <w:rPr>
                <w:rFonts w:hint="eastAsia" w:ascii="黑体" w:hAnsi="黑体" w:eastAsia="黑体" w:cs="黑体"/>
                <w:i/>
                <w:iCs/>
                <w:color w:val="000000"/>
                <w:sz w:val="18"/>
                <w:szCs w:val="18"/>
                <w:u w:val="none"/>
              </w:rPr>
            </w:pPr>
          </w:p>
        </w:tc>
      </w:tr>
      <w:tr w14:paraId="1165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6C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4D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01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76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D10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F1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61E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8A4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85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4A3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70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A5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FFBB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48EA">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9B5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5B0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11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F1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AD9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55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8D7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18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D2D3">
            <w:pPr>
              <w:snapToGrid w:val="0"/>
              <w:jc w:val="center"/>
              <w:rPr>
                <w:rFonts w:hint="eastAsia" w:ascii="宋体" w:hAnsi="宋体" w:eastAsia="宋体" w:cs="宋体"/>
                <w:i w:val="0"/>
                <w:iCs w:val="0"/>
                <w:color w:val="000000"/>
                <w:sz w:val="18"/>
                <w:szCs w:val="18"/>
                <w:u w:val="none"/>
              </w:rPr>
            </w:pPr>
          </w:p>
        </w:tc>
      </w:tr>
      <w:tr w14:paraId="2B5BE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8273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953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8BD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ED1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A6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19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2B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9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BD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46D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B68F">
            <w:pPr>
              <w:snapToGrid w:val="0"/>
              <w:jc w:val="center"/>
              <w:rPr>
                <w:rFonts w:hint="eastAsia" w:ascii="宋体" w:hAnsi="宋体" w:eastAsia="宋体" w:cs="宋体"/>
                <w:i w:val="0"/>
                <w:iCs w:val="0"/>
                <w:color w:val="000000"/>
                <w:sz w:val="18"/>
                <w:szCs w:val="18"/>
                <w:u w:val="none"/>
              </w:rPr>
            </w:pPr>
          </w:p>
        </w:tc>
      </w:tr>
      <w:tr w14:paraId="45A3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010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E6F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DFC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0F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召开培训次数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B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998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23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2E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E2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C5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32059">
            <w:pPr>
              <w:snapToGrid w:val="0"/>
              <w:jc w:val="center"/>
              <w:rPr>
                <w:rFonts w:hint="eastAsia" w:ascii="宋体" w:hAnsi="宋体" w:eastAsia="宋体" w:cs="宋体"/>
                <w:i w:val="0"/>
                <w:iCs w:val="0"/>
                <w:color w:val="000000"/>
                <w:sz w:val="18"/>
                <w:szCs w:val="18"/>
                <w:u w:val="none"/>
              </w:rPr>
            </w:pPr>
          </w:p>
        </w:tc>
      </w:tr>
      <w:tr w14:paraId="548C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998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E430">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D50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B0B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AB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39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DF7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F7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B23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646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ECC5">
            <w:pPr>
              <w:snapToGrid w:val="0"/>
              <w:jc w:val="center"/>
              <w:rPr>
                <w:rFonts w:hint="eastAsia" w:ascii="宋体" w:hAnsi="宋体" w:eastAsia="宋体" w:cs="宋体"/>
                <w:i w:val="0"/>
                <w:iCs w:val="0"/>
                <w:color w:val="000000"/>
                <w:sz w:val="18"/>
                <w:szCs w:val="18"/>
                <w:u w:val="none"/>
              </w:rPr>
            </w:pPr>
          </w:p>
        </w:tc>
      </w:tr>
      <w:tr w14:paraId="4217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2833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110C">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0B2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6BE2">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提升项目管理能力</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A4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8F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FB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F6F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96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9F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12D8">
            <w:pPr>
              <w:snapToGrid w:val="0"/>
              <w:jc w:val="center"/>
              <w:rPr>
                <w:rFonts w:hint="eastAsia" w:ascii="宋体" w:hAnsi="宋体" w:eastAsia="宋体" w:cs="宋体"/>
                <w:i w:val="0"/>
                <w:iCs w:val="0"/>
                <w:color w:val="000000"/>
                <w:sz w:val="18"/>
                <w:szCs w:val="18"/>
                <w:u w:val="none"/>
              </w:rPr>
            </w:pPr>
          </w:p>
        </w:tc>
      </w:tr>
      <w:tr w14:paraId="57CC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A65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9C51">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189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398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917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69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0D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05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ED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6D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6CA8">
            <w:pPr>
              <w:snapToGrid w:val="0"/>
              <w:jc w:val="center"/>
              <w:rPr>
                <w:rFonts w:hint="eastAsia" w:ascii="宋体" w:hAnsi="宋体" w:eastAsia="宋体" w:cs="宋体"/>
                <w:i w:val="0"/>
                <w:iCs w:val="0"/>
                <w:color w:val="000000"/>
                <w:sz w:val="18"/>
                <w:szCs w:val="18"/>
                <w:u w:val="none"/>
              </w:rPr>
            </w:pPr>
          </w:p>
        </w:tc>
      </w:tr>
      <w:tr w14:paraId="28744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2A6F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2FCB">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0F7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0E1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6A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F2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C3A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971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2B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C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7A97">
            <w:pPr>
              <w:snapToGrid w:val="0"/>
              <w:jc w:val="center"/>
              <w:rPr>
                <w:rFonts w:hint="eastAsia" w:ascii="微软雅黑" w:hAnsi="微软雅黑" w:eastAsia="微软雅黑" w:cs="微软雅黑"/>
                <w:i/>
                <w:iCs/>
                <w:color w:val="000000"/>
                <w:sz w:val="16"/>
                <w:szCs w:val="16"/>
                <w:u w:val="none"/>
              </w:rPr>
            </w:pPr>
          </w:p>
        </w:tc>
      </w:tr>
      <w:tr w14:paraId="4B54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B5E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DF0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EEB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EBA8">
            <w:pPr>
              <w:snapToGrid w:val="0"/>
              <w:rPr>
                <w:rFonts w:hint="eastAsia" w:ascii="宋体" w:hAnsi="宋体" w:eastAsia="宋体" w:cs="宋体"/>
                <w:i w:val="0"/>
                <w:iCs w:val="0"/>
                <w:color w:val="FF0000"/>
                <w:sz w:val="18"/>
                <w:szCs w:val="18"/>
                <w:u w:val="none"/>
              </w:rPr>
            </w:pPr>
          </w:p>
        </w:tc>
      </w:tr>
      <w:tr w14:paraId="312C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BA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DC39B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88分。两资项目管理培训费专项资金，严格按照当年项目备案指南资金使用方向和要求支付，专项资金按照财务管理制度、《四川省民族地区开发资金管理办法》和有关资金支付程序执行。从专项资金执行情况看，我委顺利完成了“两资”管理培训及全州民族团结进步示范工程项目评审等既定任务，切实达成了用新思想武装头脑、指导实践的目标，有效优化了人员知识结构，全面提升了项目管理人员的业务能力。</w:t>
            </w:r>
          </w:p>
        </w:tc>
      </w:tr>
      <w:tr w14:paraId="262C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E8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AA529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2023年项目管理培训费未在规定时限内支付完，时效性绩效指标未达预期。现存结余资金已按规定由财政收回。</w:t>
            </w:r>
          </w:p>
        </w:tc>
      </w:tr>
      <w:tr w14:paraId="2329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02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B8022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为进一步提升资金使用效益，确保绩效指标全面达成，现就项目管理费资金下达进度问题，特向贵局提出如下改进建议：优化审核流转环节，适当缩短资金下达的周期。  </w:t>
            </w:r>
          </w:p>
        </w:tc>
      </w:tr>
      <w:tr w14:paraId="5FD5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108C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EFEAE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E00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7844D7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7351CE48">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0B3FB75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70679756">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102547E">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62C419A">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331E54C">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5895660">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2F4D42E8">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DE53F0D">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08FFB29">
            <w:pPr>
              <w:snapToGrid w:val="0"/>
              <w:rPr>
                <w:rFonts w:hint="eastAsia" w:ascii="宋体" w:hAnsi="宋体" w:eastAsia="宋体" w:cs="宋体"/>
                <w:i w:val="0"/>
                <w:iCs w:val="0"/>
                <w:color w:val="000000"/>
                <w:sz w:val="18"/>
                <w:szCs w:val="18"/>
                <w:u w:val="none"/>
              </w:rPr>
            </w:pPr>
          </w:p>
        </w:tc>
      </w:tr>
      <w:tr w14:paraId="2F8B1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570F82">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68C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FB5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3C71F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51320024T000011038310-慰问经费1</w:t>
            </w:r>
          </w:p>
        </w:tc>
      </w:tr>
      <w:tr w14:paraId="6653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06E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77D1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82B936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9F9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9F4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51A1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CCA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4633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F714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2D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5A9AA">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D23E">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3D8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深入基层宗教活动场所，与宗教界代表人士交心谈心，掌握僧众的基本动态，拟慰问宗教场所92次，送去党和政府的关心关怀。</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F011A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扎实开展“联心同行”，做好慰问走访，关爱帮扶困难教职人员，年度目标任务全面完成，凝聚力显著提升。</w:t>
            </w:r>
          </w:p>
        </w:tc>
      </w:tr>
      <w:tr w14:paraId="7750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7357">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0FD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CE525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慰问经费用于宗教界走访慰问，规范审批发放，精准帮扶困难僧人及宗教界代表，全程公开透明，程序合规。</w:t>
            </w:r>
          </w:p>
        </w:tc>
      </w:tr>
      <w:tr w14:paraId="50515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09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4A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7E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C0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B4B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90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E4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5D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DB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03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E60F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AB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D0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E6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996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2B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88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8E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56B27">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F3C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FB84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9F5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54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EE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266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F2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39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380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B5A8D">
            <w:pPr>
              <w:snapToGrid w:val="0"/>
              <w:rPr>
                <w:rFonts w:hint="eastAsia" w:ascii="黑体" w:hAnsi="黑体" w:eastAsia="黑体" w:cs="黑体"/>
                <w:i/>
                <w:iCs/>
                <w:color w:val="000000"/>
                <w:sz w:val="18"/>
                <w:szCs w:val="18"/>
                <w:u w:val="none"/>
              </w:rPr>
            </w:pPr>
          </w:p>
        </w:tc>
      </w:tr>
      <w:tr w14:paraId="1284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90A0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3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0F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2D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58D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085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88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3E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C2B8">
            <w:pPr>
              <w:snapToGrid w:val="0"/>
              <w:rPr>
                <w:rFonts w:hint="eastAsia" w:ascii="黑体" w:hAnsi="黑体" w:eastAsia="黑体" w:cs="黑体"/>
                <w:i/>
                <w:iCs/>
                <w:color w:val="000000"/>
                <w:sz w:val="18"/>
                <w:szCs w:val="18"/>
                <w:u w:val="none"/>
              </w:rPr>
            </w:pPr>
          </w:p>
        </w:tc>
      </w:tr>
      <w:tr w14:paraId="791F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708A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C5D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1C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70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032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CE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ED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5F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2A237">
            <w:pPr>
              <w:snapToGrid w:val="0"/>
              <w:rPr>
                <w:rFonts w:hint="eastAsia" w:ascii="黑体" w:hAnsi="黑体" w:eastAsia="黑体" w:cs="黑体"/>
                <w:i/>
                <w:iCs/>
                <w:color w:val="000000"/>
                <w:sz w:val="18"/>
                <w:szCs w:val="18"/>
                <w:u w:val="none"/>
              </w:rPr>
            </w:pPr>
          </w:p>
        </w:tc>
      </w:tr>
      <w:tr w14:paraId="3184D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861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67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24F8">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37E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19345">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D73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D6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57F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56CDB">
            <w:pPr>
              <w:snapToGrid w:val="0"/>
              <w:rPr>
                <w:rFonts w:hint="eastAsia" w:ascii="黑体" w:hAnsi="黑体" w:eastAsia="黑体" w:cs="黑体"/>
                <w:i/>
                <w:iCs/>
                <w:color w:val="000000"/>
                <w:sz w:val="18"/>
                <w:szCs w:val="18"/>
                <w:u w:val="none"/>
              </w:rPr>
            </w:pPr>
          </w:p>
        </w:tc>
      </w:tr>
      <w:tr w14:paraId="7FE3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808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9E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4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A2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E9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10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B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6D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8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60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2F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D8E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5C652">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C8E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6D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75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慰问宗教场所数量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24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F24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35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65B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CC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D8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E867">
            <w:pPr>
              <w:snapToGrid w:val="0"/>
              <w:jc w:val="center"/>
              <w:rPr>
                <w:rFonts w:hint="eastAsia" w:ascii="微软雅黑" w:hAnsi="微软雅黑" w:eastAsia="微软雅黑" w:cs="微软雅黑"/>
                <w:i/>
                <w:iCs/>
                <w:color w:val="000000"/>
                <w:sz w:val="16"/>
                <w:szCs w:val="16"/>
                <w:u w:val="none"/>
              </w:rPr>
            </w:pPr>
          </w:p>
        </w:tc>
      </w:tr>
      <w:tr w14:paraId="7580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14EB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D16F3">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878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71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E6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6C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03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73F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9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79C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3343">
            <w:pPr>
              <w:snapToGrid w:val="0"/>
              <w:jc w:val="center"/>
              <w:rPr>
                <w:rFonts w:hint="eastAsia" w:ascii="微软雅黑" w:hAnsi="微软雅黑" w:eastAsia="微软雅黑" w:cs="微软雅黑"/>
                <w:i/>
                <w:iCs/>
                <w:color w:val="000000"/>
                <w:sz w:val="16"/>
                <w:szCs w:val="16"/>
                <w:u w:val="none"/>
              </w:rPr>
            </w:pPr>
          </w:p>
        </w:tc>
      </w:tr>
      <w:tr w14:paraId="37C1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FA49">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EE399">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A61AC">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54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指导工作合格率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0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99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10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2FD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853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86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003F">
            <w:pPr>
              <w:snapToGrid w:val="0"/>
              <w:jc w:val="center"/>
              <w:rPr>
                <w:rFonts w:hint="eastAsia" w:ascii="微软雅黑" w:hAnsi="微软雅黑" w:eastAsia="微软雅黑" w:cs="微软雅黑"/>
                <w:i/>
                <w:iCs/>
                <w:color w:val="000000"/>
                <w:sz w:val="16"/>
                <w:szCs w:val="16"/>
                <w:u w:val="none"/>
              </w:rPr>
            </w:pPr>
          </w:p>
        </w:tc>
      </w:tr>
      <w:tr w14:paraId="3739A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1114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1760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68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D9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6D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C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DB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ED4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1C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C8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56C3">
            <w:pPr>
              <w:snapToGrid w:val="0"/>
              <w:jc w:val="center"/>
              <w:rPr>
                <w:rFonts w:hint="eastAsia" w:ascii="微软雅黑" w:hAnsi="微软雅黑" w:eastAsia="微软雅黑" w:cs="微软雅黑"/>
                <w:i/>
                <w:iCs/>
                <w:color w:val="000000"/>
                <w:sz w:val="16"/>
                <w:szCs w:val="16"/>
                <w:u w:val="none"/>
              </w:rPr>
            </w:pPr>
          </w:p>
        </w:tc>
      </w:tr>
      <w:tr w14:paraId="406F1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4D6C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29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55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95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提升与僧众沟通能力</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53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46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100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6F7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6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22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B8DE">
            <w:pPr>
              <w:snapToGrid w:val="0"/>
              <w:jc w:val="center"/>
              <w:rPr>
                <w:rFonts w:hint="eastAsia" w:ascii="微软雅黑" w:hAnsi="微软雅黑" w:eastAsia="微软雅黑" w:cs="微软雅黑"/>
                <w:i/>
                <w:iCs/>
                <w:color w:val="000000"/>
                <w:sz w:val="16"/>
                <w:szCs w:val="16"/>
                <w:u w:val="none"/>
              </w:rPr>
            </w:pPr>
          </w:p>
        </w:tc>
      </w:tr>
      <w:tr w14:paraId="3AB1F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1984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91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64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40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B2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5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34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AC4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C3C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05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B8DC">
            <w:pPr>
              <w:snapToGrid w:val="0"/>
              <w:jc w:val="center"/>
              <w:rPr>
                <w:rFonts w:hint="eastAsia" w:ascii="微软雅黑" w:hAnsi="微软雅黑" w:eastAsia="微软雅黑" w:cs="微软雅黑"/>
                <w:i/>
                <w:iCs/>
                <w:color w:val="000000"/>
                <w:sz w:val="16"/>
                <w:szCs w:val="16"/>
                <w:u w:val="none"/>
              </w:rPr>
            </w:pPr>
          </w:p>
        </w:tc>
      </w:tr>
      <w:tr w14:paraId="10B66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3F16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83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2A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7A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8F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3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03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BB9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AB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D2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8FB3">
            <w:pPr>
              <w:snapToGrid w:val="0"/>
              <w:jc w:val="center"/>
              <w:rPr>
                <w:rFonts w:hint="eastAsia" w:ascii="微软雅黑" w:hAnsi="微软雅黑" w:eastAsia="微软雅黑" w:cs="微软雅黑"/>
                <w:i/>
                <w:iCs/>
                <w:color w:val="000000"/>
                <w:sz w:val="16"/>
                <w:szCs w:val="16"/>
                <w:u w:val="none"/>
              </w:rPr>
            </w:pPr>
          </w:p>
        </w:tc>
      </w:tr>
      <w:tr w14:paraId="79AD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7BDB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141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3669">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E17F">
            <w:pPr>
              <w:snapToGrid w:val="0"/>
              <w:rPr>
                <w:rFonts w:hint="eastAsia" w:ascii="宋体" w:hAnsi="宋体" w:eastAsia="宋体" w:cs="宋体"/>
                <w:i w:val="0"/>
                <w:iCs w:val="0"/>
                <w:color w:val="FF0000"/>
                <w:sz w:val="18"/>
                <w:szCs w:val="18"/>
                <w:u w:val="none"/>
              </w:rPr>
            </w:pPr>
          </w:p>
        </w:tc>
      </w:tr>
      <w:tr w14:paraId="3BE8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7C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58190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该项目支出绩效评价指标总分值100分，自评86分。项目自评成绩优异，经费发放规范暖心，宗教界反向良好，切实达到了关怀服务的预期效果。</w:t>
            </w:r>
          </w:p>
        </w:tc>
      </w:tr>
      <w:tr w14:paraId="06BE5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60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FF036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慰问对象档案管理需进一步提升。</w:t>
            </w:r>
          </w:p>
        </w:tc>
      </w:tr>
      <w:tr w14:paraId="6B60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9D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20057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健全慰问对象信息，进一步规范发放流程，强化痕迹管理。</w:t>
            </w:r>
          </w:p>
        </w:tc>
      </w:tr>
      <w:tr w14:paraId="1D0A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FCF7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7E062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53743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006375A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B006B81">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9AF8A38">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230A22E9">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4B2F9B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DB4472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C8BC38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2AC3410">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1F8CD16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0807C004">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B173825">
            <w:pPr>
              <w:snapToGrid w:val="0"/>
              <w:rPr>
                <w:rFonts w:hint="eastAsia" w:ascii="宋体" w:hAnsi="宋体" w:eastAsia="宋体" w:cs="宋体"/>
                <w:i w:val="0"/>
                <w:iCs w:val="0"/>
                <w:color w:val="000000"/>
                <w:sz w:val="18"/>
                <w:szCs w:val="18"/>
                <w:u w:val="none"/>
              </w:rPr>
            </w:pPr>
          </w:p>
        </w:tc>
      </w:tr>
      <w:tr w14:paraId="5C608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ABB61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03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2640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2CFB2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51320024T000011038422-</w:t>
            </w:r>
            <w:r>
              <w:rPr>
                <w:rFonts w:hint="eastAsia" w:ascii="宋体" w:hAnsi="宋体" w:cs="宋体"/>
                <w:i w:val="0"/>
                <w:iCs w:val="0"/>
                <w:color w:val="000000"/>
                <w:kern w:val="0"/>
                <w:sz w:val="18"/>
                <w:szCs w:val="18"/>
                <w:u w:val="none"/>
                <w:lang w:val="en-US" w:eastAsia="zh-CN" w:bidi="ar"/>
              </w:rPr>
              <w:t>TQ</w:t>
            </w:r>
            <w:r>
              <w:rPr>
                <w:rFonts w:ascii="宋体" w:hAnsi="宋体" w:eastAsia="宋体" w:cs="宋体"/>
                <w:i w:val="0"/>
                <w:iCs w:val="0"/>
                <w:color w:val="000000"/>
                <w:kern w:val="0"/>
                <w:sz w:val="18"/>
                <w:szCs w:val="18"/>
                <w:u w:val="none"/>
                <w:lang w:val="en-US" w:eastAsia="zh-CN" w:bidi="ar"/>
              </w:rPr>
              <w:t>经费1</w:t>
            </w:r>
          </w:p>
        </w:tc>
      </w:tr>
      <w:tr w14:paraId="74F6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87CD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907D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19D8F9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978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E73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1DC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DA10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EDA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05FEB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2CC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C69D1">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A6A7">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08B8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收集寺情僧态，维护宗教领域和谐稳定。</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F83D1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严格按照规定使用TQ经费，年度工作目标全面完成，经费使用合规高效，保障到位。</w:t>
            </w:r>
          </w:p>
        </w:tc>
      </w:tr>
      <w:tr w14:paraId="5843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4C90">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79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AECE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TQ</w:t>
            </w:r>
            <w:r>
              <w:rPr>
                <w:rFonts w:ascii="宋体" w:hAnsi="宋体" w:eastAsia="宋体" w:cs="宋体"/>
                <w:i w:val="0"/>
                <w:iCs w:val="0"/>
                <w:color w:val="000000"/>
                <w:kern w:val="0"/>
                <w:sz w:val="18"/>
                <w:szCs w:val="18"/>
                <w:u w:val="none"/>
                <w:lang w:val="en-US" w:eastAsia="zh-CN" w:bidi="ar"/>
              </w:rPr>
              <w:t>经费用于专项工作处置、收研，精准保障需求，全程规范管理，有力支撑相关任务开展。</w:t>
            </w:r>
          </w:p>
        </w:tc>
      </w:tr>
      <w:tr w14:paraId="61A0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E2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CB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07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1A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918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6C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B0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69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75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17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261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2F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FF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18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C7E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A8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2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A1A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6B21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预算执行平稳有序，执行率达标，因工作实际需求合理支出，资金使用规范无违规。</w:t>
            </w:r>
          </w:p>
        </w:tc>
      </w:tr>
      <w:tr w14:paraId="345E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28E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E2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F2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6C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85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9E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1D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C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45B23">
            <w:pPr>
              <w:snapToGrid w:val="0"/>
              <w:rPr>
                <w:rFonts w:hint="eastAsia" w:ascii="黑体" w:hAnsi="黑体" w:eastAsia="黑体" w:cs="黑体"/>
                <w:i/>
                <w:iCs/>
                <w:color w:val="000000"/>
                <w:sz w:val="18"/>
                <w:szCs w:val="18"/>
                <w:u w:val="none"/>
              </w:rPr>
            </w:pPr>
          </w:p>
        </w:tc>
      </w:tr>
      <w:tr w14:paraId="145C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5E9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05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C8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EC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6FA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73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C5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423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4EED">
            <w:pPr>
              <w:snapToGrid w:val="0"/>
              <w:rPr>
                <w:rFonts w:hint="eastAsia" w:ascii="黑体" w:hAnsi="黑体" w:eastAsia="黑体" w:cs="黑体"/>
                <w:i/>
                <w:iCs/>
                <w:color w:val="000000"/>
                <w:sz w:val="18"/>
                <w:szCs w:val="18"/>
                <w:u w:val="none"/>
              </w:rPr>
            </w:pPr>
          </w:p>
        </w:tc>
      </w:tr>
      <w:tr w14:paraId="0A0D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95D7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CDF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61E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D8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701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C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E4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48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3C6E6">
            <w:pPr>
              <w:snapToGrid w:val="0"/>
              <w:rPr>
                <w:rFonts w:hint="eastAsia" w:ascii="黑体" w:hAnsi="黑体" w:eastAsia="黑体" w:cs="黑体"/>
                <w:i/>
                <w:iCs/>
                <w:color w:val="000000"/>
                <w:sz w:val="18"/>
                <w:szCs w:val="18"/>
                <w:u w:val="none"/>
              </w:rPr>
            </w:pPr>
          </w:p>
        </w:tc>
      </w:tr>
      <w:tr w14:paraId="4708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99F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F1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4EEE">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52F7">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9A60A">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1330">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77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9A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3000">
            <w:pPr>
              <w:snapToGrid w:val="0"/>
              <w:rPr>
                <w:rFonts w:hint="eastAsia" w:ascii="黑体" w:hAnsi="黑体" w:eastAsia="黑体" w:cs="黑体"/>
                <w:i/>
                <w:iCs/>
                <w:color w:val="000000"/>
                <w:sz w:val="18"/>
                <w:szCs w:val="18"/>
                <w:u w:val="none"/>
              </w:rPr>
            </w:pPr>
          </w:p>
        </w:tc>
      </w:tr>
      <w:tr w14:paraId="5298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CAC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FBC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56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1C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4B1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EF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9C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10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A8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2E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9F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5B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540D">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CF7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1F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FC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深入全州13县（市）数量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2F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CA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E6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925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7D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0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139B">
            <w:pPr>
              <w:snapToGrid w:val="0"/>
              <w:jc w:val="center"/>
              <w:rPr>
                <w:rFonts w:hint="eastAsia" w:ascii="微软雅黑" w:hAnsi="微软雅黑" w:eastAsia="微软雅黑" w:cs="微软雅黑"/>
                <w:i/>
                <w:iCs/>
                <w:color w:val="000000"/>
                <w:sz w:val="16"/>
                <w:szCs w:val="16"/>
                <w:u w:val="none"/>
              </w:rPr>
            </w:pPr>
          </w:p>
        </w:tc>
      </w:tr>
      <w:tr w14:paraId="76C8B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FBA8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10EC">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0A7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E7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宗教领域规范率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E1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11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1D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FC36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A0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FF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A71D">
            <w:pPr>
              <w:snapToGrid w:val="0"/>
              <w:jc w:val="center"/>
              <w:rPr>
                <w:rFonts w:hint="eastAsia" w:ascii="微软雅黑" w:hAnsi="微软雅黑" w:eastAsia="微软雅黑" w:cs="微软雅黑"/>
                <w:i/>
                <w:iCs/>
                <w:color w:val="000000"/>
                <w:sz w:val="16"/>
                <w:szCs w:val="16"/>
                <w:u w:val="none"/>
              </w:rPr>
            </w:pPr>
          </w:p>
        </w:tc>
      </w:tr>
      <w:tr w14:paraId="64FE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7622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BF0E">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FCA9A">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EF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5C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A65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7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B549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B4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B8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6034">
            <w:pPr>
              <w:snapToGrid w:val="0"/>
              <w:jc w:val="center"/>
              <w:rPr>
                <w:rFonts w:hint="eastAsia" w:ascii="微软雅黑" w:hAnsi="微软雅黑" w:eastAsia="微软雅黑" w:cs="微软雅黑"/>
                <w:i/>
                <w:iCs/>
                <w:color w:val="000000"/>
                <w:sz w:val="16"/>
                <w:szCs w:val="16"/>
                <w:u w:val="none"/>
              </w:rPr>
            </w:pPr>
          </w:p>
        </w:tc>
      </w:tr>
      <w:tr w14:paraId="6C04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B16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26EE1">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C0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A8A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B8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87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AD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965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1A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88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8061">
            <w:pPr>
              <w:snapToGrid w:val="0"/>
              <w:jc w:val="center"/>
              <w:rPr>
                <w:rFonts w:hint="eastAsia" w:ascii="微软雅黑" w:hAnsi="微软雅黑" w:eastAsia="微软雅黑" w:cs="微软雅黑"/>
                <w:i/>
                <w:iCs/>
                <w:color w:val="000000"/>
                <w:sz w:val="16"/>
                <w:szCs w:val="16"/>
                <w:u w:val="none"/>
              </w:rPr>
            </w:pPr>
          </w:p>
        </w:tc>
      </w:tr>
      <w:tr w14:paraId="3076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886C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A3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58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9B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宗教领域和谐稳定程度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552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F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8027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2E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27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4F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B4C43">
            <w:pPr>
              <w:snapToGrid w:val="0"/>
              <w:jc w:val="center"/>
              <w:rPr>
                <w:rFonts w:hint="eastAsia" w:ascii="微软雅黑" w:hAnsi="微软雅黑" w:eastAsia="微软雅黑" w:cs="微软雅黑"/>
                <w:i/>
                <w:iCs/>
                <w:color w:val="000000"/>
                <w:sz w:val="16"/>
                <w:szCs w:val="16"/>
                <w:u w:val="none"/>
              </w:rPr>
            </w:pPr>
          </w:p>
        </w:tc>
      </w:tr>
      <w:tr w14:paraId="70E7F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573D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4B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0E0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914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01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EA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9C0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59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FB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8A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7070">
            <w:pPr>
              <w:snapToGrid w:val="0"/>
              <w:jc w:val="center"/>
              <w:rPr>
                <w:rFonts w:hint="eastAsia" w:ascii="微软雅黑" w:hAnsi="微软雅黑" w:eastAsia="微软雅黑" w:cs="微软雅黑"/>
                <w:i/>
                <w:iCs/>
                <w:color w:val="000000"/>
                <w:sz w:val="16"/>
                <w:szCs w:val="16"/>
                <w:u w:val="none"/>
              </w:rPr>
            </w:pPr>
          </w:p>
        </w:tc>
      </w:tr>
      <w:tr w14:paraId="3ADF6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A8AD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04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8F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AD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86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90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A85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AC5B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0E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A92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DA78">
            <w:pPr>
              <w:snapToGrid w:val="0"/>
              <w:jc w:val="center"/>
              <w:rPr>
                <w:rFonts w:hint="eastAsia" w:ascii="微软雅黑" w:hAnsi="微软雅黑" w:eastAsia="微软雅黑" w:cs="微软雅黑"/>
                <w:i/>
                <w:iCs/>
                <w:color w:val="000000"/>
                <w:sz w:val="16"/>
                <w:szCs w:val="16"/>
                <w:u w:val="none"/>
              </w:rPr>
            </w:pPr>
          </w:p>
        </w:tc>
      </w:tr>
      <w:tr w14:paraId="4486B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86D1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C8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64676">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2D5A">
            <w:pPr>
              <w:snapToGrid w:val="0"/>
              <w:rPr>
                <w:rFonts w:hint="eastAsia" w:ascii="宋体" w:hAnsi="宋体" w:eastAsia="宋体" w:cs="宋体"/>
                <w:i w:val="0"/>
                <w:iCs w:val="0"/>
                <w:color w:val="FF0000"/>
                <w:sz w:val="18"/>
                <w:szCs w:val="18"/>
                <w:u w:val="none"/>
              </w:rPr>
            </w:pPr>
          </w:p>
        </w:tc>
      </w:tr>
      <w:tr w14:paraId="0A34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55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6A15F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该项目支出绩效评价指标总分值100分，自评86分。项目自评得分优良，经费管理规范，保障宗教领域持续稳定，工作成效明显，达到预期效果。</w:t>
            </w:r>
          </w:p>
        </w:tc>
      </w:tr>
      <w:tr w14:paraId="16364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EC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2052E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经费使用精细化管理仍有不足，管理细节需进一步加强。</w:t>
            </w:r>
          </w:p>
        </w:tc>
      </w:tr>
      <w:tr w14:paraId="64B0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DC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25F6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健全TQ经费管理制度，强化管控，提升规范化与专业化管理水平。</w:t>
            </w:r>
          </w:p>
        </w:tc>
      </w:tr>
      <w:tr w14:paraId="7917B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5010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AFEAF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61CC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DB5B952">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6BEFE296">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7EF71D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0BFD6FE">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2BE2ABA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774C4A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9226D0B">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0F5FFC4">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8ECE7FC">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0EDD935">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5FFCB274">
            <w:pPr>
              <w:snapToGrid w:val="0"/>
              <w:rPr>
                <w:rFonts w:hint="eastAsia" w:ascii="宋体" w:hAnsi="宋体" w:eastAsia="宋体" w:cs="宋体"/>
                <w:i w:val="0"/>
                <w:iCs w:val="0"/>
                <w:color w:val="000000"/>
                <w:sz w:val="18"/>
                <w:szCs w:val="18"/>
                <w:u w:val="none"/>
              </w:rPr>
            </w:pPr>
          </w:p>
        </w:tc>
      </w:tr>
      <w:tr w14:paraId="0724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0B689E">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84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8444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67F3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51320024T000011038503-民族宗教培训及实地教学经费1</w:t>
            </w:r>
          </w:p>
        </w:tc>
      </w:tr>
      <w:tr w14:paraId="72A1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A25A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6A11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7B2AB43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299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606C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61F5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467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AD4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0FE6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CF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2B20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E94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FDD3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新转世活佛培训班两期和藏传佛教寺庙教职人员培训考察，拟培训2期，以便提高他们的法律意识、积极教育引导僧众的思想观念，开阔眼界；培养全州宗教管理干部，提高宗教管理干部的依法管理宗教事务能力。</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B6B6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举办了全州藏传佛教寺庙新任民管会骨干和中青年后备僧才专题培训班。分阶段在汶川映秀培训中心及四川藏语佛学院集中学习。培训紧密结合当前形势与工作实际，内容丰富、形式多样，涵盖了政策理论宣讲、专题知识讲座、实地观摩学习及健康关怀等多个方面，取得了预期成效。</w:t>
            </w:r>
          </w:p>
        </w:tc>
      </w:tr>
      <w:tr w14:paraId="3FE4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4454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25A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6154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定培训方案,并提交党组会议研究同意举办全州藏传佛教寺庙新任民管会骨干和中青年后备僧才专题培训班，培训紧密结合当前形势与工作实际，内容丰富、形式多样，涵盖了政策理论宣讲、专题知识讲座、实地观摩学习及健康关怀等多个方面。</w:t>
            </w:r>
          </w:p>
        </w:tc>
      </w:tr>
      <w:tr w14:paraId="336A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EF4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53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1F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3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F5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23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A4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45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8F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80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FB826">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70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34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BE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F08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5A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A1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A4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42914">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CD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D503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0E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B9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20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EC4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01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38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D7E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F22A">
            <w:pPr>
              <w:snapToGrid w:val="0"/>
              <w:rPr>
                <w:rFonts w:hint="eastAsia" w:ascii="黑体" w:hAnsi="黑体" w:eastAsia="黑体" w:cs="黑体"/>
                <w:i/>
                <w:iCs/>
                <w:color w:val="000000"/>
                <w:sz w:val="18"/>
                <w:szCs w:val="18"/>
                <w:u w:val="none"/>
              </w:rPr>
            </w:pPr>
          </w:p>
        </w:tc>
      </w:tr>
      <w:tr w14:paraId="2B07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6EF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DFC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70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2D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9C2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C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A0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8A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414C">
            <w:pPr>
              <w:snapToGrid w:val="0"/>
              <w:rPr>
                <w:rFonts w:hint="eastAsia" w:ascii="黑体" w:hAnsi="黑体" w:eastAsia="黑体" w:cs="黑体"/>
                <w:i/>
                <w:iCs/>
                <w:color w:val="000000"/>
                <w:sz w:val="18"/>
                <w:szCs w:val="18"/>
                <w:u w:val="none"/>
              </w:rPr>
            </w:pPr>
          </w:p>
        </w:tc>
      </w:tr>
      <w:tr w14:paraId="32CF8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206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84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2B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B9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E8D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40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2D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AD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35A59">
            <w:pPr>
              <w:snapToGrid w:val="0"/>
              <w:rPr>
                <w:rFonts w:hint="eastAsia" w:ascii="黑体" w:hAnsi="黑体" w:eastAsia="黑体" w:cs="黑体"/>
                <w:i/>
                <w:iCs/>
                <w:color w:val="000000"/>
                <w:sz w:val="18"/>
                <w:szCs w:val="18"/>
                <w:u w:val="none"/>
              </w:rPr>
            </w:pPr>
          </w:p>
        </w:tc>
      </w:tr>
      <w:tr w14:paraId="5B1C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0CE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73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5246">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C338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341B3B">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9D39">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CB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E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F06F">
            <w:pPr>
              <w:snapToGrid w:val="0"/>
              <w:rPr>
                <w:rFonts w:hint="eastAsia" w:ascii="黑体" w:hAnsi="黑体" w:eastAsia="黑体" w:cs="黑体"/>
                <w:i/>
                <w:iCs/>
                <w:color w:val="000000"/>
                <w:sz w:val="18"/>
                <w:szCs w:val="18"/>
                <w:u w:val="none"/>
              </w:rPr>
            </w:pPr>
          </w:p>
        </w:tc>
      </w:tr>
      <w:tr w14:paraId="08C4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B82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23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03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E2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B6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70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BA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7F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91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E4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F8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B21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E5AD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87A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513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5D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参加培训班人数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49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7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CB2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CBC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97</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6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A4E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BD66">
            <w:pPr>
              <w:snapToGrid w:val="0"/>
              <w:jc w:val="center"/>
              <w:rPr>
                <w:rFonts w:hint="eastAsia" w:ascii="微软雅黑" w:hAnsi="微软雅黑" w:eastAsia="微软雅黑" w:cs="微软雅黑"/>
                <w:i/>
                <w:iCs/>
                <w:color w:val="000000"/>
                <w:sz w:val="16"/>
                <w:szCs w:val="16"/>
                <w:u w:val="none"/>
              </w:rPr>
            </w:pPr>
          </w:p>
        </w:tc>
      </w:tr>
      <w:tr w14:paraId="4CBF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0317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8925">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60ED2">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61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开展培训班期数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8C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F2B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1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DFA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FF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E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EDE21">
            <w:pPr>
              <w:snapToGrid w:val="0"/>
              <w:jc w:val="center"/>
              <w:rPr>
                <w:rFonts w:hint="eastAsia" w:ascii="微软雅黑" w:hAnsi="微软雅黑" w:eastAsia="微软雅黑" w:cs="微软雅黑"/>
                <w:i/>
                <w:iCs/>
                <w:color w:val="000000"/>
                <w:sz w:val="16"/>
                <w:szCs w:val="16"/>
                <w:u w:val="none"/>
              </w:rPr>
            </w:pPr>
          </w:p>
        </w:tc>
      </w:tr>
      <w:tr w14:paraId="59B75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D7CD8">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D800">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91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7A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培训质量合格率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75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71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6E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B29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81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CB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AFF5">
            <w:pPr>
              <w:snapToGrid w:val="0"/>
              <w:jc w:val="center"/>
              <w:rPr>
                <w:rFonts w:hint="eastAsia" w:ascii="微软雅黑" w:hAnsi="微软雅黑" w:eastAsia="微软雅黑" w:cs="微软雅黑"/>
                <w:i/>
                <w:iCs/>
                <w:color w:val="000000"/>
                <w:sz w:val="16"/>
                <w:szCs w:val="16"/>
                <w:u w:val="none"/>
              </w:rPr>
            </w:pPr>
          </w:p>
        </w:tc>
      </w:tr>
      <w:tr w14:paraId="6484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9FB3C">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E8E5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25C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37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B6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B2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714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099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70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CA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CD83C">
            <w:pPr>
              <w:snapToGrid w:val="0"/>
              <w:jc w:val="center"/>
              <w:rPr>
                <w:rFonts w:hint="eastAsia" w:ascii="微软雅黑" w:hAnsi="微软雅黑" w:eastAsia="微软雅黑" w:cs="微软雅黑"/>
                <w:i/>
                <w:iCs/>
                <w:color w:val="000000"/>
                <w:sz w:val="16"/>
                <w:szCs w:val="16"/>
                <w:u w:val="none"/>
              </w:rPr>
            </w:pPr>
          </w:p>
        </w:tc>
      </w:tr>
      <w:tr w14:paraId="557B5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F638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7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2B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ED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宗教管理干部依法管理宗教事务的水平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0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90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9FD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594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45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4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B861">
            <w:pPr>
              <w:snapToGrid w:val="0"/>
              <w:jc w:val="center"/>
              <w:rPr>
                <w:rFonts w:hint="eastAsia" w:ascii="微软雅黑" w:hAnsi="微软雅黑" w:eastAsia="微软雅黑" w:cs="微软雅黑"/>
                <w:i/>
                <w:iCs/>
                <w:color w:val="000000"/>
                <w:sz w:val="16"/>
                <w:szCs w:val="16"/>
                <w:u w:val="none"/>
              </w:rPr>
            </w:pPr>
          </w:p>
        </w:tc>
      </w:tr>
      <w:tr w14:paraId="2B42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B3B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B3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71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C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5B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5E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003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A29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6D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5888">
            <w:pPr>
              <w:snapToGrid w:val="0"/>
              <w:jc w:val="center"/>
              <w:rPr>
                <w:rFonts w:hint="eastAsia" w:ascii="微软雅黑" w:hAnsi="微软雅黑" w:eastAsia="微软雅黑" w:cs="微软雅黑"/>
                <w:i/>
                <w:iCs/>
                <w:color w:val="000000"/>
                <w:sz w:val="16"/>
                <w:szCs w:val="16"/>
                <w:u w:val="none"/>
              </w:rPr>
            </w:pPr>
          </w:p>
        </w:tc>
      </w:tr>
      <w:tr w14:paraId="0188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05512">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D35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B8A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B08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4C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B3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5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90A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3570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20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EA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536E">
            <w:pPr>
              <w:snapToGrid w:val="0"/>
              <w:jc w:val="center"/>
              <w:rPr>
                <w:rFonts w:hint="eastAsia" w:ascii="微软雅黑" w:hAnsi="微软雅黑" w:eastAsia="微软雅黑" w:cs="微软雅黑"/>
                <w:i/>
                <w:iCs/>
                <w:color w:val="000000"/>
                <w:sz w:val="16"/>
                <w:szCs w:val="16"/>
                <w:u w:val="none"/>
              </w:rPr>
            </w:pPr>
          </w:p>
        </w:tc>
      </w:tr>
      <w:tr w14:paraId="77D73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5B0D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50E5">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25A52">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AFB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36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4F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49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37B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1B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9D3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8B4E">
            <w:pPr>
              <w:snapToGrid w:val="0"/>
              <w:jc w:val="center"/>
              <w:rPr>
                <w:rFonts w:hint="eastAsia" w:ascii="微软雅黑" w:hAnsi="微软雅黑" w:eastAsia="微软雅黑" w:cs="微软雅黑"/>
                <w:i/>
                <w:iCs/>
                <w:color w:val="000000"/>
                <w:sz w:val="16"/>
                <w:szCs w:val="16"/>
                <w:u w:val="none"/>
              </w:rPr>
            </w:pPr>
          </w:p>
        </w:tc>
      </w:tr>
      <w:tr w14:paraId="55E5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DB20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67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42EA">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3540">
            <w:pPr>
              <w:snapToGrid w:val="0"/>
              <w:rPr>
                <w:rFonts w:hint="eastAsia" w:ascii="宋体" w:hAnsi="宋体" w:eastAsia="宋体" w:cs="宋体"/>
                <w:i w:val="0"/>
                <w:iCs w:val="0"/>
                <w:color w:val="FF0000"/>
                <w:sz w:val="18"/>
                <w:szCs w:val="18"/>
                <w:u w:val="none"/>
              </w:rPr>
            </w:pPr>
          </w:p>
        </w:tc>
      </w:tr>
      <w:tr w14:paraId="196A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31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9F92A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此次培训组织周密、内容充实、效果显著，有效提升了参训学员的综合素质，进一步夯实了全州藏传佛教领域维护稳定、健康发展的思想基础、组织基础和法治基础。</w:t>
            </w:r>
          </w:p>
        </w:tc>
      </w:tr>
      <w:tr w14:paraId="1E88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AD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FEFA1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民族宗教培训及实地考察经费较少且培训标准较低,进一步加强宗教界人士和民族宗教管理干部的培养力度,加大资金投入。</w:t>
            </w:r>
          </w:p>
        </w:tc>
      </w:tr>
      <w:tr w14:paraId="7CF9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07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CC517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不断积累经验，完善、细化、规范绩效管理，持续提升民管会骨干和中青年后备僧才政治素养、法治意识、管理能力和宗教修为。</w:t>
            </w:r>
          </w:p>
        </w:tc>
      </w:tr>
      <w:tr w14:paraId="047D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D967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480DE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F61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3D0371BF">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A7311FF">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78FB568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9682F5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42B02C3D">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67A5150">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2CDD9369">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D4AB975">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54011E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D120582">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268586FA">
            <w:pPr>
              <w:snapToGrid w:val="0"/>
              <w:rPr>
                <w:rFonts w:hint="eastAsia" w:ascii="宋体" w:hAnsi="宋体" w:eastAsia="宋体" w:cs="宋体"/>
                <w:i w:val="0"/>
                <w:iCs w:val="0"/>
                <w:color w:val="000000"/>
                <w:sz w:val="18"/>
                <w:szCs w:val="18"/>
                <w:u w:val="none"/>
              </w:rPr>
            </w:pPr>
          </w:p>
        </w:tc>
      </w:tr>
      <w:tr w14:paraId="4F4D6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7A5456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49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5E5D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1FA9C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51320024T000011038537-城市民族工作经费1</w:t>
            </w:r>
          </w:p>
        </w:tc>
      </w:tr>
      <w:tr w14:paraId="6149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37EE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8626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28DC2F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CD8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5747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F595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1176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D04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2D392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D2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6500E">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7BE7C">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0F9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认真贯彻落实各项民族政策法规，做好少数民族流动人口服务管理工作，积极加强流出地和流入地联动协作机制,提升异地联动协作水平。</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6FD38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认真贯彻落实《城市民族工作条例》和各项民族政策法规的宣传，与成都市、甘孜州、凉山州民族宗教事务委员会签订《民族宗教工作跨区域协作联系机制》，进一步提升协作机制。</w:t>
            </w:r>
          </w:p>
        </w:tc>
      </w:tr>
      <w:tr w14:paraId="40A1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26BCB">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49CA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8C0A3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督促指导落实《城市民族工作条例》和民族政策法规，协调配合有关部门做好少数民族流动人口服务管理工作。</w:t>
            </w:r>
          </w:p>
        </w:tc>
      </w:tr>
      <w:tr w14:paraId="354E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CB9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4D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D4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94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80D7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1F6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FB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24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3B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5F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CFDF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F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96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D4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F9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2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1A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8E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15F29">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提升工作效率，节约成本，故预算执行力达到100%。</w:t>
            </w:r>
          </w:p>
        </w:tc>
      </w:tr>
      <w:tr w14:paraId="44C14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8EC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564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32A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92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9CA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841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7E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AF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8139">
            <w:pPr>
              <w:snapToGrid w:val="0"/>
              <w:rPr>
                <w:rFonts w:hint="eastAsia" w:ascii="黑体" w:hAnsi="黑体" w:eastAsia="黑体" w:cs="黑体"/>
                <w:i/>
                <w:iCs/>
                <w:color w:val="000000"/>
                <w:sz w:val="18"/>
                <w:szCs w:val="18"/>
                <w:u w:val="none"/>
              </w:rPr>
            </w:pPr>
          </w:p>
        </w:tc>
      </w:tr>
      <w:tr w14:paraId="27ED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69BA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6D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7F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EF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E2A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6C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87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9D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B33CA">
            <w:pPr>
              <w:snapToGrid w:val="0"/>
              <w:rPr>
                <w:rFonts w:hint="eastAsia" w:ascii="黑体" w:hAnsi="黑体" w:eastAsia="黑体" w:cs="黑体"/>
                <w:i/>
                <w:iCs/>
                <w:color w:val="000000"/>
                <w:sz w:val="18"/>
                <w:szCs w:val="18"/>
                <w:u w:val="none"/>
              </w:rPr>
            </w:pPr>
          </w:p>
        </w:tc>
      </w:tr>
      <w:tr w14:paraId="3011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58BA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A0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D3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41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4554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7FA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66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A3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03989">
            <w:pPr>
              <w:snapToGrid w:val="0"/>
              <w:rPr>
                <w:rFonts w:hint="eastAsia" w:ascii="黑体" w:hAnsi="黑体" w:eastAsia="黑体" w:cs="黑体"/>
                <w:i/>
                <w:iCs/>
                <w:color w:val="000000"/>
                <w:sz w:val="18"/>
                <w:szCs w:val="18"/>
                <w:u w:val="none"/>
              </w:rPr>
            </w:pPr>
          </w:p>
        </w:tc>
      </w:tr>
      <w:tr w14:paraId="7DD3C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37A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B8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FAE3">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3B07">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EC237">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13BC">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A9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ED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386EF">
            <w:pPr>
              <w:snapToGrid w:val="0"/>
              <w:rPr>
                <w:rFonts w:hint="eastAsia" w:ascii="黑体" w:hAnsi="黑体" w:eastAsia="黑体" w:cs="黑体"/>
                <w:i/>
                <w:iCs/>
                <w:color w:val="000000"/>
                <w:sz w:val="18"/>
                <w:szCs w:val="18"/>
                <w:u w:val="none"/>
              </w:rPr>
            </w:pPr>
          </w:p>
        </w:tc>
      </w:tr>
      <w:tr w14:paraId="6C16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409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29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F3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32B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99D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E50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C4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7A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2C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B9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A5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E5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869D">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41B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EF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45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异地联动协作次数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CF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DB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D3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E50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52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BD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AF91">
            <w:pPr>
              <w:snapToGrid w:val="0"/>
              <w:jc w:val="center"/>
              <w:rPr>
                <w:rFonts w:hint="eastAsia" w:ascii="微软雅黑" w:hAnsi="微软雅黑" w:eastAsia="微软雅黑" w:cs="微软雅黑"/>
                <w:i/>
                <w:iCs/>
                <w:color w:val="000000"/>
                <w:sz w:val="16"/>
                <w:szCs w:val="16"/>
                <w:u w:val="none"/>
              </w:rPr>
            </w:pPr>
          </w:p>
        </w:tc>
      </w:tr>
      <w:tr w14:paraId="2494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4C06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F0CED">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C2D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A8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信息采集完整率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A9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67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F6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B0B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F5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F8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A8D7">
            <w:pPr>
              <w:snapToGrid w:val="0"/>
              <w:jc w:val="center"/>
              <w:rPr>
                <w:rFonts w:hint="eastAsia" w:ascii="微软雅黑" w:hAnsi="微软雅黑" w:eastAsia="微软雅黑" w:cs="微软雅黑"/>
                <w:i/>
                <w:iCs/>
                <w:color w:val="000000"/>
                <w:sz w:val="16"/>
                <w:szCs w:val="16"/>
                <w:u w:val="none"/>
              </w:rPr>
            </w:pPr>
          </w:p>
        </w:tc>
      </w:tr>
      <w:tr w14:paraId="3061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9BE91">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86431">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2B2A9">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6B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协作机制规范运行率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46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27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E4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332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D27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F4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0872">
            <w:pPr>
              <w:snapToGrid w:val="0"/>
              <w:jc w:val="center"/>
              <w:rPr>
                <w:rFonts w:hint="eastAsia" w:ascii="微软雅黑" w:hAnsi="微软雅黑" w:eastAsia="微软雅黑" w:cs="微软雅黑"/>
                <w:i/>
                <w:iCs/>
                <w:color w:val="000000"/>
                <w:sz w:val="16"/>
                <w:szCs w:val="16"/>
                <w:u w:val="none"/>
              </w:rPr>
            </w:pPr>
          </w:p>
        </w:tc>
      </w:tr>
      <w:tr w14:paraId="4E15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03A6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32B41">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FEE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1B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41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40A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28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6E6E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2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9E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B4C0">
            <w:pPr>
              <w:snapToGrid w:val="0"/>
              <w:jc w:val="center"/>
              <w:rPr>
                <w:rFonts w:hint="eastAsia" w:ascii="微软雅黑" w:hAnsi="微软雅黑" w:eastAsia="微软雅黑" w:cs="微软雅黑"/>
                <w:i/>
                <w:iCs/>
                <w:color w:val="000000"/>
                <w:sz w:val="16"/>
                <w:szCs w:val="16"/>
                <w:u w:val="none"/>
              </w:rPr>
            </w:pPr>
          </w:p>
        </w:tc>
      </w:tr>
      <w:tr w14:paraId="1831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1FDC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45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2A7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1C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提升异地联动协作水平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3F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C6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CEB1">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49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89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CE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3708">
            <w:pPr>
              <w:snapToGrid w:val="0"/>
              <w:jc w:val="center"/>
              <w:rPr>
                <w:rFonts w:hint="eastAsia" w:ascii="微软雅黑" w:hAnsi="微软雅黑" w:eastAsia="微软雅黑" w:cs="微软雅黑"/>
                <w:i/>
                <w:iCs/>
                <w:color w:val="000000"/>
                <w:sz w:val="16"/>
                <w:szCs w:val="16"/>
                <w:u w:val="none"/>
              </w:rPr>
            </w:pPr>
          </w:p>
        </w:tc>
      </w:tr>
      <w:tr w14:paraId="5D90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5D8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1A6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B7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50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少数民族管理服务人员满意度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F3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E2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2A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37D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2B9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35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E21F">
            <w:pPr>
              <w:snapToGrid w:val="0"/>
              <w:jc w:val="center"/>
              <w:rPr>
                <w:rFonts w:hint="eastAsia" w:ascii="微软雅黑" w:hAnsi="微软雅黑" w:eastAsia="微软雅黑" w:cs="微软雅黑"/>
                <w:i/>
                <w:iCs/>
                <w:color w:val="000000"/>
                <w:sz w:val="16"/>
                <w:szCs w:val="16"/>
                <w:u w:val="none"/>
              </w:rPr>
            </w:pPr>
          </w:p>
        </w:tc>
      </w:tr>
      <w:tr w14:paraId="37F82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50E9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43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BC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28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8BE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B5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AE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F9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26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4B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A502">
            <w:pPr>
              <w:snapToGrid w:val="0"/>
              <w:jc w:val="center"/>
              <w:rPr>
                <w:rFonts w:hint="eastAsia" w:ascii="微软雅黑" w:hAnsi="微软雅黑" w:eastAsia="微软雅黑" w:cs="微软雅黑"/>
                <w:i/>
                <w:iCs/>
                <w:color w:val="000000"/>
                <w:sz w:val="16"/>
                <w:szCs w:val="16"/>
                <w:u w:val="none"/>
              </w:rPr>
            </w:pPr>
          </w:p>
        </w:tc>
      </w:tr>
      <w:tr w14:paraId="7FD4A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B229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A0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DCDC">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03449">
            <w:pPr>
              <w:snapToGrid w:val="0"/>
              <w:rPr>
                <w:rFonts w:hint="eastAsia" w:ascii="宋体" w:hAnsi="宋体" w:eastAsia="宋体" w:cs="宋体"/>
                <w:i w:val="0"/>
                <w:iCs w:val="0"/>
                <w:color w:val="FF0000"/>
                <w:sz w:val="18"/>
                <w:szCs w:val="18"/>
                <w:u w:val="none"/>
              </w:rPr>
            </w:pPr>
          </w:p>
        </w:tc>
      </w:tr>
      <w:tr w14:paraId="1F6B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66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260A4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87分。全州城市民族工作体制机制健全，各民族交往交流交融的深度和广度不断拓展。城市社区基本实现了“进得来、留得住、融得进、过得好”的服务管理目标，各族群众获得感、幸福感、安全感显著增强，有力维护了全州民族团结、宗教和顺、社会稳定的良好局面。</w:t>
            </w:r>
          </w:p>
        </w:tc>
      </w:tr>
      <w:tr w14:paraId="4053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DE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E695E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预算执行力较缓。</w:t>
            </w:r>
          </w:p>
        </w:tc>
      </w:tr>
      <w:tr w14:paraId="16BB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0B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95F4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在项目实施过程中，进一步加快推进项目的执行力度，达到预算预期效果。</w:t>
            </w:r>
          </w:p>
        </w:tc>
      </w:tr>
      <w:tr w14:paraId="129F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7622D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9730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F14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AA939E3">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69F9E0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2E4DC0FA">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DBA3F65">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56A099E1">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7BF86DE">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2F8FFDA">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79FDA786">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034732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1DC3DCC">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B859F26">
            <w:pPr>
              <w:snapToGrid w:val="0"/>
              <w:rPr>
                <w:rFonts w:hint="eastAsia" w:ascii="宋体" w:hAnsi="宋体" w:eastAsia="宋体" w:cs="宋体"/>
                <w:i w:val="0"/>
                <w:iCs w:val="0"/>
                <w:color w:val="000000"/>
                <w:sz w:val="18"/>
                <w:szCs w:val="18"/>
                <w:u w:val="none"/>
              </w:rPr>
            </w:pPr>
          </w:p>
        </w:tc>
      </w:tr>
      <w:tr w14:paraId="1847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4CBA8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56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0357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FDCC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51320024T000011038598-依法管理宗教工作经费1</w:t>
            </w:r>
          </w:p>
        </w:tc>
      </w:tr>
      <w:tr w14:paraId="6065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1FF0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E32D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59F6296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F5E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F8E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3D53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C54A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5CA0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7ED5FF">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496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194A3">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56BFF">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084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依法管理宗教事务工作，拟指导宗教工作43次以上,提高社会服务能力，维护社会稳定、宗教和睦。</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62C03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严格落实宗教工作相关任务，各项年度目标任务均按时完成。</w:t>
            </w:r>
          </w:p>
        </w:tc>
      </w:tr>
      <w:tr w14:paraId="09FB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4B156">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83A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79E9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严格按照制度规范使用宗教工作经费，强化审核监管，全程规范透明，确保资金安全高效，合规落地。</w:t>
            </w:r>
          </w:p>
        </w:tc>
      </w:tr>
      <w:tr w14:paraId="6494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FA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9F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79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94D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F54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2B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EF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37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A8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21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77F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31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1A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B5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8FB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DF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A6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2BE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1406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F3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6432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26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6E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B2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E22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B51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3F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35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D4B25">
            <w:pPr>
              <w:snapToGrid w:val="0"/>
              <w:rPr>
                <w:rFonts w:hint="eastAsia" w:ascii="黑体" w:hAnsi="黑体" w:eastAsia="黑体" w:cs="黑体"/>
                <w:i/>
                <w:iCs/>
                <w:color w:val="000000"/>
                <w:sz w:val="18"/>
                <w:szCs w:val="18"/>
                <w:u w:val="none"/>
              </w:rPr>
            </w:pPr>
          </w:p>
        </w:tc>
      </w:tr>
      <w:tr w14:paraId="22FD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0A3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74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73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21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538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B5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80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87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CE5C">
            <w:pPr>
              <w:snapToGrid w:val="0"/>
              <w:rPr>
                <w:rFonts w:hint="eastAsia" w:ascii="黑体" w:hAnsi="黑体" w:eastAsia="黑体" w:cs="黑体"/>
                <w:i/>
                <w:iCs/>
                <w:color w:val="000000"/>
                <w:sz w:val="18"/>
                <w:szCs w:val="18"/>
                <w:u w:val="none"/>
              </w:rPr>
            </w:pPr>
          </w:p>
        </w:tc>
      </w:tr>
      <w:tr w14:paraId="7254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E5C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5A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01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26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245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B8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17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F9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2F5C5">
            <w:pPr>
              <w:snapToGrid w:val="0"/>
              <w:rPr>
                <w:rFonts w:hint="eastAsia" w:ascii="黑体" w:hAnsi="黑体" w:eastAsia="黑体" w:cs="黑体"/>
                <w:i/>
                <w:iCs/>
                <w:color w:val="000000"/>
                <w:sz w:val="18"/>
                <w:szCs w:val="18"/>
                <w:u w:val="none"/>
              </w:rPr>
            </w:pPr>
          </w:p>
        </w:tc>
      </w:tr>
      <w:tr w14:paraId="4328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C6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C0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1DD2">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6491">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63755">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AE0D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24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64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36491">
            <w:pPr>
              <w:snapToGrid w:val="0"/>
              <w:rPr>
                <w:rFonts w:hint="eastAsia" w:ascii="黑体" w:hAnsi="黑体" w:eastAsia="黑体" w:cs="黑体"/>
                <w:i/>
                <w:iCs/>
                <w:color w:val="000000"/>
                <w:sz w:val="18"/>
                <w:szCs w:val="18"/>
                <w:u w:val="none"/>
              </w:rPr>
            </w:pPr>
          </w:p>
        </w:tc>
      </w:tr>
      <w:tr w14:paraId="361F5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D6A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D28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FA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2D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61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C9D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24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6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13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7F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A41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B9C9">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BF5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5C7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BFC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指导宗教工作次数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DA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537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5C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FE5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B5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EE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C8C3">
            <w:pPr>
              <w:snapToGrid w:val="0"/>
              <w:jc w:val="center"/>
              <w:rPr>
                <w:rFonts w:hint="eastAsia" w:ascii="微软雅黑" w:hAnsi="微软雅黑" w:eastAsia="微软雅黑" w:cs="微软雅黑"/>
                <w:i/>
                <w:iCs/>
                <w:color w:val="000000"/>
                <w:sz w:val="16"/>
                <w:szCs w:val="16"/>
                <w:u w:val="none"/>
              </w:rPr>
            </w:pPr>
          </w:p>
        </w:tc>
      </w:tr>
      <w:tr w14:paraId="73B2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6FBC2">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C12A1">
            <w:pPr>
              <w:snapToGrid w:val="0"/>
              <w:jc w:val="center"/>
              <w:rPr>
                <w:rFonts w:hint="eastAsia" w:ascii="宋体" w:hAnsi="宋体" w:eastAsia="宋体" w:cs="宋体"/>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CE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D2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僧尼颁证合格率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30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3AC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C0C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B30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7B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79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9019">
            <w:pPr>
              <w:snapToGrid w:val="0"/>
              <w:jc w:val="center"/>
              <w:rPr>
                <w:rFonts w:hint="eastAsia" w:ascii="微软雅黑" w:hAnsi="微软雅黑" w:eastAsia="微软雅黑" w:cs="微软雅黑"/>
                <w:i/>
                <w:iCs/>
                <w:color w:val="000000"/>
                <w:sz w:val="16"/>
                <w:szCs w:val="16"/>
                <w:u w:val="none"/>
              </w:rPr>
            </w:pPr>
          </w:p>
        </w:tc>
      </w:tr>
      <w:tr w14:paraId="7D0A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3E62D">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E3D30">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AC65">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12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宗教管理规范率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33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2E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3D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50F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E1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78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44A0">
            <w:pPr>
              <w:snapToGrid w:val="0"/>
              <w:jc w:val="center"/>
              <w:rPr>
                <w:rFonts w:hint="eastAsia" w:ascii="微软雅黑" w:hAnsi="微软雅黑" w:eastAsia="微软雅黑" w:cs="微软雅黑"/>
                <w:i/>
                <w:iCs/>
                <w:color w:val="000000"/>
                <w:sz w:val="16"/>
                <w:szCs w:val="16"/>
                <w:u w:val="none"/>
              </w:rPr>
            </w:pPr>
          </w:p>
        </w:tc>
      </w:tr>
      <w:tr w14:paraId="7E910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B429">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3A585">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D0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4A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C9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E8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C8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C3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60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C1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9818">
            <w:pPr>
              <w:snapToGrid w:val="0"/>
              <w:jc w:val="center"/>
              <w:rPr>
                <w:rFonts w:hint="eastAsia" w:ascii="微软雅黑" w:hAnsi="微软雅黑" w:eastAsia="微软雅黑" w:cs="微软雅黑"/>
                <w:i/>
                <w:iCs/>
                <w:color w:val="000000"/>
                <w:sz w:val="16"/>
                <w:szCs w:val="16"/>
                <w:u w:val="none"/>
              </w:rPr>
            </w:pPr>
          </w:p>
        </w:tc>
      </w:tr>
      <w:tr w14:paraId="3E73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60A9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45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193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CE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宗教和睦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16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91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BD14">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8D5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24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47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F94C">
            <w:pPr>
              <w:snapToGrid w:val="0"/>
              <w:jc w:val="center"/>
              <w:rPr>
                <w:rFonts w:hint="eastAsia" w:ascii="微软雅黑" w:hAnsi="微软雅黑" w:eastAsia="微软雅黑" w:cs="微软雅黑"/>
                <w:i/>
                <w:iCs/>
                <w:color w:val="000000"/>
                <w:sz w:val="16"/>
                <w:szCs w:val="16"/>
                <w:u w:val="none"/>
              </w:rPr>
            </w:pPr>
          </w:p>
        </w:tc>
      </w:tr>
      <w:tr w14:paraId="7462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9E91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46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59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91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宗教工作人员满意度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23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6B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83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80E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7D1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07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D2A1">
            <w:pPr>
              <w:snapToGrid w:val="0"/>
              <w:jc w:val="center"/>
              <w:rPr>
                <w:rFonts w:hint="eastAsia" w:ascii="微软雅黑" w:hAnsi="微软雅黑" w:eastAsia="微软雅黑" w:cs="微软雅黑"/>
                <w:i/>
                <w:iCs/>
                <w:color w:val="000000"/>
                <w:sz w:val="16"/>
                <w:szCs w:val="16"/>
                <w:u w:val="none"/>
              </w:rPr>
            </w:pPr>
          </w:p>
        </w:tc>
      </w:tr>
      <w:tr w14:paraId="0FD2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DCE3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46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A84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6B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42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3F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6A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BEB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6E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6E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FDD8">
            <w:pPr>
              <w:snapToGrid w:val="0"/>
              <w:jc w:val="center"/>
              <w:rPr>
                <w:rFonts w:hint="eastAsia" w:ascii="微软雅黑" w:hAnsi="微软雅黑" w:eastAsia="微软雅黑" w:cs="微软雅黑"/>
                <w:i/>
                <w:iCs/>
                <w:color w:val="000000"/>
                <w:sz w:val="16"/>
                <w:szCs w:val="16"/>
                <w:u w:val="none"/>
              </w:rPr>
            </w:pPr>
          </w:p>
        </w:tc>
      </w:tr>
      <w:tr w14:paraId="5C0A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E45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E0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1C6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E6AA">
            <w:pPr>
              <w:snapToGrid w:val="0"/>
              <w:rPr>
                <w:rFonts w:hint="eastAsia" w:ascii="宋体" w:hAnsi="宋体" w:eastAsia="宋体" w:cs="宋体"/>
                <w:i w:val="0"/>
                <w:iCs w:val="0"/>
                <w:color w:val="FF0000"/>
                <w:sz w:val="18"/>
                <w:szCs w:val="18"/>
                <w:u w:val="none"/>
              </w:rPr>
            </w:pPr>
          </w:p>
        </w:tc>
      </w:tr>
      <w:tr w14:paraId="14DB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8B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4B92C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该项目支出绩效评价指标总分之为100，自评89分。经自评，项目总分达标，经费管理规范，有效保障宗教工作开展，取得良好成效。</w:t>
            </w:r>
          </w:p>
        </w:tc>
      </w:tr>
      <w:tr w14:paraId="4D714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C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D391C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自评中发现经费使用细节把控不足，台账不够精细，管理精细化程度有待提升。</w:t>
            </w:r>
          </w:p>
        </w:tc>
      </w:tr>
      <w:tr w14:paraId="1ED8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1F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6AA40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强化经费全过程监管，完善台账制度，健全长效机制，提升规范化管理水平。</w:t>
            </w:r>
          </w:p>
        </w:tc>
      </w:tr>
      <w:tr w14:paraId="5BEFB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8B5E9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E12BE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8D7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5317827">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1AFF7A3C">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640EC90">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EBA3385">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AA49251">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4D8140C6">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D9E422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A6F28D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17A0FFEE">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0968A071">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B5DA738">
            <w:pPr>
              <w:snapToGrid w:val="0"/>
              <w:rPr>
                <w:rFonts w:hint="eastAsia" w:ascii="宋体" w:hAnsi="宋体" w:eastAsia="宋体" w:cs="宋体"/>
                <w:i w:val="0"/>
                <w:iCs w:val="0"/>
                <w:color w:val="000000"/>
                <w:sz w:val="18"/>
                <w:szCs w:val="18"/>
                <w:u w:val="none"/>
              </w:rPr>
            </w:pPr>
          </w:p>
        </w:tc>
      </w:tr>
      <w:tr w14:paraId="5D73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FE0129">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58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3D2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EB52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51320025T000012290918-订购《藏医药文献大全》经费</w:t>
            </w:r>
          </w:p>
        </w:tc>
      </w:tr>
      <w:tr w14:paraId="0A0D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47B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E32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28D9196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FFAE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719D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564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852D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D9E0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39199">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D1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2EF4B">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9B307">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11BD7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推进民族医药文化的交流与传播,传承和弘扬中华优秀传统文化,并以此为契机加强与相关单位在民族医药及民族文献整理等领域的合作与交流,我委拟订购《藏医药文献大全》,赠与州内藏医院及部分宗教活动场所,以便相关学者和社会大众研究使用.</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53AB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订购《藏医药文献大全》12套,赠与州内藏医院及部分宗教活动场所.</w:t>
            </w:r>
          </w:p>
        </w:tc>
      </w:tr>
      <w:tr w14:paraId="27BC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2A287">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54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3C726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订购《藏医药文献大全》12套,赠与州内藏医院及部分宗教活动场所.富藏医药文献资源供给，助力藏医药传承创新与基层诊疗服务水平提升。</w:t>
            </w:r>
          </w:p>
        </w:tc>
      </w:tr>
      <w:tr w14:paraId="4395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FFA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CB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7D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21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6D8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95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02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37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73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03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523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08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B7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DE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DD9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2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D5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61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B3EB">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B4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61D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E4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2659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BD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50C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95.95</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AC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A0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66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FFF8E">
            <w:pPr>
              <w:snapToGrid w:val="0"/>
              <w:rPr>
                <w:rFonts w:hint="eastAsia" w:ascii="黑体" w:hAnsi="黑体" w:eastAsia="黑体" w:cs="黑体"/>
                <w:i/>
                <w:iCs/>
                <w:color w:val="000000"/>
                <w:sz w:val="18"/>
                <w:szCs w:val="18"/>
                <w:u w:val="none"/>
              </w:rPr>
            </w:pPr>
          </w:p>
        </w:tc>
      </w:tr>
      <w:tr w14:paraId="5EEE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981E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791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AF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EE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512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DA6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C5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75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A1AF3">
            <w:pPr>
              <w:snapToGrid w:val="0"/>
              <w:rPr>
                <w:rFonts w:hint="eastAsia" w:ascii="黑体" w:hAnsi="黑体" w:eastAsia="黑体" w:cs="黑体"/>
                <w:i/>
                <w:iCs/>
                <w:color w:val="000000"/>
                <w:sz w:val="18"/>
                <w:szCs w:val="18"/>
                <w:u w:val="none"/>
              </w:rPr>
            </w:pPr>
          </w:p>
        </w:tc>
      </w:tr>
      <w:tr w14:paraId="285E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DD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86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FB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74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02F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1E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A3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AF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6A3C8">
            <w:pPr>
              <w:snapToGrid w:val="0"/>
              <w:rPr>
                <w:rFonts w:hint="eastAsia" w:ascii="黑体" w:hAnsi="黑体" w:eastAsia="黑体" w:cs="黑体"/>
                <w:i/>
                <w:iCs/>
                <w:color w:val="000000"/>
                <w:sz w:val="18"/>
                <w:szCs w:val="18"/>
                <w:u w:val="none"/>
              </w:rPr>
            </w:pPr>
          </w:p>
        </w:tc>
      </w:tr>
      <w:tr w14:paraId="5998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24AF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F9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95797">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98F38">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CFD7B">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F021">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7F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09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4CA8C">
            <w:pPr>
              <w:snapToGrid w:val="0"/>
              <w:rPr>
                <w:rFonts w:hint="eastAsia" w:ascii="黑体" w:hAnsi="黑体" w:eastAsia="黑体" w:cs="黑体"/>
                <w:i/>
                <w:iCs/>
                <w:color w:val="000000"/>
                <w:sz w:val="18"/>
                <w:szCs w:val="18"/>
                <w:u w:val="none"/>
              </w:rPr>
            </w:pPr>
          </w:p>
        </w:tc>
      </w:tr>
      <w:tr w14:paraId="349E7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949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74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0B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CF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0D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82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5B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B9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9A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A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CB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83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DE608">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908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187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9D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订购套数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6C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98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5D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686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C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58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83C2">
            <w:pPr>
              <w:snapToGrid w:val="0"/>
              <w:jc w:val="center"/>
              <w:rPr>
                <w:rFonts w:hint="eastAsia" w:ascii="微软雅黑" w:hAnsi="微软雅黑" w:eastAsia="微软雅黑" w:cs="微软雅黑"/>
                <w:i/>
                <w:iCs/>
                <w:color w:val="000000"/>
                <w:sz w:val="16"/>
                <w:szCs w:val="16"/>
                <w:u w:val="none"/>
              </w:rPr>
            </w:pPr>
          </w:p>
        </w:tc>
      </w:tr>
      <w:tr w14:paraId="6FB5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A92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798A">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BAF0F">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AD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文献大全订购册数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6E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83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14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96E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2472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85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4A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0987">
            <w:pPr>
              <w:snapToGrid w:val="0"/>
              <w:jc w:val="center"/>
              <w:rPr>
                <w:rFonts w:hint="eastAsia" w:ascii="微软雅黑" w:hAnsi="微软雅黑" w:eastAsia="微软雅黑" w:cs="微软雅黑"/>
                <w:i/>
                <w:iCs/>
                <w:color w:val="000000"/>
                <w:sz w:val="16"/>
                <w:szCs w:val="16"/>
                <w:u w:val="none"/>
              </w:rPr>
            </w:pPr>
          </w:p>
        </w:tc>
      </w:tr>
      <w:tr w14:paraId="6B1C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16E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8687">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42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FA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文献大全合格率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DC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E2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52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8AA2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77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B5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4EA2">
            <w:pPr>
              <w:snapToGrid w:val="0"/>
              <w:jc w:val="center"/>
              <w:rPr>
                <w:rFonts w:hint="eastAsia" w:ascii="微软雅黑" w:hAnsi="微软雅黑" w:eastAsia="微软雅黑" w:cs="微软雅黑"/>
                <w:i/>
                <w:iCs/>
                <w:color w:val="000000"/>
                <w:sz w:val="16"/>
                <w:szCs w:val="16"/>
                <w:u w:val="none"/>
              </w:rPr>
            </w:pPr>
          </w:p>
        </w:tc>
      </w:tr>
      <w:tr w14:paraId="755C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EC248">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6B64">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B9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ED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5E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6D7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63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B91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38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11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C1AC">
            <w:pPr>
              <w:snapToGrid w:val="0"/>
              <w:jc w:val="center"/>
              <w:rPr>
                <w:rFonts w:hint="eastAsia" w:ascii="微软雅黑" w:hAnsi="微软雅黑" w:eastAsia="微软雅黑" w:cs="微软雅黑"/>
                <w:i/>
                <w:iCs/>
                <w:color w:val="000000"/>
                <w:sz w:val="16"/>
                <w:szCs w:val="16"/>
                <w:u w:val="none"/>
              </w:rPr>
            </w:pPr>
          </w:p>
        </w:tc>
      </w:tr>
      <w:tr w14:paraId="581E9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616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33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DAE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92B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传承和弘扬中华优秀医药文化</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2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22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4A2D">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08D6D">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C3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F7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1418">
            <w:pPr>
              <w:snapToGrid w:val="0"/>
              <w:jc w:val="center"/>
              <w:rPr>
                <w:rFonts w:hint="eastAsia" w:ascii="微软雅黑" w:hAnsi="微软雅黑" w:eastAsia="微软雅黑" w:cs="微软雅黑"/>
                <w:i/>
                <w:iCs/>
                <w:color w:val="000000"/>
                <w:sz w:val="16"/>
                <w:szCs w:val="16"/>
                <w:u w:val="none"/>
              </w:rPr>
            </w:pPr>
          </w:p>
        </w:tc>
      </w:tr>
      <w:tr w14:paraId="06271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32A7">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0E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84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AB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少数民族群众满意度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C0A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3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E2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52A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D7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A61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AB9C">
            <w:pPr>
              <w:snapToGrid w:val="0"/>
              <w:jc w:val="center"/>
              <w:rPr>
                <w:rFonts w:hint="eastAsia" w:ascii="微软雅黑" w:hAnsi="微软雅黑" w:eastAsia="微软雅黑" w:cs="微软雅黑"/>
                <w:i/>
                <w:iCs/>
                <w:color w:val="000000"/>
                <w:sz w:val="16"/>
                <w:szCs w:val="16"/>
                <w:u w:val="none"/>
              </w:rPr>
            </w:pPr>
          </w:p>
        </w:tc>
      </w:tr>
      <w:tr w14:paraId="57F96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177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DA6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5F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5F4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54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EB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49D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FD9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9C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D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EFCD">
            <w:pPr>
              <w:snapToGrid w:val="0"/>
              <w:jc w:val="center"/>
              <w:rPr>
                <w:rFonts w:hint="eastAsia" w:ascii="微软雅黑" w:hAnsi="微软雅黑" w:eastAsia="微软雅黑" w:cs="微软雅黑"/>
                <w:i/>
                <w:iCs/>
                <w:color w:val="000000"/>
                <w:sz w:val="16"/>
                <w:szCs w:val="16"/>
                <w:u w:val="none"/>
              </w:rPr>
            </w:pPr>
          </w:p>
        </w:tc>
      </w:tr>
      <w:tr w14:paraId="3AF0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0CA3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B4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5A03">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58DB">
            <w:pPr>
              <w:snapToGrid w:val="0"/>
              <w:rPr>
                <w:rFonts w:hint="eastAsia" w:ascii="宋体" w:hAnsi="宋体" w:eastAsia="宋体" w:cs="宋体"/>
                <w:i w:val="0"/>
                <w:iCs w:val="0"/>
                <w:color w:val="FF0000"/>
                <w:sz w:val="18"/>
                <w:szCs w:val="18"/>
                <w:u w:val="none"/>
              </w:rPr>
            </w:pPr>
          </w:p>
        </w:tc>
      </w:tr>
      <w:tr w14:paraId="1FA2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94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A585E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本项目经费使用规范、执行到位，严格按计划完成《藏医药文献大全》订购与赠阅工作，有效充实州内藏医院及宗教活动场所文献资源，为藏医药文化传承、基层诊疗能力提升及民族团结进步事业提供有力支撑。</w:t>
            </w:r>
          </w:p>
        </w:tc>
      </w:tr>
      <w:tr w14:paraId="541F8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30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DC061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65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93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A258D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2CE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7CB16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8FF54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03A7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2EA297D">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FE5812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0F50D0E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7B6907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91E4A89">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7A11799">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92CE5D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C4DB72C">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A080F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7541AF08">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24221B4">
            <w:pPr>
              <w:snapToGrid w:val="0"/>
              <w:rPr>
                <w:rFonts w:hint="eastAsia" w:ascii="宋体" w:hAnsi="宋体" w:eastAsia="宋体" w:cs="宋体"/>
                <w:i w:val="0"/>
                <w:iCs w:val="0"/>
                <w:color w:val="000000"/>
                <w:sz w:val="18"/>
                <w:szCs w:val="18"/>
                <w:u w:val="none"/>
              </w:rPr>
            </w:pPr>
          </w:p>
        </w:tc>
      </w:tr>
      <w:tr w14:paraId="5EA48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FFF54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97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C0C7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01CCA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51320025T000012491951-重点寺庙深化整治工作经费</w:t>
            </w:r>
          </w:p>
        </w:tc>
      </w:tr>
      <w:tr w14:paraId="27C7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7CBF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536F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6804BA0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7F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21B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CD4B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9642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985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99A0A2">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ED6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E158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C6260">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B3D0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重点寺庙深化整治工作经费,贯彻落实深化整治方案,完成42座寺庙的检查指导工作和23座寺庙的依法规范管理工作,重点寺庙依法管理水平显著提升.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A8857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重点寺庙深化整治各项任务全面完场，安全隐患有效整改，场所管理更加规范，整治成效显著。</w:t>
            </w:r>
          </w:p>
        </w:tc>
      </w:tr>
      <w:tr w14:paraId="1C37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DDC75">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C13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3FAE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重点寺庙深化整治经费用于隐患整改，场所提升，严格按流程支出，全程监管规范，整治工作有序推进见效。</w:t>
            </w:r>
          </w:p>
        </w:tc>
      </w:tr>
      <w:tr w14:paraId="5DDA7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99F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1F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5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54B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D1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4C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7D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D5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DD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C99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ACFF">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65F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D8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A72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55F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33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6A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D2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644D0">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预算执行规范足额，按整治工程、隐患整改实际需求支出，资金使用合理合规。</w:t>
            </w:r>
          </w:p>
        </w:tc>
      </w:tr>
      <w:tr w14:paraId="1B64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2CD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C8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92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6D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F9B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F2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69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F2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A55F">
            <w:pPr>
              <w:snapToGrid w:val="0"/>
              <w:rPr>
                <w:rFonts w:hint="eastAsia" w:ascii="黑体" w:hAnsi="黑体" w:eastAsia="黑体" w:cs="黑体"/>
                <w:i/>
                <w:iCs/>
                <w:color w:val="000000"/>
                <w:sz w:val="18"/>
                <w:szCs w:val="18"/>
                <w:u w:val="none"/>
              </w:rPr>
            </w:pPr>
          </w:p>
        </w:tc>
      </w:tr>
      <w:tr w14:paraId="66FF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2E3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E7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16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808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7391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B4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4AC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34D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BD20A">
            <w:pPr>
              <w:snapToGrid w:val="0"/>
              <w:rPr>
                <w:rFonts w:hint="eastAsia" w:ascii="黑体" w:hAnsi="黑体" w:eastAsia="黑体" w:cs="黑体"/>
                <w:i/>
                <w:iCs/>
                <w:color w:val="000000"/>
                <w:sz w:val="18"/>
                <w:szCs w:val="18"/>
                <w:u w:val="none"/>
              </w:rPr>
            </w:pPr>
          </w:p>
        </w:tc>
      </w:tr>
      <w:tr w14:paraId="5A60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FBBE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42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B06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E2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DB4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EF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40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33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3B1E">
            <w:pPr>
              <w:snapToGrid w:val="0"/>
              <w:rPr>
                <w:rFonts w:hint="eastAsia" w:ascii="黑体" w:hAnsi="黑体" w:eastAsia="黑体" w:cs="黑体"/>
                <w:i/>
                <w:iCs/>
                <w:color w:val="000000"/>
                <w:sz w:val="18"/>
                <w:szCs w:val="18"/>
                <w:u w:val="none"/>
              </w:rPr>
            </w:pPr>
          </w:p>
        </w:tc>
      </w:tr>
      <w:tr w14:paraId="5074D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3E7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1D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D89C2">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A92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6D4D03">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C38F">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55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BB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380D">
            <w:pPr>
              <w:snapToGrid w:val="0"/>
              <w:rPr>
                <w:rFonts w:hint="eastAsia" w:ascii="黑体" w:hAnsi="黑体" w:eastAsia="黑体" w:cs="黑体"/>
                <w:i/>
                <w:iCs/>
                <w:color w:val="000000"/>
                <w:sz w:val="18"/>
                <w:szCs w:val="18"/>
                <w:u w:val="none"/>
              </w:rPr>
            </w:pPr>
          </w:p>
        </w:tc>
      </w:tr>
      <w:tr w14:paraId="0290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20D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A30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DC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86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03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8C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E8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64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38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21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A4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7E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BE26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867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77C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23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依法规范管理寺庙数量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C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608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A62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118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23</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1A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75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8918">
            <w:pPr>
              <w:snapToGrid w:val="0"/>
              <w:jc w:val="center"/>
              <w:rPr>
                <w:rFonts w:hint="eastAsia" w:ascii="微软雅黑" w:hAnsi="微软雅黑" w:eastAsia="微软雅黑" w:cs="微软雅黑"/>
                <w:i/>
                <w:iCs/>
                <w:color w:val="000000"/>
                <w:sz w:val="16"/>
                <w:szCs w:val="16"/>
                <w:u w:val="none"/>
              </w:rPr>
            </w:pPr>
          </w:p>
        </w:tc>
      </w:tr>
      <w:tr w14:paraId="322A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2925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C57F9">
            <w:pPr>
              <w:snapToGrid w:val="0"/>
              <w:jc w:val="center"/>
              <w:rPr>
                <w:rFonts w:hint="eastAsia" w:ascii="宋体" w:hAnsi="宋体" w:eastAsia="宋体" w:cs="宋体"/>
                <w:i w:val="0"/>
                <w:iCs w:val="0"/>
                <w:color w:val="000000"/>
                <w:sz w:val="18"/>
                <w:szCs w:val="18"/>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6CAD">
            <w:pPr>
              <w:snapToGrid w:val="0"/>
              <w:jc w:val="center"/>
              <w:rPr>
                <w:rFonts w:hint="eastAsia" w:ascii="宋体" w:hAnsi="宋体" w:eastAsia="宋体" w:cs="宋体"/>
                <w:i w:val="0"/>
                <w:iCs w:val="0"/>
                <w:color w:val="000000"/>
                <w:sz w:val="18"/>
                <w:szCs w:val="18"/>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9D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检查指导宗教工作寺庙数量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905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5E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84B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54F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42</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B70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08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9A5D">
            <w:pPr>
              <w:snapToGrid w:val="0"/>
              <w:jc w:val="center"/>
              <w:rPr>
                <w:rFonts w:hint="eastAsia" w:ascii="微软雅黑" w:hAnsi="微软雅黑" w:eastAsia="微软雅黑" w:cs="微软雅黑"/>
                <w:i/>
                <w:iCs/>
                <w:color w:val="000000"/>
                <w:sz w:val="16"/>
                <w:szCs w:val="16"/>
                <w:u w:val="none"/>
              </w:rPr>
            </w:pPr>
          </w:p>
        </w:tc>
      </w:tr>
      <w:tr w14:paraId="3E76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5ADE">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9753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B4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E3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依法规范管理合格率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E03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4C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084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466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01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63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8FCE">
            <w:pPr>
              <w:snapToGrid w:val="0"/>
              <w:jc w:val="center"/>
              <w:rPr>
                <w:rFonts w:hint="eastAsia" w:ascii="微软雅黑" w:hAnsi="微软雅黑" w:eastAsia="微软雅黑" w:cs="微软雅黑"/>
                <w:i/>
                <w:iCs/>
                <w:color w:val="000000"/>
                <w:sz w:val="16"/>
                <w:szCs w:val="16"/>
                <w:u w:val="none"/>
              </w:rPr>
            </w:pPr>
          </w:p>
        </w:tc>
      </w:tr>
      <w:tr w14:paraId="4484A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770E6">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888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44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78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E3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C0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3E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9521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6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16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9387">
            <w:pPr>
              <w:snapToGrid w:val="0"/>
              <w:jc w:val="center"/>
              <w:rPr>
                <w:rFonts w:hint="eastAsia" w:ascii="微软雅黑" w:hAnsi="微软雅黑" w:eastAsia="微软雅黑" w:cs="微软雅黑"/>
                <w:i/>
                <w:iCs/>
                <w:color w:val="000000"/>
                <w:sz w:val="16"/>
                <w:szCs w:val="16"/>
                <w:u w:val="none"/>
              </w:rPr>
            </w:pPr>
          </w:p>
        </w:tc>
      </w:tr>
      <w:tr w14:paraId="5E34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0A1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53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AB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EB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重点寺庙依法管理水平</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0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1B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8CB5">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120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A5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13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EC3F">
            <w:pPr>
              <w:snapToGrid w:val="0"/>
              <w:jc w:val="center"/>
              <w:rPr>
                <w:rFonts w:hint="eastAsia" w:ascii="微软雅黑" w:hAnsi="微软雅黑" w:eastAsia="微软雅黑" w:cs="微软雅黑"/>
                <w:i/>
                <w:iCs/>
                <w:color w:val="000000"/>
                <w:sz w:val="16"/>
                <w:szCs w:val="16"/>
                <w:u w:val="none"/>
              </w:rPr>
            </w:pPr>
          </w:p>
        </w:tc>
      </w:tr>
      <w:tr w14:paraId="5016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5A5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F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68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26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寺庙工作人员满意度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147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7E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3F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68AD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99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79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D6EE">
            <w:pPr>
              <w:snapToGrid w:val="0"/>
              <w:jc w:val="center"/>
              <w:rPr>
                <w:rFonts w:hint="eastAsia" w:ascii="微软雅黑" w:hAnsi="微软雅黑" w:eastAsia="微软雅黑" w:cs="微软雅黑"/>
                <w:i/>
                <w:iCs/>
                <w:color w:val="000000"/>
                <w:sz w:val="16"/>
                <w:szCs w:val="16"/>
                <w:u w:val="none"/>
              </w:rPr>
            </w:pPr>
          </w:p>
        </w:tc>
      </w:tr>
      <w:tr w14:paraId="7CC5C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969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06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B0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01B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E98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A1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7E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67F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12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70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46A5">
            <w:pPr>
              <w:snapToGrid w:val="0"/>
              <w:jc w:val="center"/>
              <w:rPr>
                <w:rFonts w:hint="eastAsia" w:ascii="微软雅黑" w:hAnsi="微软雅黑" w:eastAsia="微软雅黑" w:cs="微软雅黑"/>
                <w:i/>
                <w:iCs/>
                <w:color w:val="000000"/>
                <w:sz w:val="16"/>
                <w:szCs w:val="16"/>
                <w:u w:val="none"/>
              </w:rPr>
            </w:pPr>
          </w:p>
        </w:tc>
      </w:tr>
      <w:tr w14:paraId="457A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3402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28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13A2">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0ACA">
            <w:pPr>
              <w:snapToGrid w:val="0"/>
              <w:rPr>
                <w:rFonts w:hint="eastAsia" w:ascii="宋体" w:hAnsi="宋体" w:eastAsia="宋体" w:cs="宋体"/>
                <w:i w:val="0"/>
                <w:iCs w:val="0"/>
                <w:color w:val="FF0000"/>
                <w:sz w:val="18"/>
                <w:szCs w:val="18"/>
                <w:u w:val="none"/>
              </w:rPr>
            </w:pPr>
          </w:p>
        </w:tc>
      </w:tr>
      <w:tr w14:paraId="3BD7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8B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DB2D7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该项目支出绩效评价指标总分之为100，自评89分。自评得分优良，整治工作落实到位，寺庙面貌提升显著，安全与管理水平全面增强。</w:t>
            </w:r>
          </w:p>
        </w:tc>
      </w:tr>
      <w:tr w14:paraId="12453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7A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85C7F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长效机制有待进一步提升，日巩固成效有待加强。</w:t>
            </w:r>
          </w:p>
        </w:tc>
      </w:tr>
      <w:tr w14:paraId="6987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BB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9303A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健全长效机制，强化日常巡查，巩固整治成果，持续提升寺庙规范化管理水平。</w:t>
            </w:r>
          </w:p>
        </w:tc>
      </w:tr>
      <w:tr w14:paraId="1D28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087C9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项目负责人：林辉</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4EACB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B575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407B5BF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07737BF9">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5620D9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984A7A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ACCE76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5B7F5E2">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45B14C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DEC19C6">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52C1B3D">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5F43DEE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368B942">
            <w:pPr>
              <w:snapToGrid w:val="0"/>
              <w:rPr>
                <w:rFonts w:hint="eastAsia" w:ascii="宋体" w:hAnsi="宋体" w:eastAsia="宋体" w:cs="宋体"/>
                <w:i w:val="0"/>
                <w:iCs w:val="0"/>
                <w:color w:val="000000"/>
                <w:sz w:val="18"/>
                <w:szCs w:val="18"/>
                <w:u w:val="none"/>
              </w:rPr>
            </w:pPr>
          </w:p>
        </w:tc>
      </w:tr>
      <w:tr w14:paraId="264E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E7460D">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83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704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CD19B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51320025T000013464332-代管资金-伙食费</w:t>
            </w:r>
          </w:p>
        </w:tc>
      </w:tr>
      <w:tr w14:paraId="126C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35EE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00B5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39A1F97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E85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0A02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3B7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4D2D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88F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F4B11">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ED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E4F74">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6BE19">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D5E9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代收代缴伙食补助费.</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D3041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代收代缴伙食补助费.</w:t>
            </w:r>
          </w:p>
        </w:tc>
      </w:tr>
      <w:tr w14:paraId="5B2A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6CBAC">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4D8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481FB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我委食堂个人缴纳伙食补助费，代收后交财政代管，用于支付食堂产生伙食补助费。</w:t>
            </w:r>
          </w:p>
        </w:tc>
      </w:tr>
      <w:tr w14:paraId="0EC5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3C1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12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59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B8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268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A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41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4C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97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8B0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B915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73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EF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DC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FE5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A8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A4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6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8A88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F4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8429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BF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B2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86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24C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492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C6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25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8AEC7">
            <w:pPr>
              <w:snapToGrid w:val="0"/>
              <w:rPr>
                <w:rFonts w:hint="eastAsia" w:ascii="黑体" w:hAnsi="黑体" w:eastAsia="黑体" w:cs="黑体"/>
                <w:i/>
                <w:iCs/>
                <w:color w:val="000000"/>
                <w:sz w:val="18"/>
                <w:szCs w:val="18"/>
                <w:u w:val="none"/>
              </w:rPr>
            </w:pPr>
          </w:p>
        </w:tc>
      </w:tr>
      <w:tr w14:paraId="660A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34CC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73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0C9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DF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FAC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3B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8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72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8976">
            <w:pPr>
              <w:snapToGrid w:val="0"/>
              <w:rPr>
                <w:rFonts w:hint="eastAsia" w:ascii="黑体" w:hAnsi="黑体" w:eastAsia="黑体" w:cs="黑体"/>
                <w:i/>
                <w:iCs/>
                <w:color w:val="000000"/>
                <w:sz w:val="18"/>
                <w:szCs w:val="18"/>
                <w:u w:val="none"/>
              </w:rPr>
            </w:pPr>
          </w:p>
        </w:tc>
      </w:tr>
      <w:tr w14:paraId="6820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6301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98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93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76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1FD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64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DD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92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FE8DC">
            <w:pPr>
              <w:snapToGrid w:val="0"/>
              <w:rPr>
                <w:rFonts w:hint="eastAsia" w:ascii="黑体" w:hAnsi="黑体" w:eastAsia="黑体" w:cs="黑体"/>
                <w:i/>
                <w:iCs/>
                <w:color w:val="000000"/>
                <w:sz w:val="18"/>
                <w:szCs w:val="18"/>
                <w:u w:val="none"/>
              </w:rPr>
            </w:pPr>
          </w:p>
        </w:tc>
      </w:tr>
      <w:tr w14:paraId="171D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CDF3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7F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4335">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3D496">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9A6D6">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D9DF3">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2B8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F9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38AAA">
            <w:pPr>
              <w:snapToGrid w:val="0"/>
              <w:rPr>
                <w:rFonts w:hint="eastAsia" w:ascii="黑体" w:hAnsi="黑体" w:eastAsia="黑体" w:cs="黑体"/>
                <w:i/>
                <w:iCs/>
                <w:color w:val="000000"/>
                <w:sz w:val="18"/>
                <w:szCs w:val="18"/>
                <w:u w:val="none"/>
              </w:rPr>
            </w:pPr>
          </w:p>
        </w:tc>
      </w:tr>
      <w:tr w14:paraId="0A06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F89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A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76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B0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4E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43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04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709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10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C0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4F9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37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511DA">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C44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07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10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缴纳伙食费人数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D1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425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40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566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37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A6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2DEC">
            <w:pPr>
              <w:snapToGrid w:val="0"/>
              <w:jc w:val="center"/>
              <w:rPr>
                <w:rFonts w:hint="eastAsia" w:ascii="微软雅黑" w:hAnsi="微软雅黑" w:eastAsia="微软雅黑" w:cs="微软雅黑"/>
                <w:i/>
                <w:iCs/>
                <w:color w:val="000000"/>
                <w:sz w:val="16"/>
                <w:szCs w:val="16"/>
                <w:u w:val="none"/>
              </w:rPr>
            </w:pPr>
          </w:p>
        </w:tc>
      </w:tr>
      <w:tr w14:paraId="46C7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56E4">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3C1D2">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6B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04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缴纳伙食费规范率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AB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A0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E5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0B98A">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81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BA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66DE">
            <w:pPr>
              <w:snapToGrid w:val="0"/>
              <w:jc w:val="center"/>
              <w:rPr>
                <w:rFonts w:hint="eastAsia" w:ascii="微软雅黑" w:hAnsi="微软雅黑" w:eastAsia="微软雅黑" w:cs="微软雅黑"/>
                <w:i/>
                <w:iCs/>
                <w:color w:val="000000"/>
                <w:sz w:val="16"/>
                <w:szCs w:val="16"/>
                <w:u w:val="none"/>
              </w:rPr>
            </w:pPr>
          </w:p>
        </w:tc>
      </w:tr>
      <w:tr w14:paraId="468E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F8B0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95F70">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C2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D1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EA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42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DD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32E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EB9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D46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236D">
            <w:pPr>
              <w:snapToGrid w:val="0"/>
              <w:jc w:val="center"/>
              <w:rPr>
                <w:rFonts w:hint="eastAsia" w:ascii="微软雅黑" w:hAnsi="微软雅黑" w:eastAsia="微软雅黑" w:cs="微软雅黑"/>
                <w:i/>
                <w:iCs/>
                <w:color w:val="000000"/>
                <w:sz w:val="16"/>
                <w:szCs w:val="16"/>
                <w:u w:val="none"/>
              </w:rPr>
            </w:pPr>
          </w:p>
        </w:tc>
      </w:tr>
      <w:tr w14:paraId="280E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7444">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45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A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C7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提升职工工作积极性</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2D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4C8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4C69C">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7B2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68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B7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69E">
            <w:pPr>
              <w:snapToGrid w:val="0"/>
              <w:jc w:val="center"/>
              <w:rPr>
                <w:rFonts w:hint="eastAsia" w:ascii="微软雅黑" w:hAnsi="微软雅黑" w:eastAsia="微软雅黑" w:cs="微软雅黑"/>
                <w:i/>
                <w:iCs/>
                <w:color w:val="000000"/>
                <w:sz w:val="16"/>
                <w:szCs w:val="16"/>
                <w:u w:val="none"/>
              </w:rPr>
            </w:pPr>
          </w:p>
        </w:tc>
      </w:tr>
      <w:tr w14:paraId="5EAAF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AFFD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73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DE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D5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全单位职工</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09E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5D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DE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3A1E">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96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AF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ACC5">
            <w:pPr>
              <w:snapToGrid w:val="0"/>
              <w:jc w:val="center"/>
              <w:rPr>
                <w:rFonts w:hint="eastAsia" w:ascii="微软雅黑" w:hAnsi="微软雅黑" w:eastAsia="微软雅黑" w:cs="微软雅黑"/>
                <w:i/>
                <w:iCs/>
                <w:color w:val="000000"/>
                <w:sz w:val="16"/>
                <w:szCs w:val="16"/>
                <w:u w:val="none"/>
              </w:rPr>
            </w:pPr>
          </w:p>
        </w:tc>
      </w:tr>
      <w:tr w14:paraId="4C21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E015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4B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5E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FD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12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8F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FE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4CB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69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92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352E">
            <w:pPr>
              <w:snapToGrid w:val="0"/>
              <w:jc w:val="center"/>
              <w:rPr>
                <w:rFonts w:hint="eastAsia" w:ascii="微软雅黑" w:hAnsi="微软雅黑" w:eastAsia="微软雅黑" w:cs="微软雅黑"/>
                <w:i/>
                <w:iCs/>
                <w:color w:val="000000"/>
                <w:sz w:val="16"/>
                <w:szCs w:val="16"/>
                <w:u w:val="none"/>
              </w:rPr>
            </w:pPr>
          </w:p>
        </w:tc>
      </w:tr>
      <w:tr w14:paraId="4D31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81E1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B5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4D3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6FC0">
            <w:pPr>
              <w:snapToGrid w:val="0"/>
              <w:rPr>
                <w:rFonts w:hint="eastAsia" w:ascii="宋体" w:hAnsi="宋体" w:eastAsia="宋体" w:cs="宋体"/>
                <w:i w:val="0"/>
                <w:iCs w:val="0"/>
                <w:color w:val="FF0000"/>
                <w:sz w:val="18"/>
                <w:szCs w:val="18"/>
                <w:u w:val="none"/>
              </w:rPr>
            </w:pPr>
          </w:p>
        </w:tc>
      </w:tr>
      <w:tr w14:paraId="5782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945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ED84A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该项目支出绩效评价指标总分值100分，自评89分。个人缴纳伙食补助费，正常用于生活开支。</w:t>
            </w:r>
          </w:p>
        </w:tc>
      </w:tr>
      <w:tr w14:paraId="78A7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A99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20175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DC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34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5A9C9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8C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EC82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86E24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5C0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112125E">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711BB526">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F1933ED">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41A5D27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52909F7B">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6409B824">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9F9573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7B26C30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02BCDF0">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0BEA08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432809F1">
            <w:pPr>
              <w:snapToGrid w:val="0"/>
              <w:rPr>
                <w:rFonts w:hint="eastAsia" w:ascii="宋体" w:hAnsi="宋体" w:eastAsia="宋体" w:cs="宋体"/>
                <w:i w:val="0"/>
                <w:iCs w:val="0"/>
                <w:color w:val="000000"/>
                <w:sz w:val="18"/>
                <w:szCs w:val="18"/>
                <w:u w:val="none"/>
              </w:rPr>
            </w:pPr>
          </w:p>
        </w:tc>
      </w:tr>
      <w:tr w14:paraId="40B39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9C6ACE">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D18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EDC4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5ECD4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51320025T000013993517-代管资金-项目质保金</w:t>
            </w:r>
          </w:p>
        </w:tc>
      </w:tr>
      <w:tr w14:paraId="76CB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4446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0D3A1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4932138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4F8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29F5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4241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1AA5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6AD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9CF325">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ECB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371B">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D4B8">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C9E82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代管项目质保金.</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0E117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项目质保金，维修维护后未产生质量问题后退给维修服务方。</w:t>
            </w:r>
          </w:p>
        </w:tc>
      </w:tr>
      <w:tr w14:paraId="2285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14CEE">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FFE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F7774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项目质保金，由财政代管，单位维修维护后在一定时限内未产生相关质量问题，单位按程序退给维修服务方。</w:t>
            </w:r>
          </w:p>
        </w:tc>
      </w:tr>
      <w:tr w14:paraId="6055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DE1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C9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BD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19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13A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D8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AE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98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DFF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EF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1E0E5">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3F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66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E4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68C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5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D4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85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508AD">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C4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B0863">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3A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48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47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58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57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6D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16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2D27">
            <w:pPr>
              <w:snapToGrid w:val="0"/>
              <w:rPr>
                <w:rFonts w:hint="eastAsia" w:ascii="黑体" w:hAnsi="黑体" w:eastAsia="黑体" w:cs="黑体"/>
                <w:i/>
                <w:iCs/>
                <w:color w:val="000000"/>
                <w:sz w:val="18"/>
                <w:szCs w:val="18"/>
                <w:u w:val="none"/>
              </w:rPr>
            </w:pPr>
          </w:p>
        </w:tc>
      </w:tr>
      <w:tr w14:paraId="357AF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AC9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64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4F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F9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F95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B1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07C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A8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CA4FA">
            <w:pPr>
              <w:snapToGrid w:val="0"/>
              <w:rPr>
                <w:rFonts w:hint="eastAsia" w:ascii="黑体" w:hAnsi="黑体" w:eastAsia="黑体" w:cs="黑体"/>
                <w:i/>
                <w:iCs/>
                <w:color w:val="000000"/>
                <w:sz w:val="18"/>
                <w:szCs w:val="18"/>
                <w:u w:val="none"/>
              </w:rPr>
            </w:pPr>
          </w:p>
        </w:tc>
      </w:tr>
      <w:tr w14:paraId="5CA2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096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DA6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0C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22A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CE9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0.87</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E9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8C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6EF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11D9">
            <w:pPr>
              <w:snapToGrid w:val="0"/>
              <w:rPr>
                <w:rFonts w:hint="eastAsia" w:ascii="黑体" w:hAnsi="黑体" w:eastAsia="黑体" w:cs="黑体"/>
                <w:i/>
                <w:iCs/>
                <w:color w:val="000000"/>
                <w:sz w:val="18"/>
                <w:szCs w:val="18"/>
                <w:u w:val="none"/>
              </w:rPr>
            </w:pPr>
          </w:p>
        </w:tc>
      </w:tr>
      <w:tr w14:paraId="6EDD3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1990">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5CB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D2A13">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5972C">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72918">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8CD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9D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6F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4092">
            <w:pPr>
              <w:snapToGrid w:val="0"/>
              <w:rPr>
                <w:rFonts w:hint="eastAsia" w:ascii="黑体" w:hAnsi="黑体" w:eastAsia="黑体" w:cs="黑体"/>
                <w:i/>
                <w:iCs/>
                <w:color w:val="000000"/>
                <w:sz w:val="18"/>
                <w:szCs w:val="18"/>
                <w:u w:val="none"/>
              </w:rPr>
            </w:pPr>
          </w:p>
        </w:tc>
      </w:tr>
      <w:tr w14:paraId="6C02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A0F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3F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69C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1BD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D9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C6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DDE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EC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4E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ED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F9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4B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600D5">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04B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D1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FB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项目完成合格率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B5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05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3D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FDB5">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9A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BB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CA36">
            <w:pPr>
              <w:snapToGrid w:val="0"/>
              <w:jc w:val="center"/>
              <w:rPr>
                <w:rFonts w:hint="eastAsia" w:ascii="微软雅黑" w:hAnsi="微软雅黑" w:eastAsia="微软雅黑" w:cs="微软雅黑"/>
                <w:i/>
                <w:iCs/>
                <w:color w:val="000000"/>
                <w:sz w:val="16"/>
                <w:szCs w:val="16"/>
                <w:u w:val="none"/>
              </w:rPr>
            </w:pPr>
          </w:p>
        </w:tc>
      </w:tr>
      <w:tr w14:paraId="6529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9847A">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5084A">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A8E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39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70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5E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A1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BC9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A1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06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54D70">
            <w:pPr>
              <w:snapToGrid w:val="0"/>
              <w:jc w:val="center"/>
              <w:rPr>
                <w:rFonts w:hint="eastAsia" w:ascii="微软雅黑" w:hAnsi="微软雅黑" w:eastAsia="微软雅黑" w:cs="微软雅黑"/>
                <w:i/>
                <w:iCs/>
                <w:color w:val="000000"/>
                <w:sz w:val="16"/>
                <w:szCs w:val="16"/>
                <w:u w:val="none"/>
              </w:rPr>
            </w:pPr>
          </w:p>
        </w:tc>
      </w:tr>
      <w:tr w14:paraId="6885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71B2">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D8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2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9F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保障单位正常运转</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361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C6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DD3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4AD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ED4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12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B429">
            <w:pPr>
              <w:snapToGrid w:val="0"/>
              <w:jc w:val="center"/>
              <w:rPr>
                <w:rFonts w:hint="eastAsia" w:ascii="微软雅黑" w:hAnsi="微软雅黑" w:eastAsia="微软雅黑" w:cs="微软雅黑"/>
                <w:i/>
                <w:iCs/>
                <w:color w:val="000000"/>
                <w:sz w:val="16"/>
                <w:szCs w:val="16"/>
                <w:u w:val="none"/>
              </w:rPr>
            </w:pPr>
          </w:p>
        </w:tc>
      </w:tr>
      <w:tr w14:paraId="677D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26F3A">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D8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1E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F0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民族宗教工作人员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EFA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50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E4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63B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AA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6F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18D3A">
            <w:pPr>
              <w:snapToGrid w:val="0"/>
              <w:jc w:val="center"/>
              <w:rPr>
                <w:rFonts w:hint="eastAsia" w:ascii="微软雅黑" w:hAnsi="微软雅黑" w:eastAsia="微软雅黑" w:cs="微软雅黑"/>
                <w:i/>
                <w:iCs/>
                <w:color w:val="000000"/>
                <w:sz w:val="16"/>
                <w:szCs w:val="16"/>
                <w:u w:val="none"/>
              </w:rPr>
            </w:pPr>
          </w:p>
        </w:tc>
      </w:tr>
      <w:tr w14:paraId="28B9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F1C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D4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53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A13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47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481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83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0D22">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D44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2B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EE03">
            <w:pPr>
              <w:snapToGrid w:val="0"/>
              <w:jc w:val="center"/>
              <w:rPr>
                <w:rFonts w:hint="eastAsia" w:ascii="微软雅黑" w:hAnsi="微软雅黑" w:eastAsia="微软雅黑" w:cs="微软雅黑"/>
                <w:i/>
                <w:iCs/>
                <w:color w:val="000000"/>
                <w:sz w:val="16"/>
                <w:szCs w:val="16"/>
                <w:u w:val="none"/>
              </w:rPr>
            </w:pPr>
          </w:p>
        </w:tc>
      </w:tr>
      <w:tr w14:paraId="25EF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7BFC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C0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877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5A69">
            <w:pPr>
              <w:snapToGrid w:val="0"/>
              <w:rPr>
                <w:rFonts w:hint="eastAsia" w:ascii="宋体" w:hAnsi="宋体" w:eastAsia="宋体" w:cs="宋体"/>
                <w:i w:val="0"/>
                <w:iCs w:val="0"/>
                <w:color w:val="FF0000"/>
                <w:sz w:val="18"/>
                <w:szCs w:val="18"/>
                <w:u w:val="none"/>
              </w:rPr>
            </w:pPr>
          </w:p>
        </w:tc>
      </w:tr>
      <w:tr w14:paraId="4A1A7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B2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BD251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该项目支出绩效评价指标总分值100分，自评87分。</w:t>
            </w:r>
          </w:p>
        </w:tc>
      </w:tr>
      <w:tr w14:paraId="292F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AF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D1E1C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74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03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96602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9D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B88D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项目负责人：蓉斯基</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75D85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38587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0D264E6">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6391ED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14914975">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5D16CFD">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B50444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1C2EA3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765334E0">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FB9988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204BF06">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265F013E">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26681909">
            <w:pPr>
              <w:snapToGrid w:val="0"/>
              <w:rPr>
                <w:rFonts w:hint="eastAsia" w:ascii="宋体" w:hAnsi="宋体" w:eastAsia="宋体" w:cs="宋体"/>
                <w:i w:val="0"/>
                <w:iCs w:val="0"/>
                <w:color w:val="000000"/>
                <w:sz w:val="18"/>
                <w:szCs w:val="18"/>
                <w:u w:val="none"/>
              </w:rPr>
            </w:pPr>
          </w:p>
        </w:tc>
      </w:tr>
      <w:tr w14:paraId="0059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21C0C5">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847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302E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3BB4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51320026T000014687825-2025年州本级民族事业发展专项资金(民族机动金)</w:t>
            </w:r>
          </w:p>
        </w:tc>
      </w:tr>
      <w:tr w14:paraId="369D2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C00F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A9BE2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州民宗委部门</w:t>
            </w:r>
          </w:p>
        </w:tc>
        <w:tc>
          <w:tcPr>
            <w:tcW w:w="371" w:type="pct"/>
            <w:tcBorders>
              <w:top w:val="nil"/>
              <w:left w:val="nil"/>
              <w:bottom w:val="nil"/>
              <w:right w:val="nil"/>
            </w:tcBorders>
            <w:shd w:val="clear" w:color="auto" w:fill="auto"/>
            <w:vAlign w:val="center"/>
          </w:tcPr>
          <w:p w14:paraId="644CE26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981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州民宗委</w:t>
            </w:r>
          </w:p>
        </w:tc>
      </w:tr>
      <w:tr w14:paraId="4F35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CE2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9505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AB14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94BF9D">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A8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0E781">
            <w:pPr>
              <w:snapToGrid w:val="0"/>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D9D9D">
            <w:pPr>
              <w:snapToGrid w:val="0"/>
              <w:rPr>
                <w:rFonts w:hint="eastAsia" w:ascii="宋体" w:hAnsi="宋体" w:eastAsia="宋体" w:cs="宋体"/>
                <w:i w:val="0"/>
                <w:iCs w:val="0"/>
                <w:color w:val="000000"/>
                <w:sz w:val="18"/>
                <w:szCs w:val="18"/>
                <w:u w:val="none"/>
              </w:rPr>
            </w:pPr>
          </w:p>
        </w:tc>
        <w:tc>
          <w:tcPr>
            <w:tcW w:w="2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9F577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在阿坝州主干道打造铸牢中华民族共同体意识氛围营造点位。</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355C2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在州内主干道租用7个广告牌，用汉藏双语宣传铸牢中华民族共同体意识、促进民族团结进步相关内容标语。</w:t>
            </w:r>
          </w:p>
        </w:tc>
      </w:tr>
      <w:tr w14:paraId="5FE8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C1945">
            <w:pPr>
              <w:snapToGrid w:val="0"/>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8D11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28F23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切实做好全国民族团结进步示范州验收准备工作，进一步营造民族团结进步创建整体氛围，多途径多渠道对我州民族团结进步创建工作进行宣传，扩大干部群众知晓面，在州内主干道租用两个公司的7个广告牌，用汉藏双语宣传铸牢中华民族共同体意识</w:t>
            </w:r>
            <w:r>
              <w:rPr>
                <w:rFonts w:hint="eastAsia" w:ascii="宋体" w:hAnsi="宋体" w:cs="宋体"/>
                <w:i w:val="0"/>
                <w:iCs w:val="0"/>
                <w:color w:val="000000"/>
                <w:kern w:val="0"/>
                <w:sz w:val="18"/>
                <w:szCs w:val="18"/>
                <w:u w:val="none"/>
                <w:lang w:val="en-US" w:eastAsia="zh-CN" w:bidi="ar"/>
              </w:rPr>
              <w:t>、促进</w:t>
            </w:r>
            <w:r>
              <w:rPr>
                <w:rFonts w:ascii="宋体" w:hAnsi="宋体" w:eastAsia="宋体" w:cs="宋体"/>
                <w:i w:val="0"/>
                <w:iCs w:val="0"/>
                <w:color w:val="000000"/>
                <w:kern w:val="0"/>
                <w:sz w:val="18"/>
                <w:szCs w:val="18"/>
                <w:u w:val="none"/>
                <w:lang w:val="en-US" w:eastAsia="zh-CN" w:bidi="ar"/>
              </w:rPr>
              <w:t>民族团结进步相关内容标语，租用时间为一年。</w:t>
            </w:r>
          </w:p>
        </w:tc>
      </w:tr>
      <w:tr w14:paraId="1FA2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FA8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29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CC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DC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F39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47A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7E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846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6B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9B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3587C">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36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3F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257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04B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68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F4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7D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A2DF5">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BEA3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D1039">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97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73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FC4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6C1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D7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60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09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0AE5">
            <w:pPr>
              <w:snapToGrid w:val="0"/>
              <w:rPr>
                <w:rFonts w:hint="eastAsia" w:ascii="黑体" w:hAnsi="黑体" w:eastAsia="黑体" w:cs="黑体"/>
                <w:i/>
                <w:iCs/>
                <w:color w:val="000000"/>
                <w:sz w:val="18"/>
                <w:szCs w:val="18"/>
                <w:u w:val="none"/>
              </w:rPr>
            </w:pPr>
          </w:p>
        </w:tc>
      </w:tr>
      <w:tr w14:paraId="6BC8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383D">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56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51F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0A9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F26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13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C2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0E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9F360">
            <w:pPr>
              <w:snapToGrid w:val="0"/>
              <w:rPr>
                <w:rFonts w:hint="eastAsia" w:ascii="黑体" w:hAnsi="黑体" w:eastAsia="黑体" w:cs="黑体"/>
                <w:i/>
                <w:iCs/>
                <w:color w:val="000000"/>
                <w:sz w:val="18"/>
                <w:szCs w:val="18"/>
                <w:u w:val="none"/>
              </w:rPr>
            </w:pPr>
          </w:p>
        </w:tc>
      </w:tr>
      <w:tr w14:paraId="5C05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A5101">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E01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4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E0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49F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B3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1C8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2A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26292">
            <w:pPr>
              <w:snapToGrid w:val="0"/>
              <w:rPr>
                <w:rFonts w:hint="eastAsia" w:ascii="黑体" w:hAnsi="黑体" w:eastAsia="黑体" w:cs="黑体"/>
                <w:i/>
                <w:iCs/>
                <w:color w:val="000000"/>
                <w:sz w:val="18"/>
                <w:szCs w:val="18"/>
                <w:u w:val="none"/>
              </w:rPr>
            </w:pPr>
          </w:p>
        </w:tc>
      </w:tr>
      <w:tr w14:paraId="2EC3E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4B1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B3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1A10">
            <w:pPr>
              <w:snapToGrid w:val="0"/>
              <w:jc w:val="center"/>
              <w:rPr>
                <w:rFonts w:hint="eastAsia" w:ascii="微软雅黑" w:hAnsi="微软雅黑" w:eastAsia="微软雅黑" w:cs="微软雅黑"/>
                <w:i/>
                <w:iCs/>
                <w:color w:val="000000"/>
                <w:sz w:val="16"/>
                <w:szCs w:val="16"/>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4173">
            <w:pPr>
              <w:snapToGrid w:val="0"/>
              <w:jc w:val="center"/>
              <w:rPr>
                <w:rFonts w:hint="eastAsia" w:ascii="微软雅黑" w:hAnsi="微软雅黑" w:eastAsia="微软雅黑" w:cs="微软雅黑"/>
                <w:i/>
                <w:iCs/>
                <w:color w:val="000000"/>
                <w:sz w:val="16"/>
                <w:szCs w:val="16"/>
                <w:u w:val="none"/>
              </w:rPr>
            </w:pPr>
          </w:p>
        </w:tc>
        <w:tc>
          <w:tcPr>
            <w:tcW w:w="9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B9446">
            <w:pPr>
              <w:snapToGrid w:val="0"/>
              <w:jc w:val="center"/>
              <w:rPr>
                <w:rFonts w:hint="eastAsia" w:ascii="微软雅黑" w:hAnsi="微软雅黑" w:eastAsia="微软雅黑" w:cs="微软雅黑"/>
                <w:i/>
                <w:iCs/>
                <w:color w:val="000000"/>
                <w:sz w:val="16"/>
                <w:szCs w:val="16"/>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3CAB">
            <w:pPr>
              <w:snapToGrid w:val="0"/>
              <w:jc w:val="center"/>
              <w:rPr>
                <w:rFonts w:hint="eastAsia" w:ascii="微软雅黑" w:hAnsi="微软雅黑" w:eastAsia="微软雅黑" w:cs="微软雅黑"/>
                <w:i/>
                <w:iCs/>
                <w:color w:val="000000"/>
                <w:sz w:val="16"/>
                <w:szCs w:val="16"/>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C1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05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F693A">
            <w:pPr>
              <w:snapToGrid w:val="0"/>
              <w:rPr>
                <w:rFonts w:hint="eastAsia" w:ascii="黑体" w:hAnsi="黑体" w:eastAsia="黑体" w:cs="黑体"/>
                <w:i/>
                <w:iCs/>
                <w:color w:val="000000"/>
                <w:sz w:val="18"/>
                <w:szCs w:val="18"/>
                <w:u w:val="none"/>
              </w:rPr>
            </w:pPr>
          </w:p>
        </w:tc>
      </w:tr>
      <w:tr w14:paraId="6998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9CF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AB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4F7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6C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70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8F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05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DBA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00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FAB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83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2B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4E950">
            <w:pPr>
              <w:snapToGrid w:val="0"/>
              <w:jc w:val="center"/>
              <w:rPr>
                <w:rFonts w:hint="eastAsia" w:ascii="宋体" w:hAnsi="宋体" w:eastAsia="宋体" w:cs="宋体"/>
                <w:i w:val="0"/>
                <w:iCs w:val="0"/>
                <w:color w:val="000000"/>
                <w:sz w:val="18"/>
                <w:szCs w:val="18"/>
                <w:u w:val="none"/>
              </w:rPr>
            </w:pP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E37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0CFE">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F90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铸牢共同体意识氛围营造次数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18D9">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3E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E0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9CA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20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25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4D9BF">
            <w:pPr>
              <w:snapToGrid w:val="0"/>
              <w:jc w:val="center"/>
              <w:rPr>
                <w:rFonts w:hint="eastAsia" w:ascii="微软雅黑" w:hAnsi="微软雅黑" w:eastAsia="微软雅黑" w:cs="微软雅黑"/>
                <w:i/>
                <w:iCs/>
                <w:color w:val="000000"/>
                <w:sz w:val="16"/>
                <w:szCs w:val="16"/>
                <w:u w:val="none"/>
              </w:rPr>
            </w:pPr>
          </w:p>
        </w:tc>
      </w:tr>
      <w:tr w14:paraId="3F5B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F1B0">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A719">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EDF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A006">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铸牢共同体意识广告宣传次数</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186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56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9A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2049">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FF1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58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1452">
            <w:pPr>
              <w:snapToGrid w:val="0"/>
              <w:jc w:val="center"/>
              <w:rPr>
                <w:rFonts w:hint="eastAsia" w:ascii="微软雅黑" w:hAnsi="微软雅黑" w:eastAsia="微软雅黑" w:cs="微软雅黑"/>
                <w:i/>
                <w:iCs/>
                <w:color w:val="000000"/>
                <w:sz w:val="16"/>
                <w:szCs w:val="16"/>
                <w:u w:val="none"/>
              </w:rPr>
            </w:pPr>
          </w:p>
        </w:tc>
      </w:tr>
      <w:tr w14:paraId="4C9C0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422F">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9F46">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D5FA">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9E1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示范测评达标率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E747">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65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CE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CC3B">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5AB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63B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6E01">
            <w:pPr>
              <w:snapToGrid w:val="0"/>
              <w:jc w:val="center"/>
              <w:rPr>
                <w:rFonts w:hint="eastAsia" w:ascii="微软雅黑" w:hAnsi="微软雅黑" w:eastAsia="微软雅黑" w:cs="微软雅黑"/>
                <w:i/>
                <w:iCs/>
                <w:color w:val="000000"/>
                <w:sz w:val="16"/>
                <w:szCs w:val="16"/>
                <w:u w:val="none"/>
              </w:rPr>
            </w:pPr>
          </w:p>
        </w:tc>
      </w:tr>
      <w:tr w14:paraId="2572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39675">
            <w:pPr>
              <w:snapToGrid w:val="0"/>
              <w:jc w:val="center"/>
              <w:rPr>
                <w:rFonts w:hint="eastAsia" w:ascii="宋体" w:hAnsi="宋体" w:eastAsia="宋体" w:cs="宋体"/>
                <w:i w:val="0"/>
                <w:iCs w:val="0"/>
                <w:color w:val="000000"/>
                <w:sz w:val="18"/>
                <w:szCs w:val="18"/>
                <w:u w:val="none"/>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4C7B">
            <w:pPr>
              <w:snapToGrid w:val="0"/>
              <w:jc w:val="center"/>
              <w:rPr>
                <w:rFonts w:hint="eastAsia" w:ascii="宋体" w:hAnsi="宋体" w:eastAsia="宋体" w:cs="宋体"/>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782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54BF">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项目总预算执行率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78DE">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27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601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625C6">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51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F4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2875">
            <w:pPr>
              <w:snapToGrid w:val="0"/>
              <w:jc w:val="center"/>
              <w:rPr>
                <w:rFonts w:hint="eastAsia" w:ascii="微软雅黑" w:hAnsi="微软雅黑" w:eastAsia="微软雅黑" w:cs="微软雅黑"/>
                <w:i/>
                <w:iCs/>
                <w:color w:val="000000"/>
                <w:sz w:val="16"/>
                <w:szCs w:val="16"/>
                <w:u w:val="none"/>
              </w:rPr>
            </w:pPr>
          </w:p>
        </w:tc>
      </w:tr>
      <w:tr w14:paraId="43011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C7A6E">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D800">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DD09">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A377">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民族团结进步事业发展</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1FF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AA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6D1BA">
            <w:pPr>
              <w:snapToGrid w:val="0"/>
              <w:jc w:val="center"/>
              <w:rPr>
                <w:rFonts w:hint="eastAsia" w:ascii="宋体" w:hAnsi="宋体" w:eastAsia="宋体" w:cs="宋体"/>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8CE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显著提升</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93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E3B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95BF8">
            <w:pPr>
              <w:snapToGrid w:val="0"/>
              <w:jc w:val="center"/>
              <w:rPr>
                <w:rFonts w:hint="eastAsia" w:ascii="微软雅黑" w:hAnsi="微软雅黑" w:eastAsia="微软雅黑" w:cs="微软雅黑"/>
                <w:i/>
                <w:iCs/>
                <w:color w:val="000000"/>
                <w:sz w:val="16"/>
                <w:szCs w:val="16"/>
                <w:u w:val="none"/>
              </w:rPr>
            </w:pPr>
          </w:p>
        </w:tc>
      </w:tr>
      <w:tr w14:paraId="7BF2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358D8">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6BED">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69A5">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099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少数民族群众生活满意度</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8114">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10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C1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9D8F">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99</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569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22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D6E1E">
            <w:pPr>
              <w:snapToGrid w:val="0"/>
              <w:jc w:val="center"/>
              <w:rPr>
                <w:rFonts w:hint="eastAsia" w:ascii="微软雅黑" w:hAnsi="微软雅黑" w:eastAsia="微软雅黑" w:cs="微软雅黑"/>
                <w:i/>
                <w:iCs/>
                <w:color w:val="000000"/>
                <w:sz w:val="16"/>
                <w:szCs w:val="16"/>
                <w:u w:val="none"/>
              </w:rPr>
            </w:pPr>
          </w:p>
        </w:tc>
      </w:tr>
      <w:tr w14:paraId="04F0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98AB">
            <w:pPr>
              <w:snapToGrid w:val="0"/>
              <w:jc w:val="center"/>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ECF4">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AA58">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932B">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D375">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D7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96E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0BF21">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4D1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BB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2C5B">
            <w:pPr>
              <w:snapToGrid w:val="0"/>
              <w:jc w:val="center"/>
              <w:rPr>
                <w:rFonts w:hint="eastAsia" w:ascii="微软雅黑" w:hAnsi="微软雅黑" w:eastAsia="微软雅黑" w:cs="微软雅黑"/>
                <w:i/>
                <w:iCs/>
                <w:color w:val="000000"/>
                <w:sz w:val="16"/>
                <w:szCs w:val="16"/>
                <w:u w:val="none"/>
              </w:rPr>
            </w:pPr>
          </w:p>
        </w:tc>
      </w:tr>
      <w:tr w14:paraId="1531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9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38F2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B2D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A179">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14C3">
            <w:pPr>
              <w:snapToGrid w:val="0"/>
              <w:rPr>
                <w:rFonts w:hint="eastAsia" w:ascii="宋体" w:hAnsi="宋体" w:eastAsia="宋体" w:cs="宋体"/>
                <w:i w:val="0"/>
                <w:iCs w:val="0"/>
                <w:color w:val="FF0000"/>
                <w:sz w:val="18"/>
                <w:szCs w:val="18"/>
                <w:u w:val="none"/>
              </w:rPr>
            </w:pPr>
          </w:p>
        </w:tc>
      </w:tr>
      <w:tr w14:paraId="1A66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52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F8C3A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该项目支出绩效评价指标总分</w:t>
            </w:r>
            <w:bookmarkStart w:id="128" w:name="_GoBack"/>
            <w:bookmarkEnd w:id="128"/>
            <w:r>
              <w:rPr>
                <w:rFonts w:hint="eastAsia" w:ascii="微软雅黑" w:hAnsi="微软雅黑" w:eastAsia="微软雅黑" w:cs="微软雅黑"/>
                <w:i/>
                <w:iCs/>
                <w:color w:val="000000"/>
                <w:kern w:val="0"/>
                <w:sz w:val="16"/>
                <w:szCs w:val="16"/>
                <w:u w:val="none"/>
                <w:lang w:val="en-US" w:eastAsia="zh-CN" w:bidi="ar"/>
              </w:rPr>
              <w:t>为100，自评87分。通过在州内主干道租用7个广告牌，汉藏双语宣传铸牢中华民族共同体意识等民族团结进步相关内容标语，进一部营造了整体民族团结进步创建氛围，并为全国民族团结进步示范州验收打下基础。</w:t>
            </w:r>
          </w:p>
        </w:tc>
      </w:tr>
      <w:tr w14:paraId="54D8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7D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46446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1.前期调研不足，部分宣传点位过于集中。2.因我州于6月和10月接受示范州创建省检和国检，导致资金拨付较为缓慢。</w:t>
            </w:r>
          </w:p>
        </w:tc>
      </w:tr>
      <w:tr w14:paraId="79217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63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E7ECF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1.加强前期调研，充分论证项目实施可行性，科学性，统筹兼顾整体和区域宣传点位分布，实现点位宣传效益最大化。</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2.提前谋划，对紧急性项目和资金滞留情况，加强项目管理和资金拨付，使资金发挥最大效益，项目尽快实施落地。</w:t>
            </w:r>
          </w:p>
        </w:tc>
      </w:tr>
      <w:tr w14:paraId="780A6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8BCE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项目负责人：梁万永</w:t>
            </w:r>
          </w:p>
        </w:tc>
        <w:tc>
          <w:tcPr>
            <w:tcW w:w="21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EC3BC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财务负责人：罗壤</w:t>
            </w:r>
          </w:p>
        </w:tc>
      </w:tr>
      <w:tr w14:paraId="1B19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CEFD795">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7476784">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F038104">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0D2EF2C">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6A7DE97C">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DB3E550">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319DCA88">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0D69148E">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45DFBD3">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9F10290">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4DFBA14">
            <w:pPr>
              <w:snapToGrid w:val="0"/>
              <w:rPr>
                <w:rFonts w:hint="eastAsia" w:ascii="宋体" w:hAnsi="宋体" w:eastAsia="宋体" w:cs="宋体"/>
                <w:i w:val="0"/>
                <w:iCs w:val="0"/>
                <w:color w:val="000000"/>
                <w:sz w:val="18"/>
                <w:szCs w:val="18"/>
                <w:u w:val="none"/>
              </w:rPr>
            </w:pPr>
          </w:p>
        </w:tc>
      </w:tr>
      <w:tr w14:paraId="1C24B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7E94117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7B7D7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630130F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5284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7CFF2F3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58E96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nil"/>
              <w:left w:val="nil"/>
              <w:bottom w:val="nil"/>
              <w:right w:val="nil"/>
            </w:tcBorders>
            <w:shd w:val="clear" w:color="auto" w:fill="auto"/>
            <w:vAlign w:val="center"/>
          </w:tcPr>
          <w:p w14:paraId="2DFB28B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r w14:paraId="350A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9FD8B1E">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FEB6EF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4583FDE7">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0AD68108">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31338D52">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31469853">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6323663C">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5E1133B4">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78AD191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C5CBAF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0E8A92B0">
            <w:pPr>
              <w:snapToGrid w:val="0"/>
              <w:rPr>
                <w:rFonts w:hint="eastAsia" w:ascii="宋体" w:hAnsi="宋体" w:eastAsia="宋体" w:cs="宋体"/>
                <w:i w:val="0"/>
                <w:iCs w:val="0"/>
                <w:color w:val="000000"/>
                <w:sz w:val="18"/>
                <w:szCs w:val="18"/>
                <w:u w:val="none"/>
              </w:rPr>
            </w:pPr>
          </w:p>
        </w:tc>
      </w:tr>
      <w:tr w14:paraId="1672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4C952AD">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307F600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5544DB39">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55F2745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41163CB">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2B622138">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6FAF89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284C7151">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62A49CFC">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30FD7B87">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C1A5D06">
            <w:pPr>
              <w:snapToGrid w:val="0"/>
              <w:rPr>
                <w:rFonts w:hint="eastAsia" w:ascii="宋体" w:hAnsi="宋体" w:eastAsia="宋体" w:cs="宋体"/>
                <w:i w:val="0"/>
                <w:iCs w:val="0"/>
                <w:color w:val="000000"/>
                <w:sz w:val="18"/>
                <w:szCs w:val="18"/>
                <w:u w:val="none"/>
              </w:rPr>
            </w:pPr>
          </w:p>
        </w:tc>
      </w:tr>
      <w:tr w14:paraId="3114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326C8E46">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59BB082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FAB783F">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666A7042">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D2CEB25">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6EF0BC8">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00C56805">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FF16FD9">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D296B7F">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64A66712">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CEFEAEA">
            <w:pPr>
              <w:snapToGrid w:val="0"/>
              <w:rPr>
                <w:rFonts w:hint="eastAsia" w:ascii="宋体" w:hAnsi="宋体" w:eastAsia="宋体" w:cs="宋体"/>
                <w:i w:val="0"/>
                <w:iCs w:val="0"/>
                <w:color w:val="000000"/>
                <w:sz w:val="18"/>
                <w:szCs w:val="18"/>
                <w:u w:val="none"/>
              </w:rPr>
            </w:pPr>
          </w:p>
        </w:tc>
      </w:tr>
      <w:tr w14:paraId="426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73F0E49C">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A8585B2">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689A00A0">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378058A">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1F72DB8">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012AAB3C">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4D7D9217">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323E6B8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5033468D">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1318E341">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E358484">
            <w:pPr>
              <w:snapToGrid w:val="0"/>
              <w:rPr>
                <w:rFonts w:hint="eastAsia" w:ascii="宋体" w:hAnsi="宋体" w:eastAsia="宋体" w:cs="宋体"/>
                <w:i w:val="0"/>
                <w:iCs w:val="0"/>
                <w:color w:val="000000"/>
                <w:sz w:val="18"/>
                <w:szCs w:val="18"/>
                <w:u w:val="none"/>
              </w:rPr>
            </w:pPr>
          </w:p>
        </w:tc>
      </w:tr>
      <w:tr w14:paraId="59D1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608F9A2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6B0332D">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93D106B">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17221011">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11A0BAE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5C7AF721">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CCCE3A6">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6865EEE5">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47DC145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2C714D23">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6D08169A">
            <w:pPr>
              <w:snapToGrid w:val="0"/>
              <w:rPr>
                <w:rFonts w:hint="eastAsia" w:ascii="宋体" w:hAnsi="宋体" w:eastAsia="宋体" w:cs="宋体"/>
                <w:i w:val="0"/>
                <w:iCs w:val="0"/>
                <w:color w:val="000000"/>
                <w:sz w:val="18"/>
                <w:szCs w:val="18"/>
                <w:u w:val="none"/>
              </w:rPr>
            </w:pPr>
          </w:p>
        </w:tc>
      </w:tr>
      <w:tr w14:paraId="5ABD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5BDB24C0">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2F579583">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2CF7C444">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0B968D3">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7E640F44">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47D0D689">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5EE216CD">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5B33CD7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F41CDDA">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E06C006">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754F3691">
            <w:pPr>
              <w:snapToGrid w:val="0"/>
              <w:rPr>
                <w:rFonts w:hint="eastAsia" w:ascii="宋体" w:hAnsi="宋体" w:eastAsia="宋体" w:cs="宋体"/>
                <w:i w:val="0"/>
                <w:iCs w:val="0"/>
                <w:color w:val="000000"/>
                <w:sz w:val="18"/>
                <w:szCs w:val="18"/>
                <w:u w:val="none"/>
              </w:rPr>
            </w:pPr>
          </w:p>
        </w:tc>
      </w:tr>
      <w:tr w14:paraId="4893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0" w:type="pct"/>
            <w:tcBorders>
              <w:top w:val="nil"/>
              <w:left w:val="nil"/>
              <w:bottom w:val="nil"/>
              <w:right w:val="nil"/>
            </w:tcBorders>
            <w:shd w:val="clear" w:color="auto" w:fill="auto"/>
            <w:vAlign w:val="center"/>
          </w:tcPr>
          <w:p w14:paraId="116A9CF9">
            <w:pPr>
              <w:snapToGrid w:val="0"/>
              <w:rPr>
                <w:rFonts w:hint="eastAsia" w:ascii="宋体" w:hAnsi="宋体" w:eastAsia="宋体" w:cs="宋体"/>
                <w:i w:val="0"/>
                <w:iCs w:val="0"/>
                <w:color w:val="000000"/>
                <w:sz w:val="18"/>
                <w:szCs w:val="18"/>
                <w:u w:val="none"/>
              </w:rPr>
            </w:pPr>
          </w:p>
        </w:tc>
        <w:tc>
          <w:tcPr>
            <w:tcW w:w="479" w:type="pct"/>
            <w:tcBorders>
              <w:top w:val="nil"/>
              <w:left w:val="nil"/>
              <w:bottom w:val="nil"/>
              <w:right w:val="nil"/>
            </w:tcBorders>
            <w:shd w:val="clear" w:color="auto" w:fill="auto"/>
            <w:vAlign w:val="center"/>
          </w:tcPr>
          <w:p w14:paraId="43DA26AB">
            <w:pPr>
              <w:snapToGrid w:val="0"/>
              <w:rPr>
                <w:rFonts w:hint="eastAsia" w:ascii="宋体" w:hAnsi="宋体" w:eastAsia="宋体" w:cs="宋体"/>
                <w:i w:val="0"/>
                <w:iCs w:val="0"/>
                <w:color w:val="000000"/>
                <w:sz w:val="18"/>
                <w:szCs w:val="18"/>
                <w:u w:val="none"/>
              </w:rPr>
            </w:pPr>
          </w:p>
        </w:tc>
        <w:tc>
          <w:tcPr>
            <w:tcW w:w="768" w:type="pct"/>
            <w:tcBorders>
              <w:top w:val="nil"/>
              <w:left w:val="nil"/>
              <w:bottom w:val="nil"/>
              <w:right w:val="nil"/>
            </w:tcBorders>
            <w:shd w:val="clear" w:color="auto" w:fill="auto"/>
            <w:vAlign w:val="center"/>
          </w:tcPr>
          <w:p w14:paraId="3D9FA2F8">
            <w:pPr>
              <w:snapToGrid w:val="0"/>
              <w:rPr>
                <w:rFonts w:hint="eastAsia" w:ascii="宋体" w:hAnsi="宋体" w:eastAsia="宋体" w:cs="宋体"/>
                <w:i w:val="0"/>
                <w:iCs w:val="0"/>
                <w:color w:val="000000"/>
                <w:sz w:val="18"/>
                <w:szCs w:val="18"/>
                <w:u w:val="none"/>
              </w:rPr>
            </w:pPr>
          </w:p>
        </w:tc>
        <w:tc>
          <w:tcPr>
            <w:tcW w:w="980" w:type="pct"/>
            <w:tcBorders>
              <w:top w:val="nil"/>
              <w:left w:val="nil"/>
              <w:bottom w:val="nil"/>
              <w:right w:val="nil"/>
            </w:tcBorders>
            <w:shd w:val="clear" w:color="auto" w:fill="auto"/>
            <w:vAlign w:val="center"/>
          </w:tcPr>
          <w:p w14:paraId="3B7D97D7">
            <w:pPr>
              <w:snapToGrid w:val="0"/>
              <w:rPr>
                <w:rFonts w:hint="eastAsia" w:ascii="宋体" w:hAnsi="宋体" w:eastAsia="宋体" w:cs="宋体"/>
                <w:i w:val="0"/>
                <w:iCs w:val="0"/>
                <w:color w:val="000000"/>
                <w:sz w:val="18"/>
                <w:szCs w:val="18"/>
                <w:u w:val="none"/>
              </w:rPr>
            </w:pPr>
          </w:p>
        </w:tc>
        <w:tc>
          <w:tcPr>
            <w:tcW w:w="340" w:type="pct"/>
            <w:tcBorders>
              <w:top w:val="nil"/>
              <w:left w:val="nil"/>
              <w:bottom w:val="nil"/>
              <w:right w:val="nil"/>
            </w:tcBorders>
            <w:shd w:val="clear" w:color="auto" w:fill="auto"/>
            <w:vAlign w:val="center"/>
          </w:tcPr>
          <w:p w14:paraId="0A56D2C3">
            <w:pPr>
              <w:snapToGrid w:val="0"/>
              <w:rPr>
                <w:rFonts w:hint="eastAsia" w:ascii="宋体" w:hAnsi="宋体" w:eastAsia="宋体" w:cs="宋体"/>
                <w:i w:val="0"/>
                <w:iCs w:val="0"/>
                <w:color w:val="000000"/>
                <w:sz w:val="18"/>
                <w:szCs w:val="18"/>
                <w:u w:val="none"/>
              </w:rPr>
            </w:pPr>
          </w:p>
        </w:tc>
        <w:tc>
          <w:tcPr>
            <w:tcW w:w="261" w:type="pct"/>
            <w:tcBorders>
              <w:top w:val="nil"/>
              <w:left w:val="nil"/>
              <w:bottom w:val="nil"/>
              <w:right w:val="nil"/>
            </w:tcBorders>
            <w:shd w:val="clear" w:color="auto" w:fill="auto"/>
            <w:vAlign w:val="center"/>
          </w:tcPr>
          <w:p w14:paraId="7CAC8C37">
            <w:pPr>
              <w:snapToGrid w:val="0"/>
              <w:rPr>
                <w:rFonts w:hint="eastAsia" w:ascii="宋体" w:hAnsi="宋体" w:eastAsia="宋体" w:cs="宋体"/>
                <w:i w:val="0"/>
                <w:iCs w:val="0"/>
                <w:color w:val="000000"/>
                <w:sz w:val="18"/>
                <w:szCs w:val="18"/>
                <w:u w:val="none"/>
              </w:rPr>
            </w:pPr>
          </w:p>
        </w:tc>
        <w:tc>
          <w:tcPr>
            <w:tcW w:w="334" w:type="pct"/>
            <w:tcBorders>
              <w:top w:val="nil"/>
              <w:left w:val="nil"/>
              <w:bottom w:val="nil"/>
              <w:right w:val="nil"/>
            </w:tcBorders>
            <w:shd w:val="clear" w:color="auto" w:fill="auto"/>
            <w:vAlign w:val="center"/>
          </w:tcPr>
          <w:p w14:paraId="1CCEE6F1">
            <w:pPr>
              <w:snapToGrid w:val="0"/>
              <w:rPr>
                <w:rFonts w:hint="eastAsia" w:ascii="宋体" w:hAnsi="宋体" w:eastAsia="宋体" w:cs="宋体"/>
                <w:i w:val="0"/>
                <w:iCs w:val="0"/>
                <w:color w:val="000000"/>
                <w:sz w:val="18"/>
                <w:szCs w:val="18"/>
                <w:u w:val="none"/>
              </w:rPr>
            </w:pPr>
          </w:p>
        </w:tc>
        <w:tc>
          <w:tcPr>
            <w:tcW w:w="371" w:type="pct"/>
            <w:tcBorders>
              <w:top w:val="nil"/>
              <w:left w:val="nil"/>
              <w:bottom w:val="nil"/>
              <w:right w:val="nil"/>
            </w:tcBorders>
            <w:shd w:val="clear" w:color="auto" w:fill="auto"/>
            <w:vAlign w:val="center"/>
          </w:tcPr>
          <w:p w14:paraId="41768B03">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07775764">
            <w:pPr>
              <w:snapToGrid w:val="0"/>
              <w:rPr>
                <w:rFonts w:hint="eastAsia" w:ascii="宋体" w:hAnsi="宋体" w:eastAsia="宋体" w:cs="宋体"/>
                <w:i w:val="0"/>
                <w:iCs w:val="0"/>
                <w:color w:val="000000"/>
                <w:sz w:val="18"/>
                <w:szCs w:val="18"/>
                <w:u w:val="none"/>
              </w:rPr>
            </w:pPr>
          </w:p>
        </w:tc>
        <w:tc>
          <w:tcPr>
            <w:tcW w:w="286" w:type="pct"/>
            <w:tcBorders>
              <w:top w:val="nil"/>
              <w:left w:val="nil"/>
              <w:bottom w:val="nil"/>
              <w:right w:val="nil"/>
            </w:tcBorders>
            <w:shd w:val="clear" w:color="auto" w:fill="auto"/>
            <w:vAlign w:val="center"/>
          </w:tcPr>
          <w:p w14:paraId="44122563">
            <w:pPr>
              <w:snapToGrid w:val="0"/>
              <w:rPr>
                <w:rFonts w:hint="eastAsia" w:ascii="宋体" w:hAnsi="宋体" w:eastAsia="宋体" w:cs="宋体"/>
                <w:i w:val="0"/>
                <w:iCs w:val="0"/>
                <w:color w:val="000000"/>
                <w:sz w:val="18"/>
                <w:szCs w:val="18"/>
                <w:u w:val="none"/>
              </w:rPr>
            </w:pPr>
          </w:p>
        </w:tc>
        <w:tc>
          <w:tcPr>
            <w:tcW w:w="608" w:type="pct"/>
            <w:tcBorders>
              <w:top w:val="nil"/>
              <w:left w:val="nil"/>
              <w:bottom w:val="nil"/>
              <w:right w:val="nil"/>
            </w:tcBorders>
            <w:shd w:val="clear" w:color="auto" w:fill="auto"/>
            <w:vAlign w:val="center"/>
          </w:tcPr>
          <w:p w14:paraId="1795EC45">
            <w:pPr>
              <w:snapToGrid w:val="0"/>
              <w:rPr>
                <w:rFonts w:hint="eastAsia" w:ascii="宋体" w:hAnsi="宋体" w:eastAsia="宋体" w:cs="宋体"/>
                <w:i w:val="0"/>
                <w:iCs w:val="0"/>
                <w:color w:val="000000"/>
                <w:sz w:val="18"/>
                <w:szCs w:val="18"/>
                <w:u w:val="none"/>
              </w:rPr>
            </w:pPr>
          </w:p>
        </w:tc>
      </w:tr>
    </w:tbl>
    <w:p w14:paraId="217ABC0B">
      <w:pPr>
        <w:pStyle w:val="35"/>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Times New Roman" w:hAnsi="Times New Roman" w:eastAsia="微软雅黑" w:cs="微软雅黑"/>
          <w:color w:val="auto"/>
          <w:kern w:val="2"/>
          <w:sz w:val="44"/>
          <w:szCs w:val="44"/>
          <w:highlight w:val="none"/>
          <w:lang w:val="en-US" w:eastAsia="zh-CN"/>
        </w:rPr>
      </w:pPr>
    </w:p>
    <w:p w14:paraId="48DF636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B2B97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FC95D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1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CF388E9">
      <w:pPr>
        <w:widowControl/>
        <w:jc w:val="center"/>
        <w:outlineLvl w:val="0"/>
        <w:rPr>
          <w:rFonts w:hint="eastAsia" w:ascii="Times New Roman" w:hAnsi="Times New Roman" w:eastAsia="仿宋"/>
          <w:b w:val="0"/>
          <w:color w:val="auto"/>
          <w:highlight w:val="none"/>
        </w:rPr>
      </w:pPr>
      <w:bookmarkStart w:id="113" w:name="_Toc19012"/>
      <w:bookmarkStart w:id="114" w:name="_Toc9469"/>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112"/>
      <w:bookmarkEnd w:id="113"/>
      <w:bookmarkEnd w:id="114"/>
      <w:bookmarkStart w:id="115" w:name="_Toc15396619"/>
    </w:p>
    <w:p w14:paraId="59F5EC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99265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15"/>
    </w:p>
    <w:p w14:paraId="6E0E4C3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0"/>
      <w:r>
        <w:rPr>
          <w:rFonts w:hint="eastAsia" w:ascii="Times New Roman" w:hAnsi="Times New Roman" w:eastAsia="仿宋_GB2312" w:cs="仿宋_GB2312"/>
          <w:color w:val="auto"/>
          <w:sz w:val="32"/>
          <w:szCs w:val="32"/>
          <w:highlight w:val="none"/>
        </w:rPr>
        <w:t>二、收入决算表</w:t>
      </w:r>
      <w:bookmarkEnd w:id="116"/>
    </w:p>
    <w:p w14:paraId="002C8B3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1"/>
      <w:r>
        <w:rPr>
          <w:rFonts w:hint="eastAsia" w:ascii="Times New Roman" w:hAnsi="Times New Roman" w:eastAsia="仿宋_GB2312" w:cs="仿宋_GB2312"/>
          <w:color w:val="auto"/>
          <w:sz w:val="32"/>
          <w:szCs w:val="32"/>
          <w:highlight w:val="none"/>
        </w:rPr>
        <w:t>三、支出决算表</w:t>
      </w:r>
      <w:bookmarkEnd w:id="117"/>
    </w:p>
    <w:p w14:paraId="04BC91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22"/>
      <w:r>
        <w:rPr>
          <w:rFonts w:hint="eastAsia" w:ascii="Times New Roman" w:hAnsi="Times New Roman" w:eastAsia="仿宋_GB2312" w:cs="仿宋_GB2312"/>
          <w:color w:val="auto"/>
          <w:sz w:val="32"/>
          <w:szCs w:val="32"/>
          <w:highlight w:val="none"/>
        </w:rPr>
        <w:t>四、财政拨款收入支出决算总表</w:t>
      </w:r>
      <w:bookmarkEnd w:id="118"/>
    </w:p>
    <w:p w14:paraId="24ED16F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3"/>
      <w:r>
        <w:rPr>
          <w:rFonts w:hint="eastAsia" w:ascii="Times New Roman" w:hAnsi="Times New Roman" w:eastAsia="仿宋_GB2312" w:cs="仿宋_GB2312"/>
          <w:color w:val="auto"/>
          <w:sz w:val="32"/>
          <w:szCs w:val="32"/>
          <w:highlight w:val="none"/>
        </w:rPr>
        <w:t>五、财政拨款支出决算明细表</w:t>
      </w:r>
      <w:bookmarkEnd w:id="119"/>
      <w:bookmarkStart w:id="120" w:name="_Toc15396624"/>
    </w:p>
    <w:p w14:paraId="09D4D8D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20"/>
    </w:p>
    <w:p w14:paraId="127AEF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5"/>
      <w:r>
        <w:rPr>
          <w:rFonts w:hint="eastAsia" w:ascii="Times New Roman" w:hAnsi="Times New Roman" w:eastAsia="仿宋_GB2312" w:cs="仿宋_GB2312"/>
          <w:color w:val="auto"/>
          <w:sz w:val="32"/>
          <w:szCs w:val="32"/>
          <w:highlight w:val="none"/>
        </w:rPr>
        <w:t>七、一般公共预算财政拨款支出决算明细表</w:t>
      </w:r>
      <w:bookmarkEnd w:id="121"/>
    </w:p>
    <w:p w14:paraId="0E4DB1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2" w:name="_Toc15396626"/>
      <w:r>
        <w:rPr>
          <w:rFonts w:hint="eastAsia" w:ascii="Times New Roman" w:hAnsi="Times New Roman" w:eastAsia="仿宋_GB2312" w:cs="仿宋_GB2312"/>
          <w:color w:val="auto"/>
          <w:sz w:val="32"/>
          <w:szCs w:val="32"/>
          <w:highlight w:val="none"/>
        </w:rPr>
        <w:t>八、一般公共预算财政拨款基本支出决算表</w:t>
      </w:r>
      <w:bookmarkEnd w:id="122"/>
    </w:p>
    <w:p w14:paraId="1EE4B5B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7"/>
      <w:r>
        <w:rPr>
          <w:rFonts w:hint="eastAsia" w:ascii="Times New Roman" w:hAnsi="Times New Roman" w:eastAsia="仿宋_GB2312" w:cs="仿宋_GB2312"/>
          <w:color w:val="auto"/>
          <w:sz w:val="32"/>
          <w:szCs w:val="32"/>
          <w:highlight w:val="none"/>
        </w:rPr>
        <w:t>九、一般公共预算财政拨款项目支出决算表</w:t>
      </w:r>
      <w:bookmarkEnd w:id="123"/>
    </w:p>
    <w:p w14:paraId="66990E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15396628"/>
      <w:r>
        <w:rPr>
          <w:rFonts w:hint="eastAsia" w:ascii="Times New Roman" w:hAnsi="Times New Roman" w:eastAsia="仿宋_GB2312" w:cs="仿宋_GB2312"/>
          <w:color w:val="auto"/>
          <w:sz w:val="32"/>
          <w:szCs w:val="32"/>
          <w:highlight w:val="none"/>
        </w:rPr>
        <w:t>十、</w:t>
      </w:r>
      <w:bookmarkEnd w:id="124"/>
      <w:r>
        <w:rPr>
          <w:rFonts w:hint="eastAsia" w:ascii="Times New Roman" w:hAnsi="Times New Roman" w:eastAsia="仿宋_GB2312" w:cs="仿宋_GB2312"/>
          <w:color w:val="auto"/>
          <w:sz w:val="32"/>
          <w:szCs w:val="32"/>
          <w:highlight w:val="none"/>
        </w:rPr>
        <w:t>政府性基金预算财政拨款收入支出决算表</w:t>
      </w:r>
    </w:p>
    <w:p w14:paraId="5804928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15396629"/>
      <w:r>
        <w:rPr>
          <w:rFonts w:hint="eastAsia" w:ascii="Times New Roman" w:hAnsi="Times New Roman" w:eastAsia="仿宋_GB2312" w:cs="仿宋_GB2312"/>
          <w:color w:val="auto"/>
          <w:sz w:val="32"/>
          <w:szCs w:val="32"/>
          <w:highlight w:val="none"/>
        </w:rPr>
        <w:t>十一、</w:t>
      </w:r>
      <w:bookmarkEnd w:id="12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DF976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15396630"/>
      <w:r>
        <w:rPr>
          <w:rFonts w:hint="eastAsia" w:ascii="Times New Roman" w:hAnsi="Times New Roman" w:eastAsia="仿宋_GB2312" w:cs="仿宋_GB2312"/>
          <w:color w:val="auto"/>
          <w:sz w:val="32"/>
          <w:szCs w:val="32"/>
          <w:highlight w:val="none"/>
        </w:rPr>
        <w:t>十二、</w:t>
      </w:r>
      <w:bookmarkEnd w:id="126"/>
      <w:r>
        <w:rPr>
          <w:rFonts w:hint="eastAsia" w:ascii="Times New Roman" w:hAnsi="Times New Roman" w:eastAsia="仿宋_GB2312" w:cs="仿宋_GB2312"/>
          <w:color w:val="auto"/>
          <w:sz w:val="32"/>
          <w:szCs w:val="32"/>
          <w:highlight w:val="none"/>
          <w:lang w:eastAsia="zh-CN"/>
        </w:rPr>
        <w:t>国有资本经营预算财政拨款支出决算表</w:t>
      </w:r>
    </w:p>
    <w:p w14:paraId="4A172B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7" w:name="_Toc15396631"/>
      <w:r>
        <w:rPr>
          <w:rFonts w:hint="eastAsia" w:ascii="Times New Roman" w:hAnsi="Times New Roman" w:eastAsia="仿宋_GB2312" w:cs="仿宋_GB2312"/>
          <w:color w:val="auto"/>
          <w:sz w:val="32"/>
          <w:szCs w:val="32"/>
          <w:highlight w:val="none"/>
        </w:rPr>
        <w:t>十三、</w:t>
      </w:r>
      <w:bookmarkEnd w:id="127"/>
      <w:r>
        <w:rPr>
          <w:rFonts w:hint="eastAsia" w:ascii="Times New Roman" w:hAnsi="Times New Roman" w:eastAsia="仿宋_GB2312" w:cs="仿宋_GB2312"/>
          <w:color w:val="auto"/>
          <w:sz w:val="32"/>
          <w:szCs w:val="32"/>
          <w:highlight w:val="none"/>
          <w:lang w:eastAsia="zh-CN"/>
        </w:rPr>
        <w:t>财政拨款“三公”经费支出决算表</w:t>
      </w:r>
    </w:p>
    <w:p w14:paraId="46873CD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14:paraId="4D2C00D1">
      <w:pPr>
        <w:rPr>
          <w:rFonts w:hint="eastAsia" w:ascii="Times New Roman" w:hAnsi="Times New Roman"/>
          <w:lang w:eastAsia="zh-CN"/>
        </w:rPr>
      </w:pPr>
    </w:p>
    <w:sectPr>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B1"/>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文泉驿正黑">
    <w:panose1 w:val="02000603000000000000"/>
    <w:charset w:val="86"/>
    <w:family w:val="auto"/>
    <w:pitch w:val="default"/>
    <w:sig w:usb0="900002BF" w:usb1="2BDF7DFB" w:usb2="00000036" w:usb3="00000000" w:csb0="603E000D" w:csb1="D2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126F6">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1936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61936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2154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4F5D1">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94F5D1">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5A788">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FC35D">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CEFC35D">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57CE0DF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636F0">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F48B5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F48B5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89FEC">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4F502">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1950"/>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4E26A6"/>
    <w:rsid w:val="01572C46"/>
    <w:rsid w:val="015975B8"/>
    <w:rsid w:val="01DA226F"/>
    <w:rsid w:val="021C29C7"/>
    <w:rsid w:val="02B80216"/>
    <w:rsid w:val="02BA52F5"/>
    <w:rsid w:val="02FEBE30"/>
    <w:rsid w:val="03046E4B"/>
    <w:rsid w:val="03345AEF"/>
    <w:rsid w:val="03C84489"/>
    <w:rsid w:val="04916F1E"/>
    <w:rsid w:val="06035C4C"/>
    <w:rsid w:val="061E35DE"/>
    <w:rsid w:val="06345E06"/>
    <w:rsid w:val="066E0107"/>
    <w:rsid w:val="071C6FC5"/>
    <w:rsid w:val="07375BAD"/>
    <w:rsid w:val="07996F6E"/>
    <w:rsid w:val="07DFD8BA"/>
    <w:rsid w:val="08F157C1"/>
    <w:rsid w:val="09113AD5"/>
    <w:rsid w:val="091A12E3"/>
    <w:rsid w:val="09867E8F"/>
    <w:rsid w:val="09EB0ED1"/>
    <w:rsid w:val="0A2032A3"/>
    <w:rsid w:val="0ADD5EF2"/>
    <w:rsid w:val="0AFA0E7E"/>
    <w:rsid w:val="0B48482D"/>
    <w:rsid w:val="0B574A70"/>
    <w:rsid w:val="0BA47589"/>
    <w:rsid w:val="0BB43382"/>
    <w:rsid w:val="0CA8290A"/>
    <w:rsid w:val="0D2A1D10"/>
    <w:rsid w:val="0D35B1ED"/>
    <w:rsid w:val="0D3F3A0E"/>
    <w:rsid w:val="0DE46840"/>
    <w:rsid w:val="0E236E8B"/>
    <w:rsid w:val="0E254B6B"/>
    <w:rsid w:val="0EFD148A"/>
    <w:rsid w:val="0F135152"/>
    <w:rsid w:val="0F82599B"/>
    <w:rsid w:val="0F98263C"/>
    <w:rsid w:val="0FB83603"/>
    <w:rsid w:val="0FCB1589"/>
    <w:rsid w:val="0FE97C61"/>
    <w:rsid w:val="101860EC"/>
    <w:rsid w:val="101F47CC"/>
    <w:rsid w:val="10294501"/>
    <w:rsid w:val="10B21E22"/>
    <w:rsid w:val="10C055FF"/>
    <w:rsid w:val="11694EBD"/>
    <w:rsid w:val="1172701D"/>
    <w:rsid w:val="11772AA4"/>
    <w:rsid w:val="118107EC"/>
    <w:rsid w:val="11EC1211"/>
    <w:rsid w:val="12E24EE2"/>
    <w:rsid w:val="135E2714"/>
    <w:rsid w:val="13D50BC4"/>
    <w:rsid w:val="14B17F78"/>
    <w:rsid w:val="1568787A"/>
    <w:rsid w:val="16596EF5"/>
    <w:rsid w:val="165E0673"/>
    <w:rsid w:val="16B831D5"/>
    <w:rsid w:val="16BB723D"/>
    <w:rsid w:val="1711679D"/>
    <w:rsid w:val="17C23271"/>
    <w:rsid w:val="17E50567"/>
    <w:rsid w:val="17EE22B8"/>
    <w:rsid w:val="1807337A"/>
    <w:rsid w:val="186504BB"/>
    <w:rsid w:val="18D14660"/>
    <w:rsid w:val="193E726F"/>
    <w:rsid w:val="19A445FC"/>
    <w:rsid w:val="19BE3F0C"/>
    <w:rsid w:val="1AD05CA5"/>
    <w:rsid w:val="1B55264E"/>
    <w:rsid w:val="1BE8440E"/>
    <w:rsid w:val="1BF41E67"/>
    <w:rsid w:val="1C220B3F"/>
    <w:rsid w:val="1C3D55BC"/>
    <w:rsid w:val="1C984209"/>
    <w:rsid w:val="1CBD25FA"/>
    <w:rsid w:val="1CF32995"/>
    <w:rsid w:val="1D155CEE"/>
    <w:rsid w:val="1D1638FE"/>
    <w:rsid w:val="1DB7139E"/>
    <w:rsid w:val="1E312DEB"/>
    <w:rsid w:val="1E740ACF"/>
    <w:rsid w:val="1F884DA0"/>
    <w:rsid w:val="1FF35744"/>
    <w:rsid w:val="1FF6BC77"/>
    <w:rsid w:val="2186353C"/>
    <w:rsid w:val="23290648"/>
    <w:rsid w:val="232F19D7"/>
    <w:rsid w:val="23476D20"/>
    <w:rsid w:val="23860B96"/>
    <w:rsid w:val="240371BF"/>
    <w:rsid w:val="242D0751"/>
    <w:rsid w:val="244F3473"/>
    <w:rsid w:val="24C97D99"/>
    <w:rsid w:val="24EF141E"/>
    <w:rsid w:val="25341956"/>
    <w:rsid w:val="257A33DD"/>
    <w:rsid w:val="25A718F0"/>
    <w:rsid w:val="25BB59F6"/>
    <w:rsid w:val="260F557C"/>
    <w:rsid w:val="26970054"/>
    <w:rsid w:val="26A76454"/>
    <w:rsid w:val="27806CA5"/>
    <w:rsid w:val="27AE55C0"/>
    <w:rsid w:val="281408E2"/>
    <w:rsid w:val="28A82F15"/>
    <w:rsid w:val="28B5297E"/>
    <w:rsid w:val="291F1B43"/>
    <w:rsid w:val="29FD04D3"/>
    <w:rsid w:val="2A5F7045"/>
    <w:rsid w:val="2A697EC4"/>
    <w:rsid w:val="2A7C7BF7"/>
    <w:rsid w:val="2A8820F8"/>
    <w:rsid w:val="2B0A6FB1"/>
    <w:rsid w:val="2BC929C8"/>
    <w:rsid w:val="2BFF7BC6"/>
    <w:rsid w:val="2C8A61B5"/>
    <w:rsid w:val="2D8172D3"/>
    <w:rsid w:val="2DB46FF9"/>
    <w:rsid w:val="2DF04E50"/>
    <w:rsid w:val="2E586DFA"/>
    <w:rsid w:val="2EE1520F"/>
    <w:rsid w:val="2F040D46"/>
    <w:rsid w:val="2F6B035B"/>
    <w:rsid w:val="2FAE5751"/>
    <w:rsid w:val="2FB1A395"/>
    <w:rsid w:val="2FD9A7D8"/>
    <w:rsid w:val="2FDBF714"/>
    <w:rsid w:val="30AB6865"/>
    <w:rsid w:val="313A0AA2"/>
    <w:rsid w:val="313F372D"/>
    <w:rsid w:val="319F7F4E"/>
    <w:rsid w:val="31C37EBA"/>
    <w:rsid w:val="32432DA9"/>
    <w:rsid w:val="32BD1EF1"/>
    <w:rsid w:val="32F21E9F"/>
    <w:rsid w:val="3304709D"/>
    <w:rsid w:val="33182487"/>
    <w:rsid w:val="33615BDC"/>
    <w:rsid w:val="33A773CB"/>
    <w:rsid w:val="33C0176F"/>
    <w:rsid w:val="349D6851"/>
    <w:rsid w:val="359F66C3"/>
    <w:rsid w:val="35F20D6E"/>
    <w:rsid w:val="36857AD8"/>
    <w:rsid w:val="36AA5135"/>
    <w:rsid w:val="36BE0DA7"/>
    <w:rsid w:val="376B6AA6"/>
    <w:rsid w:val="376D39B2"/>
    <w:rsid w:val="37991DE9"/>
    <w:rsid w:val="37E16F03"/>
    <w:rsid w:val="37F53A3B"/>
    <w:rsid w:val="38080D1C"/>
    <w:rsid w:val="389B6C89"/>
    <w:rsid w:val="38D469F0"/>
    <w:rsid w:val="39627CCD"/>
    <w:rsid w:val="397BAF1F"/>
    <w:rsid w:val="397D3044"/>
    <w:rsid w:val="3AB79AF3"/>
    <w:rsid w:val="3AE834C0"/>
    <w:rsid w:val="3B027CA5"/>
    <w:rsid w:val="3B7EF35A"/>
    <w:rsid w:val="3B9FDB6C"/>
    <w:rsid w:val="3BF2665B"/>
    <w:rsid w:val="3BF5BC2F"/>
    <w:rsid w:val="3C357C06"/>
    <w:rsid w:val="3C74072E"/>
    <w:rsid w:val="3C8B5A78"/>
    <w:rsid w:val="3CA64660"/>
    <w:rsid w:val="3CD15B81"/>
    <w:rsid w:val="3CEBA265"/>
    <w:rsid w:val="3D0F0464"/>
    <w:rsid w:val="3D954E00"/>
    <w:rsid w:val="3D98207C"/>
    <w:rsid w:val="3DCB0822"/>
    <w:rsid w:val="3DE511B8"/>
    <w:rsid w:val="3DE87A57"/>
    <w:rsid w:val="3DEE7CF3"/>
    <w:rsid w:val="3E740A63"/>
    <w:rsid w:val="3E78745D"/>
    <w:rsid w:val="3EE17838"/>
    <w:rsid w:val="3F051B12"/>
    <w:rsid w:val="3F55381A"/>
    <w:rsid w:val="3F7F7599"/>
    <w:rsid w:val="3FF4CAE0"/>
    <w:rsid w:val="3FF7B227"/>
    <w:rsid w:val="40534AFF"/>
    <w:rsid w:val="406805AA"/>
    <w:rsid w:val="408847A8"/>
    <w:rsid w:val="41171FD0"/>
    <w:rsid w:val="412070D7"/>
    <w:rsid w:val="412B15D8"/>
    <w:rsid w:val="41AE46E3"/>
    <w:rsid w:val="41BD1DD3"/>
    <w:rsid w:val="422C4166"/>
    <w:rsid w:val="4255690C"/>
    <w:rsid w:val="425A03C6"/>
    <w:rsid w:val="43FD725B"/>
    <w:rsid w:val="44501A81"/>
    <w:rsid w:val="44D81A76"/>
    <w:rsid w:val="44E268DA"/>
    <w:rsid w:val="450D13D7"/>
    <w:rsid w:val="45506656"/>
    <w:rsid w:val="461F5BAF"/>
    <w:rsid w:val="468C2B19"/>
    <w:rsid w:val="46F22495"/>
    <w:rsid w:val="46F70E38"/>
    <w:rsid w:val="46FC5E48"/>
    <w:rsid w:val="47E334DF"/>
    <w:rsid w:val="486A6C7A"/>
    <w:rsid w:val="48C7608A"/>
    <w:rsid w:val="49380D36"/>
    <w:rsid w:val="49457292"/>
    <w:rsid w:val="4A627F82"/>
    <w:rsid w:val="4A842484"/>
    <w:rsid w:val="4AC05487"/>
    <w:rsid w:val="4AC705C3"/>
    <w:rsid w:val="4B066A34"/>
    <w:rsid w:val="4B0E749A"/>
    <w:rsid w:val="4B2477C4"/>
    <w:rsid w:val="4B4F25DA"/>
    <w:rsid w:val="4BBA730D"/>
    <w:rsid w:val="4BE068DB"/>
    <w:rsid w:val="4C1C66ED"/>
    <w:rsid w:val="4C9B3AB5"/>
    <w:rsid w:val="4CB22BAD"/>
    <w:rsid w:val="4CDA19A5"/>
    <w:rsid w:val="4CEE1E37"/>
    <w:rsid w:val="4D577224"/>
    <w:rsid w:val="4DBF1CEB"/>
    <w:rsid w:val="4DF0007C"/>
    <w:rsid w:val="4EAB630A"/>
    <w:rsid w:val="4ECE2238"/>
    <w:rsid w:val="4EE47996"/>
    <w:rsid w:val="4F003E56"/>
    <w:rsid w:val="4F0E4A13"/>
    <w:rsid w:val="4F756840"/>
    <w:rsid w:val="4F833267"/>
    <w:rsid w:val="4FE9BD67"/>
    <w:rsid w:val="4FFB052F"/>
    <w:rsid w:val="507C1E50"/>
    <w:rsid w:val="517F5D12"/>
    <w:rsid w:val="51B03B5F"/>
    <w:rsid w:val="5281374D"/>
    <w:rsid w:val="52A01E26"/>
    <w:rsid w:val="53442347"/>
    <w:rsid w:val="537E6D0A"/>
    <w:rsid w:val="53F74C96"/>
    <w:rsid w:val="55170BA8"/>
    <w:rsid w:val="553218C9"/>
    <w:rsid w:val="558477DD"/>
    <w:rsid w:val="55CB540B"/>
    <w:rsid w:val="567E1AA5"/>
    <w:rsid w:val="56BD287A"/>
    <w:rsid w:val="56DA342C"/>
    <w:rsid w:val="56E47B74"/>
    <w:rsid w:val="57062D55"/>
    <w:rsid w:val="57175D52"/>
    <w:rsid w:val="57A75A04"/>
    <w:rsid w:val="57BD3DD4"/>
    <w:rsid w:val="583152CE"/>
    <w:rsid w:val="58892E17"/>
    <w:rsid w:val="59AA5338"/>
    <w:rsid w:val="59DA30FF"/>
    <w:rsid w:val="5A511C57"/>
    <w:rsid w:val="5AC42429"/>
    <w:rsid w:val="5AF92295"/>
    <w:rsid w:val="5B250254"/>
    <w:rsid w:val="5B9C33A6"/>
    <w:rsid w:val="5BDD79E6"/>
    <w:rsid w:val="5BF561CA"/>
    <w:rsid w:val="5BFF5DFC"/>
    <w:rsid w:val="5C317F92"/>
    <w:rsid w:val="5CCC3817"/>
    <w:rsid w:val="5CD71FC4"/>
    <w:rsid w:val="5D1F11B5"/>
    <w:rsid w:val="5D695134"/>
    <w:rsid w:val="5D6D410D"/>
    <w:rsid w:val="5DAE1B18"/>
    <w:rsid w:val="5DE7D9E5"/>
    <w:rsid w:val="5ECEC941"/>
    <w:rsid w:val="5F0E6369"/>
    <w:rsid w:val="5F1A4D0E"/>
    <w:rsid w:val="5F2E2567"/>
    <w:rsid w:val="5F681F1D"/>
    <w:rsid w:val="5F950838"/>
    <w:rsid w:val="5FBF9FF3"/>
    <w:rsid w:val="5FCD4E2C"/>
    <w:rsid w:val="5FEF394A"/>
    <w:rsid w:val="5FF67715"/>
    <w:rsid w:val="605B738C"/>
    <w:rsid w:val="61241E74"/>
    <w:rsid w:val="62143C96"/>
    <w:rsid w:val="622A34BA"/>
    <w:rsid w:val="628726BA"/>
    <w:rsid w:val="62BF3928"/>
    <w:rsid w:val="63B3701E"/>
    <w:rsid w:val="643B43E5"/>
    <w:rsid w:val="647F5392"/>
    <w:rsid w:val="654A5C21"/>
    <w:rsid w:val="65CE6852"/>
    <w:rsid w:val="65E66580"/>
    <w:rsid w:val="664B1D71"/>
    <w:rsid w:val="664B4E8E"/>
    <w:rsid w:val="66886A01"/>
    <w:rsid w:val="66E53E53"/>
    <w:rsid w:val="67277B67"/>
    <w:rsid w:val="67517DD5"/>
    <w:rsid w:val="677D63AA"/>
    <w:rsid w:val="67AA3209"/>
    <w:rsid w:val="68ED73D5"/>
    <w:rsid w:val="6974326C"/>
    <w:rsid w:val="698D0931"/>
    <w:rsid w:val="69FB573C"/>
    <w:rsid w:val="6A7FE5F3"/>
    <w:rsid w:val="6AEF34F2"/>
    <w:rsid w:val="6B053271"/>
    <w:rsid w:val="6B146AB5"/>
    <w:rsid w:val="6B4A616F"/>
    <w:rsid w:val="6BA52955"/>
    <w:rsid w:val="6BDD78B3"/>
    <w:rsid w:val="6BFB5EC7"/>
    <w:rsid w:val="6C4A05C8"/>
    <w:rsid w:val="6C8742B8"/>
    <w:rsid w:val="6DBF5E93"/>
    <w:rsid w:val="6DFF077E"/>
    <w:rsid w:val="6E2E4332"/>
    <w:rsid w:val="6E714EF0"/>
    <w:rsid w:val="6E7A30D3"/>
    <w:rsid w:val="6E7E3605"/>
    <w:rsid w:val="6E7FDCC7"/>
    <w:rsid w:val="6EC66E4A"/>
    <w:rsid w:val="6ED6A62E"/>
    <w:rsid w:val="6EE00B15"/>
    <w:rsid w:val="6F2E3EBD"/>
    <w:rsid w:val="6F4064D3"/>
    <w:rsid w:val="6F6FB3EB"/>
    <w:rsid w:val="6F8731EA"/>
    <w:rsid w:val="6FCE6052"/>
    <w:rsid w:val="6FD4771A"/>
    <w:rsid w:val="6FD57C00"/>
    <w:rsid w:val="6FEFFFD8"/>
    <w:rsid w:val="6FF5CC65"/>
    <w:rsid w:val="6FFB47EC"/>
    <w:rsid w:val="6FFF034A"/>
    <w:rsid w:val="70484440"/>
    <w:rsid w:val="7067205F"/>
    <w:rsid w:val="712A28F1"/>
    <w:rsid w:val="715C0E4B"/>
    <w:rsid w:val="716D5171"/>
    <w:rsid w:val="718B3849"/>
    <w:rsid w:val="71992E7C"/>
    <w:rsid w:val="71CB0748"/>
    <w:rsid w:val="71FB09CF"/>
    <w:rsid w:val="72233669"/>
    <w:rsid w:val="722577FA"/>
    <w:rsid w:val="72734D90"/>
    <w:rsid w:val="727F074F"/>
    <w:rsid w:val="729C3F60"/>
    <w:rsid w:val="72D03C09"/>
    <w:rsid w:val="73160E6D"/>
    <w:rsid w:val="7332FE48"/>
    <w:rsid w:val="735C549D"/>
    <w:rsid w:val="73AB61DA"/>
    <w:rsid w:val="73AD73D5"/>
    <w:rsid w:val="73B6EB34"/>
    <w:rsid w:val="73FA497D"/>
    <w:rsid w:val="744731E5"/>
    <w:rsid w:val="74BBD01D"/>
    <w:rsid w:val="74ED5379"/>
    <w:rsid w:val="75DEEEC2"/>
    <w:rsid w:val="75E32345"/>
    <w:rsid w:val="761A1A3F"/>
    <w:rsid w:val="76256C60"/>
    <w:rsid w:val="764A3CD3"/>
    <w:rsid w:val="76A038F3"/>
    <w:rsid w:val="76AE4066"/>
    <w:rsid w:val="76E063E5"/>
    <w:rsid w:val="76E3355F"/>
    <w:rsid w:val="76EE23ED"/>
    <w:rsid w:val="76FF5125"/>
    <w:rsid w:val="77040325"/>
    <w:rsid w:val="77132317"/>
    <w:rsid w:val="774921DC"/>
    <w:rsid w:val="776F6FFA"/>
    <w:rsid w:val="778769C8"/>
    <w:rsid w:val="77A75DCA"/>
    <w:rsid w:val="77DC22F5"/>
    <w:rsid w:val="783E271A"/>
    <w:rsid w:val="78616DE9"/>
    <w:rsid w:val="787B4617"/>
    <w:rsid w:val="78AC657F"/>
    <w:rsid w:val="78E875D7"/>
    <w:rsid w:val="79086DAD"/>
    <w:rsid w:val="79935EFC"/>
    <w:rsid w:val="79D7FD79"/>
    <w:rsid w:val="79EE5BA4"/>
    <w:rsid w:val="7A4D59C1"/>
    <w:rsid w:val="7A7C6425"/>
    <w:rsid w:val="7A894339"/>
    <w:rsid w:val="7AD284E8"/>
    <w:rsid w:val="7AFF7572"/>
    <w:rsid w:val="7B6C7DFB"/>
    <w:rsid w:val="7BBFBED0"/>
    <w:rsid w:val="7BC3E394"/>
    <w:rsid w:val="7C1F3737"/>
    <w:rsid w:val="7C4B2553"/>
    <w:rsid w:val="7CBFC87B"/>
    <w:rsid w:val="7CFE0F48"/>
    <w:rsid w:val="7D272ABC"/>
    <w:rsid w:val="7D3D633F"/>
    <w:rsid w:val="7D761851"/>
    <w:rsid w:val="7D7EC23E"/>
    <w:rsid w:val="7E8ADEBF"/>
    <w:rsid w:val="7EEF11D3"/>
    <w:rsid w:val="7EFE4840"/>
    <w:rsid w:val="7F0971A6"/>
    <w:rsid w:val="7F1D62E7"/>
    <w:rsid w:val="7F3F679B"/>
    <w:rsid w:val="7F4FC4EF"/>
    <w:rsid w:val="7F5E4D54"/>
    <w:rsid w:val="7F6E0135"/>
    <w:rsid w:val="7F79F205"/>
    <w:rsid w:val="7F8C2C66"/>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next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图表目录1"/>
    <w:basedOn w:val="1"/>
    <w:next w:val="1"/>
    <w:qFormat/>
    <w:uiPriority w:val="99"/>
    <w:pPr>
      <w:ind w:left="200" w:leftChars="200" w:hanging="200" w:hangingChars="200"/>
    </w:pPr>
  </w:style>
  <w:style w:type="character" w:customStyle="1" w:styleId="37">
    <w:name w:val="font101"/>
    <w:basedOn w:val="18"/>
    <w:qFormat/>
    <w:uiPriority w:val="0"/>
    <w:rPr>
      <w:rFonts w:hint="eastAsia" w:ascii="微软雅黑" w:hAnsi="微软雅黑" w:eastAsia="微软雅黑" w:cs="微软雅黑"/>
      <w:i/>
      <w:iCs/>
      <w:color w:val="FF0000"/>
      <w:sz w:val="16"/>
      <w:szCs w:val="16"/>
      <w:u w:val="none"/>
    </w:rPr>
  </w:style>
  <w:style w:type="character" w:customStyle="1" w:styleId="38">
    <w:name w:val="font112"/>
    <w:basedOn w:val="18"/>
    <w:qFormat/>
    <w:uiPriority w:val="0"/>
    <w:rPr>
      <w:rFonts w:hint="eastAsia"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年收入</a:t>
            </a:r>
            <a:endParaRPr lang="zh-CN" b="1">
              <a:solidFill>
                <a:schemeClr val="accent2"/>
              </a:solidFill>
            </a:endParaRPr>
          </a:p>
        </c:rich>
      </c:tx>
      <c:layout>
        <c:manualLayout>
          <c:xMode val="edge"/>
          <c:yMode val="edge"/>
          <c:x val="0.4060721"/>
          <c:y val="0.0300402333837367"/>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806200787401575"/>
          <c:y val="0.23984451930552"/>
          <c:w val="0.832362204724409"/>
          <c:h val="0.439201865768334"/>
        </c:manualLayout>
      </c:layout>
      <c:pie3DChart>
        <c:varyColors val="1"/>
        <c:ser>
          <c:idx val="0"/>
          <c:order val="0"/>
          <c:tx>
            <c:strRef>
              <c:f>工作表465544!$A$2</c:f>
              <c:strCache>
                <c:ptCount val="1"/>
                <c:pt idx="0">
                  <c:v>2023年收入</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solidFill>
                <a:schemeClr val="tx2"/>
              </a:solidFill>
              <a:ln>
                <a:noFill/>
              </a:ln>
              <a:effectLst>
                <a:outerShdw blurRad="50800" dist="38100" dir="2700000" sx="112000" sy="112000" algn="tl" rotWithShape="0">
                  <a:prstClr val="black">
                    <a:alpha val="40000"/>
                  </a:prstClr>
                </a:outerShdw>
              </a:effectLst>
            </c:spPr>
          </c:dPt>
          <c:dPt>
            <c:idx val="2"/>
            <c:bubble3D val="0"/>
            <c:spPr>
              <a:solidFill>
                <a:srgbClr val="A5A5A5"/>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Pt>
            <c:idx val="4"/>
            <c:bubble3D val="0"/>
            <c:spPr>
              <a:solidFill>
                <a:schemeClr val="accent2">
                  <a:lumMod val="40000"/>
                  <a:lumOff val="60000"/>
                </a:schemeClr>
              </a:solidFill>
              <a:ln>
                <a:noFill/>
              </a:ln>
              <a:effectLst>
                <a:outerShdw blurRad="50800" dist="38100" dir="2700000" sx="112000" sy="112000" algn="tl" rotWithShape="0">
                  <a:prstClr val="black">
                    <a:alpha val="40000"/>
                  </a:prstClr>
                </a:outerShdw>
              </a:effectLst>
            </c:spPr>
          </c:dPt>
          <c:dPt>
            <c:idx val="5"/>
            <c:bubble3D val="0"/>
            <c:spPr>
              <a:solidFill>
                <a:schemeClr val="tx2">
                  <a:lumMod val="50000"/>
                </a:schemeClr>
              </a:solidFill>
              <a:ln>
                <a:noFill/>
              </a:ln>
              <a:effectLst>
                <a:outerShdw blurRad="50800" dist="38100" dir="2700000" sx="112000" sy="112000" algn="tl" rotWithShape="0">
                  <a:prstClr val="black">
                    <a:alpha val="40000"/>
                  </a:prstClr>
                </a:outerShdw>
              </a:effectLst>
            </c:spPr>
          </c:dPt>
          <c:dPt>
            <c:idx val="6"/>
            <c:bubble3D val="0"/>
            <c:spPr>
              <a:solidFill>
                <a:schemeClr val="accent6"/>
              </a:solidFill>
              <a:ln>
                <a:noFill/>
              </a:ln>
              <a:effectLst>
                <a:outerShdw blurRad="50800" dist="38100" dir="2700000" sx="112000" sy="112000" algn="tl" rotWithShape="0">
                  <a:prstClr val="black">
                    <a:alpha val="40000"/>
                  </a:prstClr>
                </a:outerShdw>
              </a:effectLst>
            </c:spPr>
          </c:dPt>
          <c:dPt>
            <c:idx val="7"/>
            <c:bubble3D val="0"/>
            <c:spPr>
              <a:solidFill>
                <a:schemeClr val="accent4"/>
              </a:solidFill>
              <a:ln>
                <a:noFill/>
              </a:ln>
              <a:effectLst>
                <a:outerShdw blurRad="50800" dist="38100" dir="2700000" sx="112000" sy="112000" algn="tl" rotWithShape="0">
                  <a:prstClr val="black">
                    <a:alpha val="40000"/>
                  </a:prstClr>
                </a:outerShdw>
              </a:effectLst>
            </c:spPr>
          </c:dPt>
          <c:dLbls>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工作表465544!$B$1:$I$1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工作表465544!$B$2:$I$2</c:f>
              <c:numCache>
                <c:formatCode>0%</c:formatCode>
                <c:ptCount val="8"/>
                <c:pt idx="0">
                  <c:v>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4"/>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5"/>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6"/>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7"/>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33070866141732"/>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92329e5f-c5fd-43dc-acc0-cd4e9f2e94ef}"/>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年支出</a:t>
            </a:r>
            <a:endParaRPr lang="zh-CN" b="1">
              <a:solidFill>
                <a:schemeClr val="accent2"/>
              </a:solidFill>
            </a:endParaRPr>
          </a:p>
        </c:rich>
      </c:tx>
      <c:layout>
        <c:manualLayout>
          <c:xMode val="edge"/>
          <c:yMode val="edge"/>
          <c:x val="0.4060721"/>
          <c:y val="0.0300402333837367"/>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135643682267476"/>
          <c:y val="0.245196003074558"/>
          <c:w val="0.720614505180422"/>
          <c:h val="0.437612093261594"/>
        </c:manualLayout>
      </c:layout>
      <c:pie3DChart>
        <c:varyColors val="1"/>
        <c:ser>
          <c:idx val="0"/>
          <c:order val="0"/>
          <c:tx>
            <c:strRef>
              <c:f>工作表465544!$A$2</c:f>
              <c:strCache>
                <c:ptCount val="1"/>
                <c:pt idx="0">
                  <c:v>2024年支出</c:v>
                </c:pt>
              </c:strCache>
            </c:strRef>
          </c:tx>
          <c:explosion val="0"/>
          <c:dPt>
            <c:idx val="0"/>
            <c:bubble3D val="0"/>
          </c:dPt>
          <c:dPt>
            <c:idx val="1"/>
            <c:bubble3D val="0"/>
          </c:dPt>
          <c:dLbls>
            <c:dLbl>
              <c:idx val="0"/>
              <c:layout>
                <c:manualLayout>
                  <c:x val="0.0706976941261434"/>
                  <c:y val="0.0016210898032717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88379983036472"/>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工作表465544!$B$1:$C$1</c:f>
              <c:strCache>
                <c:ptCount val="2"/>
                <c:pt idx="0">
                  <c:v>基本支出</c:v>
                </c:pt>
                <c:pt idx="1">
                  <c:v>项目支出</c:v>
                </c:pt>
              </c:strCache>
            </c:strRef>
          </c:cat>
          <c:val>
            <c:numRef>
              <c:f>工作表465544!$B$2:$C$2</c:f>
              <c:numCache>
                <c:formatCode>0.00%</c:formatCode>
                <c:ptCount val="2"/>
                <c:pt idx="0">
                  <c:v>0.797</c:v>
                </c:pt>
                <c:pt idx="1">
                  <c:v>0.203</c:v>
                </c:pt>
              </c:numCache>
            </c:numRef>
          </c:val>
        </c:ser>
        <c:dLbls>
          <c:showLegendKey val="0"/>
          <c:showVal val="0"/>
          <c:showCatName val="0"/>
          <c:showSerName val="0"/>
          <c:showPercent val="0"/>
          <c:showBubbleSize val="0"/>
        </c:dLbls>
      </c:pie3DChart>
      <c:spPr>
        <a:noFill/>
        <a:ln>
          <a:noFill/>
        </a:ln>
      </c:spPr>
    </c:plotArea>
    <c:legend>
      <c:legendPos val="b"/>
      <c:layout>
        <c:manualLayout>
          <c:xMode val="edge"/>
          <c:yMode val="edge"/>
          <c:x val="0.0434813555928767"/>
          <c:y val="0.731078132987804"/>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75110ea0-e2de-4b03-a182-963856fc723d}"/>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年一般公共预算财政拨款支出</a:t>
            </a:r>
            <a:endParaRPr lang="zh-CN" b="1">
              <a:solidFill>
                <a:schemeClr val="accent2"/>
              </a:solidFill>
            </a:endParaRPr>
          </a:p>
        </c:rich>
      </c:tx>
      <c:layout>
        <c:manualLayout>
          <c:xMode val="edge"/>
          <c:yMode val="edge"/>
          <c:x val="0.193350643307086"/>
          <c:y val="0.0546953272512411"/>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754527559055118"/>
          <c:y val="0.25973481835057"/>
          <c:w val="0.832362204724409"/>
          <c:h val="0.542795014584991"/>
        </c:manualLayout>
      </c:layout>
      <c:pie3DChart>
        <c:varyColors val="1"/>
        <c:ser>
          <c:idx val="0"/>
          <c:order val="0"/>
          <c:tx>
            <c:strRef>
              <c:f>工作表465544!$A$2</c:f>
              <c:strCache>
                <c:ptCount val="1"/>
                <c:pt idx="0">
                  <c:v>2025年一般公共预算财政拨款支出</c:v>
                </c:pt>
              </c:strCache>
            </c:strRef>
          </c:tx>
          <c:spPr>
            <a:solidFill>
              <a:schemeClr val="accent6"/>
            </a:solidFill>
            <a:ln>
              <a:noFill/>
            </a:ln>
            <a:effectLst>
              <a:outerShdw blurRad="50800" dist="38100" dir="2700000" sx="112000" sy="112000" algn="tl" rotWithShape="0">
                <a:prstClr val="black">
                  <a:alpha val="40000"/>
                </a:prstClr>
              </a:outerShdw>
            </a:effectLst>
          </c:spPr>
          <c:explosion val="0"/>
          <c:dPt>
            <c:idx val="0"/>
            <c:bubble3D val="0"/>
            <c:spPr>
              <a:solidFill>
                <a:schemeClr val="tx2">
                  <a:lumMod val="60000"/>
                  <a:lumOff val="40000"/>
                </a:schemeClr>
              </a:solidFill>
              <a:ln>
                <a:noFill/>
              </a:ln>
              <a:effectLst>
                <a:outerShdw blurRad="50800" dist="38100" dir="2700000" sx="112000" sy="112000" algn="tl" rotWithShape="0">
                  <a:prstClr val="black">
                    <a:alpha val="40000"/>
                  </a:prstClr>
                </a:outerShdw>
              </a:effectLst>
            </c:spPr>
          </c:dPt>
          <c:dPt>
            <c:idx val="1"/>
            <c:bubble3D val="0"/>
            <c:spPr>
              <a:gradFill>
                <a:gsLst>
                  <a:gs pos="0">
                    <a:srgbClr val="14CD68"/>
                  </a:gs>
                  <a:gs pos="100000">
                    <a:srgbClr val="0B6E38"/>
                  </a:gs>
                </a:gsLst>
                <a:lin ang="5400000" scaled="0"/>
              </a:gradFill>
              <a:ln>
                <a:noFill/>
              </a:ln>
              <a:effectLst>
                <a:outerShdw blurRad="50800" dist="38100" dir="2700000" sx="112000" sy="112000" algn="tl" rotWithShape="0">
                  <a:prstClr val="black">
                    <a:alpha val="40000"/>
                  </a:prstClr>
                </a:outerShdw>
              </a:effectLst>
            </c:spPr>
          </c:dPt>
          <c:dPt>
            <c:idx val="2"/>
            <c:bubble3D val="0"/>
            <c:spPr>
              <a:solidFill>
                <a:schemeClr val="accent2"/>
              </a:solidFill>
              <a:ln>
                <a:noFill/>
              </a:ln>
              <a:effectLst>
                <a:outerShdw blurRad="50800" dist="38100" dir="2700000" sx="112000" sy="112000" algn="tl" rotWithShape="0">
                  <a:prstClr val="black">
                    <a:alpha val="40000"/>
                  </a:prstClr>
                </a:outerShdw>
              </a:effectLst>
            </c:spPr>
          </c:dPt>
          <c:dPt>
            <c:idx val="3"/>
            <c:bubble3D val="0"/>
            <c:spPr>
              <a:solidFill>
                <a:srgbClr val="FFC000"/>
              </a:solidFill>
              <a:ln>
                <a:noFill/>
              </a:ln>
              <a:effectLst>
                <a:outerShdw blurRad="50800" dist="38100" dir="2700000" sx="112000" sy="112000" algn="tl" rotWithShape="0">
                  <a:prstClr val="black">
                    <a:alpha val="40000"/>
                  </a:prstClr>
                </a:outerShdw>
              </a:effectLst>
            </c:spPr>
          </c:dPt>
          <c:dLbls>
            <c:dLbl>
              <c:idx val="0"/>
              <c:layout>
                <c:manualLayout>
                  <c:x val="0.109799112324901"/>
                  <c:y val="-0.07284400412670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24114173228346"/>
                  <c:y val="0.072934472934472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38877952755906"/>
                  <c:y val="-0.029700344736144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18503937007874"/>
                  <c:y val="-0.01416477979723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工作表465544!$B$1:$E$1</c:f>
              <c:strCache>
                <c:ptCount val="4"/>
                <c:pt idx="0">
                  <c:v>一般公共服务支出</c:v>
                </c:pt>
                <c:pt idx="1">
                  <c:v>社会保障和就业支出</c:v>
                </c:pt>
                <c:pt idx="2">
                  <c:v>卫生健康支出</c:v>
                </c:pt>
                <c:pt idx="3">
                  <c:v>住房保障支出</c:v>
                </c:pt>
              </c:strCache>
            </c:strRef>
          </c:cat>
          <c:val>
            <c:numRef>
              <c:f>工作表465544!$B$2:$E$2</c:f>
              <c:numCache>
                <c:formatCode>0.0%</c:formatCode>
                <c:ptCount val="4"/>
                <c:pt idx="0">
                  <c:v>0.812</c:v>
                </c:pt>
                <c:pt idx="1">
                  <c:v>0.097</c:v>
                </c:pt>
                <c:pt idx="2">
                  <c:v>0.038</c:v>
                </c:pt>
                <c:pt idx="3">
                  <c:v>0.053</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49064960629921"/>
          <c:y val="0.72735201366113"/>
          <c:w val="0.87746062992126"/>
          <c:h val="0.215936905085668"/>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b6e2d696-bcbc-407b-9336-068fa23e24c7}"/>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accent2"/>
                </a:solidFill>
                <a:latin typeface="Times New Roman" panose="02020603050405020304"/>
                <a:ea typeface="宋体" panose="02010600030101010101" charset="-122"/>
                <a:cs typeface="Arial" panose="020B0604020202020204" pitchFamily="2"/>
              </a:defRPr>
            </a:pPr>
            <a:r>
              <a:rPr lang="zh-CN" b="1">
                <a:solidFill>
                  <a:schemeClr val="accent2"/>
                </a:solidFill>
              </a:rPr>
              <a:t>202</a:t>
            </a:r>
            <a:r>
              <a:rPr lang="en-US" altLang="zh-CN" b="1">
                <a:solidFill>
                  <a:schemeClr val="accent2"/>
                </a:solidFill>
              </a:rPr>
              <a:t>5</a:t>
            </a:r>
            <a:r>
              <a:rPr lang="zh-CN" b="1">
                <a:solidFill>
                  <a:schemeClr val="accent2"/>
                </a:solidFill>
              </a:rPr>
              <a:t>年</a:t>
            </a:r>
            <a:r>
              <a:rPr lang="en-US" altLang="zh-CN" b="1">
                <a:solidFill>
                  <a:schemeClr val="accent2"/>
                </a:solidFill>
              </a:rPr>
              <a:t>“</a:t>
            </a:r>
            <a:r>
              <a:rPr altLang="en-US" b="1">
                <a:solidFill>
                  <a:schemeClr val="accent2"/>
                </a:solidFill>
              </a:rPr>
              <a:t>三公</a:t>
            </a:r>
            <a:r>
              <a:rPr lang="en-US" altLang="zh-CN" b="1">
                <a:solidFill>
                  <a:schemeClr val="accent2"/>
                </a:solidFill>
              </a:rPr>
              <a:t>”</a:t>
            </a:r>
            <a:r>
              <a:rPr altLang="en-US" b="1">
                <a:solidFill>
                  <a:schemeClr val="accent2"/>
                </a:solidFill>
              </a:rPr>
              <a:t>经费财政拨款</a:t>
            </a:r>
            <a:r>
              <a:rPr lang="zh-CN" b="1">
                <a:solidFill>
                  <a:schemeClr val="accent2"/>
                </a:solidFill>
              </a:rPr>
              <a:t>支出</a:t>
            </a:r>
            <a:endParaRPr lang="zh-CN" b="1">
              <a:solidFill>
                <a:schemeClr val="accent2"/>
              </a:solidFill>
            </a:endParaRPr>
          </a:p>
        </c:rich>
      </c:tx>
      <c:layout>
        <c:manualLayout>
          <c:xMode val="edge"/>
          <c:yMode val="edge"/>
          <c:x val="0.205660128595662"/>
          <c:y val="0.0514390949995822"/>
        </c:manualLayout>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137218867048768"/>
          <c:y val="0.25600831247295"/>
          <c:w val="0.720614505180422"/>
          <c:h val="0.437612093261594"/>
        </c:manualLayout>
      </c:layout>
      <c:pie3DChart>
        <c:varyColors val="1"/>
        <c:ser>
          <c:idx val="0"/>
          <c:order val="0"/>
          <c:tx>
            <c:strRef>
              <c:f>工作表465544!$A$2</c:f>
              <c:strCache>
                <c:ptCount val="1"/>
                <c:pt idx="0">
                  <c:v>“三公”经费财政拨款支出</c:v>
                </c:pt>
              </c:strCache>
            </c:strRef>
          </c:tx>
          <c:spPr>
            <a:solidFill>
              <a:schemeClr val="accent6"/>
            </a:solidFill>
            <a:ln>
              <a:noFill/>
            </a:ln>
            <a:effectLst>
              <a:outerShdw blurRad="50800" dist="38100" dir="2700000" algn="tl" rotWithShape="0">
                <a:prstClr val="black">
                  <a:alpha val="40000"/>
                </a:prstClr>
              </a:outerShdw>
            </a:effectLst>
          </c:spPr>
          <c:explosion val="0"/>
          <c:dPt>
            <c:idx val="0"/>
            <c:bubble3D val="0"/>
            <c:spPr>
              <a:gradFill>
                <a:gsLst>
                  <a:gs pos="0">
                    <a:srgbClr val="14CD68"/>
                  </a:gs>
                  <a:gs pos="100000">
                    <a:srgbClr val="035C7D"/>
                  </a:gs>
                </a:gsLst>
                <a:lin ang="5400000" scaled="0"/>
              </a:gradFill>
              <a:ln>
                <a:noFill/>
              </a:ln>
              <a:effectLst>
                <a:outerShdw blurRad="50800" dist="38100" dir="2700000" sx="77000" sy="77000" algn="tl" rotWithShape="0">
                  <a:prstClr val="black">
                    <a:alpha val="40000"/>
                  </a:prstClr>
                </a:outerShdw>
              </a:effectLst>
            </c:spPr>
          </c:dPt>
          <c:dPt>
            <c:idx val="1"/>
            <c:bubble3D val="0"/>
            <c:spPr>
              <a:solidFill>
                <a:schemeClr val="accent1"/>
              </a:solidFill>
              <a:ln>
                <a:noFill/>
              </a:ln>
              <a:effectLst>
                <a:outerShdw blurRad="50800" dist="38100" dir="2700000" algn="tl" rotWithShape="0">
                  <a:prstClr val="black">
                    <a:alpha val="40000"/>
                  </a:prstClr>
                </a:outerShdw>
              </a:effectLst>
            </c:spPr>
          </c:dPt>
          <c:dPt>
            <c:idx val="2"/>
            <c:bubble3D val="0"/>
            <c:spPr>
              <a:solidFill>
                <a:schemeClr val="accent6"/>
              </a:solidFill>
              <a:ln>
                <a:noFill/>
              </a:ln>
              <a:effectLst>
                <a:outerShdw blurRad="50800" dist="38100" dir="2700000" algn="tl" rotWithShape="0">
                  <a:prstClr val="black">
                    <a:alpha val="40000"/>
                  </a:prstClr>
                </a:outerShdw>
              </a:effectLst>
            </c:spPr>
          </c:dPt>
          <c:dLbls>
            <c:delete val="1"/>
          </c:dLbls>
          <c:cat>
            <c:strRef>
              <c:f>工作表465544!$B$1:$D$1</c:f>
              <c:strCache>
                <c:ptCount val="3"/>
                <c:pt idx="0">
                  <c:v>因公出国（境）费支出</c:v>
                </c:pt>
                <c:pt idx="1">
                  <c:v>公务用车购置及运行维护费支出</c:v>
                </c:pt>
                <c:pt idx="2">
                  <c:v>公务接待费支出</c:v>
                </c:pt>
              </c:strCache>
            </c:strRef>
          </c:cat>
          <c:val>
            <c:numRef>
              <c:f>工作表465544!$B$2:$D$2</c:f>
              <c:numCache>
                <c:formatCode>0%</c:formatCode>
                <c:ptCount val="3"/>
                <c:pt idx="0">
                  <c:v>0</c:v>
                </c:pt>
                <c:pt idx="1" c:formatCode="0.0%">
                  <c:v>0.981</c:v>
                </c:pt>
                <c:pt idx="2" c:formatCode="0.0%">
                  <c:v>0.019</c:v>
                </c:pt>
              </c:numCache>
            </c:numRef>
          </c:val>
        </c:ser>
        <c:dLbls>
          <c:showLegendKey val="0"/>
          <c:showVal val="0"/>
          <c:showCatName val="0"/>
          <c:showSerName val="0"/>
          <c:showPercent val="0"/>
          <c:showBubbleSize val="0"/>
        </c:dLbls>
      </c:pie3DChart>
      <c:spPr>
        <a:noFill/>
        <a:ln>
          <a:noFill/>
        </a:ln>
      </c:spPr>
    </c:plotArea>
    <c:legend>
      <c:legendPos val="b"/>
      <c:legendEntry>
        <c:idx val="0"/>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Entry>
      <c:layout>
        <c:manualLayout>
          <c:xMode val="edge"/>
          <c:yMode val="edge"/>
          <c:x val="0.0450745183569611"/>
          <c:y val="0.806210146936512"/>
          <c:w val="0.877499091239549"/>
          <c:h val="0.137233157748822"/>
        </c:manualLayout>
      </c:layout>
      <c:overlay val="0"/>
      <c:spPr>
        <a:noFill/>
        <a:ln>
          <a:noFill/>
        </a:ln>
      </c:spPr>
      <c:txPr>
        <a:bodyPr rot="0" spcFirstLastPara="0" vertOverflow="ellipsis" vert="horz" wrap="square" anchor="ctr" anchorCtr="1"/>
        <a:lstStyle/>
        <a:p>
          <a:pPr>
            <a:defRPr lang="zh-CN" sz="800" b="0" i="0" u="none" strike="noStrike" kern="1200" cap="none" spc="0" normalizeH="0" baseline="0">
              <a:solidFill>
                <a:srgbClr val="595959"/>
              </a:solidFill>
              <a:uFill>
                <a:solidFill>
                  <a:srgbClr val="595959"/>
                </a:solidFill>
              </a:uFill>
              <a:latin typeface="Times New Roman" panose="02020603050405020304"/>
              <a:ea typeface="宋体" panose="02010600030101010101" charset="-122"/>
              <a:cs typeface="Arial" panose="020B0604020202020204" pitchFamily="2"/>
            </a:defRPr>
          </a:pPr>
        </a:p>
      </c:txPr>
    </c:legend>
    <c:plotVisOnly val="1"/>
    <c:dispBlanksAs val="zero"/>
    <c:showDLblsOverMax val="0"/>
    <c:extLst>
      <c:ext uri="{0b15fc19-7d7d-44ad-8c2d-2c3a37ce22c3}">
        <chartProps xmlns="https://web.wps.cn/et/2018/main" chartId="{f4b2294f-84dd-42d5-a096-108838488d76}"/>
      </c:ext>
    </c:extLst>
  </c:chart>
  <c:spPr>
    <a:solidFill>
      <a:schemeClr val="bg1"/>
    </a:solidFill>
    <a:ln w="28575" cap="flat" cmpd="sng" algn="ctr">
      <a:solidFill>
        <a:srgbClr val="D8D8D8"/>
      </a:solidFill>
      <a:prstDash val="solid"/>
      <a:round/>
    </a:ln>
    <a:effectLst>
      <a:outerShdw blurRad="50800" dist="50800" dir="5400000" algn="ctr" rotWithShape="0">
        <a:schemeClr val="bg2">
          <a:alpha val="100000"/>
        </a:schemeClr>
      </a:outerShdw>
    </a:effectLst>
  </c:spPr>
  <c:txPr>
    <a:bodyPr/>
    <a:lstStyle/>
    <a:p>
      <a:pPr>
        <a:defRPr lang="zh-CN" sz="9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66</Pages>
  <Words>4259</Words>
  <Characters>4641</Characters>
  <Lines>61</Lines>
  <Paragraphs>17</Paragraphs>
  <TotalTime>6</TotalTime>
  <ScaleCrop>false</ScaleCrop>
  <LinksUpToDate>false</LinksUpToDate>
  <CharactersWithSpaces>4874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2025-08-07T01:34:00Z</cp:lastPrinted>
  <dcterms:modified xsi:type="dcterms:W3CDTF">2026-09-15T10:59:25Z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04787F2533EB45DC91BCDE4AB213247F</vt:lpwstr>
  </property>
  <property fmtid="{D5CDD505-2E9C-101B-9397-08002B2CF9AE}" pid="4" name="KSOTemplateDocerSaveRecord">
    <vt:lpwstr>eyJoZGlkIjoiZjJlNzIyY2I2NzY3MDUyYTk3ODIyNjI2MGY1NDJiMjYiLCJ1c2VySWQiOiIxMzM5NjQ2MDIyIn0=</vt:lpwstr>
  </property>
</Properties>
</file>