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08E9E">
      <w:pPr>
        <w:widowControl/>
        <w:jc w:val="center"/>
        <w:rPr>
          <w:rFonts w:hint="default" w:ascii="Times New Roman" w:hAnsi="Times New Roman" w:eastAsia="方正小标宋简体" w:cs="Times New Roman"/>
          <w:sz w:val="68"/>
          <w:szCs w:val="68"/>
          <w:highlight w:val="none"/>
          <w:lang w:eastAsia="zh-CN"/>
        </w:rPr>
      </w:pPr>
      <w:bookmarkStart w:id="0" w:name="_Toc15377425"/>
      <w:bookmarkStart w:id="1" w:name="_Toc15378441"/>
      <w:bookmarkStart w:id="2" w:name="_Toc15306267"/>
      <w:bookmarkStart w:id="3" w:name="_Toc15396597"/>
      <w:bookmarkStart w:id="4" w:name="_Toc15396475"/>
      <w:bookmarkStart w:id="5" w:name="_Toc15377193"/>
    </w:p>
    <w:p w14:paraId="516D9483">
      <w:pPr>
        <w:pStyle w:val="3"/>
        <w:bidi w:val="0"/>
        <w:jc w:val="center"/>
        <w:rPr>
          <w:rFonts w:hint="default" w:ascii="Times New Roman" w:hAnsi="Times New Roman" w:eastAsia="宋体" w:cs="Times New Roman"/>
          <w:sz w:val="84"/>
          <w:szCs w:val="84"/>
          <w:lang w:eastAsia="zh-CN"/>
        </w:rPr>
      </w:pPr>
      <w:r>
        <w:rPr>
          <w:rFonts w:hint="eastAsia" w:ascii="Times New Roman" w:hAnsi="Times New Roman" w:eastAsia="宋体" w:cs="Times New Roman"/>
          <w:sz w:val="84"/>
          <w:szCs w:val="84"/>
          <w:lang w:eastAsia="zh-CN"/>
        </w:rPr>
        <w:t>2025</w:t>
      </w:r>
      <w:r>
        <w:rPr>
          <w:rFonts w:hint="default" w:ascii="Times New Roman" w:hAnsi="Times New Roman" w:eastAsia="宋体" w:cs="Times New Roman"/>
          <w:sz w:val="84"/>
          <w:szCs w:val="84"/>
          <w:lang w:eastAsia="zh-CN"/>
        </w:rPr>
        <w:t>年度</w:t>
      </w:r>
    </w:p>
    <w:p w14:paraId="30AE3AFA">
      <w:pPr>
        <w:pStyle w:val="3"/>
        <w:bidi w:val="0"/>
        <w:jc w:val="center"/>
        <w:rPr>
          <w:rFonts w:hint="default" w:ascii="Times New Roman" w:hAnsi="Times New Roman" w:eastAsia="宋体" w:cs="Times New Roman"/>
          <w:sz w:val="84"/>
          <w:szCs w:val="84"/>
          <w:lang w:eastAsia="zh-CN"/>
        </w:rPr>
      </w:pPr>
      <w:bookmarkStart w:id="6" w:name="_Toc7714"/>
      <w:bookmarkStart w:id="7" w:name="_Toc14675"/>
      <w:bookmarkStart w:id="8" w:name="_Toc13195"/>
      <w:bookmarkStart w:id="9" w:name="_Toc1813"/>
      <w:r>
        <w:rPr>
          <w:rFonts w:hint="default" w:ascii="Times New Roman" w:hAnsi="Times New Roman" w:eastAsia="宋体" w:cs="Times New Roman"/>
          <w:sz w:val="84"/>
          <w:szCs w:val="84"/>
          <w:lang w:eastAsia="zh-CN"/>
        </w:rPr>
        <w:t>四川省阿坝州民族宗教政策研究中心决算</w:t>
      </w:r>
      <w:bookmarkEnd w:id="6"/>
      <w:bookmarkEnd w:id="7"/>
      <w:bookmarkEnd w:id="8"/>
      <w:bookmarkEnd w:id="9"/>
    </w:p>
    <w:p w14:paraId="6BE8986A">
      <w:pPr>
        <w:rPr>
          <w:rFonts w:hint="default" w:ascii="Times New Roman" w:hAnsi="Times New Roman" w:eastAsia="方正小标宋简体" w:cs="Times New Roman"/>
          <w:sz w:val="36"/>
          <w:szCs w:val="36"/>
          <w:highlight w:val="none"/>
        </w:rPr>
      </w:pPr>
    </w:p>
    <w:p w14:paraId="64EC78C5">
      <w:pPr>
        <w:rPr>
          <w:rFonts w:hint="default" w:ascii="Times New Roman" w:hAnsi="Times New Roman" w:eastAsia="方正小标宋简体" w:cs="Times New Roman"/>
          <w:sz w:val="36"/>
          <w:szCs w:val="36"/>
          <w:highlight w:val="none"/>
        </w:rPr>
      </w:pPr>
    </w:p>
    <w:p w14:paraId="78BC6963">
      <w:pPr>
        <w:rPr>
          <w:rFonts w:hint="default" w:ascii="Times New Roman" w:hAnsi="Times New Roman" w:eastAsia="方正小标宋简体" w:cs="Times New Roman"/>
          <w:sz w:val="36"/>
          <w:szCs w:val="36"/>
          <w:highlight w:val="none"/>
        </w:rPr>
      </w:pPr>
    </w:p>
    <w:p w14:paraId="03667055">
      <w:pPr>
        <w:rPr>
          <w:rFonts w:hint="default" w:ascii="Times New Roman" w:hAnsi="Times New Roman" w:eastAsia="方正小标宋简体" w:cs="Times New Roman"/>
          <w:sz w:val="36"/>
          <w:szCs w:val="36"/>
          <w:highlight w:val="none"/>
        </w:rPr>
      </w:pPr>
    </w:p>
    <w:p w14:paraId="06231AC8">
      <w:pPr>
        <w:rPr>
          <w:rFonts w:hint="default" w:ascii="Times New Roman" w:hAnsi="Times New Roman" w:eastAsia="方正小标宋简体" w:cs="Times New Roman"/>
          <w:sz w:val="36"/>
          <w:szCs w:val="36"/>
          <w:highlight w:val="none"/>
        </w:rPr>
      </w:pPr>
    </w:p>
    <w:p w14:paraId="244FB3EF">
      <w:pPr>
        <w:rPr>
          <w:rFonts w:hint="default" w:ascii="Times New Roman" w:hAnsi="Times New Roman" w:eastAsia="方正小标宋简体" w:cs="Times New Roman"/>
          <w:sz w:val="36"/>
          <w:szCs w:val="36"/>
          <w:highlight w:val="none"/>
        </w:rPr>
      </w:pPr>
    </w:p>
    <w:p w14:paraId="286EE57F">
      <w:pPr>
        <w:rPr>
          <w:rFonts w:hint="default" w:ascii="Times New Roman" w:hAnsi="Times New Roman" w:eastAsia="方正小标宋简体" w:cs="Times New Roman"/>
          <w:sz w:val="36"/>
          <w:szCs w:val="36"/>
          <w:highlight w:val="none"/>
        </w:rPr>
      </w:pPr>
    </w:p>
    <w:p w14:paraId="381294EB">
      <w:pPr>
        <w:rPr>
          <w:rFonts w:hint="default" w:ascii="Times New Roman" w:hAnsi="Times New Roman" w:eastAsia="方正小标宋简体" w:cs="Times New Roman"/>
          <w:sz w:val="36"/>
          <w:szCs w:val="36"/>
          <w:highlight w:val="none"/>
        </w:rPr>
      </w:pPr>
    </w:p>
    <w:p w14:paraId="033371FE">
      <w:pPr>
        <w:pStyle w:val="3"/>
        <w:bidi w:val="0"/>
        <w:jc w:val="both"/>
        <w:rPr>
          <w:rFonts w:hint="default" w:ascii="Times New Roman" w:hAnsi="Times New Roman" w:eastAsia="方正小标宋简体" w:cs="Times New Roman"/>
          <w:sz w:val="36"/>
          <w:szCs w:val="36"/>
          <w:highlight w:val="none"/>
        </w:rPr>
      </w:pPr>
    </w:p>
    <w:p w14:paraId="15EB9BF7">
      <w:pPr>
        <w:rPr>
          <w:rFonts w:hint="default" w:ascii="Times New Roman" w:hAnsi="Times New Roman" w:eastAsia="方正小标宋简体" w:cs="Times New Roman"/>
          <w:sz w:val="36"/>
          <w:szCs w:val="36"/>
          <w:highlight w:val="none"/>
        </w:rPr>
      </w:pPr>
    </w:p>
    <w:p w14:paraId="55161002">
      <w:pPr>
        <w:autoSpaceDE w:val="0"/>
        <w:autoSpaceDN w:val="0"/>
        <w:adjustRightInd w:val="0"/>
        <w:ind w:left="420" w:leftChars="200"/>
        <w:jc w:val="left"/>
        <w:rPr>
          <w:rFonts w:hint="default" w:ascii="Times New Roman" w:hAnsi="Times New Roman" w:eastAsia="宋体" w:cs="Times New Roman"/>
          <w:sz w:val="32"/>
          <w:szCs w:val="32"/>
          <w:highlight w:val="none"/>
          <w:lang w:eastAsia="zh-CN"/>
        </w:rPr>
      </w:pPr>
      <w:r>
        <w:rPr>
          <w:rFonts w:hint="default" w:ascii="Times New Roman" w:hAnsi="Times New Roman" w:cs="Times New Roman"/>
          <w:sz w:val="32"/>
          <w:szCs w:val="32"/>
          <w:highlight w:val="none"/>
        </w:rPr>
        <w:t>保密审查情况：已</w:t>
      </w:r>
      <w:r>
        <w:rPr>
          <w:rFonts w:hint="default" w:ascii="Times New Roman" w:hAnsi="Times New Roman" w:cs="Times New Roman"/>
          <w:sz w:val="32"/>
          <w:szCs w:val="32"/>
          <w:highlight w:val="none"/>
          <w:lang w:val="en-US" w:eastAsia="zh-CN"/>
        </w:rPr>
        <w:t>保密</w:t>
      </w:r>
      <w:r>
        <w:rPr>
          <w:rFonts w:hint="default" w:ascii="Times New Roman" w:hAnsi="Times New Roman" w:cs="Times New Roman"/>
          <w:sz w:val="32"/>
          <w:szCs w:val="32"/>
          <w:highlight w:val="none"/>
        </w:rPr>
        <w:t>审查，内容审定</w:t>
      </w:r>
      <w:r>
        <w:rPr>
          <w:rFonts w:hint="default" w:ascii="Times New Roman" w:hAnsi="Times New Roman" w:cs="Times New Roman"/>
          <w:sz w:val="32"/>
          <w:szCs w:val="32"/>
          <w:highlight w:val="none"/>
          <w:lang w:eastAsia="zh-CN"/>
        </w:rPr>
        <w:t>，</w:t>
      </w:r>
      <w:r>
        <w:rPr>
          <w:rFonts w:hint="default" w:ascii="Times New Roman" w:hAnsi="Times New Roman" w:cs="Times New Roman"/>
          <w:sz w:val="32"/>
          <w:szCs w:val="32"/>
          <w:highlight w:val="none"/>
        </w:rPr>
        <w:t>同意对外公开</w:t>
      </w:r>
    </w:p>
    <w:p w14:paraId="439DCC5E">
      <w:pPr>
        <w:autoSpaceDE w:val="0"/>
        <w:autoSpaceDN w:val="0"/>
        <w:adjustRightInd w:val="0"/>
        <w:ind w:left="420" w:leftChars="200"/>
        <w:jc w:val="left"/>
        <w:rPr>
          <w:rFonts w:hint="eastAsia" w:ascii="Times New Roman" w:hAnsi="Times New Roman" w:eastAsia="宋体" w:cs="Times New Roman"/>
          <w:sz w:val="32"/>
          <w:szCs w:val="32"/>
          <w:highlight w:val="none"/>
          <w:lang w:val="en-US" w:eastAsia="zh-CN"/>
        </w:rPr>
        <w:sectPr>
          <w:footerReference r:id="rId5" w:type="first"/>
          <w:headerReference r:id="rId3" w:type="default"/>
          <w:footerReference r:id="rId4" w:type="default"/>
          <w:pgSz w:w="11906" w:h="16838"/>
          <w:pgMar w:top="1440" w:right="1800" w:bottom="1440" w:left="1800" w:header="851" w:footer="992" w:gutter="0"/>
          <w:pgNumType w:fmt="decimal" w:start="1"/>
          <w:cols w:space="720" w:num="1"/>
          <w:titlePg/>
          <w:docGrid w:type="lines" w:linePitch="312" w:charSpace="0"/>
        </w:sectPr>
      </w:pPr>
      <w:r>
        <w:rPr>
          <w:rFonts w:hint="default" w:ascii="Times New Roman" w:hAnsi="Times New Roman" w:cs="Times New Roman"/>
          <w:sz w:val="32"/>
          <w:szCs w:val="32"/>
          <w:highlight w:val="none"/>
        </w:rPr>
        <w:t>部门主要负责人审签情况：已审签，同意对外公</w:t>
      </w:r>
      <w:r>
        <w:rPr>
          <w:rFonts w:hint="eastAsia" w:cs="Times New Roman"/>
          <w:sz w:val="32"/>
          <w:szCs w:val="32"/>
          <w:highlight w:val="none"/>
          <w:lang w:val="en-US" w:eastAsia="zh-CN"/>
        </w:rPr>
        <w:t>开</w:t>
      </w:r>
    </w:p>
    <w:bookmarkEnd w:id="0"/>
    <w:bookmarkEnd w:id="1"/>
    <w:bookmarkEnd w:id="2"/>
    <w:bookmarkEnd w:id="3"/>
    <w:bookmarkEnd w:id="4"/>
    <w:bookmarkEnd w:id="5"/>
    <w:p w14:paraId="7B5D001A">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A9563F0">
      <w:pPr>
        <w:widowControl/>
        <w:jc w:val="center"/>
        <w:rPr>
          <w:rFonts w:ascii="Times New Roman" w:hAnsi="Times New Roman" w:eastAsia="黑体" w:cstheme="minorBidi"/>
          <w:color w:val="auto"/>
          <w:sz w:val="28"/>
          <w:szCs w:val="28"/>
          <w:highlight w:val="none"/>
        </w:rPr>
      </w:pPr>
    </w:p>
    <w:p w14:paraId="513148AA">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bookmarkStart w:id="89" w:name="_GoBack"/>
      <w:bookmarkEnd w:id="89"/>
    </w:p>
    <w:p w14:paraId="18AE5F1B">
      <w:pPr>
        <w:rPr>
          <w:rFonts w:ascii="Times New Roman" w:hAnsi="Times New Roman"/>
          <w:color w:val="auto"/>
          <w:highlight w:val="yellow"/>
        </w:rPr>
      </w:pPr>
    </w:p>
    <w:sdt>
      <w:sdtPr>
        <w:rPr>
          <w:rFonts w:ascii="宋体" w:hAnsi="宋体" w:eastAsia="宋体" w:cs="Times New Roman"/>
          <w:kern w:val="2"/>
          <w:sz w:val="21"/>
          <w:szCs w:val="24"/>
          <w:lang w:val="en-US" w:eastAsia="zh-CN" w:bidi="ar-SA"/>
        </w:rPr>
        <w:id w:val="147464541"/>
        <w15:color w:val="DBDBDB"/>
        <w:docPartObj>
          <w:docPartGallery w:val="Table of Contents"/>
          <w:docPartUnique/>
        </w:docPartObj>
      </w:sdtPr>
      <w:sdtEndPr>
        <w:rPr>
          <w:rFonts w:hint="eastAsia" w:ascii="Times New Roman" w:hAnsi="Times New Roman" w:eastAsia="仿宋_GB2312" w:cs="仿宋_GB2312"/>
          <w:bCs/>
          <w:color w:val="auto"/>
          <w:kern w:val="44"/>
          <w:sz w:val="21"/>
          <w:szCs w:val="32"/>
          <w:highlight w:val="none"/>
          <w:lang w:val="en-US" w:eastAsia="zh-CN" w:bidi="ar-SA"/>
        </w:rPr>
      </w:sdtEndPr>
      <w:sdtContent>
        <w:p w14:paraId="30477B4D">
          <w:pPr>
            <w:spacing w:before="0" w:beforeLines="0" w:after="0" w:afterLines="0" w:line="240" w:lineRule="auto"/>
            <w:ind w:left="0" w:leftChars="0" w:right="0" w:rightChars="0" w:firstLine="0" w:firstLineChars="0"/>
            <w:jc w:val="center"/>
          </w:pPr>
        </w:p>
        <w:p w14:paraId="4C168647">
          <w:pPr>
            <w:pStyle w:val="13"/>
            <w:adjustRightInd w:val="0"/>
            <w:snapToGrid w:val="0"/>
            <w:spacing w:before="0" w:line="560" w:lineRule="exact"/>
            <w:jc w:val="left"/>
          </w:pPr>
          <w:r>
            <w:rPr>
              <w:rFonts w:hint="eastAsia" w:ascii="Times New Roman" w:hAnsi="Times New Roman" w:eastAsia="仿宋_GB2312" w:cs="仿宋_GB2312"/>
              <w:bCs/>
              <w:color w:val="auto"/>
              <w:kern w:val="44"/>
              <w:sz w:val="32"/>
              <w:szCs w:val="32"/>
              <w:highlight w:val="none"/>
            </w:rPr>
            <w:fldChar w:fldCharType="begin"/>
          </w:r>
          <w:r>
            <w:rPr>
              <w:rFonts w:hint="eastAsia" w:ascii="Times New Roman" w:hAnsi="Times New Roman" w:eastAsia="仿宋_GB2312" w:cs="仿宋_GB2312"/>
              <w:bCs/>
              <w:color w:val="auto"/>
              <w:kern w:val="44"/>
              <w:sz w:val="32"/>
              <w:szCs w:val="32"/>
              <w:highlight w:val="none"/>
            </w:rPr>
            <w:instrText xml:space="preserve">TOC \o "1-1" \h \u </w:instrText>
          </w:r>
          <w:r>
            <w:rPr>
              <w:rFonts w:hint="eastAsia" w:ascii="Times New Roman" w:hAnsi="Times New Roman" w:eastAsia="仿宋_GB2312" w:cs="仿宋_GB2312"/>
              <w:bCs/>
              <w:color w:val="auto"/>
              <w:kern w:val="44"/>
              <w:sz w:val="32"/>
              <w:szCs w:val="32"/>
              <w:highlight w:val="none"/>
            </w:rPr>
            <w:fldChar w:fldCharType="separate"/>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_Toc18175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第一部分</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 xml:space="preserve"> 部门概况</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_Toc18175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- 4 -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0702D319">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_Toc22398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w:t>
          </w:r>
          <w:r>
            <w:rPr>
              <w:rFonts w:hint="eastAsia" w:ascii="Times New Roman" w:hAnsi="Times New Roman" w:eastAsia="仿宋_GB2312" w:cs="仿宋_GB2312"/>
              <w:sz w:val="32"/>
              <w:szCs w:val="32"/>
              <w:lang w:eastAsia="zh-CN"/>
            </w:rPr>
            <w:t>部门职责</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_Toc22398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- 4 -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39694922">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_Toc3382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二、机构设置</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_Toc3382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- 4 -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080D225C">
          <w:pPr>
            <w:pStyle w:val="13"/>
            <w:adjustRightInd w:val="0"/>
            <w:snapToGrid w:val="0"/>
            <w:spacing w:before="0" w:line="560" w:lineRule="exact"/>
            <w:jc w:val="left"/>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_Toc14369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第二部分</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lang w:val="en-US" w:eastAsia="zh-CN"/>
            </w:rPr>
            <w:t>2025年度</w:t>
          </w:r>
          <w:r>
            <w:rPr>
              <w:rFonts w:hint="eastAsia" w:ascii="Times New Roman" w:hAnsi="Times New Roman" w:eastAsia="黑体" w:cs="黑体"/>
              <w:sz w:val="32"/>
              <w:szCs w:val="32"/>
            </w:rPr>
            <w:t>部门决算情况说明</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_Toc14369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- 5 -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402CDCA0">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_Toc3609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eastAsia="zh-CN"/>
            </w:rPr>
            <w:t>一、</w:t>
          </w:r>
          <w:r>
            <w:rPr>
              <w:rFonts w:hint="eastAsia" w:ascii="Times New Roman" w:hAnsi="Times New Roman" w:eastAsia="仿宋_GB2312" w:cs="仿宋_GB2312"/>
              <w:sz w:val="32"/>
              <w:szCs w:val="32"/>
            </w:rPr>
            <w:t>收入支出决算总体情况说明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_Toc3609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- 5 -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29BE0875">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_Toc5940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eastAsia="zh-CN"/>
            </w:rPr>
            <w:t>二、收入决算情况说明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_Toc5940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- 5 -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971A3D7">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_Toc27982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eastAsia="zh-CN"/>
            </w:rPr>
            <w:t>三、</w:t>
          </w:r>
          <w:r>
            <w:rPr>
              <w:rFonts w:hint="eastAsia" w:ascii="Times New Roman" w:hAnsi="Times New Roman" w:eastAsia="仿宋_GB2312" w:cs="仿宋_GB2312"/>
              <w:sz w:val="32"/>
              <w:szCs w:val="32"/>
            </w:rPr>
            <w:t>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_Toc27982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- 6 -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124D3EB0">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_Toc8047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四、财政拨款收入支出决算总体情况说明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_Toc8047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- 7 -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1FE7F015">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_Toc4522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五、一般公共预算财政拨款支出决算情况说明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_Toc4522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- 7 -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231B0048">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_Toc28497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六、一般公共预算财政拨款基本支出决算情况说明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_Toc28497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- 9 -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32E0FB0">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_Toc3784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七、财政拨款“三公”经费支出决算情况说明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_Toc3784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- 10 -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33758F8C">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_Toc18126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八、政府性基金预算支出决算情况说明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_Toc18126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- 12 -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57897BB5">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_Toc23659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eastAsia="zh-CN"/>
            </w:rPr>
            <w:t>九、</w:t>
          </w:r>
          <w:r>
            <w:rPr>
              <w:rFonts w:hint="eastAsia" w:ascii="Times New Roman" w:hAnsi="Times New Roman" w:eastAsia="仿宋_GB2312" w:cs="仿宋_GB2312"/>
              <w:sz w:val="32"/>
              <w:szCs w:val="32"/>
            </w:rPr>
            <w:t>国有资本经营预算支出决算情况说明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_Toc23659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- 13 -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32C72F25">
          <w:pPr>
            <w:pStyle w:val="15"/>
            <w:adjustRightInd w:val="0"/>
            <w:snapToGrid w:val="0"/>
            <w:spacing w:line="560" w:lineRule="exact"/>
            <w:ind w:left="0" w:leftChars="0" w:firstLine="640" w:firstLineChars="200"/>
            <w:jc w:val="left"/>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_Toc8124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eastAsia="zh-CN"/>
            </w:rPr>
            <w:t>十、</w:t>
          </w:r>
          <w:r>
            <w:rPr>
              <w:rFonts w:hint="eastAsia" w:ascii="Times New Roman" w:hAnsi="Times New Roman" w:eastAsia="仿宋_GB2312" w:cs="仿宋_GB2312"/>
              <w:sz w:val="32"/>
              <w:szCs w:val="32"/>
            </w:rPr>
            <w:t>其他重要事项的情况说明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_Toc8124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- 13 -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0EF63403">
          <w:pPr>
            <w:pStyle w:val="13"/>
            <w:adjustRightInd w:val="0"/>
            <w:snapToGrid w:val="0"/>
            <w:spacing w:before="0" w:line="560" w:lineRule="exact"/>
            <w:jc w:val="left"/>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_Toc20931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w:t>
          </w:r>
          <w:r>
            <w:rPr>
              <w:rFonts w:hint="eastAsia" w:ascii="Times New Roman" w:hAnsi="Times New Roman" w:eastAsia="黑体" w:cs="黑体"/>
              <w:sz w:val="32"/>
              <w:szCs w:val="32"/>
              <w:lang w:eastAsia="zh-CN"/>
            </w:rPr>
            <w:t>三</w:t>
          </w:r>
          <w:r>
            <w:rPr>
              <w:rFonts w:hint="eastAsia" w:ascii="Times New Roman" w:hAnsi="Times New Roman" w:eastAsia="黑体" w:cs="黑体"/>
              <w:sz w:val="32"/>
              <w:szCs w:val="32"/>
            </w:rPr>
            <w:t>部分</w:t>
          </w:r>
          <w:r>
            <w:rPr>
              <w:rFonts w:hint="eastAsia" w:ascii="Times New Roman" w:hAnsi="Times New Roman" w:eastAsia="黑体" w:cs="黑体"/>
              <w:sz w:val="32"/>
              <w:szCs w:val="32"/>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cs="黑体"/>
              <w:sz w:val="32"/>
              <w:szCs w:val="32"/>
            </w:rPr>
            <w:t>名词解释</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_Toc20931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- 15 -</w:t>
          </w:r>
          <w:r>
            <w:rPr>
              <w:rFonts w:hint="eastAsia" w:ascii="Times New Roman" w:hAnsi="Times New Roman" w:eastAsia="黑体" w:cs="黑体"/>
              <w:sz w:val="32"/>
              <w:szCs w:val="32"/>
            </w:rPr>
            <w:fldChar w:fldCharType="end"/>
          </w:r>
          <w:r>
            <w:rPr>
              <w:rFonts w:hint="eastAsia" w:ascii="Times New Roman" w:hAnsi="Times New Roman" w:eastAsia="仿宋_GB2312" w:cs="仿宋_GB2312"/>
              <w:bCs/>
              <w:color w:val="auto"/>
              <w:kern w:val="44"/>
              <w:szCs w:val="32"/>
              <w:highlight w:val="none"/>
            </w:rPr>
            <w:fldChar w:fldCharType="end"/>
          </w:r>
        </w:p>
        <w:p w14:paraId="57225903">
          <w:pPr>
            <w:pStyle w:val="13"/>
            <w:adjustRightInd w:val="0"/>
            <w:snapToGrid w:val="0"/>
            <w:spacing w:before="0" w:line="560" w:lineRule="exact"/>
            <w:jc w:val="left"/>
            <w:rPr>
              <w:rFonts w:hint="eastAsia" w:ascii="Times New Roman" w:hAnsi="Times New Roman" w:eastAsia="仿宋_GB2312" w:cs="仿宋_GB2312"/>
              <w:sz w:val="32"/>
              <w:szCs w:val="32"/>
            </w:rPr>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_Toc28272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第四部分</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 xml:space="preserve"> 附件</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_Toc28272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- 18 -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7506FFDD">
          <w:pPr>
            <w:pStyle w:val="13"/>
            <w:adjustRightInd w:val="0"/>
            <w:snapToGrid w:val="0"/>
            <w:spacing w:before="0" w:line="560" w:lineRule="exact"/>
            <w:jc w:val="left"/>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_Toc29794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第五部分 </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附表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_Toc29794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- 19 -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25B9FD90">
          <w:pPr>
            <w:pStyle w:val="15"/>
            <w:adjustRightInd w:val="0"/>
            <w:snapToGrid w:val="0"/>
            <w:spacing w:line="560" w:lineRule="exact"/>
            <w:ind w:left="0" w:leftChars="0" w:firstLine="42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44"/>
              <w:szCs w:val="32"/>
              <w:highlight w:val="none"/>
            </w:rPr>
            <w:fldChar w:fldCharType="end"/>
          </w:r>
          <w:r>
            <w:rPr>
              <w:rFonts w:hint="eastAsia" w:eastAsia="仿宋_GB2312" w:cs="仿宋_GB2312"/>
              <w:bCs/>
              <w:color w:val="auto"/>
              <w:kern w:val="44"/>
              <w:szCs w:val="32"/>
              <w:highlight w:val="none"/>
              <w:lang w:val="en-US" w:eastAsia="zh-CN"/>
            </w:rPr>
            <w:t xml:space="preserve">  </w:t>
          </w:r>
          <w:r>
            <w:rPr>
              <w:rFonts w:hint="eastAsia" w:ascii="Times New Roman" w:hAnsi="Times New Roman" w:eastAsia="仿宋_GB2312" w:cs="仿宋_GB2312"/>
              <w:sz w:val="32"/>
              <w:szCs w:val="32"/>
            </w:rPr>
            <w:t>一、收入支出决算总表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_Toc29794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- 18 -</w:t>
          </w:r>
          <w:r>
            <w:rPr>
              <w:rFonts w:hint="eastAsia" w:ascii="Times New Roman" w:hAnsi="Times New Roman" w:eastAsia="仿宋_GB2312" w:cs="仿宋_GB2312"/>
              <w:sz w:val="32"/>
              <w:szCs w:val="32"/>
            </w:rPr>
            <w:fldChar w:fldCharType="end"/>
          </w:r>
        </w:p>
        <w:p w14:paraId="6D72D4AC">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二、收入决算表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_Toc29794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- 18 -</w:t>
          </w:r>
          <w:r>
            <w:rPr>
              <w:rFonts w:hint="eastAsia" w:ascii="Times New Roman" w:hAnsi="Times New Roman" w:eastAsia="仿宋_GB2312" w:cs="仿宋_GB2312"/>
              <w:sz w:val="32"/>
              <w:szCs w:val="32"/>
            </w:rPr>
            <w:fldChar w:fldCharType="end"/>
          </w:r>
        </w:p>
        <w:p w14:paraId="7004AF0A">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三、支出决算表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_Toc29794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- 18 -</w:t>
          </w:r>
          <w:r>
            <w:rPr>
              <w:rFonts w:hint="eastAsia" w:ascii="Times New Roman" w:hAnsi="Times New Roman" w:eastAsia="仿宋_GB2312" w:cs="仿宋_GB2312"/>
              <w:sz w:val="32"/>
              <w:szCs w:val="32"/>
            </w:rPr>
            <w:fldChar w:fldCharType="end"/>
          </w:r>
        </w:p>
        <w:p w14:paraId="694E3723">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四、财政拨款收入支出决算总表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_Toc29794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- 18 -</w:t>
          </w:r>
          <w:r>
            <w:rPr>
              <w:rFonts w:hint="eastAsia" w:ascii="Times New Roman" w:hAnsi="Times New Roman" w:eastAsia="仿宋_GB2312" w:cs="仿宋_GB2312"/>
              <w:sz w:val="32"/>
              <w:szCs w:val="32"/>
            </w:rPr>
            <w:fldChar w:fldCharType="end"/>
          </w:r>
        </w:p>
        <w:p w14:paraId="77CDBED6">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五、财政拨款支出决算明细表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_Toc29794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- 18 -</w:t>
          </w:r>
          <w:r>
            <w:rPr>
              <w:rFonts w:hint="eastAsia" w:ascii="Times New Roman" w:hAnsi="Times New Roman" w:eastAsia="仿宋_GB2312" w:cs="仿宋_GB2312"/>
              <w:sz w:val="32"/>
              <w:szCs w:val="32"/>
            </w:rPr>
            <w:fldChar w:fldCharType="end"/>
          </w:r>
        </w:p>
        <w:p w14:paraId="2DA8883A">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六、一般公共预算财政拨款支出决算表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_Toc29794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- 18 -</w:t>
          </w:r>
          <w:r>
            <w:rPr>
              <w:rFonts w:hint="eastAsia" w:ascii="Times New Roman" w:hAnsi="Times New Roman" w:eastAsia="仿宋_GB2312" w:cs="仿宋_GB2312"/>
              <w:sz w:val="32"/>
              <w:szCs w:val="32"/>
            </w:rPr>
            <w:fldChar w:fldCharType="end"/>
          </w:r>
        </w:p>
        <w:p w14:paraId="25B469D2">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七、一般公共预算财政拨款支出决算明细表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_Toc29794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- 18 -</w:t>
          </w:r>
          <w:r>
            <w:rPr>
              <w:rFonts w:hint="eastAsia" w:ascii="Times New Roman" w:hAnsi="Times New Roman" w:eastAsia="仿宋_GB2312" w:cs="仿宋_GB2312"/>
              <w:sz w:val="32"/>
              <w:szCs w:val="32"/>
            </w:rPr>
            <w:fldChar w:fldCharType="end"/>
          </w:r>
        </w:p>
        <w:p w14:paraId="3BD6C084">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八、一般公共预算财政拨款基本支出决算明细表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_Toc29794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- 18 -</w:t>
          </w:r>
          <w:r>
            <w:rPr>
              <w:rFonts w:hint="eastAsia" w:ascii="Times New Roman" w:hAnsi="Times New Roman" w:eastAsia="仿宋_GB2312" w:cs="仿宋_GB2312"/>
              <w:sz w:val="32"/>
              <w:szCs w:val="32"/>
            </w:rPr>
            <w:fldChar w:fldCharType="end"/>
          </w:r>
        </w:p>
        <w:p w14:paraId="524B9B3A">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九、一般公共预算财政拨款项目支出决算表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_Toc29794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- 18 -</w:t>
          </w:r>
          <w:r>
            <w:rPr>
              <w:rFonts w:hint="eastAsia" w:ascii="Times New Roman" w:hAnsi="Times New Roman" w:eastAsia="仿宋_GB2312" w:cs="仿宋_GB2312"/>
              <w:sz w:val="32"/>
              <w:szCs w:val="32"/>
            </w:rPr>
            <w:fldChar w:fldCharType="end"/>
          </w:r>
        </w:p>
        <w:p w14:paraId="7477C8A1">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十、政府性基金预算财政拨款收入支出决算表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_Toc29794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- 18 -</w:t>
          </w:r>
          <w:r>
            <w:rPr>
              <w:rFonts w:hint="eastAsia" w:ascii="Times New Roman" w:hAnsi="Times New Roman" w:eastAsia="仿宋_GB2312" w:cs="仿宋_GB2312"/>
              <w:sz w:val="32"/>
              <w:szCs w:val="32"/>
            </w:rPr>
            <w:fldChar w:fldCharType="end"/>
          </w:r>
        </w:p>
        <w:p w14:paraId="7EEFC5DB">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十一、国有资本经营预算财政拨款收入支出决算表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_Toc29794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28"/>
              <w:szCs w:val="28"/>
            </w:rPr>
            <w:t xml:space="preserve">- 18 </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rPr>
            <w:fldChar w:fldCharType="end"/>
          </w:r>
        </w:p>
        <w:p w14:paraId="70742367">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十二、国有资本经营预算财政拨款支出决算表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_Toc29794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- 18 -</w:t>
          </w:r>
          <w:r>
            <w:rPr>
              <w:rFonts w:hint="eastAsia" w:ascii="Times New Roman" w:hAnsi="Times New Roman" w:eastAsia="仿宋_GB2312" w:cs="仿宋_GB2312"/>
              <w:sz w:val="32"/>
              <w:szCs w:val="32"/>
            </w:rPr>
            <w:fldChar w:fldCharType="end"/>
          </w:r>
        </w:p>
        <w:p w14:paraId="3B3F2705">
          <w:pPr>
            <w:pStyle w:val="15"/>
            <w:adjustRightInd w:val="0"/>
            <w:snapToGrid w:val="0"/>
            <w:spacing w:line="560" w:lineRule="exact"/>
            <w:ind w:left="0" w:leftChars="0" w:firstLine="640" w:firstLineChars="200"/>
            <w:jc w:val="left"/>
            <w:rPr>
              <w:rFonts w:hint="eastAsia" w:ascii="Times New Roman" w:hAnsi="Times New Roman" w:eastAsia="黑体"/>
              <w:highlight w:val="none"/>
            </w:rPr>
          </w:pPr>
          <w:r>
            <w:rPr>
              <w:rFonts w:hint="eastAsia" w:ascii="Times New Roman" w:hAnsi="Times New Roman" w:eastAsia="仿宋_GB2312" w:cs="仿宋_GB2312"/>
              <w:sz w:val="32"/>
              <w:szCs w:val="32"/>
            </w:rPr>
            <w:t>十三、财政拨款“三公”经费支出决算表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_Toc29794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- 18 -</w:t>
          </w:r>
          <w:r>
            <w:rPr>
              <w:rFonts w:hint="eastAsia" w:ascii="Times New Roman" w:hAnsi="Times New Roman" w:eastAsia="仿宋_GB2312" w:cs="仿宋_GB2312"/>
              <w:sz w:val="32"/>
              <w:szCs w:val="32"/>
            </w:rPr>
            <w:fldChar w:fldCharType="end"/>
          </w:r>
        </w:p>
        <w:p w14:paraId="38C9503B">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21"/>
              <w:szCs w:val="32"/>
              <w:highlight w:val="none"/>
              <w:lang w:val="en-US" w:eastAsia="zh-CN" w:bidi="ar-SA"/>
            </w:rPr>
          </w:pPr>
        </w:p>
      </w:sdtContent>
    </w:sdt>
    <w:p w14:paraId="1D761A87">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21"/>
          <w:szCs w:val="32"/>
          <w:highlight w:val="none"/>
          <w:lang w:val="en-US" w:eastAsia="zh-CN" w:bidi="ar-SA"/>
        </w:rPr>
      </w:pPr>
    </w:p>
    <w:p w14:paraId="6A6D8EB3">
      <w:pPr>
        <w:pStyle w:val="14"/>
        <w:rPr>
          <w:rFonts w:hint="eastAsia"/>
          <w:lang w:val="en-US" w:eastAsia="zh-CN"/>
        </w:rPr>
      </w:pPr>
    </w:p>
    <w:p w14:paraId="091283D9">
      <w:pPr>
        <w:pStyle w:val="3"/>
        <w:jc w:val="center"/>
        <w:rPr>
          <w:rFonts w:hint="eastAsia" w:ascii="Times New Roman" w:hAnsi="Times New Roman" w:eastAsia="方正小标宋简体" w:cs="方正小标宋简体"/>
          <w:b w:val="0"/>
          <w:color w:val="auto"/>
          <w:highlight w:val="none"/>
        </w:rPr>
      </w:pPr>
      <w:bookmarkStart w:id="10" w:name="_Toc18175"/>
    </w:p>
    <w:p w14:paraId="6D7EA1CB">
      <w:pPr>
        <w:pStyle w:val="3"/>
        <w:jc w:val="center"/>
        <w:rPr>
          <w:rFonts w:hint="eastAsia" w:ascii="Times New Roman" w:hAnsi="Times New Roman" w:eastAsia="方正小标宋简体" w:cs="方正小标宋简体"/>
          <w:b w:val="0"/>
          <w:color w:val="auto"/>
          <w:highlight w:val="none"/>
        </w:rPr>
      </w:pPr>
    </w:p>
    <w:p w14:paraId="5AC2E315">
      <w:pPr>
        <w:rPr>
          <w:rFonts w:hint="eastAsia" w:ascii="Times New Roman" w:hAnsi="Times New Roman" w:eastAsia="方正小标宋简体" w:cs="方正小标宋简体"/>
          <w:b w:val="0"/>
          <w:color w:val="auto"/>
          <w:highlight w:val="none"/>
        </w:rPr>
      </w:pPr>
    </w:p>
    <w:p w14:paraId="5D26CFDF">
      <w:pPr>
        <w:pStyle w:val="14"/>
        <w:rPr>
          <w:rFonts w:hint="eastAsia" w:ascii="Times New Roman" w:hAnsi="Times New Roman" w:eastAsia="方正小标宋简体" w:cs="方正小标宋简体"/>
          <w:b w:val="0"/>
          <w:color w:val="auto"/>
          <w:highlight w:val="none"/>
        </w:rPr>
      </w:pPr>
    </w:p>
    <w:p w14:paraId="7B1E67D8">
      <w:pPr>
        <w:pStyle w:val="8"/>
        <w:rPr>
          <w:rFonts w:hint="eastAsia"/>
        </w:rPr>
      </w:pPr>
    </w:p>
    <w:p w14:paraId="3A929C55">
      <w:pPr>
        <w:pStyle w:val="3"/>
        <w:jc w:val="center"/>
        <w:rPr>
          <w:rFonts w:hint="eastAsia" w:ascii="Times New Roman" w:hAnsi="Times New Roman" w:eastAsia="方正小标宋简体" w:cs="方正小标宋简体"/>
          <w:b w:val="0"/>
          <w:color w:val="auto"/>
          <w:highlight w:val="none"/>
        </w:rPr>
      </w:pPr>
    </w:p>
    <w:p w14:paraId="55E697AF">
      <w:pPr>
        <w:rPr>
          <w:rFonts w:hint="eastAsia"/>
        </w:rPr>
      </w:pPr>
    </w:p>
    <w:p w14:paraId="2A299E19">
      <w:pPr>
        <w:pStyle w:val="3"/>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0"/>
    </w:p>
    <w:p w14:paraId="7B7C8E4E">
      <w:pPr>
        <w:widowControl/>
        <w:jc w:val="left"/>
        <w:rPr>
          <w:rFonts w:ascii="Times New Roman" w:hAnsi="Times New Roman" w:eastAsia="黑体"/>
          <w:color w:val="auto"/>
          <w:sz w:val="32"/>
          <w:szCs w:val="32"/>
          <w:highlight w:val="none"/>
        </w:rPr>
      </w:pPr>
    </w:p>
    <w:p w14:paraId="0FD14EEC">
      <w:pPr>
        <w:pStyle w:val="4"/>
        <w:ind w:firstLine="640" w:firstLineChars="200"/>
        <w:outlineLvl w:val="0"/>
        <w:rPr>
          <w:rFonts w:hint="eastAsia" w:ascii="Times New Roman" w:hAnsi="Times New Roman" w:eastAsia="黑体"/>
          <w:b w:val="0"/>
          <w:color w:val="auto"/>
          <w:highlight w:val="none"/>
          <w:lang w:eastAsia="zh-CN"/>
        </w:rPr>
      </w:pPr>
      <w:bookmarkStart w:id="11" w:name="_Toc15377197"/>
      <w:bookmarkStart w:id="12" w:name="_Toc15396600"/>
      <w:bookmarkStart w:id="13" w:name="_Toc22398"/>
      <w:r>
        <w:rPr>
          <w:rFonts w:hint="eastAsia" w:ascii="Times New Roman" w:hAnsi="Times New Roman" w:eastAsia="黑体"/>
          <w:b w:val="0"/>
          <w:color w:val="auto"/>
          <w:highlight w:val="none"/>
        </w:rPr>
        <w:t>一、</w:t>
      </w:r>
      <w:bookmarkEnd w:id="11"/>
      <w:bookmarkEnd w:id="12"/>
      <w:r>
        <w:rPr>
          <w:rFonts w:hint="eastAsia" w:ascii="Times New Roman" w:hAnsi="Times New Roman" w:eastAsia="黑体"/>
          <w:b w:val="0"/>
          <w:color w:val="auto"/>
          <w:highlight w:val="none"/>
          <w:lang w:eastAsia="zh-CN"/>
        </w:rPr>
        <w:t>部门职责</w:t>
      </w:r>
      <w:bookmarkEnd w:id="13"/>
    </w:p>
    <w:p w14:paraId="7D69DB34">
      <w:pPr>
        <w:ind w:firstLine="640" w:firstLineChars="200"/>
        <w:rPr>
          <w:rFonts w:hint="eastAsia" w:ascii="仿宋_GB2312" w:hAnsi="仿宋_GB2312" w:eastAsia="仿宋_GB2312" w:cs="仿宋_GB2312"/>
          <w:color w:val="auto"/>
          <w:sz w:val="32"/>
          <w:szCs w:val="32"/>
          <w:highlight w:val="none"/>
          <w:lang w:eastAsia="zh-CN"/>
        </w:rPr>
      </w:pPr>
      <w:r>
        <w:rPr>
          <w:rFonts w:hint="default" w:ascii="仿宋_GB2312" w:hAnsi="仿宋_GB2312" w:eastAsia="仿宋_GB2312" w:cs="仿宋_GB2312"/>
          <w:color w:val="auto"/>
          <w:sz w:val="32"/>
          <w:szCs w:val="32"/>
          <w:highlight w:val="none"/>
        </w:rPr>
        <w:t>负责研究全州少数民族语言文字的规范使用等课题；负责研究少数民族文化保护、承传、弘扬开发利用等课题；负责研究少数民族古籍的挖掘、收集整理、修复、保护等课题。</w:t>
      </w:r>
    </w:p>
    <w:p w14:paraId="7905804B">
      <w:pPr>
        <w:pStyle w:val="4"/>
        <w:ind w:firstLine="640" w:firstLineChars="200"/>
        <w:outlineLvl w:val="0"/>
        <w:rPr>
          <w:rStyle w:val="29"/>
          <w:rFonts w:ascii="Times New Roman" w:hAnsi="Times New Roman"/>
          <w:b w:val="0"/>
          <w:bCs w:val="0"/>
          <w:color w:val="auto"/>
          <w:highlight w:val="none"/>
        </w:rPr>
      </w:pPr>
      <w:bookmarkStart w:id="14" w:name="_Toc3382"/>
      <w:bookmarkStart w:id="15" w:name="_Toc15396601"/>
      <w:bookmarkStart w:id="16"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bookmarkEnd w:id="16"/>
    </w:p>
    <w:p w14:paraId="5CD81FB7">
      <w:pPr>
        <w:ind w:firstLine="640" w:firstLineChars="20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阿坝州民族宗教政策研究中心</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449D5550">
      <w:pPr>
        <w:pStyle w:val="6"/>
        <w:adjustRightInd w:val="0"/>
        <w:snapToGrid w:val="0"/>
        <w:spacing w:before="93" w:line="60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阿坝州民族宗教政策研究中心</w:t>
      </w:r>
      <w:r>
        <w:rPr>
          <w:rFonts w:hint="eastAsia" w:ascii="Times New Roman"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1FB10094">
      <w:pPr>
        <w:pStyle w:val="6"/>
        <w:numPr>
          <w:ilvl w:val="0"/>
          <w:numId w:val="1"/>
        </w:numPr>
        <w:adjustRightInd w:val="0"/>
        <w:snapToGrid w:val="0"/>
        <w:spacing w:before="93" w:line="600" w:lineRule="exact"/>
        <w:ind w:left="1152" w:leftChars="0" w:hanging="480" w:firstLineChars="0"/>
        <w:outlineLvl w:val="9"/>
        <w:rPr>
          <w:rFonts w:hint="eastAsia" w:ascii="Times New Roman" w:hAnsi="Times New Roman" w:eastAsia="仿宋_GB2312" w:cs="仿宋_GB2312"/>
          <w:color w:val="auto"/>
          <w:sz w:val="32"/>
          <w:szCs w:val="32"/>
          <w:highlight w:val="none"/>
        </w:rPr>
      </w:pPr>
      <w:bookmarkStart w:id="17" w:name="_Toc15306276"/>
      <w:bookmarkStart w:id="18" w:name="_Toc15378449"/>
      <w:bookmarkStart w:id="19" w:name="_Toc15377202"/>
      <w:bookmarkStart w:id="20" w:name="_Toc15377433"/>
      <w:r>
        <w:rPr>
          <w:rFonts w:hint="eastAsia" w:ascii="Times New Roman" w:hAnsi="Times New Roman" w:eastAsia="仿宋_GB2312" w:cs="仿宋_GB2312"/>
          <w:color w:val="auto"/>
          <w:sz w:val="32"/>
          <w:szCs w:val="32"/>
          <w:highlight w:val="none"/>
        </w:rPr>
        <w:t>阿坝州民族宗教政策研究中心</w:t>
      </w:r>
      <w:bookmarkEnd w:id="17"/>
      <w:bookmarkEnd w:id="18"/>
      <w:bookmarkEnd w:id="19"/>
      <w:bookmarkEnd w:id="20"/>
      <w:bookmarkStart w:id="21" w:name="_Toc15377203"/>
      <w:bookmarkStart w:id="22" w:name="_Toc15377434"/>
      <w:bookmarkStart w:id="23" w:name="_Toc15378450"/>
      <w:bookmarkStart w:id="24" w:name="_Toc15306277"/>
      <w:r>
        <w:rPr>
          <w:rFonts w:hint="eastAsia" w:ascii="Times New Roman" w:cs="仿宋_GB2312"/>
          <w:color w:val="auto"/>
          <w:sz w:val="32"/>
          <w:szCs w:val="32"/>
          <w:highlight w:val="none"/>
          <w:lang w:eastAsia="zh-CN"/>
        </w:rPr>
        <w:t>；</w:t>
      </w:r>
    </w:p>
    <w:p w14:paraId="5F3D6FB8">
      <w:pPr>
        <w:pStyle w:val="6"/>
        <w:numPr>
          <w:ilvl w:val="0"/>
          <w:numId w:val="1"/>
        </w:numPr>
        <w:adjustRightInd w:val="0"/>
        <w:snapToGrid w:val="0"/>
        <w:spacing w:before="93" w:line="600" w:lineRule="exact"/>
        <w:ind w:left="1152" w:leftChars="0" w:hanging="480" w:firstLineChars="0"/>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阿坝州宗教事务培训教育中心</w:t>
      </w:r>
      <w:bookmarkEnd w:id="21"/>
      <w:bookmarkEnd w:id="22"/>
      <w:bookmarkEnd w:id="23"/>
      <w:bookmarkEnd w:id="24"/>
      <w:r>
        <w:rPr>
          <w:rFonts w:hint="eastAsia" w:ascii="Times New Roman" w:cs="仿宋_GB2312"/>
          <w:color w:val="auto"/>
          <w:sz w:val="32"/>
          <w:szCs w:val="32"/>
          <w:highlight w:val="none"/>
          <w:lang w:eastAsia="zh-CN"/>
        </w:rPr>
        <w:t>；</w:t>
      </w:r>
    </w:p>
    <w:p w14:paraId="7850D86F">
      <w:pPr>
        <w:pStyle w:val="6"/>
        <w:numPr>
          <w:ilvl w:val="0"/>
          <w:numId w:val="1"/>
        </w:numPr>
        <w:adjustRightInd w:val="0"/>
        <w:snapToGrid w:val="0"/>
        <w:spacing w:before="93" w:line="600" w:lineRule="exact"/>
        <w:ind w:left="1152" w:leftChars="0" w:hanging="480" w:firstLineChars="0"/>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阿坝州涉宗网络监管中心。</w:t>
      </w:r>
    </w:p>
    <w:p w14:paraId="163E966D">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3B2F5DAD">
      <w:pPr>
        <w:pStyle w:val="3"/>
        <w:jc w:val="center"/>
        <w:rPr>
          <w:rFonts w:hint="eastAsia" w:ascii="Times New Roman" w:hAnsi="Times New Roman" w:eastAsia="方正小标宋简体" w:cs="方正小标宋简体"/>
          <w:b w:val="0"/>
          <w:color w:val="auto"/>
          <w:highlight w:val="none"/>
        </w:rPr>
      </w:pPr>
      <w:bookmarkStart w:id="25" w:name="_Toc14369"/>
      <w:bookmarkStart w:id="26" w:name="_Toc15396602"/>
      <w:bookmarkStart w:id="2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25"/>
      <w:bookmarkEnd w:id="26"/>
      <w:bookmarkEnd w:id="27"/>
    </w:p>
    <w:p w14:paraId="12CE6DD4">
      <w:pPr>
        <w:rPr>
          <w:rFonts w:ascii="Times New Roman" w:hAnsi="Times New Roman"/>
          <w:color w:val="auto"/>
          <w:highlight w:val="none"/>
        </w:rPr>
      </w:pPr>
    </w:p>
    <w:p w14:paraId="0C63177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Style w:val="29"/>
          <w:rFonts w:hint="eastAsia" w:ascii="Times New Roman" w:hAnsi="Times New Roman" w:eastAsia="黑体"/>
          <w:b w:val="0"/>
          <w:color w:val="auto"/>
          <w:highlight w:val="none"/>
        </w:rPr>
      </w:pPr>
      <w:bookmarkStart w:id="28" w:name="_Toc15396603"/>
      <w:bookmarkStart w:id="29" w:name="_Toc3609"/>
      <w:bookmarkStart w:id="30"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8"/>
      <w:bookmarkEnd w:id="29"/>
      <w:bookmarkEnd w:id="30"/>
    </w:p>
    <w:p w14:paraId="6B24999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default" w:ascii="Times New Roman" w:hAnsi="Times New Roman" w:eastAsia="仿宋_GB2312" w:cs="Times New Roman"/>
          <w:color w:val="auto"/>
          <w:sz w:val="32"/>
          <w:szCs w:val="32"/>
          <w:highlight w:val="none"/>
          <w:lang w:bidi="ar-SA"/>
        </w:rPr>
        <w:pict>
          <v:shape id="_x0000_s1026" o:spid="_x0000_s1026" o:spt="75" type="#_x0000_t75" style="position:absolute;left:0pt;margin-left:8.85pt;margin-top:99pt;height:164.5pt;width:405.25pt;mso-wrap-distance-bottom:0pt;mso-wrap-distance-left:9pt;mso-wrap-distance-right:9pt;mso-wrap-distance-top:0pt;z-index:251662336;mso-width-relative:page;mso-height-relative:page;" o:ole="t" filled="f" o:preferrelative="t" stroked="f" coordsize="21600,21600">
            <v:path/>
            <v:fill on="f" focussize="0,0"/>
            <v:stroke on="f"/>
            <v:imagedata r:id="rId11" o:title=""/>
            <o:lock v:ext="edit" aspectratio="t"/>
            <w10:wrap type="square"/>
          </v:shape>
          <o:OLEObject Type="Embed" ProgID="Excel.Chart.8" ShapeID="_x0000_s1026" DrawAspect="Content" ObjectID="_1468075725" r:id="rId10">
            <o:LockedField>false</o:LockedField>
          </o:OLEObject>
        </w:pict>
      </w:r>
      <w:r>
        <w:rPr>
          <w:rFonts w:hint="eastAsia" w:eastAsia="仿宋_GB2312" w:cs="仿宋_GB2312"/>
          <w:color w:val="auto"/>
          <w:sz w:val="32"/>
          <w:szCs w:val="32"/>
          <w:highlight w:val="none"/>
          <w:lang w:eastAsia="zh-CN"/>
        </w:rPr>
        <w:t>2025 年度收入、支出总计均为 219.50 万元。与 2024 年度相比，收入、支出总计各增加 28.40 万元，增长 14.9%。主要变动原因是人员新增及工资标准调整，人员经费增加。</w: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40AC9EC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494EFDD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Fonts w:hint="eastAsia" w:ascii="Times New Roman" w:hAnsi="Times New Roman" w:eastAsia="黑体"/>
          <w:color w:val="auto"/>
          <w:sz w:val="32"/>
          <w:szCs w:val="32"/>
          <w:highlight w:val="none"/>
          <w:lang w:eastAsia="zh-CN"/>
        </w:rPr>
      </w:pPr>
      <w:bookmarkStart w:id="31" w:name="_Toc15396604"/>
      <w:bookmarkStart w:id="32" w:name="_Toc5940"/>
      <w:bookmarkStart w:id="33" w:name="_Toc15377206"/>
      <w:r>
        <w:rPr>
          <w:rFonts w:hint="eastAsia" w:ascii="Times New Roman" w:hAnsi="Times New Roman" w:eastAsia="黑体"/>
          <w:color w:val="auto"/>
          <w:sz w:val="32"/>
          <w:szCs w:val="32"/>
          <w:highlight w:val="none"/>
          <w:lang w:eastAsia="zh-CN"/>
        </w:rPr>
        <w:t>二、收入决算情况说明</w:t>
      </w:r>
      <w:bookmarkEnd w:id="31"/>
      <w:bookmarkEnd w:id="32"/>
      <w:bookmarkEnd w:id="33"/>
    </w:p>
    <w:p w14:paraId="5AB98F7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 年度本年收入合计 219.50 万元，其中：一般公共预算财政拨款收入 219.50 万元，占 100%；政府性基金预算财政拨款收入 0 万元，占 0%；国有资本经营预算财政拨款收入 0 万元，占 0%；上级补助收入 0 万元，占 0%；事业收入 0 万元，占 0%；经营收入 0 万元，占 0%；附属单位上缴收入 0 万元，占 0%；其他收入 0 万元，占 0%。</w:t>
      </w:r>
      <w:r>
        <w:rPr>
          <w:rFonts w:hint="eastAsia" w:ascii="Times New Roman" w:hAnsi="Times New Roman" w:eastAsia="仿宋_GB2312" w:cs="仿宋_GB2312"/>
          <w:b/>
          <w:bCs/>
          <w:color w:val="auto"/>
          <w:sz w:val="32"/>
          <w:szCs w:val="32"/>
          <w:highlight w:val="none"/>
          <w:lang w:eastAsia="zh-CN"/>
        </w:rPr>
        <w:t>（注：仅罗列本部门涉及的收入）</w:t>
      </w:r>
    </w:p>
    <w:p w14:paraId="7446585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left"/>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b/>
          <w:bCs/>
          <w:sz w:val="32"/>
          <w:szCs w:val="32"/>
        </w:rPr>
        <w:drawing>
          <wp:anchor distT="0" distB="0" distL="85090" distR="85090" simplePos="0" relativeHeight="251663360" behindDoc="0" locked="0" layoutInCell="1" allowOverlap="1">
            <wp:simplePos x="0" y="0"/>
            <wp:positionH relativeFrom="column">
              <wp:posOffset>251460</wp:posOffset>
            </wp:positionH>
            <wp:positionV relativeFrom="page">
              <wp:posOffset>774065</wp:posOffset>
            </wp:positionV>
            <wp:extent cx="4950460" cy="2241550"/>
            <wp:effectExtent l="57150" t="13970" r="59690" b="125730"/>
            <wp:wrapSquare wrapText="bothSides"/>
            <wp:docPr id="8"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8D17CD8">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25DA2BDC">
      <w:pPr>
        <w:ind w:firstLine="800" w:firstLineChars="250"/>
        <w:rPr>
          <w:rFonts w:hint="eastAsia" w:ascii="Times New Roman" w:hAnsi="Times New Roman" w:eastAsia="仿宋_GB2312" w:cs="仿宋_GB2312"/>
          <w:color w:val="auto"/>
          <w:sz w:val="32"/>
          <w:szCs w:val="32"/>
          <w:highlight w:val="none"/>
          <w:lang w:eastAsia="zh-CN"/>
        </w:rPr>
      </w:pPr>
    </w:p>
    <w:p w14:paraId="0324447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Style w:val="29"/>
          <w:rFonts w:hint="eastAsia" w:ascii="Times New Roman" w:hAnsi="Times New Roman" w:eastAsia="黑体"/>
          <w:b w:val="0"/>
          <w:color w:val="auto"/>
          <w:highlight w:val="none"/>
        </w:rPr>
      </w:pPr>
      <w:bookmarkStart w:id="34" w:name="_Toc15377207"/>
      <w:bookmarkStart w:id="35" w:name="_Toc27982"/>
      <w:bookmarkStart w:id="36"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34"/>
      <w:bookmarkEnd w:id="35"/>
      <w:bookmarkEnd w:id="36"/>
    </w:p>
    <w:p w14:paraId="3520345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outlineLvl w:val="9"/>
        <w:rPr>
          <w:rFonts w:hint="eastAsia" w:ascii="Times New Roman" w:hAnsi="Times New Roman" w:eastAsia="仿宋_GB2312" w:cs="仿宋_GB2312"/>
          <w:b/>
          <w:bCs/>
          <w:color w:val="auto"/>
          <w:sz w:val="32"/>
          <w:szCs w:val="32"/>
          <w:highlight w:val="none"/>
          <w:lang w:eastAsia="zh-CN"/>
        </w:rPr>
      </w:pPr>
      <w:r>
        <w:rPr>
          <w:rFonts w:hint="default" w:ascii="仿宋_GB2312" w:hAnsi="仿宋_GB2312" w:eastAsia="仿宋_GB2312" w:cs="仿宋_GB2312"/>
          <w:color w:val="auto"/>
          <w:sz w:val="32"/>
          <w:szCs w:val="32"/>
          <w:highlight w:val="none"/>
          <w:lang w:eastAsia="zh-CN"/>
        </w:rPr>
        <w:drawing>
          <wp:anchor distT="0" distB="0" distL="85090" distR="85090" simplePos="0" relativeHeight="251664384" behindDoc="0" locked="0" layoutInCell="1" allowOverlap="1">
            <wp:simplePos x="0" y="0"/>
            <wp:positionH relativeFrom="column">
              <wp:posOffset>127000</wp:posOffset>
            </wp:positionH>
            <wp:positionV relativeFrom="page">
              <wp:posOffset>6710045</wp:posOffset>
            </wp:positionV>
            <wp:extent cx="5095240" cy="2315210"/>
            <wp:effectExtent l="57150" t="13970" r="67310" b="109220"/>
            <wp:wrapTopAndBottom/>
            <wp:docPr id="11"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default" w:ascii="仿宋_GB2312" w:hAnsi="仿宋_GB2312" w:eastAsia="仿宋_GB2312" w:cs="仿宋_GB2312"/>
          <w:color w:val="auto"/>
          <w:sz w:val="32"/>
          <w:szCs w:val="32"/>
          <w:highlight w:val="none"/>
          <w:lang w:eastAsia="zh-CN"/>
        </w:rPr>
        <w:t>2025 年度本年支出合计 219.50 万元，其中：基本支出 219.50 万元，占 100%；项目支出 0 万元，占 0%；上缴上级支出 0 万元，占 0%；经营支出 0 万元，占 0%；对附属单位补助支出 0 万元，占 0%。</w:t>
      </w:r>
      <w:r>
        <w:rPr>
          <w:rFonts w:hint="eastAsia" w:ascii="Times New Roman" w:hAnsi="Times New Roman" w:eastAsia="仿宋_GB2312" w:cs="仿宋_GB2312"/>
          <w:b/>
          <w:bCs/>
          <w:color w:val="auto"/>
          <w:sz w:val="32"/>
          <w:szCs w:val="32"/>
          <w:highlight w:val="none"/>
          <w:lang w:eastAsia="zh-CN"/>
        </w:rPr>
        <w:t>（注：仅罗列本部门涉及的支出）</w:t>
      </w:r>
    </w:p>
    <w:p w14:paraId="63292BC5">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0ECC7220">
      <w:pPr>
        <w:ind w:firstLine="800" w:firstLineChars="250"/>
        <w:rPr>
          <w:rFonts w:hint="eastAsia" w:ascii="Times New Roman" w:hAnsi="Times New Roman" w:eastAsia="仿宋_GB2312" w:cs="仿宋_GB2312"/>
          <w:color w:val="auto"/>
          <w:sz w:val="32"/>
          <w:szCs w:val="32"/>
          <w:highlight w:val="none"/>
          <w:lang w:eastAsia="zh-CN"/>
        </w:rPr>
      </w:pPr>
    </w:p>
    <w:p w14:paraId="0615826E">
      <w:pPr>
        <w:spacing w:line="600" w:lineRule="exact"/>
        <w:ind w:firstLine="640" w:firstLineChars="200"/>
        <w:outlineLvl w:val="0"/>
        <w:rPr>
          <w:rStyle w:val="29"/>
          <w:rFonts w:ascii="Times New Roman" w:hAnsi="Times New Roman" w:eastAsia="黑体"/>
          <w:b w:val="0"/>
          <w:color w:val="auto"/>
          <w:highlight w:val="none"/>
        </w:rPr>
      </w:pPr>
      <w:bookmarkStart w:id="37" w:name="_Toc15377208"/>
      <w:bookmarkStart w:id="38" w:name="_Toc15396606"/>
      <w:bookmarkStart w:id="39" w:name="_Toc8047"/>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37"/>
      <w:bookmarkEnd w:id="38"/>
      <w:bookmarkEnd w:id="39"/>
    </w:p>
    <w:p w14:paraId="3B5A99EA">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 年度财政拨款收入、支出总计均为 219.50 万元。与 2024 年度相比，财政拨款收入总计、支出总计各增加 28.40 万元，增长 14.9%。主要变动原因是人员新增及工资标准调整，人员经费增加。</w:t>
      </w:r>
    </w:p>
    <w:p w14:paraId="18AC4397">
      <w:pPr>
        <w:spacing w:line="600" w:lineRule="exact"/>
        <w:rPr>
          <w:rFonts w:hint="eastAsia"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sz w:val="32"/>
          <w:szCs w:val="32"/>
          <w:highlight w:val="none"/>
          <w:lang w:bidi="ar-SA"/>
        </w:rPr>
        <w:pict>
          <v:shape id="_x0000_s1027" o:spid="_x0000_s1027" o:spt="75" type="#_x0000_t75" style="position:absolute;left:0pt;margin-left:6.35pt;margin-top:14.35pt;height:176pt;width:405.25pt;mso-wrap-distance-bottom:0pt;mso-wrap-distance-left:9pt;mso-wrap-distance-right:9pt;mso-wrap-distance-top:0pt;z-index:251665408;mso-width-relative:page;mso-height-relative:page;" o:ole="t" filled="f" o:preferrelative="t" stroked="f" coordsize="21600,21600">
            <v:path/>
            <v:fill on="f" focussize="0,0"/>
            <v:stroke on="f"/>
            <v:imagedata r:id="rId15" o:title=""/>
            <o:lock v:ext="edit" aspectratio="t"/>
            <w10:wrap type="square"/>
          </v:shape>
          <o:OLEObject Type="Embed" ProgID="Excel.Chart.8" ShapeID="_x0000_s1027" DrawAspect="Content" ObjectID="_1468075726" r:id="rId14">
            <o:LockedField>false</o:LockedField>
          </o:OLEObject>
        </w:pict>
      </w:r>
    </w:p>
    <w:p w14:paraId="6C88A9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93F9894">
      <w:pPr>
        <w:spacing w:line="600" w:lineRule="exact"/>
        <w:ind w:firstLine="640" w:firstLineChars="200"/>
        <w:outlineLvl w:val="0"/>
        <w:rPr>
          <w:rStyle w:val="29"/>
          <w:rFonts w:ascii="Times New Roman" w:hAnsi="Times New Roman" w:eastAsia="黑体"/>
          <w:b w:val="0"/>
          <w:color w:val="auto"/>
          <w:highlight w:val="none"/>
        </w:rPr>
      </w:pPr>
      <w:bookmarkStart w:id="40" w:name="_Toc15377209"/>
      <w:bookmarkStart w:id="41" w:name="_Toc15396607"/>
      <w:bookmarkStart w:id="42" w:name="_Toc452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40"/>
      <w:bookmarkEnd w:id="41"/>
      <w:bookmarkEnd w:id="42"/>
    </w:p>
    <w:p w14:paraId="51E59A3F">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4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3"/>
    </w:p>
    <w:p w14:paraId="0184FE0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 年度一般公共预算财政拨款支出 219.50 万元，占本年支出合计的 100%。与 2024 年度相比，一般公共预算财政拨款支出增加 28.40 万元，增长 14.9%。主要变动原因是人员新增及工资标准调整，人员经费增加。</w:t>
      </w:r>
    </w:p>
    <w:p w14:paraId="39EA6F5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1694B7A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41E5BFC6">
      <w:pPr>
        <w:keepNext w:val="0"/>
        <w:keepLines w:val="0"/>
        <w:pageBreakBefore w:val="0"/>
        <w:widowControl w:val="0"/>
        <w:kinsoku/>
        <w:wordWrap/>
        <w:overflowPunct/>
        <w:topLinePunct w:val="0"/>
        <w:autoSpaceDE/>
        <w:autoSpaceDN/>
        <w:bidi w:val="0"/>
        <w:adjustRightInd/>
        <w:snapToGrid/>
        <w:spacing w:line="30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sz w:val="32"/>
          <w:szCs w:val="32"/>
          <w:highlight w:val="none"/>
          <w:lang w:bidi="ar-SA"/>
        </w:rPr>
        <w:pict>
          <v:shape id="_x0000_s1028" o:spid="_x0000_s1028" o:spt="75" type="#_x0000_t75" style="position:absolute;left:0pt;margin-left:4.45pt;margin-top:-18.4pt;height:180.05pt;width:401.55pt;mso-wrap-distance-bottom:0pt;mso-wrap-distance-left:9pt;mso-wrap-distance-right:9pt;mso-wrap-distance-top:0pt;z-index:251666432;mso-width-relative:page;mso-height-relative:page;" o:ole="t" filled="f" o:preferrelative="t" stroked="f" coordsize="21600,21600">
            <v:path/>
            <v:fill on="f" focussize="0,0"/>
            <v:stroke on="f"/>
            <v:imagedata r:id="rId17" o:title=""/>
            <o:lock v:ext="edit" aspectratio="t"/>
            <w10:wrap type="square"/>
          </v:shape>
          <o:OLEObject Type="Embed" ProgID="Excel.Chart.8" ShapeID="_x0000_s1028" DrawAspect="Content" ObjectID="_1468075727" r:id="rId16">
            <o:LockedField>false</o:LockedField>
          </o:OLEObject>
        </w:pict>
      </w:r>
    </w:p>
    <w:p w14:paraId="16BB2F8E">
      <w:pPr>
        <w:spacing w:line="600" w:lineRule="exact"/>
        <w:rPr>
          <w:rFonts w:hint="eastAsia" w:ascii="Times New Roman" w:hAnsi="Times New Roman" w:eastAsia="仿宋_GB2312" w:cs="仿宋_GB2312"/>
          <w:color w:val="auto"/>
          <w:kern w:val="2"/>
          <w:sz w:val="30"/>
          <w:szCs w:val="30"/>
          <w:highlight w:val="none"/>
          <w:lang w:val="en-US" w:eastAsia="zh-CN" w:bidi="ar-SA"/>
        </w:rPr>
      </w:pPr>
      <w:r>
        <w:rPr>
          <w:rFonts w:hint="eastAsia" w:ascii="Times New Roman" w:hAnsi="Times New Roman" w:eastAsia="仿宋_GB2312" w:cs="仿宋_GB2312"/>
          <w:color w:val="auto"/>
          <w:kern w:val="2"/>
          <w:sz w:val="30"/>
          <w:szCs w:val="30"/>
          <w:highlight w:val="none"/>
          <w:lang w:val="en-US" w:eastAsia="zh-CN" w:bidi="ar-SA"/>
        </w:rPr>
        <w:t>（图5：一般公共预算财政拨款支出决算变动情况）（柱状图）</w:t>
      </w:r>
    </w:p>
    <w:p w14:paraId="63564877">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4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4"/>
    </w:p>
    <w:p w14:paraId="0B05886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2025 年度一般公共预算财政拨款支出 219.50 万元，主要用于以下方面：一般公共服务支出 160.83 万元，占 73.3%；教育支出 0 万元，占 0%；科学技术支出 0 万元，占 0%；文化旅游体育与传媒支出 0 万元，占 0%；社会保障和就业支出 30.85 万元，占 14.1%；卫生健康支出 11.42 万元，占 5.2%；住房保障支出 16.40 万元，占 7.4%。</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67BAEB3C">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drawing>
          <wp:anchor distT="0" distB="0" distL="85090" distR="85090" simplePos="0" relativeHeight="251667456" behindDoc="0" locked="0" layoutInCell="1" allowOverlap="1">
            <wp:simplePos x="0" y="0"/>
            <wp:positionH relativeFrom="column">
              <wp:posOffset>64135</wp:posOffset>
            </wp:positionH>
            <wp:positionV relativeFrom="page">
              <wp:posOffset>6922770</wp:posOffset>
            </wp:positionV>
            <wp:extent cx="5161280" cy="2288540"/>
            <wp:effectExtent l="57150" t="13970" r="58420" b="116840"/>
            <wp:wrapTopAndBottom/>
            <wp:docPr id="1"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209454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C3D5BED">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4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5"/>
    </w:p>
    <w:p w14:paraId="1861FCC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 年度一般公共预算财政拨款支出决算数为 219.50 万元，完成预算 100%。其中：</w:t>
      </w:r>
    </w:p>
    <w:p w14:paraId="3847364B">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 一般公共服务（类）民族事务（款）事业运行（项）: 支出决算为 160.83 万元，完成预算 100%。</w:t>
      </w:r>
    </w:p>
    <w:p w14:paraId="77D6BE0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 社会保障和就业（类）行政事业单位养老支出（款）机关事业单位养老保险缴费（项）: 支出决算为 20.57 万元，完成预算 100%。</w:t>
      </w:r>
    </w:p>
    <w:p w14:paraId="6CA9610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 社会保障和就业（类）行政事业单位养老支出（款）机关事业单位职业年金缴费（项）: 支出决算为 10.28 万元，完成预算 100%。</w:t>
      </w:r>
    </w:p>
    <w:p w14:paraId="715A5B9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 卫生健康（类）行政事业单位医疗（款）事业单位医疗（项）: 支出决算为 11.42 万元，完成预算 100%。</w:t>
      </w:r>
    </w:p>
    <w:p w14:paraId="6588F9C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 住房保障（类）住房改革支出（款）住房公积金（项）: 支出决算为 16.40 万元，完成预算 100%。</w:t>
      </w:r>
    </w:p>
    <w:p w14:paraId="4EFECAD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637DD2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D8643B6">
      <w:pPr>
        <w:tabs>
          <w:tab w:val="right" w:pos="8306"/>
        </w:tabs>
        <w:spacing w:line="600" w:lineRule="exact"/>
        <w:ind w:firstLine="640" w:firstLineChars="0"/>
        <w:outlineLvl w:val="0"/>
        <w:rPr>
          <w:rStyle w:val="29"/>
          <w:rFonts w:ascii="Times New Roman" w:hAnsi="Times New Roman"/>
          <w:color w:val="auto"/>
          <w:highlight w:val="none"/>
        </w:rPr>
      </w:pPr>
      <w:bookmarkStart w:id="46" w:name="_Toc15377214"/>
      <w:bookmarkStart w:id="47" w:name="_Toc15396608"/>
      <w:bookmarkStart w:id="48" w:name="_Toc28497"/>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6"/>
      <w:bookmarkEnd w:id="47"/>
      <w:bookmarkEnd w:id="48"/>
      <w:r>
        <w:rPr>
          <w:rStyle w:val="29"/>
          <w:rFonts w:ascii="Times New Roman" w:hAnsi="Times New Roman" w:eastAsia="黑体"/>
          <w:b w:val="0"/>
          <w:color w:val="auto"/>
          <w:highlight w:val="none"/>
        </w:rPr>
        <w:tab/>
      </w:r>
    </w:p>
    <w:p w14:paraId="237347B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 年度一般公共预算财政拨款基本支出 219.50 万元，其中：</w:t>
      </w:r>
    </w:p>
    <w:p w14:paraId="31629EB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人员经费 208.40 万元，主要包括：基本工资、津贴补贴、奖金、绩效工资、机关事业单位基本养老保险缴费、职业年金缴费、职工基本医疗保险缴费、其他社会保障缴费、住房公积金。　　</w:t>
      </w:r>
    </w:p>
    <w:p w14:paraId="2E7DCEA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公用经费 11.11 万元，主要包括：办公费、电费、邮电费、差旅费、租赁费、培训费、公务接待费、福利费、其他商品和服务支出。</w:t>
      </w:r>
    </w:p>
    <w:p w14:paraId="20B17F6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7196D4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8E416D4">
      <w:pPr>
        <w:spacing w:line="600" w:lineRule="exact"/>
        <w:ind w:firstLine="640" w:firstLineChars="0"/>
        <w:outlineLvl w:val="0"/>
        <w:rPr>
          <w:rStyle w:val="29"/>
          <w:rFonts w:ascii="Times New Roman" w:hAnsi="Times New Roman" w:eastAsia="黑体"/>
          <w:b w:val="0"/>
          <w:color w:val="auto"/>
          <w:highlight w:val="none"/>
        </w:rPr>
      </w:pPr>
      <w:bookmarkStart w:id="49" w:name="_Toc15396609"/>
      <w:bookmarkStart w:id="50" w:name="_Toc15377215"/>
      <w:bookmarkStart w:id="51" w:name="_Toc3784"/>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9"/>
      <w:bookmarkEnd w:id="50"/>
      <w:bookmarkEnd w:id="51"/>
    </w:p>
    <w:p w14:paraId="028D12DB">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5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52"/>
    </w:p>
    <w:p w14:paraId="6140D4C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 年度 “三公” 经费财政拨款支出决算为 0.22 万元，完成预算 100%，较上年度增加 0.22 万元。决算数与预算数持平的主要原因是严格按照预算安排公务接待支出，从严控制 “三公” 经费规模。</w:t>
      </w:r>
    </w:p>
    <w:p w14:paraId="3BAA37A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w:t>
      </w:r>
    </w:p>
    <w:p w14:paraId="6FCE5E4C">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53"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53"/>
    </w:p>
    <w:p w14:paraId="050CFE3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 年度 “三公” 经费财政拨款支出决算中，因公出国（境）费支出决算 0 万元，占 0%；公务用车购置及运行维护费支出决算 0 万元，占 0%；公务接待费支出决算 0.22 万元，占 100%。具体情况如下：</w:t>
      </w:r>
    </w:p>
    <w:p w14:paraId="04F29E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cs="Times New Roman"/>
          <w:highlight w:val="none"/>
        </w:rPr>
        <w:drawing>
          <wp:anchor distT="0" distB="0" distL="85090" distR="85090" simplePos="0" relativeHeight="251668480" behindDoc="0" locked="0" layoutInCell="1" allowOverlap="1">
            <wp:simplePos x="0" y="0"/>
            <wp:positionH relativeFrom="column">
              <wp:posOffset>40005</wp:posOffset>
            </wp:positionH>
            <wp:positionV relativeFrom="page">
              <wp:posOffset>563880</wp:posOffset>
            </wp:positionV>
            <wp:extent cx="5240655" cy="2355850"/>
            <wp:effectExtent l="4445" t="4445" r="12700" b="59055"/>
            <wp:wrapTopAndBottom/>
            <wp:docPr id="2" name="对象" descr="7b0a202020202263686172745265734964223a20223230343736373530220a7d0a"/>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35CCF5E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sz w:val="32"/>
          <w:szCs w:val="32"/>
          <w:highlight w:val="none"/>
        </w:rPr>
        <w:t>主要原因是</w:t>
      </w:r>
      <w:r>
        <w:rPr>
          <w:rFonts w:hint="default" w:ascii="Times New Roman" w:hAnsi="Times New Roman" w:eastAsia="仿宋_GB2312" w:cs="Times New Roman"/>
          <w:sz w:val="32"/>
          <w:szCs w:val="32"/>
          <w:highlight w:val="none"/>
          <w:lang w:eastAsia="zh-CN"/>
        </w:rPr>
        <w:t>我单位</w:t>
      </w:r>
      <w:r>
        <w:rPr>
          <w:rFonts w:hint="eastAsia" w:eastAsia="仿宋_GB2312" w:cs="Times New Roman"/>
          <w:sz w:val="32"/>
          <w:szCs w:val="32"/>
          <w:highlight w:val="none"/>
          <w:lang w:val="en-US" w:eastAsia="zh-CN"/>
        </w:rPr>
        <w:t>2025</w:t>
      </w:r>
      <w:r>
        <w:rPr>
          <w:rFonts w:hint="default" w:ascii="Times New Roman" w:hAnsi="Times New Roman" w:eastAsia="仿宋_GB2312" w:cs="Times New Roman"/>
          <w:sz w:val="32"/>
          <w:szCs w:val="32"/>
          <w:highlight w:val="none"/>
          <w:lang w:val="en-US" w:eastAsia="zh-CN"/>
        </w:rPr>
        <w:t>年度</w:t>
      </w:r>
      <w:r>
        <w:rPr>
          <w:rFonts w:hint="default" w:ascii="Times New Roman" w:hAnsi="Times New Roman" w:eastAsia="仿宋_GB2312" w:cs="Times New Roman"/>
          <w:sz w:val="32"/>
          <w:szCs w:val="32"/>
          <w:highlight w:val="none"/>
        </w:rPr>
        <w:t>因公出国（境）经费支出</w:t>
      </w:r>
      <w:r>
        <w:rPr>
          <w:rFonts w:hint="default" w:ascii="Times New Roman" w:hAnsi="Times New Roman" w:eastAsia="仿宋_GB2312" w:cs="Times New Roman"/>
          <w:sz w:val="32"/>
          <w:szCs w:val="32"/>
          <w:highlight w:val="none"/>
          <w:lang w:val="en-US" w:eastAsia="zh-CN"/>
        </w:rPr>
        <w:t>为0</w:t>
      </w:r>
      <w:r>
        <w:rPr>
          <w:rFonts w:hint="eastAsia" w:eastAsia="仿宋_GB2312" w:cs="Times New Roman"/>
          <w:sz w:val="32"/>
          <w:szCs w:val="32"/>
          <w:highlight w:val="none"/>
          <w:lang w:val="en-US" w:eastAsia="zh-CN"/>
        </w:rPr>
        <w:t>万元，与2024年度持平</w:t>
      </w:r>
      <w:r>
        <w:rPr>
          <w:rFonts w:hint="default" w:ascii="Times New Roman" w:hAnsi="Times New Roman" w:eastAsia="仿宋_GB2312" w:cs="Times New Roman"/>
          <w:sz w:val="32"/>
          <w:szCs w:val="32"/>
          <w:highlight w:val="none"/>
        </w:rPr>
        <w:t>。</w:t>
      </w:r>
    </w:p>
    <w:p w14:paraId="33895534">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p>
    <w:p w14:paraId="6FDBF993">
      <w:pPr>
        <w:spacing w:line="600" w:lineRule="exact"/>
        <w:ind w:firstLine="640"/>
        <w:rPr>
          <w:rFonts w:hint="default" w:ascii="Times New Roman" w:hAnsi="Times New Roman" w:eastAsia="仿宋_GB2312" w:cs="Times New Roman"/>
          <w:b/>
          <w:sz w:val="32"/>
          <w:szCs w:val="32"/>
          <w:highlight w:val="none"/>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sz w:val="32"/>
          <w:szCs w:val="32"/>
          <w:highlight w:val="none"/>
        </w:rPr>
        <w:t>主要原因是我</w:t>
      </w:r>
      <w:r>
        <w:rPr>
          <w:rFonts w:hint="default" w:ascii="Times New Roman" w:hAnsi="Times New Roman" w:eastAsia="仿宋_GB2312" w:cs="Times New Roman"/>
          <w:sz w:val="32"/>
          <w:szCs w:val="32"/>
          <w:highlight w:val="none"/>
          <w:lang w:val="en-US" w:eastAsia="zh-CN"/>
        </w:rPr>
        <w:t>单位</w:t>
      </w:r>
      <w:r>
        <w:rPr>
          <w:rFonts w:hint="eastAsia" w:eastAsia="仿宋_GB2312" w:cs="Times New Roman"/>
          <w:sz w:val="32"/>
          <w:szCs w:val="32"/>
          <w:highlight w:val="none"/>
          <w:lang w:eastAsia="zh-CN"/>
        </w:rPr>
        <w:t>2025</w:t>
      </w:r>
      <w:r>
        <w:rPr>
          <w:rFonts w:hint="default" w:ascii="Times New Roman" w:hAnsi="Times New Roman" w:eastAsia="仿宋_GB2312" w:cs="Times New Roman"/>
          <w:sz w:val="32"/>
          <w:szCs w:val="32"/>
          <w:highlight w:val="none"/>
        </w:rPr>
        <w:t>年度公务用车购置及运行维护费</w:t>
      </w:r>
      <w:r>
        <w:rPr>
          <w:rFonts w:hint="default" w:ascii="Times New Roman" w:hAnsi="Times New Roman" w:eastAsia="仿宋_GB2312" w:cs="Times New Roman"/>
          <w:sz w:val="32"/>
          <w:szCs w:val="32"/>
          <w:highlight w:val="none"/>
          <w:lang w:val="en-US" w:eastAsia="zh-CN"/>
        </w:rPr>
        <w:t>为0</w:t>
      </w:r>
      <w:r>
        <w:rPr>
          <w:rFonts w:hint="eastAsia" w:eastAsia="仿宋_GB2312" w:cs="Times New Roman"/>
          <w:sz w:val="32"/>
          <w:szCs w:val="32"/>
          <w:highlight w:val="none"/>
          <w:lang w:val="en-US" w:eastAsia="zh-CN"/>
        </w:rPr>
        <w:t>万元，与2024年度持平</w:t>
      </w:r>
      <w:r>
        <w:rPr>
          <w:rFonts w:hint="default" w:ascii="Times New Roman" w:hAnsi="Times New Roman" w:eastAsia="仿宋_GB2312" w:cs="Times New Roman"/>
          <w:sz w:val="32"/>
          <w:szCs w:val="32"/>
          <w:highlight w:val="none"/>
        </w:rPr>
        <w:t>。</w:t>
      </w:r>
    </w:p>
    <w:p w14:paraId="6B2564B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eastAsia="仿宋_GB2312" w:cs="Times New Roman"/>
          <w:sz w:val="32"/>
          <w:szCs w:val="32"/>
          <w:highlight w:val="none"/>
          <w:lang w:eastAsia="zh-CN"/>
        </w:rPr>
        <w:t>与2024年</w:t>
      </w:r>
      <w:r>
        <w:rPr>
          <w:rFonts w:hint="eastAsia" w:eastAsia="仿宋_GB2312" w:cs="Times New Roman"/>
          <w:sz w:val="32"/>
          <w:szCs w:val="32"/>
          <w:highlight w:val="none"/>
          <w:lang w:val="en-US" w:eastAsia="zh-CN"/>
        </w:rPr>
        <w:t>度</w:t>
      </w:r>
      <w:r>
        <w:rPr>
          <w:rFonts w:hint="eastAsia" w:eastAsia="仿宋_GB2312" w:cs="Times New Roman"/>
          <w:sz w:val="32"/>
          <w:szCs w:val="32"/>
          <w:highlight w:val="none"/>
          <w:lang w:eastAsia="zh-CN"/>
        </w:rPr>
        <w:t>持平</w:t>
      </w:r>
      <w:r>
        <w:rPr>
          <w:rFonts w:hint="eastAsia" w:ascii="Times New Roman" w:hAnsi="Times New Roman" w:eastAsia="仿宋_GB2312" w:cs="仿宋_GB2312"/>
          <w:color w:val="auto"/>
          <w:kern w:val="2"/>
          <w:sz w:val="32"/>
          <w:szCs w:val="32"/>
          <w:highlight w:val="none"/>
          <w:lang w:val="en-US" w:eastAsia="zh-CN" w:bidi="ar-SA"/>
        </w:rPr>
        <w:t>。</w:t>
      </w:r>
    </w:p>
    <w:p w14:paraId="12169E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r>
        <w:rPr>
          <w:rFonts w:hint="eastAsia" w:eastAsia="仿宋_GB2312" w:cs="仿宋_GB2312"/>
          <w:color w:val="auto"/>
          <w:kern w:val="2"/>
          <w:sz w:val="32"/>
          <w:szCs w:val="32"/>
          <w:highlight w:val="none"/>
          <w:lang w:val="en-US" w:eastAsia="zh-CN" w:bidi="ar-SA"/>
        </w:rPr>
        <w:t>为0万元，与2024年度持平</w:t>
      </w:r>
      <w:r>
        <w:rPr>
          <w:rFonts w:hint="eastAsia" w:ascii="Times New Roman" w:hAnsi="Times New Roman" w:eastAsia="仿宋_GB2312" w:cs="仿宋_GB2312"/>
          <w:color w:val="auto"/>
          <w:kern w:val="2"/>
          <w:sz w:val="32"/>
          <w:szCs w:val="32"/>
          <w:highlight w:val="none"/>
          <w:lang w:val="en-US" w:eastAsia="zh-CN" w:bidi="ar-SA"/>
        </w:rPr>
        <w:t>。</w:t>
      </w:r>
    </w:p>
    <w:p w14:paraId="411FCD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0.22万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增加0.22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增长100</w:t>
      </w:r>
      <w:r>
        <w:rPr>
          <w:rFonts w:hint="eastAsia" w:ascii="Times New Roman" w:hAnsi="Times New Roman" w:eastAsia="仿宋_GB2312" w:cs="仿宋_GB2312"/>
          <w:color w:val="auto"/>
          <w:kern w:val="2"/>
          <w:sz w:val="32"/>
          <w:szCs w:val="32"/>
          <w:highlight w:val="none"/>
          <w:lang w:val="en-US" w:eastAsia="zh-CN" w:bidi="ar-SA"/>
        </w:rPr>
        <w:t>%。主要原因是年度内开展民族宗教政策调研、业务交流等公务接待活动，同时认真贯彻落实党中央、国务院关于过紧日子的要求，厉行节约，从严控制 “三公” 经费开支。其中：</w:t>
      </w:r>
    </w:p>
    <w:p w14:paraId="1B3D08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元，我单位</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年度主要用于国内公务接待支出为</w:t>
      </w:r>
      <w:r>
        <w:rPr>
          <w:rFonts w:hint="eastAsia" w:eastAsia="仿宋_GB2312" w:cs="仿宋_GB2312"/>
          <w:color w:val="auto"/>
          <w:kern w:val="2"/>
          <w:sz w:val="32"/>
          <w:szCs w:val="32"/>
          <w:highlight w:val="none"/>
          <w:lang w:val="en-US" w:eastAsia="zh-CN" w:bidi="ar-SA"/>
        </w:rPr>
        <w:t>0.22万元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较2024</w:t>
      </w:r>
      <w:r>
        <w:rPr>
          <w:rFonts w:hint="eastAsia" w:ascii="Times New Roman" w:hAnsi="Times New Roman" w:eastAsia="仿宋_GB2312" w:cs="仿宋_GB2312"/>
          <w:color w:val="auto"/>
          <w:kern w:val="2"/>
          <w:sz w:val="32"/>
          <w:szCs w:val="32"/>
          <w:highlight w:val="none"/>
          <w:lang w:val="en-US" w:eastAsia="zh-CN" w:bidi="ar-SA"/>
        </w:rPr>
        <w:t>年度增长100%。国内公务接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color w:val="auto"/>
          <w:kern w:val="2"/>
          <w:sz w:val="32"/>
          <w:szCs w:val="32"/>
          <w:highlight w:val="none"/>
          <w:lang w:val="en-US" w:eastAsia="zh-CN" w:bidi="ar-SA"/>
        </w:rPr>
        <w:t>批次，13</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0.22</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民族宗教政策研究交流、工作调研等公务接待。</w:t>
      </w:r>
    </w:p>
    <w:p w14:paraId="06921D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万元，我单位2025年度主要用于外事接待支出为0万元，与2024年度持平。外事接待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p>
    <w:p w14:paraId="5A7651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4" w:name="_Toc15377218"/>
      <w:bookmarkStart w:id="55" w:name="_Toc15396610"/>
    </w:p>
    <w:p w14:paraId="5A576CE8">
      <w:pPr>
        <w:spacing w:line="600" w:lineRule="exact"/>
        <w:ind w:firstLine="640" w:firstLineChars="0"/>
        <w:outlineLvl w:val="0"/>
        <w:rPr>
          <w:rStyle w:val="29"/>
          <w:rFonts w:ascii="Times New Roman" w:hAnsi="Times New Roman" w:eastAsia="黑体"/>
          <w:color w:val="auto"/>
          <w:highlight w:val="none"/>
        </w:rPr>
      </w:pPr>
      <w:bookmarkStart w:id="56" w:name="_Toc18126"/>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54"/>
      <w:bookmarkEnd w:id="55"/>
      <w:bookmarkEnd w:id="56"/>
    </w:p>
    <w:p w14:paraId="3B04E93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BB93C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EF5772C">
      <w:pPr>
        <w:numPr>
          <w:ilvl w:val="0"/>
          <w:numId w:val="0"/>
        </w:numPr>
        <w:spacing w:line="600" w:lineRule="exact"/>
        <w:ind w:left="630" w:leftChars="0" w:firstLine="0" w:firstLineChars="0"/>
        <w:outlineLvl w:val="0"/>
        <w:rPr>
          <w:rStyle w:val="29"/>
          <w:rFonts w:ascii="Times New Roman" w:hAnsi="Times New Roman" w:eastAsia="黑体"/>
          <w:b w:val="0"/>
          <w:color w:val="auto"/>
          <w:highlight w:val="none"/>
        </w:rPr>
      </w:pPr>
      <w:bookmarkStart w:id="57" w:name="_Toc15396611"/>
      <w:bookmarkStart w:id="58" w:name="_Toc23659"/>
      <w:bookmarkStart w:id="59"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7"/>
      <w:bookmarkEnd w:id="58"/>
      <w:bookmarkEnd w:id="59"/>
    </w:p>
    <w:p w14:paraId="76A160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3C8813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D2EC8C3">
      <w:pPr>
        <w:numPr>
          <w:ilvl w:val="0"/>
          <w:numId w:val="0"/>
        </w:numPr>
        <w:spacing w:line="600" w:lineRule="exact"/>
        <w:ind w:left="630" w:leftChars="0" w:firstLine="0" w:firstLineChars="0"/>
        <w:outlineLvl w:val="0"/>
        <w:rPr>
          <w:rStyle w:val="29"/>
          <w:rFonts w:hint="eastAsia" w:ascii="Times New Roman" w:hAnsi="Times New Roman" w:eastAsia="黑体"/>
          <w:b w:val="0"/>
          <w:color w:val="auto"/>
          <w:highlight w:val="none"/>
        </w:rPr>
      </w:pPr>
      <w:bookmarkStart w:id="60" w:name="_Toc15377221"/>
      <w:bookmarkStart w:id="61" w:name="_Toc15396612"/>
      <w:bookmarkStart w:id="62" w:name="_Toc8124"/>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60"/>
      <w:bookmarkEnd w:id="61"/>
      <w:bookmarkEnd w:id="62"/>
    </w:p>
    <w:p w14:paraId="6DE69F22">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3" w:name="_Toc15377222"/>
      <w:r>
        <w:rPr>
          <w:rFonts w:hint="eastAsia" w:ascii="Times New Roman" w:hAnsi="Times New Roman" w:eastAsia="楷体_GB2312" w:cs="楷体_GB2312"/>
          <w:b/>
          <w:color w:val="auto"/>
          <w:sz w:val="32"/>
          <w:szCs w:val="32"/>
          <w:highlight w:val="none"/>
        </w:rPr>
        <w:t>（一）机关运行经费支出情况</w:t>
      </w:r>
      <w:bookmarkEnd w:id="63"/>
    </w:p>
    <w:p w14:paraId="1B7034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阿坝州民族宗教政策研究中心</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eastAsia="仿宋_GB2312" w:cs="仿宋_GB2312"/>
          <w:color w:val="auto"/>
          <w:kern w:val="2"/>
          <w:sz w:val="32"/>
          <w:szCs w:val="32"/>
          <w:highlight w:val="none"/>
          <w:lang w:val="en-US" w:eastAsia="zh-CN" w:bidi="ar-SA"/>
        </w:rPr>
        <w:t>我单位属于阿坝州民族宗教委下属正科级事业单位，因此无机关运行经费支出。</w:t>
      </w:r>
    </w:p>
    <w:p w14:paraId="4D111235">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4" w:name="_Toc15377223"/>
      <w:r>
        <w:rPr>
          <w:rFonts w:hint="eastAsia" w:ascii="Times New Roman" w:hAnsi="Times New Roman" w:eastAsia="楷体_GB2312" w:cs="楷体_GB2312"/>
          <w:b/>
          <w:color w:val="auto"/>
          <w:sz w:val="32"/>
          <w:szCs w:val="32"/>
          <w:highlight w:val="none"/>
        </w:rPr>
        <w:t>（二）政府采购支出情况</w:t>
      </w:r>
      <w:bookmarkEnd w:id="64"/>
    </w:p>
    <w:p w14:paraId="34023C7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阿坝州民族宗教政策研究中心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万元，与2024年持平。授予中小企业合同金额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593C6D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8B1BF0E">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5" w:name="_Toc15377224"/>
      <w:r>
        <w:rPr>
          <w:rFonts w:hint="eastAsia" w:ascii="Times New Roman" w:hAnsi="Times New Roman" w:eastAsia="楷体_GB2312" w:cs="楷体_GB2312"/>
          <w:b/>
          <w:color w:val="auto"/>
          <w:sz w:val="32"/>
          <w:szCs w:val="32"/>
          <w:highlight w:val="none"/>
        </w:rPr>
        <w:t>（三）国有资产占有使用情况</w:t>
      </w:r>
      <w:bookmarkEnd w:id="65"/>
    </w:p>
    <w:p w14:paraId="74DD37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阿坝州民族宗教政策研究中心</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主要原因是与阿坝州民族宗教委合署办公，国有资产由阿坝州民族宗教委统一管理并安排使用，因此无单独的国有资产占有使用情况。</w:t>
      </w:r>
    </w:p>
    <w:p w14:paraId="4B7544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A31282D">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93FE80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个项目开展绩效监控。我单位</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年度无项目支出预算，因此未设置项目支出绩效目标，第四部分附件绩效自评报表无数据。</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如不涉及，可根据实际修改表述。）</w:t>
      </w:r>
    </w:p>
    <w:p w14:paraId="5984DA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2DD6D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774EDD6">
      <w:pPr>
        <w:pStyle w:val="14"/>
        <w:rPr>
          <w:rFonts w:hint="eastAsia" w:ascii="Times New Roman" w:hAnsi="Times New Roman" w:eastAsia="仿宋_GB2312" w:cs="仿宋_GB2312"/>
          <w:color w:val="auto"/>
          <w:kern w:val="2"/>
          <w:sz w:val="32"/>
          <w:szCs w:val="32"/>
          <w:highlight w:val="none"/>
          <w:lang w:val="en-US" w:eastAsia="zh-CN" w:bidi="ar-SA"/>
        </w:rPr>
      </w:pPr>
    </w:p>
    <w:p w14:paraId="74E21C41">
      <w:pPr>
        <w:pStyle w:val="8"/>
        <w:rPr>
          <w:rFonts w:hint="eastAsia" w:ascii="Times New Roman" w:hAnsi="Times New Roman" w:eastAsia="仿宋_GB2312" w:cs="仿宋_GB2312"/>
          <w:color w:val="auto"/>
          <w:kern w:val="2"/>
          <w:sz w:val="32"/>
          <w:szCs w:val="32"/>
          <w:highlight w:val="none"/>
          <w:lang w:val="en-US" w:eastAsia="zh-CN" w:bidi="ar-SA"/>
        </w:rPr>
      </w:pPr>
    </w:p>
    <w:p w14:paraId="147EC69C">
      <w:pPr>
        <w:pStyle w:val="8"/>
        <w:rPr>
          <w:rFonts w:hint="eastAsia" w:ascii="Times New Roman" w:hAnsi="Times New Roman" w:eastAsia="仿宋_GB2312" w:cs="仿宋_GB2312"/>
          <w:color w:val="auto"/>
          <w:kern w:val="2"/>
          <w:sz w:val="32"/>
          <w:szCs w:val="32"/>
          <w:highlight w:val="none"/>
          <w:lang w:val="en-US" w:eastAsia="zh-CN" w:bidi="ar-SA"/>
        </w:rPr>
      </w:pPr>
    </w:p>
    <w:p w14:paraId="51FE2743">
      <w:pPr>
        <w:pStyle w:val="8"/>
        <w:rPr>
          <w:rFonts w:hint="eastAsia" w:ascii="Times New Roman" w:hAnsi="Times New Roman" w:eastAsia="仿宋_GB2312" w:cs="仿宋_GB2312"/>
          <w:color w:val="auto"/>
          <w:kern w:val="2"/>
          <w:sz w:val="32"/>
          <w:szCs w:val="32"/>
          <w:highlight w:val="none"/>
          <w:lang w:val="en-US" w:eastAsia="zh-CN" w:bidi="ar-SA"/>
        </w:rPr>
      </w:pPr>
    </w:p>
    <w:p w14:paraId="4A641A4F">
      <w:pPr>
        <w:pStyle w:val="8"/>
        <w:rPr>
          <w:rFonts w:hint="eastAsia" w:ascii="Times New Roman" w:hAnsi="Times New Roman" w:eastAsia="仿宋_GB2312" w:cs="仿宋_GB2312"/>
          <w:color w:val="auto"/>
          <w:kern w:val="2"/>
          <w:sz w:val="32"/>
          <w:szCs w:val="32"/>
          <w:highlight w:val="none"/>
          <w:lang w:val="en-US" w:eastAsia="zh-CN" w:bidi="ar-SA"/>
        </w:rPr>
      </w:pPr>
    </w:p>
    <w:p w14:paraId="07A56B7E">
      <w:pPr>
        <w:pStyle w:val="8"/>
        <w:rPr>
          <w:rFonts w:hint="eastAsia" w:ascii="Times New Roman" w:hAnsi="Times New Roman" w:eastAsia="仿宋_GB2312" w:cs="仿宋_GB2312"/>
          <w:color w:val="auto"/>
          <w:kern w:val="2"/>
          <w:sz w:val="32"/>
          <w:szCs w:val="32"/>
          <w:highlight w:val="none"/>
          <w:lang w:val="en-US" w:eastAsia="zh-CN" w:bidi="ar-SA"/>
        </w:rPr>
      </w:pPr>
    </w:p>
    <w:p w14:paraId="65599C7C">
      <w:pPr>
        <w:pStyle w:val="8"/>
        <w:rPr>
          <w:rFonts w:hint="eastAsia" w:ascii="Times New Roman" w:hAnsi="Times New Roman" w:eastAsia="仿宋_GB2312" w:cs="仿宋_GB2312"/>
          <w:color w:val="auto"/>
          <w:kern w:val="2"/>
          <w:sz w:val="32"/>
          <w:szCs w:val="32"/>
          <w:highlight w:val="none"/>
          <w:lang w:val="en-US" w:eastAsia="zh-CN" w:bidi="ar-SA"/>
        </w:rPr>
      </w:pPr>
    </w:p>
    <w:p w14:paraId="4DF1909B">
      <w:pPr>
        <w:pStyle w:val="8"/>
        <w:rPr>
          <w:rFonts w:hint="eastAsia" w:ascii="Times New Roman" w:hAnsi="Times New Roman" w:eastAsia="仿宋_GB2312" w:cs="仿宋_GB2312"/>
          <w:color w:val="auto"/>
          <w:kern w:val="2"/>
          <w:sz w:val="32"/>
          <w:szCs w:val="32"/>
          <w:highlight w:val="none"/>
          <w:lang w:val="en-US" w:eastAsia="zh-CN" w:bidi="ar-SA"/>
        </w:rPr>
      </w:pPr>
    </w:p>
    <w:p w14:paraId="15FDC60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6" w:name="_Toc15377225"/>
      <w:bookmarkStart w:id="67" w:name="_Toc20931"/>
      <w:bookmarkStart w:id="68"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6"/>
      <w:bookmarkEnd w:id="67"/>
      <w:bookmarkEnd w:id="68"/>
    </w:p>
    <w:p w14:paraId="2A7EA1C8">
      <w:pPr>
        <w:spacing w:line="600" w:lineRule="exact"/>
        <w:jc w:val="left"/>
        <w:rPr>
          <w:rFonts w:ascii="Times New Roman" w:hAnsi="Times New Roman"/>
          <w:b/>
          <w:color w:val="auto"/>
          <w:sz w:val="44"/>
          <w:szCs w:val="44"/>
          <w:highlight w:val="none"/>
        </w:rPr>
      </w:pPr>
    </w:p>
    <w:p w14:paraId="38F197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4B3A8E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73B363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1A7BB0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7D8F98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305EBC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1399D6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6A8ECF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69F7CB6C">
      <w:pPr>
        <w:spacing w:line="600" w:lineRule="exact"/>
        <w:ind w:firstLine="640"/>
        <w:rPr>
          <w:rFonts w:hint="default" w:ascii="Times New Roman" w:hAnsi="Times New Roman" w:eastAsia="仿宋_GB2312" w:cs="Times New Roman"/>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9.</w:t>
      </w:r>
      <w:r>
        <w:rPr>
          <w:rFonts w:hint="eastAsia" w:eastAsia="仿宋_GB2312" w:cs="仿宋_GB2312"/>
          <w:color w:val="auto"/>
          <w:kern w:val="2"/>
          <w:sz w:val="32"/>
          <w:szCs w:val="32"/>
          <w:highlight w:val="none"/>
          <w:lang w:val="en-US" w:eastAsia="zh-CN" w:bidi="ar-SA"/>
        </w:rPr>
        <w:t>一</w:t>
      </w:r>
      <w:r>
        <w:rPr>
          <w:rFonts w:hint="default" w:ascii="Times New Roman" w:hAnsi="Times New Roman" w:eastAsia="仿宋_GB2312" w:cs="Times New Roman"/>
          <w:sz w:val="32"/>
          <w:szCs w:val="32"/>
          <w:highlight w:val="none"/>
        </w:rPr>
        <w:t>般公共服务支出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民族事务</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行政事业运行</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（2012350）:指反映事业单位的基本支出。</w:t>
      </w:r>
    </w:p>
    <w:p w14:paraId="75AD0127">
      <w:pPr>
        <w:pStyle w:val="26"/>
        <w:keepNext w:val="0"/>
        <w:keepLines w:val="0"/>
        <w:pageBreakBefore w:val="0"/>
        <w:kinsoku/>
        <w:wordWrap/>
        <w:overflowPunct/>
        <w:topLinePunct w:val="0"/>
        <w:bidi w:val="0"/>
        <w:snapToGrid/>
        <w:spacing w:afterAutospacing="0" w:line="576"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.社会保障和就业支出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行政事业单位离退休</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机关事业单位基本养老保险缴费支出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(2080505): 指反映机关事业单位实施养老保险制度由单位缴纳的基本养老保险费支出。</w:t>
      </w:r>
    </w:p>
    <w:p w14:paraId="59D38CBB">
      <w:pPr>
        <w:pStyle w:val="26"/>
        <w:keepNext w:val="0"/>
        <w:keepLines w:val="0"/>
        <w:pageBreakBefore w:val="0"/>
        <w:kinsoku/>
        <w:wordWrap/>
        <w:overflowPunct/>
        <w:topLinePunct w:val="0"/>
        <w:bidi w:val="0"/>
        <w:snapToGrid/>
        <w:spacing w:afterAutospacing="0" w:line="576"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11</w:t>
      </w:r>
      <w:r>
        <w:rPr>
          <w:rFonts w:hint="default" w:ascii="Times New Roman" w:hAnsi="Times New Roman" w:eastAsia="仿宋_GB2312" w:cs="Times New Roman"/>
          <w:sz w:val="32"/>
          <w:szCs w:val="32"/>
          <w:highlight w:val="none"/>
        </w:rPr>
        <w:t>.社会保障和就业支出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行政事业单位离退休（款）机关事业单位职业年金缴费支出</w:t>
      </w:r>
      <w:r>
        <w:rPr>
          <w:rFonts w:hint="eastAsia" w:ascii="Times New Roman" w:eastAsia="仿宋_GB2312" w:cs="Times New Roman"/>
          <w:sz w:val="32"/>
          <w:szCs w:val="32"/>
          <w:highlight w:val="none"/>
          <w:lang w:eastAsia="zh-CN"/>
        </w:rPr>
        <w:t>（项）</w:t>
      </w:r>
      <w:r>
        <w:rPr>
          <w:rFonts w:hint="default" w:ascii="Times New Roman" w:hAnsi="Times New Roman" w:eastAsia="仿宋_GB2312" w:cs="Times New Roman"/>
          <w:sz w:val="32"/>
          <w:szCs w:val="32"/>
          <w:highlight w:val="none"/>
        </w:rPr>
        <w:t>（2080506）: 指反映机关事业单位实施养老保险制度由单位实际缴纳的职业年金支出。</w:t>
      </w:r>
    </w:p>
    <w:p w14:paraId="55C353FB">
      <w:pPr>
        <w:pStyle w:val="26"/>
        <w:keepNext w:val="0"/>
        <w:keepLines w:val="0"/>
        <w:pageBreakBefore w:val="0"/>
        <w:kinsoku/>
        <w:wordWrap/>
        <w:overflowPunct/>
        <w:topLinePunct w:val="0"/>
        <w:bidi w:val="0"/>
        <w:snapToGrid/>
        <w:spacing w:afterAutospacing="0" w:line="576"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12</w:t>
      </w:r>
      <w:r>
        <w:rPr>
          <w:rFonts w:hint="default" w:ascii="Times New Roman" w:hAnsi="Times New Roman" w:eastAsia="仿宋_GB2312" w:cs="Times New Roman"/>
          <w:sz w:val="32"/>
          <w:szCs w:val="32"/>
          <w:highlight w:val="none"/>
        </w:rPr>
        <w:t>.卫生健康</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行政事业单位医疗</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事业单位医疗</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(2101102): 指反映财政部门集中安排的事业单位基本医疗保险缴费经费，未参加医疗保险的事业单位的公费医疗经费，按国家规定享受离休人员的医疗经费。</w:t>
      </w:r>
    </w:p>
    <w:p w14:paraId="54705A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sz w:val="32"/>
          <w:szCs w:val="32"/>
          <w:highlight w:val="none"/>
          <w:lang w:val="en-US" w:eastAsia="zh-CN"/>
        </w:rPr>
        <w:t>13</w:t>
      </w:r>
      <w:r>
        <w:rPr>
          <w:rFonts w:hint="default" w:ascii="Times New Roman" w:hAnsi="Times New Roman" w:eastAsia="仿宋_GB2312" w:cs="Times New Roman"/>
          <w:sz w:val="32"/>
          <w:szCs w:val="32"/>
          <w:highlight w:val="none"/>
        </w:rPr>
        <w:t>.住房保障支出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住房改革支出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住房公积金</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 xml:space="preserve">(2210201): 指反映行政事业单位按人力资源和社会保障部、财政部规定的基本工资和津贴补贴以及规定比例为职工缴纳的住房公积金。 </w:t>
      </w:r>
    </w:p>
    <w:p w14:paraId="04EFCD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278BCB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B7841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1D5E2A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4E8FD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D1E5B03">
      <w:pPr>
        <w:spacing w:line="600" w:lineRule="exact"/>
        <w:jc w:val="center"/>
        <w:outlineLvl w:val="0"/>
        <w:rPr>
          <w:rStyle w:val="28"/>
          <w:rFonts w:hint="eastAsia" w:ascii="Times New Roman" w:hAnsi="Times New Roman" w:eastAsia="黑体"/>
          <w:b w:val="0"/>
          <w:color w:val="auto"/>
          <w:highlight w:val="none"/>
          <w:lang w:eastAsia="zh-CN"/>
        </w:rPr>
      </w:pPr>
      <w:bookmarkStart w:id="69"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70" w:name="_Toc28272"/>
      <w:bookmarkStart w:id="71"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0"/>
      <w:bookmarkEnd w:id="71"/>
    </w:p>
    <w:p w14:paraId="36E8E766">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15D6E61F">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72" w:name="_Toc19473"/>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72"/>
    </w:p>
    <w:p w14:paraId="521B694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121D94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bookmarkStart w:id="73" w:name="_Toc26076"/>
      <w:r>
        <w:rPr>
          <w:rFonts w:hint="default" w:ascii="Times New Roman" w:hAnsi="Times New Roman" w:eastAsia="仿宋_GB2312" w:cs="仿宋_GB2312"/>
          <w:color w:val="auto"/>
          <w:kern w:val="2"/>
          <w:sz w:val="32"/>
          <w:szCs w:val="32"/>
          <w:highlight w:val="none"/>
          <w:lang w:val="en-US" w:eastAsia="zh-CN" w:bidi="ar-SA"/>
        </w:rPr>
        <w:t>我单位</w:t>
      </w:r>
      <w:r>
        <w:rPr>
          <w:rFonts w:hint="eastAsia" w:eastAsia="仿宋_GB2312" w:cs="仿宋_GB2312"/>
          <w:color w:val="auto"/>
          <w:kern w:val="2"/>
          <w:sz w:val="32"/>
          <w:szCs w:val="32"/>
          <w:highlight w:val="none"/>
          <w:lang w:val="en-US" w:eastAsia="zh-CN" w:bidi="ar-SA"/>
        </w:rPr>
        <w:t>2025</w:t>
      </w:r>
      <w:r>
        <w:rPr>
          <w:rFonts w:hint="default" w:ascii="Times New Roman" w:hAnsi="Times New Roman" w:eastAsia="仿宋_GB2312" w:cs="仿宋_GB2312"/>
          <w:color w:val="auto"/>
          <w:kern w:val="2"/>
          <w:sz w:val="32"/>
          <w:szCs w:val="32"/>
          <w:highlight w:val="none"/>
          <w:lang w:val="en-US" w:eastAsia="zh-CN" w:bidi="ar-SA"/>
        </w:rPr>
        <w:t>年度无项目支出预算，因此未设置项目支出绩效目标，绩效自评报表无数据。</w:t>
      </w:r>
    </w:p>
    <w:bookmarkEnd w:id="73"/>
    <w:p w14:paraId="17ACAC25">
      <w:pPr>
        <w:spacing w:line="600" w:lineRule="exact"/>
        <w:ind w:firstLine="640"/>
        <w:rPr>
          <w:rFonts w:hint="eastAsia" w:ascii="Times New Roman" w:hAnsi="Times New Roman" w:eastAsia="仿宋_GB2312" w:cs="仿宋_GB2312"/>
          <w:b w:val="0"/>
          <w:bCs w:val="0"/>
          <w:kern w:val="0"/>
          <w:position w:val="0"/>
          <w:sz w:val="32"/>
          <w:szCs w:val="32"/>
          <w:highlight w:val="none"/>
          <w:lang w:val="en-US" w:eastAsia="zh-CN" w:bidi="ar-SA"/>
        </w:rPr>
      </w:pPr>
    </w:p>
    <w:p w14:paraId="4BFC88E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C6E856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74"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9D4E69E">
      <w:pPr>
        <w:widowControl/>
        <w:jc w:val="center"/>
        <w:outlineLvl w:val="0"/>
        <w:rPr>
          <w:rFonts w:hint="eastAsia" w:ascii="Times New Roman" w:hAnsi="Times New Roman" w:eastAsia="仿宋"/>
          <w:b w:val="0"/>
          <w:color w:val="auto"/>
          <w:highlight w:val="none"/>
        </w:rPr>
      </w:pPr>
      <w:bookmarkStart w:id="75" w:name="_Toc29794"/>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69"/>
      <w:bookmarkEnd w:id="74"/>
      <w:bookmarkEnd w:id="75"/>
      <w:bookmarkStart w:id="76" w:name="_Toc15396619"/>
    </w:p>
    <w:p w14:paraId="1EF8C66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3B9CD3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76"/>
    </w:p>
    <w:p w14:paraId="41987A1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0"/>
      <w:r>
        <w:rPr>
          <w:rFonts w:hint="eastAsia" w:ascii="Times New Roman" w:hAnsi="Times New Roman" w:eastAsia="仿宋_GB2312" w:cs="仿宋_GB2312"/>
          <w:color w:val="auto"/>
          <w:sz w:val="32"/>
          <w:szCs w:val="32"/>
          <w:highlight w:val="none"/>
        </w:rPr>
        <w:t>二、收入决算表</w:t>
      </w:r>
      <w:bookmarkEnd w:id="77"/>
    </w:p>
    <w:p w14:paraId="481F3BA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1"/>
      <w:r>
        <w:rPr>
          <w:rFonts w:hint="eastAsia" w:ascii="Times New Roman" w:hAnsi="Times New Roman" w:eastAsia="仿宋_GB2312" w:cs="仿宋_GB2312"/>
          <w:color w:val="auto"/>
          <w:sz w:val="32"/>
          <w:szCs w:val="32"/>
          <w:highlight w:val="none"/>
        </w:rPr>
        <w:t>三、支出决算表</w:t>
      </w:r>
      <w:bookmarkEnd w:id="78"/>
    </w:p>
    <w:p w14:paraId="0B87AC3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22"/>
      <w:r>
        <w:rPr>
          <w:rFonts w:hint="eastAsia" w:ascii="Times New Roman" w:hAnsi="Times New Roman" w:eastAsia="仿宋_GB2312" w:cs="仿宋_GB2312"/>
          <w:color w:val="auto"/>
          <w:sz w:val="32"/>
          <w:szCs w:val="32"/>
          <w:highlight w:val="none"/>
        </w:rPr>
        <w:t>四、财政拨款收入支出决算总表</w:t>
      </w:r>
      <w:bookmarkEnd w:id="79"/>
    </w:p>
    <w:p w14:paraId="54B5EB3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3"/>
      <w:r>
        <w:rPr>
          <w:rFonts w:hint="eastAsia" w:ascii="Times New Roman" w:hAnsi="Times New Roman" w:eastAsia="仿宋_GB2312" w:cs="仿宋_GB2312"/>
          <w:color w:val="auto"/>
          <w:sz w:val="32"/>
          <w:szCs w:val="32"/>
          <w:highlight w:val="none"/>
        </w:rPr>
        <w:t>五、财政拨款支出决算明细表</w:t>
      </w:r>
      <w:bookmarkEnd w:id="80"/>
      <w:bookmarkStart w:id="81" w:name="_Toc15396624"/>
    </w:p>
    <w:p w14:paraId="45FB622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1"/>
    </w:p>
    <w:p w14:paraId="5161F35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5"/>
      <w:r>
        <w:rPr>
          <w:rFonts w:hint="eastAsia" w:ascii="Times New Roman" w:hAnsi="Times New Roman" w:eastAsia="仿宋_GB2312" w:cs="仿宋_GB2312"/>
          <w:color w:val="auto"/>
          <w:sz w:val="32"/>
          <w:szCs w:val="32"/>
          <w:highlight w:val="none"/>
        </w:rPr>
        <w:t>七、一般公共预算财政拨款支出决算明细表</w:t>
      </w:r>
      <w:bookmarkEnd w:id="82"/>
    </w:p>
    <w:p w14:paraId="04DCC96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6"/>
      <w:r>
        <w:rPr>
          <w:rFonts w:hint="eastAsia" w:ascii="Times New Roman" w:hAnsi="Times New Roman" w:eastAsia="仿宋_GB2312" w:cs="仿宋_GB2312"/>
          <w:color w:val="auto"/>
          <w:sz w:val="32"/>
          <w:szCs w:val="32"/>
          <w:highlight w:val="none"/>
        </w:rPr>
        <w:t>八、一般公共预算财政拨款基本支出决算表</w:t>
      </w:r>
      <w:bookmarkEnd w:id="83"/>
    </w:p>
    <w:p w14:paraId="0A3B8E8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4" w:name="_Toc15396627"/>
      <w:r>
        <w:rPr>
          <w:rFonts w:hint="eastAsia" w:ascii="Times New Roman" w:hAnsi="Times New Roman" w:eastAsia="仿宋_GB2312" w:cs="仿宋_GB2312"/>
          <w:color w:val="auto"/>
          <w:sz w:val="32"/>
          <w:szCs w:val="32"/>
          <w:highlight w:val="none"/>
        </w:rPr>
        <w:t>九、一般公共预算财政拨款项目支出决算表</w:t>
      </w:r>
      <w:bookmarkEnd w:id="84"/>
    </w:p>
    <w:p w14:paraId="1CDB261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28"/>
      <w:r>
        <w:rPr>
          <w:rFonts w:hint="eastAsia" w:ascii="Times New Roman" w:hAnsi="Times New Roman" w:eastAsia="仿宋_GB2312" w:cs="仿宋_GB2312"/>
          <w:color w:val="auto"/>
          <w:sz w:val="32"/>
          <w:szCs w:val="32"/>
          <w:highlight w:val="none"/>
        </w:rPr>
        <w:t>十、</w:t>
      </w:r>
      <w:bookmarkEnd w:id="85"/>
      <w:r>
        <w:rPr>
          <w:rFonts w:hint="eastAsia" w:ascii="Times New Roman" w:hAnsi="Times New Roman" w:eastAsia="仿宋_GB2312" w:cs="仿宋_GB2312"/>
          <w:color w:val="auto"/>
          <w:sz w:val="32"/>
          <w:szCs w:val="32"/>
          <w:highlight w:val="none"/>
        </w:rPr>
        <w:t>政府性基金预算财政拨款收入支出决算表</w:t>
      </w:r>
    </w:p>
    <w:p w14:paraId="224E763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9"/>
      <w:r>
        <w:rPr>
          <w:rFonts w:hint="eastAsia" w:ascii="Times New Roman" w:hAnsi="Times New Roman" w:eastAsia="仿宋_GB2312" w:cs="仿宋_GB2312"/>
          <w:color w:val="auto"/>
          <w:sz w:val="32"/>
          <w:szCs w:val="32"/>
          <w:highlight w:val="none"/>
        </w:rPr>
        <w:t>十一、</w:t>
      </w:r>
      <w:bookmarkEnd w:id="8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873D56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30"/>
      <w:r>
        <w:rPr>
          <w:rFonts w:hint="eastAsia" w:ascii="Times New Roman" w:hAnsi="Times New Roman" w:eastAsia="仿宋_GB2312" w:cs="仿宋_GB2312"/>
          <w:color w:val="auto"/>
          <w:sz w:val="32"/>
          <w:szCs w:val="32"/>
          <w:highlight w:val="none"/>
        </w:rPr>
        <w:t>十二、</w:t>
      </w:r>
      <w:bookmarkEnd w:id="87"/>
      <w:r>
        <w:rPr>
          <w:rFonts w:hint="eastAsia" w:ascii="Times New Roman" w:hAnsi="Times New Roman" w:eastAsia="仿宋_GB2312" w:cs="仿宋_GB2312"/>
          <w:color w:val="auto"/>
          <w:sz w:val="32"/>
          <w:szCs w:val="32"/>
          <w:highlight w:val="none"/>
          <w:lang w:eastAsia="zh-CN"/>
        </w:rPr>
        <w:t>国有资本经营预算财政拨款支出决算表</w:t>
      </w:r>
    </w:p>
    <w:p w14:paraId="674E866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8" w:name="_Toc15396631"/>
      <w:r>
        <w:rPr>
          <w:rFonts w:hint="eastAsia" w:ascii="Times New Roman" w:hAnsi="Times New Roman" w:eastAsia="仿宋_GB2312" w:cs="仿宋_GB2312"/>
          <w:color w:val="auto"/>
          <w:sz w:val="32"/>
          <w:szCs w:val="32"/>
          <w:highlight w:val="none"/>
        </w:rPr>
        <w:t>十三、</w:t>
      </w:r>
      <w:bookmarkEnd w:id="88"/>
      <w:r>
        <w:rPr>
          <w:rFonts w:hint="eastAsia" w:ascii="Times New Roman" w:hAnsi="Times New Roman" w:eastAsia="仿宋_GB2312" w:cs="仿宋_GB2312"/>
          <w:color w:val="auto"/>
          <w:sz w:val="32"/>
          <w:szCs w:val="32"/>
          <w:highlight w:val="none"/>
          <w:lang w:eastAsia="zh-CN"/>
        </w:rPr>
        <w:t>财政拨款“三公”经费支出决算表</w:t>
      </w:r>
    </w:p>
    <w:p w14:paraId="32648AAB">
      <w:pPr>
        <w:rPr>
          <w:rFonts w:hint="eastAsia" w:ascii="Times New Roman" w:hAnsi="Times New Roman"/>
          <w:lang w:eastAsia="zh-CN"/>
        </w:rPr>
      </w:pPr>
    </w:p>
    <w:sectPr>
      <w:footerReference r:id="rId8" w:type="first"/>
      <w:headerReference r:id="rId6" w:type="default"/>
      <w:footerReference r:id="rId7" w:type="default"/>
      <w:pgSz w:w="11906" w:h="16838"/>
      <w:pgMar w:top="1440" w:right="1800" w:bottom="1440" w:left="1800"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E78FD">
    <w:pPr>
      <w:pStyle w:val="11"/>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36538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365388">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52BBB600">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E3AFE">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56EC0">
                          <w:pPr>
                            <w:pStyle w:val="1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456EC0">
                    <w:pPr>
                      <w:pStyle w:val="11"/>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7344D">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6F4F40">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86F4F40">
                    <w:pPr>
                      <w:pStyle w:val="11"/>
                    </w:pPr>
                    <w:r>
                      <w:fldChar w:fldCharType="begin"/>
                    </w:r>
                    <w:r>
                      <w:instrText xml:space="preserve"> PAGE  \* MERGEFORMAT </w:instrText>
                    </w:r>
                    <w:r>
                      <w:fldChar w:fldCharType="separate"/>
                    </w:r>
                    <w:r>
                      <w:t>2</w:t>
                    </w:r>
                    <w:r>
                      <w:fldChar w:fldCharType="end"/>
                    </w:r>
                  </w:p>
                </w:txbxContent>
              </v:textbox>
            </v:shape>
          </w:pict>
        </mc:Fallback>
      </mc:AlternateContent>
    </w:r>
  </w:p>
  <w:p w14:paraId="59DFE8AC">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5FA2F">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F3373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0F3373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0E6E2">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777DB">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C4449"/>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11CA3"/>
    <w:rsid w:val="004223DE"/>
    <w:rsid w:val="00434489"/>
    <w:rsid w:val="00437085"/>
    <w:rsid w:val="00443880"/>
    <w:rsid w:val="004464F4"/>
    <w:rsid w:val="00471401"/>
    <w:rsid w:val="00473F31"/>
    <w:rsid w:val="0048263A"/>
    <w:rsid w:val="00487E5D"/>
    <w:rsid w:val="004A711F"/>
    <w:rsid w:val="004B199D"/>
    <w:rsid w:val="004B4690"/>
    <w:rsid w:val="004E0863"/>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E0AA6"/>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A7605"/>
    <w:rsid w:val="009B2C43"/>
    <w:rsid w:val="009B4EAE"/>
    <w:rsid w:val="009B7573"/>
    <w:rsid w:val="009C22F4"/>
    <w:rsid w:val="009C2A4B"/>
    <w:rsid w:val="009C2E98"/>
    <w:rsid w:val="009D3447"/>
    <w:rsid w:val="009D4711"/>
    <w:rsid w:val="009F1185"/>
    <w:rsid w:val="009F18CD"/>
    <w:rsid w:val="009F2A13"/>
    <w:rsid w:val="009F7527"/>
    <w:rsid w:val="00A04EB0"/>
    <w:rsid w:val="00A139CE"/>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5C2"/>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92652E"/>
    <w:rsid w:val="026D4066"/>
    <w:rsid w:val="027F6AB2"/>
    <w:rsid w:val="02987B74"/>
    <w:rsid w:val="02AD361F"/>
    <w:rsid w:val="02E828A9"/>
    <w:rsid w:val="02FEBE30"/>
    <w:rsid w:val="043302F1"/>
    <w:rsid w:val="044E2BE0"/>
    <w:rsid w:val="04916F1E"/>
    <w:rsid w:val="049A5E25"/>
    <w:rsid w:val="04C335CE"/>
    <w:rsid w:val="05047743"/>
    <w:rsid w:val="05157BA2"/>
    <w:rsid w:val="053242B0"/>
    <w:rsid w:val="05353DA0"/>
    <w:rsid w:val="059E7B97"/>
    <w:rsid w:val="05A859C7"/>
    <w:rsid w:val="061E35DE"/>
    <w:rsid w:val="063B7194"/>
    <w:rsid w:val="066E0107"/>
    <w:rsid w:val="0730481F"/>
    <w:rsid w:val="073836D3"/>
    <w:rsid w:val="07996F6E"/>
    <w:rsid w:val="07AC659B"/>
    <w:rsid w:val="07DFD8BA"/>
    <w:rsid w:val="07FE66CB"/>
    <w:rsid w:val="08940DDD"/>
    <w:rsid w:val="08B651F8"/>
    <w:rsid w:val="0922463B"/>
    <w:rsid w:val="09615163"/>
    <w:rsid w:val="09867E8F"/>
    <w:rsid w:val="09D74664"/>
    <w:rsid w:val="0A2032A3"/>
    <w:rsid w:val="0A2F0DBE"/>
    <w:rsid w:val="0C1069CD"/>
    <w:rsid w:val="0C1F7B9B"/>
    <w:rsid w:val="0C3D1EB8"/>
    <w:rsid w:val="0C637445"/>
    <w:rsid w:val="0C963376"/>
    <w:rsid w:val="0CA8290A"/>
    <w:rsid w:val="0CAD06C0"/>
    <w:rsid w:val="0CBD0903"/>
    <w:rsid w:val="0CE51C08"/>
    <w:rsid w:val="0D1424ED"/>
    <w:rsid w:val="0D2070E4"/>
    <w:rsid w:val="0D35B1ED"/>
    <w:rsid w:val="0D441024"/>
    <w:rsid w:val="0D514090"/>
    <w:rsid w:val="0DD823CD"/>
    <w:rsid w:val="0E254B6B"/>
    <w:rsid w:val="0EC45096"/>
    <w:rsid w:val="0EDD34DE"/>
    <w:rsid w:val="0F113188"/>
    <w:rsid w:val="0F130CAE"/>
    <w:rsid w:val="0F8971C2"/>
    <w:rsid w:val="0F98263C"/>
    <w:rsid w:val="0FB10A42"/>
    <w:rsid w:val="0FE663C2"/>
    <w:rsid w:val="0FF45AA5"/>
    <w:rsid w:val="101860EC"/>
    <w:rsid w:val="101F47CC"/>
    <w:rsid w:val="108300B5"/>
    <w:rsid w:val="10C055FF"/>
    <w:rsid w:val="10D821AF"/>
    <w:rsid w:val="11694EBD"/>
    <w:rsid w:val="11772AA4"/>
    <w:rsid w:val="118107EC"/>
    <w:rsid w:val="11845E93"/>
    <w:rsid w:val="127F2942"/>
    <w:rsid w:val="12E24EE2"/>
    <w:rsid w:val="1312127D"/>
    <w:rsid w:val="131D034D"/>
    <w:rsid w:val="133D09EF"/>
    <w:rsid w:val="137D5290"/>
    <w:rsid w:val="13D50BC4"/>
    <w:rsid w:val="141D25CF"/>
    <w:rsid w:val="14B17F78"/>
    <w:rsid w:val="160550C9"/>
    <w:rsid w:val="165E0673"/>
    <w:rsid w:val="16826356"/>
    <w:rsid w:val="16B831D5"/>
    <w:rsid w:val="16B94831"/>
    <w:rsid w:val="16BB723D"/>
    <w:rsid w:val="170D692B"/>
    <w:rsid w:val="177E3384"/>
    <w:rsid w:val="178D3AD3"/>
    <w:rsid w:val="17E50567"/>
    <w:rsid w:val="181A30AD"/>
    <w:rsid w:val="186504BB"/>
    <w:rsid w:val="18B2778A"/>
    <w:rsid w:val="18D45952"/>
    <w:rsid w:val="18F03E0E"/>
    <w:rsid w:val="19362169"/>
    <w:rsid w:val="197C38F4"/>
    <w:rsid w:val="19A445FC"/>
    <w:rsid w:val="19F3005A"/>
    <w:rsid w:val="1A9A04D5"/>
    <w:rsid w:val="1B0014F3"/>
    <w:rsid w:val="1B8A22F8"/>
    <w:rsid w:val="1BE8440E"/>
    <w:rsid w:val="1C3B6EE0"/>
    <w:rsid w:val="1C876837"/>
    <w:rsid w:val="1CE41EDC"/>
    <w:rsid w:val="1D0D1432"/>
    <w:rsid w:val="1D155CEE"/>
    <w:rsid w:val="1D1638FE"/>
    <w:rsid w:val="1D7019C1"/>
    <w:rsid w:val="1E2F7187"/>
    <w:rsid w:val="1E312DEB"/>
    <w:rsid w:val="1E5B7F7C"/>
    <w:rsid w:val="1E740ACF"/>
    <w:rsid w:val="1E7828DC"/>
    <w:rsid w:val="1EEC5078"/>
    <w:rsid w:val="1F552C1D"/>
    <w:rsid w:val="1FD91AA0"/>
    <w:rsid w:val="1FEB34DC"/>
    <w:rsid w:val="1FF35744"/>
    <w:rsid w:val="1FF6BC77"/>
    <w:rsid w:val="20542ED4"/>
    <w:rsid w:val="207672EF"/>
    <w:rsid w:val="20895274"/>
    <w:rsid w:val="21115269"/>
    <w:rsid w:val="214C004F"/>
    <w:rsid w:val="2186353C"/>
    <w:rsid w:val="21E464DA"/>
    <w:rsid w:val="22AF6AE8"/>
    <w:rsid w:val="22DF7EA2"/>
    <w:rsid w:val="231838D9"/>
    <w:rsid w:val="2366189C"/>
    <w:rsid w:val="23860B96"/>
    <w:rsid w:val="240371BF"/>
    <w:rsid w:val="244F3473"/>
    <w:rsid w:val="24C97D99"/>
    <w:rsid w:val="24E76A0D"/>
    <w:rsid w:val="24FD4078"/>
    <w:rsid w:val="25A718F0"/>
    <w:rsid w:val="25BB59F6"/>
    <w:rsid w:val="25C70488"/>
    <w:rsid w:val="260F557C"/>
    <w:rsid w:val="26970054"/>
    <w:rsid w:val="272C0707"/>
    <w:rsid w:val="281408E2"/>
    <w:rsid w:val="28497097"/>
    <w:rsid w:val="285C6DCA"/>
    <w:rsid w:val="28AB7D51"/>
    <w:rsid w:val="294361DC"/>
    <w:rsid w:val="29F80D74"/>
    <w:rsid w:val="29FD04D3"/>
    <w:rsid w:val="2B2D7144"/>
    <w:rsid w:val="2B667F60"/>
    <w:rsid w:val="2B8054C5"/>
    <w:rsid w:val="2B97636B"/>
    <w:rsid w:val="2B980A61"/>
    <w:rsid w:val="2BCE6231"/>
    <w:rsid w:val="2BFF7BC6"/>
    <w:rsid w:val="2C78619D"/>
    <w:rsid w:val="2C8A61B5"/>
    <w:rsid w:val="2CA3146B"/>
    <w:rsid w:val="2DF04E50"/>
    <w:rsid w:val="2E586DFA"/>
    <w:rsid w:val="2EEC5393"/>
    <w:rsid w:val="2F040D46"/>
    <w:rsid w:val="2F6B035B"/>
    <w:rsid w:val="2FAE5751"/>
    <w:rsid w:val="2FB1A395"/>
    <w:rsid w:val="2FD9A7D8"/>
    <w:rsid w:val="2FDBF714"/>
    <w:rsid w:val="2FF81ACE"/>
    <w:rsid w:val="30311084"/>
    <w:rsid w:val="30AB6865"/>
    <w:rsid w:val="30BE05B4"/>
    <w:rsid w:val="30F50153"/>
    <w:rsid w:val="31434FCB"/>
    <w:rsid w:val="319F7F4E"/>
    <w:rsid w:val="31AB2B70"/>
    <w:rsid w:val="31C854D0"/>
    <w:rsid w:val="325D3E6B"/>
    <w:rsid w:val="32BD1EF1"/>
    <w:rsid w:val="32D103B5"/>
    <w:rsid w:val="32E0684A"/>
    <w:rsid w:val="32E4458C"/>
    <w:rsid w:val="3304709D"/>
    <w:rsid w:val="335B4D4D"/>
    <w:rsid w:val="338D4C23"/>
    <w:rsid w:val="33A773CB"/>
    <w:rsid w:val="33C323F3"/>
    <w:rsid w:val="33E81E5A"/>
    <w:rsid w:val="349D6851"/>
    <w:rsid w:val="34BB30CA"/>
    <w:rsid w:val="351F3659"/>
    <w:rsid w:val="353C245D"/>
    <w:rsid w:val="36592B9B"/>
    <w:rsid w:val="368F480F"/>
    <w:rsid w:val="369462C9"/>
    <w:rsid w:val="36AA5135"/>
    <w:rsid w:val="36BE0DA7"/>
    <w:rsid w:val="36EE3C2B"/>
    <w:rsid w:val="376B6AA6"/>
    <w:rsid w:val="376D39B2"/>
    <w:rsid w:val="37AD0BCB"/>
    <w:rsid w:val="37E16F03"/>
    <w:rsid w:val="37F53A3B"/>
    <w:rsid w:val="380D6333"/>
    <w:rsid w:val="381C0324"/>
    <w:rsid w:val="389B6C89"/>
    <w:rsid w:val="38B92017"/>
    <w:rsid w:val="38D469F0"/>
    <w:rsid w:val="38F512A1"/>
    <w:rsid w:val="3902576C"/>
    <w:rsid w:val="3942025E"/>
    <w:rsid w:val="39627CCD"/>
    <w:rsid w:val="397BAF1F"/>
    <w:rsid w:val="39E6508D"/>
    <w:rsid w:val="3A365CF6"/>
    <w:rsid w:val="3AB79AF3"/>
    <w:rsid w:val="3AD969A0"/>
    <w:rsid w:val="3AE07D2F"/>
    <w:rsid w:val="3AE834C0"/>
    <w:rsid w:val="3B0A4DAB"/>
    <w:rsid w:val="3B7EF35A"/>
    <w:rsid w:val="3B9FDB6C"/>
    <w:rsid w:val="3BB80364"/>
    <w:rsid w:val="3BCE6598"/>
    <w:rsid w:val="3BD827B4"/>
    <w:rsid w:val="3BF45200"/>
    <w:rsid w:val="3BF5BC2F"/>
    <w:rsid w:val="3C187054"/>
    <w:rsid w:val="3C522566"/>
    <w:rsid w:val="3CD64F45"/>
    <w:rsid w:val="3CEBA265"/>
    <w:rsid w:val="3D0F48FB"/>
    <w:rsid w:val="3D98207C"/>
    <w:rsid w:val="3DE2791A"/>
    <w:rsid w:val="3DEE7CF3"/>
    <w:rsid w:val="3E740A63"/>
    <w:rsid w:val="3E78745D"/>
    <w:rsid w:val="3EE17838"/>
    <w:rsid w:val="3F55381A"/>
    <w:rsid w:val="3F786788"/>
    <w:rsid w:val="3F7F7599"/>
    <w:rsid w:val="3F9904AC"/>
    <w:rsid w:val="3FF4CAE0"/>
    <w:rsid w:val="3FF7B227"/>
    <w:rsid w:val="400F00E4"/>
    <w:rsid w:val="409273D5"/>
    <w:rsid w:val="40D55514"/>
    <w:rsid w:val="40EA7211"/>
    <w:rsid w:val="414A7CB0"/>
    <w:rsid w:val="414D5D41"/>
    <w:rsid w:val="416F3BBA"/>
    <w:rsid w:val="424741EF"/>
    <w:rsid w:val="425D222F"/>
    <w:rsid w:val="43150D6C"/>
    <w:rsid w:val="431C1B20"/>
    <w:rsid w:val="432A5FEB"/>
    <w:rsid w:val="43D877F5"/>
    <w:rsid w:val="43FE7982"/>
    <w:rsid w:val="440E3217"/>
    <w:rsid w:val="44410A09"/>
    <w:rsid w:val="44E268DA"/>
    <w:rsid w:val="450D13D7"/>
    <w:rsid w:val="452105A1"/>
    <w:rsid w:val="452E45E0"/>
    <w:rsid w:val="4541586E"/>
    <w:rsid w:val="45506656"/>
    <w:rsid w:val="455410FD"/>
    <w:rsid w:val="457A48DC"/>
    <w:rsid w:val="46040D75"/>
    <w:rsid w:val="46123A94"/>
    <w:rsid w:val="46B53E1D"/>
    <w:rsid w:val="46D324F5"/>
    <w:rsid w:val="46D83FB0"/>
    <w:rsid w:val="471843AC"/>
    <w:rsid w:val="471A45C8"/>
    <w:rsid w:val="478F0B12"/>
    <w:rsid w:val="479E2B03"/>
    <w:rsid w:val="481C50E8"/>
    <w:rsid w:val="486A6C7A"/>
    <w:rsid w:val="48F826E7"/>
    <w:rsid w:val="49115557"/>
    <w:rsid w:val="491312CF"/>
    <w:rsid w:val="492F7F5B"/>
    <w:rsid w:val="49675177"/>
    <w:rsid w:val="49D92519"/>
    <w:rsid w:val="4A627F82"/>
    <w:rsid w:val="4AB12B4E"/>
    <w:rsid w:val="4B014DB7"/>
    <w:rsid w:val="4B0E749A"/>
    <w:rsid w:val="4B2477C4"/>
    <w:rsid w:val="4B4F25DA"/>
    <w:rsid w:val="4BE068DB"/>
    <w:rsid w:val="4D577224"/>
    <w:rsid w:val="4DBF1CEB"/>
    <w:rsid w:val="4DD95072"/>
    <w:rsid w:val="4DDA23BB"/>
    <w:rsid w:val="4DF0007C"/>
    <w:rsid w:val="4E7E71EB"/>
    <w:rsid w:val="4EAB630A"/>
    <w:rsid w:val="4ECE2238"/>
    <w:rsid w:val="4F0040A4"/>
    <w:rsid w:val="4F833267"/>
    <w:rsid w:val="4FB07878"/>
    <w:rsid w:val="4FCC3F86"/>
    <w:rsid w:val="4FD805EA"/>
    <w:rsid w:val="4FE9BD67"/>
    <w:rsid w:val="4FFB052F"/>
    <w:rsid w:val="500656EA"/>
    <w:rsid w:val="50243DC2"/>
    <w:rsid w:val="503F29AA"/>
    <w:rsid w:val="50461F8A"/>
    <w:rsid w:val="50A8054F"/>
    <w:rsid w:val="50B9275C"/>
    <w:rsid w:val="510D4856"/>
    <w:rsid w:val="5180327A"/>
    <w:rsid w:val="51934A1B"/>
    <w:rsid w:val="51A0391C"/>
    <w:rsid w:val="52291B63"/>
    <w:rsid w:val="52574F4B"/>
    <w:rsid w:val="525A3ACB"/>
    <w:rsid w:val="52860D64"/>
    <w:rsid w:val="537E6D0A"/>
    <w:rsid w:val="53B4545D"/>
    <w:rsid w:val="53F74C96"/>
    <w:rsid w:val="54776BB6"/>
    <w:rsid w:val="54E22FD9"/>
    <w:rsid w:val="54FB1595"/>
    <w:rsid w:val="55170BA8"/>
    <w:rsid w:val="551E5284"/>
    <w:rsid w:val="5531145B"/>
    <w:rsid w:val="553218C9"/>
    <w:rsid w:val="55986DE4"/>
    <w:rsid w:val="55CC4CE0"/>
    <w:rsid w:val="55DF4A13"/>
    <w:rsid w:val="55E942F8"/>
    <w:rsid w:val="566273F2"/>
    <w:rsid w:val="566B62A7"/>
    <w:rsid w:val="567E1AA5"/>
    <w:rsid w:val="568D446F"/>
    <w:rsid w:val="56927CD7"/>
    <w:rsid w:val="56E47B74"/>
    <w:rsid w:val="57175D52"/>
    <w:rsid w:val="57BD3DD4"/>
    <w:rsid w:val="57D63BF4"/>
    <w:rsid w:val="585A4825"/>
    <w:rsid w:val="598B6C60"/>
    <w:rsid w:val="5A225816"/>
    <w:rsid w:val="5AC661A1"/>
    <w:rsid w:val="5AF92295"/>
    <w:rsid w:val="5B021D55"/>
    <w:rsid w:val="5B250254"/>
    <w:rsid w:val="5B392E17"/>
    <w:rsid w:val="5B703980"/>
    <w:rsid w:val="5BDD79E6"/>
    <w:rsid w:val="5BE80399"/>
    <w:rsid w:val="5BF561CA"/>
    <w:rsid w:val="5BF60D08"/>
    <w:rsid w:val="5BFF5DFC"/>
    <w:rsid w:val="5C3A62DE"/>
    <w:rsid w:val="5CC61D78"/>
    <w:rsid w:val="5CD71FC4"/>
    <w:rsid w:val="5CF07506"/>
    <w:rsid w:val="5D1F11B5"/>
    <w:rsid w:val="5D431D2B"/>
    <w:rsid w:val="5D600B2F"/>
    <w:rsid w:val="5D695134"/>
    <w:rsid w:val="5DAE1B18"/>
    <w:rsid w:val="5DE7D9E5"/>
    <w:rsid w:val="5E531331"/>
    <w:rsid w:val="5E59732C"/>
    <w:rsid w:val="5EA42C9D"/>
    <w:rsid w:val="5ECEC941"/>
    <w:rsid w:val="5F856538"/>
    <w:rsid w:val="5FBF9FF3"/>
    <w:rsid w:val="5FCD4E2C"/>
    <w:rsid w:val="5FEF394A"/>
    <w:rsid w:val="5FF67715"/>
    <w:rsid w:val="6008725C"/>
    <w:rsid w:val="602F6597"/>
    <w:rsid w:val="60830691"/>
    <w:rsid w:val="60C211B9"/>
    <w:rsid w:val="611F660B"/>
    <w:rsid w:val="617F354E"/>
    <w:rsid w:val="626A0161"/>
    <w:rsid w:val="6283706E"/>
    <w:rsid w:val="62AE5E99"/>
    <w:rsid w:val="62BF3928"/>
    <w:rsid w:val="63B3701E"/>
    <w:rsid w:val="63D74F7B"/>
    <w:rsid w:val="647F5392"/>
    <w:rsid w:val="648334DC"/>
    <w:rsid w:val="650A312E"/>
    <w:rsid w:val="65C459D3"/>
    <w:rsid w:val="65C71020"/>
    <w:rsid w:val="65E66580"/>
    <w:rsid w:val="6635242D"/>
    <w:rsid w:val="664B1D71"/>
    <w:rsid w:val="664B4E8E"/>
    <w:rsid w:val="665C32B6"/>
    <w:rsid w:val="668D2269"/>
    <w:rsid w:val="669453A6"/>
    <w:rsid w:val="66F2031E"/>
    <w:rsid w:val="66FB5425"/>
    <w:rsid w:val="67277B67"/>
    <w:rsid w:val="67380427"/>
    <w:rsid w:val="673B7F17"/>
    <w:rsid w:val="677F7E04"/>
    <w:rsid w:val="67AA3209"/>
    <w:rsid w:val="68307350"/>
    <w:rsid w:val="68E968D7"/>
    <w:rsid w:val="691D12B4"/>
    <w:rsid w:val="69252C2D"/>
    <w:rsid w:val="698D0931"/>
    <w:rsid w:val="6A2F784C"/>
    <w:rsid w:val="6A3F7D1E"/>
    <w:rsid w:val="6A7FE5F3"/>
    <w:rsid w:val="6AC87D14"/>
    <w:rsid w:val="6AE94799"/>
    <w:rsid w:val="6B053271"/>
    <w:rsid w:val="6B282560"/>
    <w:rsid w:val="6B95409A"/>
    <w:rsid w:val="6BDD78B3"/>
    <w:rsid w:val="6C4A05C8"/>
    <w:rsid w:val="6C5C4BB7"/>
    <w:rsid w:val="6C8742B8"/>
    <w:rsid w:val="6C9F4AA4"/>
    <w:rsid w:val="6D313420"/>
    <w:rsid w:val="6D5E2269"/>
    <w:rsid w:val="6DBF5E93"/>
    <w:rsid w:val="6DCA3150"/>
    <w:rsid w:val="6DFF077E"/>
    <w:rsid w:val="6E054DDB"/>
    <w:rsid w:val="6E0E4F1A"/>
    <w:rsid w:val="6E714EF0"/>
    <w:rsid w:val="6E7E3605"/>
    <w:rsid w:val="6E7FDCC7"/>
    <w:rsid w:val="6ED6A62E"/>
    <w:rsid w:val="6EE00B15"/>
    <w:rsid w:val="6EFF182A"/>
    <w:rsid w:val="6F6FB3EB"/>
    <w:rsid w:val="6F8731EA"/>
    <w:rsid w:val="6F975F07"/>
    <w:rsid w:val="6FC62348"/>
    <w:rsid w:val="6FCE6052"/>
    <w:rsid w:val="6FD57C00"/>
    <w:rsid w:val="6FEFFFD8"/>
    <w:rsid w:val="6FF5CC65"/>
    <w:rsid w:val="6FF944CB"/>
    <w:rsid w:val="6FFB47EC"/>
    <w:rsid w:val="6FFF034A"/>
    <w:rsid w:val="70264800"/>
    <w:rsid w:val="702A6D7B"/>
    <w:rsid w:val="70484440"/>
    <w:rsid w:val="70765B1C"/>
    <w:rsid w:val="70CD6084"/>
    <w:rsid w:val="70D05BBB"/>
    <w:rsid w:val="711A294B"/>
    <w:rsid w:val="712A28F1"/>
    <w:rsid w:val="714B0D57"/>
    <w:rsid w:val="714B373D"/>
    <w:rsid w:val="715C0E4B"/>
    <w:rsid w:val="71992E7C"/>
    <w:rsid w:val="71E33685"/>
    <w:rsid w:val="72233669"/>
    <w:rsid w:val="724517B9"/>
    <w:rsid w:val="72641A80"/>
    <w:rsid w:val="72734D90"/>
    <w:rsid w:val="72BA6194"/>
    <w:rsid w:val="73160E6D"/>
    <w:rsid w:val="7332FE48"/>
    <w:rsid w:val="73AB61DA"/>
    <w:rsid w:val="73AD73D5"/>
    <w:rsid w:val="73B6EB34"/>
    <w:rsid w:val="73B726D3"/>
    <w:rsid w:val="73FA497D"/>
    <w:rsid w:val="74367A9C"/>
    <w:rsid w:val="744731E5"/>
    <w:rsid w:val="745443C6"/>
    <w:rsid w:val="74991580"/>
    <w:rsid w:val="74B17A6A"/>
    <w:rsid w:val="74BBD01D"/>
    <w:rsid w:val="74ED5379"/>
    <w:rsid w:val="75DEEEC2"/>
    <w:rsid w:val="75E32345"/>
    <w:rsid w:val="760D2A7F"/>
    <w:rsid w:val="76E3355F"/>
    <w:rsid w:val="76FB321F"/>
    <w:rsid w:val="76FF5125"/>
    <w:rsid w:val="776F6FFA"/>
    <w:rsid w:val="7770053A"/>
    <w:rsid w:val="778769C8"/>
    <w:rsid w:val="77A75DCA"/>
    <w:rsid w:val="77DC22F5"/>
    <w:rsid w:val="783E271A"/>
    <w:rsid w:val="7860333A"/>
    <w:rsid w:val="78616DE9"/>
    <w:rsid w:val="78A668CC"/>
    <w:rsid w:val="78E875D7"/>
    <w:rsid w:val="78EF46BD"/>
    <w:rsid w:val="79086DAD"/>
    <w:rsid w:val="794C5FB4"/>
    <w:rsid w:val="79584959"/>
    <w:rsid w:val="7973709D"/>
    <w:rsid w:val="798219D5"/>
    <w:rsid w:val="79A731EA"/>
    <w:rsid w:val="79A90D10"/>
    <w:rsid w:val="79D7FD79"/>
    <w:rsid w:val="79EE5BA4"/>
    <w:rsid w:val="7A1940E8"/>
    <w:rsid w:val="7A2605B3"/>
    <w:rsid w:val="7A291E51"/>
    <w:rsid w:val="7A4153ED"/>
    <w:rsid w:val="7A7E0454"/>
    <w:rsid w:val="7A894339"/>
    <w:rsid w:val="7AD284E8"/>
    <w:rsid w:val="7AFF7572"/>
    <w:rsid w:val="7B0A57DF"/>
    <w:rsid w:val="7B256ABC"/>
    <w:rsid w:val="7B454A69"/>
    <w:rsid w:val="7B6C7DFB"/>
    <w:rsid w:val="7BA118E4"/>
    <w:rsid w:val="7BBFBED0"/>
    <w:rsid w:val="7BC3E394"/>
    <w:rsid w:val="7C105077"/>
    <w:rsid w:val="7C1F3737"/>
    <w:rsid w:val="7CA270D6"/>
    <w:rsid w:val="7CBFC87B"/>
    <w:rsid w:val="7CFE0F48"/>
    <w:rsid w:val="7D0F3580"/>
    <w:rsid w:val="7D272ABC"/>
    <w:rsid w:val="7D3C7824"/>
    <w:rsid w:val="7D7EC23E"/>
    <w:rsid w:val="7DA63EE4"/>
    <w:rsid w:val="7DB76E0E"/>
    <w:rsid w:val="7E192D13"/>
    <w:rsid w:val="7E372D8F"/>
    <w:rsid w:val="7E525E1A"/>
    <w:rsid w:val="7E8ADEBF"/>
    <w:rsid w:val="7EEF11D3"/>
    <w:rsid w:val="7EFE4840"/>
    <w:rsid w:val="7F0971A6"/>
    <w:rsid w:val="7F17671C"/>
    <w:rsid w:val="7F1D62E7"/>
    <w:rsid w:val="7F3F679B"/>
    <w:rsid w:val="7F4D213E"/>
    <w:rsid w:val="7F4FC4EF"/>
    <w:rsid w:val="7F5E4D54"/>
    <w:rsid w:val="7F6E0135"/>
    <w:rsid w:val="7F7678E7"/>
    <w:rsid w:val="7F79F205"/>
    <w:rsid w:val="7F8A15E4"/>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4.xml"/><Relationship Id="rId18" Type="http://schemas.openxmlformats.org/officeDocument/2006/relationships/chart" Target="charts/chart3.xml"/><Relationship Id="rId17" Type="http://schemas.openxmlformats.org/officeDocument/2006/relationships/image" Target="media/image3.emf"/><Relationship Id="rId16" Type="http://schemas.openxmlformats.org/officeDocument/2006/relationships/oleObject" Target="embeddings/oleObject3.bin"/><Relationship Id="rId15" Type="http://schemas.openxmlformats.org/officeDocument/2006/relationships/image" Target="media/image2.emf"/><Relationship Id="rId14" Type="http://schemas.openxmlformats.org/officeDocument/2006/relationships/oleObject" Target="embeddings/oleObject2.bin"/><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accent2"/>
                </a:solidFill>
                <a:latin typeface="Times New Roman" panose="02020603050405020304"/>
                <a:ea typeface="宋体" panose="02010600030101010101" charset="-122"/>
                <a:cs typeface="Arial" panose="020B0604020202020204" pitchFamily="2"/>
              </a:defRPr>
            </a:pPr>
            <a:r>
              <a:rPr lang="zh-CN" b="1">
                <a:solidFill>
                  <a:schemeClr val="accent2"/>
                </a:solidFill>
              </a:rPr>
              <a:t>202</a:t>
            </a:r>
            <a:r>
              <a:rPr lang="en-US" altLang="zh-CN" b="1">
                <a:solidFill>
                  <a:schemeClr val="accent2"/>
                </a:solidFill>
              </a:rPr>
              <a:t>5</a:t>
            </a:r>
            <a:r>
              <a:rPr lang="zh-CN" b="1">
                <a:solidFill>
                  <a:schemeClr val="accent2"/>
                </a:solidFill>
              </a:rPr>
              <a:t>年收入</a:t>
            </a:r>
            <a:endParaRPr lang="zh-CN" b="1">
              <a:solidFill>
                <a:schemeClr val="accent2"/>
              </a:solidFill>
            </a:endParaRPr>
          </a:p>
        </c:rich>
      </c:tx>
      <c:layout>
        <c:manualLayout>
          <c:xMode val="edge"/>
          <c:yMode val="edge"/>
          <c:x val="0.4060721"/>
          <c:y val="0.0342895251684392"/>
        </c:manualLayout>
      </c:layout>
      <c:overlay val="0"/>
      <c:spPr>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manualLayout>
          <c:layoutTarget val="inner"/>
          <c:xMode val="edge"/>
          <c:yMode val="edge"/>
          <c:x val="0.0621989145048103"/>
          <c:y val="0.201932407568926"/>
          <c:w val="0.831209789327614"/>
          <c:h val="0.451100585121204"/>
        </c:manualLayout>
      </c:layout>
      <c:pie3DChart>
        <c:varyColors val="1"/>
        <c:ser>
          <c:idx val="0"/>
          <c:order val="0"/>
          <c:tx>
            <c:strRef>
              <c:f>工作表465544!$A$2</c:f>
              <c:strCache>
                <c:ptCount val="1"/>
                <c:pt idx="0">
                  <c:v>2023年收入</c:v>
                </c:pt>
              </c:strCache>
            </c:strRef>
          </c:tx>
          <c:spPr>
            <a:solidFill>
              <a:schemeClr val="accent6"/>
            </a:solidFill>
            <a:ln>
              <a:noFill/>
            </a:ln>
            <a:effectLst>
              <a:outerShdw blurRad="50800" dist="38100" dir="2700000" sx="112000" sy="112000" algn="tl" rotWithShape="0">
                <a:prstClr val="black">
                  <a:alpha val="40000"/>
                </a:prstClr>
              </a:outerShdw>
            </a:effectLst>
          </c:spPr>
          <c:explosion val="0"/>
          <c:dPt>
            <c:idx val="0"/>
            <c:bubble3D val="0"/>
            <c:spPr>
              <a:solidFill>
                <a:schemeClr val="tx2">
                  <a:lumMod val="60000"/>
                  <a:lumOff val="40000"/>
                </a:schemeClr>
              </a:solidFill>
              <a:ln>
                <a:noFill/>
              </a:ln>
              <a:effectLst>
                <a:outerShdw blurRad="50800" dist="38100" dir="2700000" sx="112000" sy="112000" algn="tl" rotWithShape="0">
                  <a:prstClr val="black">
                    <a:alpha val="40000"/>
                  </a:prstClr>
                </a:outerShdw>
              </a:effectLst>
            </c:spPr>
          </c:dPt>
          <c:dPt>
            <c:idx val="1"/>
            <c:bubble3D val="0"/>
            <c:spPr>
              <a:solidFill>
                <a:schemeClr val="tx2"/>
              </a:solidFill>
              <a:ln>
                <a:noFill/>
              </a:ln>
              <a:effectLst>
                <a:outerShdw blurRad="50800" dist="38100" dir="2700000" sx="112000" sy="112000" algn="tl" rotWithShape="0">
                  <a:prstClr val="black">
                    <a:alpha val="40000"/>
                  </a:prstClr>
                </a:outerShdw>
              </a:effectLst>
            </c:spPr>
          </c:dPt>
          <c:dPt>
            <c:idx val="2"/>
            <c:bubble3D val="0"/>
            <c:spPr>
              <a:solidFill>
                <a:srgbClr val="A5A5A5"/>
              </a:solidFill>
              <a:ln>
                <a:noFill/>
              </a:ln>
              <a:effectLst>
                <a:outerShdw blurRad="50800" dist="38100" dir="2700000" sx="112000" sy="112000" algn="tl" rotWithShape="0">
                  <a:prstClr val="black">
                    <a:alpha val="40000"/>
                  </a:prstClr>
                </a:outerShdw>
              </a:effectLst>
            </c:spPr>
          </c:dPt>
          <c:dPt>
            <c:idx val="3"/>
            <c:bubble3D val="0"/>
            <c:spPr>
              <a:solidFill>
                <a:srgbClr val="FFC000"/>
              </a:solidFill>
              <a:ln>
                <a:noFill/>
              </a:ln>
              <a:effectLst>
                <a:outerShdw blurRad="50800" dist="38100" dir="2700000" sx="112000" sy="112000" algn="tl" rotWithShape="0">
                  <a:prstClr val="black">
                    <a:alpha val="40000"/>
                  </a:prstClr>
                </a:outerShdw>
              </a:effectLst>
            </c:spPr>
          </c:dPt>
          <c:dPt>
            <c:idx val="4"/>
            <c:bubble3D val="0"/>
            <c:spPr>
              <a:solidFill>
                <a:schemeClr val="accent2">
                  <a:lumMod val="40000"/>
                  <a:lumOff val="60000"/>
                </a:schemeClr>
              </a:solidFill>
              <a:ln>
                <a:noFill/>
              </a:ln>
              <a:effectLst>
                <a:outerShdw blurRad="50800" dist="38100" dir="2700000" sx="112000" sy="112000" algn="tl" rotWithShape="0">
                  <a:prstClr val="black">
                    <a:alpha val="40000"/>
                  </a:prstClr>
                </a:outerShdw>
              </a:effectLst>
            </c:spPr>
          </c:dPt>
          <c:dPt>
            <c:idx val="5"/>
            <c:bubble3D val="0"/>
            <c:spPr>
              <a:solidFill>
                <a:schemeClr val="tx2">
                  <a:lumMod val="50000"/>
                </a:schemeClr>
              </a:solidFill>
              <a:ln>
                <a:noFill/>
              </a:ln>
              <a:effectLst>
                <a:outerShdw blurRad="50800" dist="38100" dir="2700000" sx="112000" sy="112000" algn="tl" rotWithShape="0">
                  <a:prstClr val="black">
                    <a:alpha val="40000"/>
                  </a:prstClr>
                </a:outerShdw>
              </a:effectLst>
            </c:spPr>
          </c:dPt>
          <c:dPt>
            <c:idx val="6"/>
            <c:bubble3D val="0"/>
            <c:spPr>
              <a:solidFill>
                <a:schemeClr val="accent6"/>
              </a:solidFill>
              <a:ln>
                <a:noFill/>
              </a:ln>
              <a:effectLst>
                <a:outerShdw blurRad="50800" dist="38100" dir="2700000" sx="112000" sy="112000" algn="tl" rotWithShape="0">
                  <a:prstClr val="black">
                    <a:alpha val="40000"/>
                  </a:prstClr>
                </a:outerShdw>
              </a:effectLst>
            </c:spPr>
          </c:dPt>
          <c:dPt>
            <c:idx val="7"/>
            <c:bubble3D val="0"/>
            <c:spPr>
              <a:solidFill>
                <a:schemeClr val="accent4"/>
              </a:solidFill>
              <a:ln>
                <a:noFill/>
              </a:ln>
              <a:effectLst>
                <a:outerShdw blurRad="50800" dist="38100" dir="2700000" sx="112000" sy="112000" algn="tl" rotWithShape="0">
                  <a:prstClr val="black">
                    <a:alpha val="40000"/>
                  </a:prstClr>
                </a:outerShdw>
              </a:effectLst>
            </c:spPr>
          </c:dPt>
          <c:dLbls>
            <c:dLbl>
              <c:idx val="0"/>
              <c:layout>
                <c:manualLayout>
                  <c:x val="-0.025860981455784"/>
                  <c:y val="0.024240735580941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6"/>
              <c:delete val="1"/>
            </c:dLbl>
            <c:dLbl>
              <c:idx val="7"/>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工作表465544!$B$1:$I$1</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工作表465544!$B$2:$I$2</c:f>
              <c:numCache>
                <c:formatCode>0%</c:formatCode>
                <c:ptCount val="8"/>
                <c:pt idx="0">
                  <c:v>1</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dLbls>
      </c:pie3DChart>
      <c:spPr>
        <a:noFill/>
        <a:ln>
          <a:noFill/>
        </a:ln>
      </c:spPr>
    </c:plotArea>
    <c:legend>
      <c:legendPos val="b"/>
      <c:legendEntry>
        <c:idx val="0"/>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2"/>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3"/>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4"/>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5"/>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6"/>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7"/>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ayout>
        <c:manualLayout>
          <c:xMode val="edge"/>
          <c:yMode val="edge"/>
          <c:x val="0.0433070866141732"/>
          <c:y val="0.72735201366113"/>
          <c:w val="0.87746062992126"/>
          <c:h val="0.215936905085668"/>
        </c:manualLayout>
      </c:layout>
      <c:overlay val="0"/>
      <c:spPr>
        <a:noFill/>
        <a:ln>
          <a:noFill/>
        </a:ln>
      </c:spPr>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
    <c:plotVisOnly val="1"/>
    <c:dispBlanksAs val="zero"/>
    <c:showDLblsOverMax val="0"/>
    <c:extLst>
      <c:ext uri="{0b15fc19-7d7d-44ad-8c2d-2c3a37ce22c3}">
        <chartProps xmlns="https://web.wps.cn/et/2018/main" chartId="{8f97502c-dd43-4f33-b38b-60a766be38eb}"/>
      </c:ext>
    </c:extLst>
  </c:chart>
  <c:spPr>
    <a:solidFill>
      <a:schemeClr val="bg1"/>
    </a:solidFill>
    <a:ln w="28575" cap="flat" cmpd="sng" algn="ctr">
      <a:solidFill>
        <a:srgbClr val="D8D8D8"/>
      </a:solidFill>
      <a:prstDash val="solid"/>
      <a:round/>
    </a:ln>
    <a:effectLst>
      <a:outerShdw blurRad="50800" dist="50800" dir="5400000" algn="ctr" rotWithShape="0">
        <a:schemeClr val="bg2">
          <a:alpha val="100000"/>
        </a:schemeClr>
      </a:outerShdw>
    </a:effectLst>
  </c:spPr>
  <c:txPr>
    <a:bodyPr/>
    <a:lstStyle/>
    <a:p>
      <a:pPr>
        <a:defRPr lang="zh-CN" sz="9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accent2"/>
                </a:solidFill>
                <a:latin typeface="Times New Roman" panose="02020603050405020304"/>
                <a:ea typeface="宋体" panose="02010600030101010101" charset="-122"/>
                <a:cs typeface="Arial" panose="020B0604020202020204" pitchFamily="2"/>
              </a:defRPr>
            </a:pPr>
            <a:r>
              <a:rPr lang="zh-CN" b="1">
                <a:solidFill>
                  <a:schemeClr val="accent2"/>
                </a:solidFill>
              </a:rPr>
              <a:t>202</a:t>
            </a:r>
            <a:r>
              <a:rPr lang="en-US" altLang="zh-CN" b="1">
                <a:solidFill>
                  <a:schemeClr val="accent2"/>
                </a:solidFill>
              </a:rPr>
              <a:t>5</a:t>
            </a:r>
            <a:r>
              <a:rPr lang="zh-CN" b="1">
                <a:solidFill>
                  <a:schemeClr val="accent2"/>
                </a:solidFill>
              </a:rPr>
              <a:t>年支出</a:t>
            </a:r>
            <a:endParaRPr lang="zh-CN" b="1">
              <a:solidFill>
                <a:schemeClr val="accent2"/>
              </a:solidFill>
            </a:endParaRPr>
          </a:p>
        </c:rich>
      </c:tx>
      <c:layout>
        <c:manualLayout>
          <c:xMode val="edge"/>
          <c:yMode val="edge"/>
          <c:x val="0.4060721"/>
          <c:y val="0.0300402333837367"/>
        </c:manualLayout>
      </c:layout>
      <c:overlay val="0"/>
      <c:spPr>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manualLayout>
          <c:layoutTarget val="inner"/>
          <c:xMode val="edge"/>
          <c:yMode val="edge"/>
          <c:x val="0.13330704441658"/>
          <c:y val="0.261115795821797"/>
          <c:w val="0.720614505180422"/>
          <c:h val="0.437612093261594"/>
        </c:manualLayout>
      </c:layout>
      <c:pie3DChart>
        <c:varyColors val="1"/>
        <c:ser>
          <c:idx val="0"/>
          <c:order val="0"/>
          <c:tx>
            <c:strRef>
              <c:f>工作表465544!$A$2</c:f>
              <c:strCache>
                <c:ptCount val="1"/>
                <c:pt idx="0">
                  <c:v>2023年支出</c:v>
                </c:pt>
              </c:strCache>
            </c:strRef>
          </c:tx>
          <c:spPr>
            <a:solidFill>
              <a:schemeClr val="accent6"/>
            </a:solidFill>
            <a:ln>
              <a:noFill/>
            </a:ln>
            <a:effectLst>
              <a:outerShdw blurRad="50800" dist="38100" dir="2700000" algn="tl" rotWithShape="0">
                <a:prstClr val="black">
                  <a:alpha val="40000"/>
                </a:prstClr>
              </a:outerShdw>
            </a:effectLst>
          </c:spPr>
          <c:explosion val="0"/>
          <c:dPt>
            <c:idx val="0"/>
            <c:bubble3D val="0"/>
            <c:spPr>
              <a:solidFill>
                <a:schemeClr val="accent6"/>
              </a:solidFill>
              <a:ln>
                <a:noFill/>
              </a:ln>
              <a:effectLst>
                <a:outerShdw blurRad="50800" dist="38100" dir="2700000" sx="77000" sy="77000" algn="tl" rotWithShape="0">
                  <a:prstClr val="black">
                    <a:alpha val="40000"/>
                  </a:prstClr>
                </a:outerShdw>
              </a:effectLst>
            </c:spPr>
          </c:dPt>
          <c:dPt>
            <c:idx val="1"/>
            <c:bubble3D val="0"/>
            <c:spPr>
              <a:solidFill>
                <a:schemeClr val="accent1"/>
              </a:solidFill>
              <a:ln>
                <a:noFill/>
              </a:ln>
              <a:effectLst>
                <a:outerShdw blurRad="50800" dist="38100" dir="2700000" algn="tl" rotWithShape="0">
                  <a:prstClr val="black">
                    <a:alpha val="40000"/>
                  </a:prstClr>
                </a:outerShdw>
              </a:effectLst>
            </c:spPr>
          </c:dPt>
          <c:dLbls>
            <c:dLbl>
              <c:idx val="0"/>
              <c:layout>
                <c:manualLayout>
                  <c:x val="-0.0398803589232303"/>
                  <c:y val="0.032089961601755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工作表465544!$B$1:$C$1</c:f>
              <c:strCache>
                <c:ptCount val="2"/>
                <c:pt idx="0">
                  <c:v>基本支出</c:v>
                </c:pt>
                <c:pt idx="1">
                  <c:v>项目支出</c:v>
                </c:pt>
              </c:strCache>
            </c:strRef>
          </c:cat>
          <c:val>
            <c:numRef>
              <c:f>工作表465544!$B$2:$C$2</c:f>
              <c:numCache>
                <c:formatCode>0%</c:formatCode>
                <c:ptCount val="2"/>
                <c:pt idx="0">
                  <c:v>1</c:v>
                </c:pt>
                <c:pt idx="1">
                  <c:v>0</c:v>
                </c:pt>
              </c:numCache>
            </c:numRef>
          </c:val>
        </c:ser>
        <c:dLbls>
          <c:showLegendKey val="0"/>
          <c:showVal val="0"/>
          <c:showCatName val="0"/>
          <c:showSerName val="0"/>
          <c:showPercent val="0"/>
          <c:showBubbleSize val="0"/>
        </c:dLbls>
      </c:pie3DChart>
      <c:spPr>
        <a:noFill/>
        <a:ln>
          <a:noFill/>
        </a:ln>
      </c:spPr>
    </c:plotArea>
    <c:legend>
      <c:legendPos val="b"/>
      <c:legendEntry>
        <c:idx val="0"/>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ayout>
        <c:manualLayout>
          <c:xMode val="edge"/>
          <c:yMode val="edge"/>
          <c:x val="0.0416119637683503"/>
          <c:y val="0.774757883996218"/>
          <c:w val="0.87746062992126"/>
          <c:h val="0.215936905085668"/>
        </c:manualLayout>
      </c:layout>
      <c:overlay val="0"/>
      <c:spPr>
        <a:noFill/>
        <a:ln>
          <a:noFill/>
        </a:ln>
      </c:spPr>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
    <c:plotVisOnly val="1"/>
    <c:dispBlanksAs val="zero"/>
    <c:showDLblsOverMax val="0"/>
    <c:extLst>
      <c:ext uri="{0b15fc19-7d7d-44ad-8c2d-2c3a37ce22c3}">
        <chartProps xmlns="https://web.wps.cn/et/2018/main" chartId="{6b5db29d-1272-4198-8022-81ba61804779}"/>
      </c:ext>
    </c:extLst>
  </c:chart>
  <c:spPr>
    <a:solidFill>
      <a:schemeClr val="bg1"/>
    </a:solidFill>
    <a:ln w="28575" cap="flat" cmpd="sng" algn="ctr">
      <a:solidFill>
        <a:srgbClr val="D8D8D8"/>
      </a:solidFill>
      <a:prstDash val="solid"/>
      <a:round/>
    </a:ln>
    <a:effectLst>
      <a:outerShdw blurRad="50800" dist="50800" dir="5400000" algn="ctr" rotWithShape="0">
        <a:schemeClr val="bg2">
          <a:alpha val="100000"/>
        </a:schemeClr>
      </a:outerShdw>
    </a:effectLst>
  </c:spPr>
  <c:txPr>
    <a:bodyPr/>
    <a:lstStyle/>
    <a:p>
      <a:pPr>
        <a:defRPr lang="zh-CN" sz="9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accent2"/>
                </a:solidFill>
                <a:latin typeface="Times New Roman" panose="02020603050405020304"/>
                <a:ea typeface="宋体" panose="02010600030101010101" charset="-122"/>
                <a:cs typeface="Arial" panose="020B0604020202020204" pitchFamily="2"/>
              </a:defRPr>
            </a:pPr>
            <a:r>
              <a:rPr lang="zh-CN" b="1">
                <a:solidFill>
                  <a:schemeClr val="accent2"/>
                </a:solidFill>
              </a:rPr>
              <a:t>202</a:t>
            </a:r>
            <a:r>
              <a:rPr lang="en-US" altLang="zh-CN" b="1">
                <a:solidFill>
                  <a:schemeClr val="accent2"/>
                </a:solidFill>
              </a:rPr>
              <a:t>5</a:t>
            </a:r>
            <a:r>
              <a:rPr lang="zh-CN" b="1">
                <a:solidFill>
                  <a:schemeClr val="accent2"/>
                </a:solidFill>
              </a:rPr>
              <a:t>年一般公共预算财政拨款支出</a:t>
            </a:r>
            <a:endParaRPr lang="zh-CN" b="1">
              <a:solidFill>
                <a:schemeClr val="accent2"/>
              </a:solidFill>
            </a:endParaRPr>
          </a:p>
        </c:rich>
      </c:tx>
      <c:layout>
        <c:manualLayout>
          <c:xMode val="edge"/>
          <c:yMode val="edge"/>
          <c:x val="0.19679552519685"/>
          <c:y val="0.0513135634064318"/>
        </c:manualLayout>
      </c:layout>
      <c:overlay val="0"/>
      <c:spPr>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manualLayout>
          <c:layoutTarget val="inner"/>
          <c:xMode val="edge"/>
          <c:yMode val="edge"/>
          <c:x val="0.0833267716535433"/>
          <c:y val="0.240101359245095"/>
          <c:w val="0.832362204724409"/>
          <c:h val="0.542795014584991"/>
        </c:manualLayout>
      </c:layout>
      <c:pie3DChart>
        <c:varyColors val="1"/>
        <c:ser>
          <c:idx val="0"/>
          <c:order val="0"/>
          <c:tx>
            <c:strRef>
              <c:f>工作表465544!$A$2</c:f>
              <c:strCache>
                <c:ptCount val="1"/>
                <c:pt idx="0">
                  <c:v>2025年一般公共预算财政拨款支出</c:v>
                </c:pt>
              </c:strCache>
            </c:strRef>
          </c:tx>
          <c:spPr>
            <a:solidFill>
              <a:schemeClr val="accent6"/>
            </a:solidFill>
            <a:ln>
              <a:noFill/>
            </a:ln>
            <a:effectLst>
              <a:outerShdw blurRad="50800" dist="38100" dir="2700000" sx="112000" sy="112000" algn="tl" rotWithShape="0">
                <a:prstClr val="black">
                  <a:alpha val="40000"/>
                </a:prstClr>
              </a:outerShdw>
            </a:effectLst>
          </c:spPr>
          <c:explosion val="0"/>
          <c:dPt>
            <c:idx val="0"/>
            <c:bubble3D val="0"/>
            <c:spPr>
              <a:solidFill>
                <a:schemeClr val="tx2">
                  <a:lumMod val="60000"/>
                  <a:lumOff val="40000"/>
                </a:schemeClr>
              </a:solidFill>
              <a:ln>
                <a:noFill/>
              </a:ln>
              <a:effectLst>
                <a:outerShdw blurRad="50800" dist="38100" dir="2700000" sx="112000" sy="112000" algn="tl" rotWithShape="0">
                  <a:prstClr val="black">
                    <a:alpha val="40000"/>
                  </a:prstClr>
                </a:outerShdw>
              </a:effectLst>
            </c:spPr>
          </c:dPt>
          <c:dPt>
            <c:idx val="1"/>
            <c:bubble3D val="0"/>
            <c:spPr>
              <a:gradFill>
                <a:gsLst>
                  <a:gs pos="0">
                    <a:srgbClr val="14CD68"/>
                  </a:gs>
                  <a:gs pos="100000">
                    <a:srgbClr val="0B6E38"/>
                  </a:gs>
                </a:gsLst>
                <a:lin ang="5400000" scaled="0"/>
              </a:gradFill>
              <a:ln>
                <a:noFill/>
              </a:ln>
              <a:effectLst>
                <a:outerShdw blurRad="50800" dist="38100" dir="2700000" sx="112000" sy="112000" algn="tl" rotWithShape="0">
                  <a:prstClr val="black">
                    <a:alpha val="40000"/>
                  </a:prstClr>
                </a:outerShdw>
              </a:effectLst>
            </c:spPr>
          </c:dPt>
          <c:dPt>
            <c:idx val="2"/>
            <c:bubble3D val="0"/>
            <c:spPr>
              <a:solidFill>
                <a:schemeClr val="accent2"/>
              </a:solidFill>
              <a:ln>
                <a:noFill/>
              </a:ln>
              <a:effectLst>
                <a:outerShdw blurRad="50800" dist="38100" dir="2700000" sx="112000" sy="112000" algn="tl" rotWithShape="0">
                  <a:prstClr val="black">
                    <a:alpha val="40000"/>
                  </a:prstClr>
                </a:outerShdw>
              </a:effectLst>
            </c:spPr>
          </c:dPt>
          <c:dPt>
            <c:idx val="3"/>
            <c:bubble3D val="0"/>
            <c:spPr>
              <a:solidFill>
                <a:srgbClr val="FFC000"/>
              </a:solidFill>
              <a:ln>
                <a:noFill/>
              </a:ln>
              <a:effectLst>
                <a:outerShdw blurRad="50800" dist="38100" dir="2700000" sx="112000" sy="112000" algn="tl" rotWithShape="0">
                  <a:prstClr val="black">
                    <a:alpha val="40000"/>
                  </a:prstClr>
                </a:outerShdw>
              </a:effectLst>
            </c:spPr>
          </c:dPt>
          <c:dLbls>
            <c:dLbl>
              <c:idx val="0"/>
              <c:layout>
                <c:manualLayout>
                  <c:x val="0.0771247580230991"/>
                  <c:y val="-0.074399208498872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5442806998488"/>
                  <c:y val="0.013138040291879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dLblPos val="bestFit"/>
              <c:showLegendKey val="0"/>
              <c:showVal val="1"/>
              <c:showCatName val="0"/>
              <c:showSerName val="0"/>
              <c:showPercent val="0"/>
              <c:showBubbleSize val="0"/>
              <c:extLst>
                <c:ext xmlns:c15="http://schemas.microsoft.com/office/drawing/2012/chart" uri="{CE6537A1-D6FC-4f65-9D91-7224C49458BB}"/>
              </c:extLst>
            </c:dLbl>
            <c:dLbl>
              <c:idx val="3"/>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工作表465544!$B$1:$E$1</c:f>
              <c:strCache>
                <c:ptCount val="4"/>
                <c:pt idx="0">
                  <c:v>一般公共服务支出</c:v>
                </c:pt>
                <c:pt idx="1">
                  <c:v>社会保障和就业支出</c:v>
                </c:pt>
                <c:pt idx="2">
                  <c:v>卫生健康支出</c:v>
                </c:pt>
                <c:pt idx="3">
                  <c:v>住房保障支出</c:v>
                </c:pt>
              </c:strCache>
            </c:strRef>
          </c:cat>
          <c:val>
            <c:numRef>
              <c:f>工作表465544!$B$2:$E$2</c:f>
              <c:numCache>
                <c:formatCode>0.0%</c:formatCode>
                <c:ptCount val="4"/>
                <c:pt idx="0">
                  <c:v>0.733</c:v>
                </c:pt>
                <c:pt idx="1">
                  <c:v>0.141</c:v>
                </c:pt>
                <c:pt idx="2">
                  <c:v>0.052</c:v>
                </c:pt>
                <c:pt idx="3">
                  <c:v>0.074</c:v>
                </c:pt>
              </c:numCache>
            </c:numRef>
          </c:val>
        </c:ser>
        <c:dLbls>
          <c:showLegendKey val="0"/>
          <c:showVal val="0"/>
          <c:showCatName val="0"/>
          <c:showSerName val="0"/>
          <c:showPercent val="0"/>
          <c:showBubbleSize val="0"/>
        </c:dLbls>
      </c:pie3DChart>
      <c:spPr>
        <a:noFill/>
        <a:ln>
          <a:noFill/>
        </a:ln>
      </c:spPr>
    </c:plotArea>
    <c:legend>
      <c:legendPos val="b"/>
      <c:legendEntry>
        <c:idx val="0"/>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2"/>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3"/>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ayout>
        <c:manualLayout>
          <c:xMode val="edge"/>
          <c:yMode val="edge"/>
          <c:x val="0.0449064960629921"/>
          <c:y val="0.72735201366113"/>
          <c:w val="0.87746062992126"/>
          <c:h val="0.215936905085668"/>
        </c:manualLayout>
      </c:layout>
      <c:overlay val="0"/>
      <c:spPr>
        <a:noFill/>
        <a:ln>
          <a:noFill/>
        </a:ln>
      </c:spPr>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
    <c:plotVisOnly val="1"/>
    <c:dispBlanksAs val="zero"/>
    <c:showDLblsOverMax val="0"/>
    <c:extLst>
      <c:ext uri="{0b15fc19-7d7d-44ad-8c2d-2c3a37ce22c3}">
        <chartProps xmlns="https://web.wps.cn/et/2018/main" chartId="{acb54bf8-5b18-4667-a913-a13b3dc640e5}"/>
      </c:ext>
    </c:extLst>
  </c:chart>
  <c:spPr>
    <a:solidFill>
      <a:schemeClr val="bg1"/>
    </a:solidFill>
    <a:ln w="28575" cap="flat" cmpd="sng" algn="ctr">
      <a:solidFill>
        <a:srgbClr val="D8D8D8"/>
      </a:solidFill>
      <a:prstDash val="solid"/>
      <a:round/>
    </a:ln>
    <a:effectLst>
      <a:outerShdw blurRad="50800" dist="50800" dir="5400000" algn="ctr" rotWithShape="0">
        <a:schemeClr val="bg2">
          <a:alpha val="100000"/>
        </a:schemeClr>
      </a:outerShdw>
    </a:effectLst>
  </c:spPr>
  <c:txPr>
    <a:bodyPr/>
    <a:lstStyle/>
    <a:p>
      <a:pPr>
        <a:defRPr lang="zh-CN" sz="9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2025年“三公”经费财政拨款支出</a:t>
            </a:r>
          </a:p>
        </c:rich>
      </c:tx>
      <c:layout/>
      <c:overlay val="0"/>
      <c:spPr>
        <a:noFill/>
        <a:ln>
          <a:noFill/>
        </a:ln>
        <a:effectLst/>
      </c:spPr>
    </c:title>
    <c:autoTitleDeleted val="0"/>
    <c:view3D>
      <c:rotX val="30"/>
      <c:rotY val="0"/>
      <c:depthPercent val="100"/>
      <c:rAngAx val="0"/>
    </c:view3D>
    <c:floor>
      <c:thickness val="0"/>
      <c:spPr>
        <a:noFill/>
        <a:ln>
          <a:noFill/>
        </a:ln>
        <a:effectLst/>
      </c:spPr>
    </c:floor>
    <c:sideWall>
      <c:thickness val="0"/>
      <c:spPr>
        <a:noFill/>
        <a:ln>
          <a:noFill/>
        </a:ln>
        <a:effectLst/>
      </c:spPr>
    </c:sideWall>
    <c:backWall>
      <c:thickness val="0"/>
      <c:spPr>
        <a:noFill/>
        <a:ln>
          <a:noFill/>
        </a:ln>
        <a:effectLst/>
      </c:spPr>
    </c:backWall>
    <c:plotArea>
      <c:layout/>
      <c:pie3DChart>
        <c:varyColors val="1"/>
        <c:ser>
          <c:idx val="0"/>
          <c:order val="0"/>
          <c:tx>
            <c:strRef>
              <c:f>工作表465544!$A$2</c:f>
              <c:strCache>
                <c:ptCount val="1"/>
                <c:pt idx="0">
                  <c:v>“三公”经费财政拨款支出</c:v>
                </c:pt>
              </c:strCache>
            </c:strRef>
          </c:tx>
          <c:spPr>
            <a:ln w="19050" cap="rnd">
              <a:solidFill>
                <a:schemeClr val="tx1">
                  <a:lumMod val="85000"/>
                  <a:lumOff val="15000"/>
                </a:schemeClr>
              </a:solidFill>
              <a:round/>
            </a:ln>
            <a:effectLst/>
          </c:spPr>
          <c:explosion val="0"/>
          <c:dPt>
            <c:idx val="0"/>
            <c:bubble3D val="0"/>
            <c:spPr>
              <a:solidFill>
                <a:schemeClr val="accent1"/>
              </a:solidFill>
              <a:ln w="19050" cap="rnd">
                <a:solidFill>
                  <a:schemeClr val="tx1">
                    <a:lumMod val="85000"/>
                    <a:lumOff val="15000"/>
                  </a:schemeClr>
                </a:solidFill>
                <a:round/>
              </a:ln>
              <a:effectLst/>
            </c:spPr>
          </c:dPt>
          <c:dPt>
            <c:idx val="1"/>
            <c:bubble3D val="0"/>
            <c:spPr>
              <a:solidFill>
                <a:schemeClr val="accent2"/>
              </a:solidFill>
              <a:ln w="19050" cap="rnd">
                <a:solidFill>
                  <a:schemeClr val="tx1">
                    <a:lumMod val="85000"/>
                    <a:lumOff val="15000"/>
                  </a:schemeClr>
                </a:solidFill>
                <a:round/>
              </a:ln>
              <a:effectLst/>
            </c:spPr>
          </c:dPt>
          <c:dPt>
            <c:idx val="2"/>
            <c:bubble3D val="0"/>
            <c:spPr>
              <a:solidFill>
                <a:schemeClr val="accent3"/>
              </a:solidFill>
              <a:ln w="19050" cap="rnd">
                <a:solidFill>
                  <a:schemeClr val="tx1">
                    <a:lumMod val="85000"/>
                    <a:lumOff val="15000"/>
                  </a:schemeClr>
                </a:solidFill>
                <a:round/>
              </a:ln>
              <a:effectLst/>
            </c:spPr>
          </c:dPt>
          <c:dLbls>
            <c:dLbl>
              <c:idx val="0"/>
              <c:layout>
                <c:manualLayout>
                  <c:x val="0.26644726860621"/>
                  <c:y val="0.10982649242888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260149120585599"/>
                  <c:y val="0.0823332309733585"/>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313945544237768"/>
                  <c:y val="-0.0868153569704941"/>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工作表465544!$B$1:$D$1</c:f>
              <c:strCache>
                <c:ptCount val="3"/>
                <c:pt idx="0">
                  <c:v>因公出国（境）费支出</c:v>
                </c:pt>
                <c:pt idx="1">
                  <c:v>公务用车购置及运行维护费支出</c:v>
                </c:pt>
                <c:pt idx="2">
                  <c:v>公务接待费支出</c:v>
                </c:pt>
              </c:strCache>
            </c:strRef>
          </c:cat>
          <c:val>
            <c:numRef>
              <c:f>工作表465544!$B$2:$D$2</c:f>
              <c:numCache>
                <c:formatCode>0%</c:formatCode>
                <c:ptCount val="3"/>
                <c:pt idx="0">
                  <c:v>0</c:v>
                </c:pt>
                <c:pt idx="1">
                  <c:v>0</c:v>
                </c:pt>
                <c:pt idx="2">
                  <c:v>1</c:v>
                </c:pt>
              </c:numCache>
            </c:numRef>
          </c:val>
        </c:ser>
        <c:dLbls>
          <c:showLegendKey val="0"/>
          <c:showVal val="1"/>
          <c:showCatName val="0"/>
          <c:showSerName val="0"/>
          <c:showPercent val="0"/>
          <c:showBubbleSize val="0"/>
        </c:dLbls>
      </c:pie3DChart>
      <c:spPr>
        <a:noFill/>
        <a:ln>
          <a:noFill/>
        </a:ln>
        <a:effectLst/>
      </c:spPr>
    </c:plotArea>
    <c:plotVisOnly val="1"/>
    <c:dispBlanksAs val="gap"/>
    <c:showDLblsOverMax val="0"/>
    <c:extLst>
      <c:ext uri="{0b15fc19-7d7d-44ad-8c2d-2c3a37ce22c3}">
        <chartProps xmlns="https://web.wps.cn/et/2018/main" chartId="{84ec19cf-4cca-42dd-a534-a71e75c73767}"/>
      </c:ext>
    </c:extLst>
  </c:chart>
  <c:spPr>
    <a:solidFill>
      <a:srgbClr val="F79646">
        <a:lumMod val="20000"/>
        <a:lumOff val="80000"/>
      </a:srgbClr>
    </a:solidFill>
    <a:ln w="9525"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可爱风">
    <a:dk1>
      <a:srgbClr val="000000"/>
    </a:dk1>
    <a:lt1>
      <a:srgbClr val="FFFFFF"/>
    </a:lt1>
    <a:dk2>
      <a:srgbClr val="44546A"/>
    </a:dk2>
    <a:lt2>
      <a:srgbClr val="E7E6E6"/>
    </a:lt2>
    <a:accent1>
      <a:srgbClr val="8ECBEE"/>
    </a:accent1>
    <a:accent2>
      <a:srgbClr val="FFD873"/>
    </a:accent2>
    <a:accent3>
      <a:srgbClr val="F279A3"/>
    </a:accent3>
    <a:accent4>
      <a:srgbClr val="F8B39E"/>
    </a:accent4>
    <a:accent5>
      <a:srgbClr val="B8E2DD"/>
    </a:accent5>
    <a:accent6>
      <a:srgbClr val="DEDC6A"/>
    </a:accent6>
    <a:hlink>
      <a:srgbClr val="0026E5"/>
    </a:hlink>
    <a:folHlink>
      <a:srgbClr val="7E1FA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Narrow"/>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5436</Words>
  <Characters>5900</Characters>
  <Lines>61</Lines>
  <Paragraphs>17</Paragraphs>
  <TotalTime>40</TotalTime>
  <ScaleCrop>false</ScaleCrop>
  <LinksUpToDate>false</LinksUpToDate>
  <CharactersWithSpaces>6237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WPS_1646120326</cp:lastModifiedBy>
  <cp:lastPrinted>2025-08-06T17:34:00Z</cp:lastPrinted>
  <dcterms:modified xsi:type="dcterms:W3CDTF">2026-09-11T04:17:34Z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eyJoZGlkIjoiZjJlNzIyY2I2NzY3MDUyYTk3ODIyNjI2MGY1NDJiMjYiLCJ1c2VySWQiOiIxMzM5NjQ2MDIyIn0=</vt:lpwstr>
  </property>
</Properties>
</file>