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29094">
      <w:pPr>
        <w:spacing w:line="576"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附件2</w:t>
      </w:r>
    </w:p>
    <w:p w14:paraId="49C1A8FF">
      <w:pPr>
        <w:spacing w:line="576" w:lineRule="exact"/>
        <w:rPr>
          <w:rFonts w:hint="default" w:ascii="Times New Roman" w:hAnsi="Times New Roman" w:cs="Times New Roman"/>
          <w:highlight w:val="none"/>
        </w:rPr>
      </w:pPr>
    </w:p>
    <w:p w14:paraId="4593BFE6">
      <w:pPr>
        <w:spacing w:line="576" w:lineRule="exact"/>
        <w:rPr>
          <w:rFonts w:hint="default" w:ascii="Times New Roman" w:hAnsi="Times New Roman" w:cs="Times New Roman"/>
          <w:highlight w:val="none"/>
        </w:rPr>
      </w:pPr>
    </w:p>
    <w:p w14:paraId="0A039895">
      <w:pPr>
        <w:spacing w:line="576" w:lineRule="exact"/>
        <w:rPr>
          <w:rFonts w:hint="default" w:ascii="Times New Roman" w:hAnsi="Times New Roman" w:cs="Times New Roman"/>
          <w:highlight w:val="none"/>
        </w:rPr>
      </w:pPr>
    </w:p>
    <w:p w14:paraId="0A760F6E">
      <w:pPr>
        <w:spacing w:line="576" w:lineRule="exact"/>
        <w:ind w:firstLine="1050" w:firstLineChars="500"/>
        <w:rPr>
          <w:rFonts w:hint="default" w:ascii="Times New Roman" w:hAnsi="Times New Roman" w:cs="Times New Roman"/>
          <w:highlight w:val="none"/>
        </w:rPr>
      </w:pPr>
    </w:p>
    <w:p w14:paraId="67FD84E6">
      <w:pPr>
        <w:spacing w:line="576" w:lineRule="exact"/>
        <w:ind w:firstLine="1050" w:firstLineChars="500"/>
        <w:rPr>
          <w:rFonts w:hint="default" w:ascii="Times New Roman" w:hAnsi="Times New Roman" w:cs="Times New Roman"/>
          <w:highlight w:val="none"/>
        </w:rPr>
      </w:pPr>
    </w:p>
    <w:p w14:paraId="14342CF7">
      <w:pPr>
        <w:spacing w:line="576" w:lineRule="exact"/>
        <w:ind w:firstLine="1760" w:firstLineChars="400"/>
        <w:rPr>
          <w:rFonts w:hint="default" w:ascii="Times New Roman" w:hAnsi="Times New Roman" w:eastAsia="黑体" w:cs="Times New Roman"/>
          <w:sz w:val="44"/>
          <w:szCs w:val="44"/>
          <w:highlight w:val="none"/>
        </w:rPr>
      </w:pPr>
    </w:p>
    <w:p w14:paraId="0E49136E">
      <w:pPr>
        <w:spacing w:line="576" w:lineRule="exact"/>
        <w:ind w:firstLine="1760" w:firstLineChars="400"/>
        <w:rPr>
          <w:rFonts w:hint="default" w:ascii="Times New Roman" w:hAnsi="Times New Roman" w:eastAsia="黑体" w:cs="Times New Roman"/>
          <w:sz w:val="44"/>
          <w:szCs w:val="44"/>
          <w:highlight w:val="none"/>
        </w:rPr>
      </w:pPr>
    </w:p>
    <w:p w14:paraId="1ED139B0">
      <w:pPr>
        <w:spacing w:line="576" w:lineRule="exact"/>
        <w:jc w:val="center"/>
        <w:rPr>
          <w:rFonts w:hint="default" w:ascii="Times New Roman" w:hAnsi="Times New Roman" w:eastAsia="黑体" w:cs="Times New Roman"/>
          <w:sz w:val="44"/>
          <w:szCs w:val="44"/>
          <w:highlight w:val="none"/>
          <w:lang w:val="en-US" w:eastAsia="zh-CN"/>
        </w:rPr>
      </w:pPr>
      <w:r>
        <w:rPr>
          <w:rFonts w:hint="default" w:ascii="Times New Roman" w:hAnsi="Times New Roman" w:eastAsia="黑体" w:cs="Times New Roman"/>
          <w:sz w:val="44"/>
          <w:szCs w:val="44"/>
          <w:highlight w:val="none"/>
          <w:lang w:eastAsia="zh-CN"/>
        </w:rPr>
        <w:t>阿坝州</w:t>
      </w:r>
      <w:r>
        <w:rPr>
          <w:rFonts w:hint="default" w:ascii="Times New Roman" w:hAnsi="Times New Roman" w:eastAsia="黑体" w:cs="Times New Roman"/>
          <w:sz w:val="44"/>
          <w:szCs w:val="44"/>
          <w:highlight w:val="none"/>
          <w:lang w:val="en-US" w:eastAsia="zh-CN"/>
        </w:rPr>
        <w:t>民族宗教事务委员会</w:t>
      </w:r>
    </w:p>
    <w:p w14:paraId="4C245F41">
      <w:pPr>
        <w:spacing w:line="576" w:lineRule="exact"/>
        <w:jc w:val="center"/>
        <w:rPr>
          <w:rFonts w:hint="default" w:ascii="Times New Roman" w:hAnsi="Times New Roman" w:eastAsia="黑体" w:cs="Times New Roman"/>
          <w:sz w:val="44"/>
          <w:szCs w:val="44"/>
          <w:highlight w:val="none"/>
        </w:rPr>
      </w:pPr>
      <w:r>
        <w:rPr>
          <w:rFonts w:hint="eastAsia" w:ascii="Times New Roman" w:hAnsi="Times New Roman" w:eastAsia="黑体" w:cs="Times New Roman"/>
          <w:sz w:val="44"/>
          <w:szCs w:val="44"/>
          <w:highlight w:val="none"/>
          <w:lang w:eastAsia="zh-CN"/>
        </w:rPr>
        <w:t>2024</w:t>
      </w:r>
      <w:r>
        <w:rPr>
          <w:rFonts w:hint="default" w:ascii="Times New Roman" w:hAnsi="Times New Roman" w:eastAsia="黑体" w:cs="Times New Roman"/>
          <w:sz w:val="44"/>
          <w:szCs w:val="44"/>
          <w:highlight w:val="none"/>
        </w:rPr>
        <w:t>年部门预算</w:t>
      </w:r>
    </w:p>
    <w:p w14:paraId="1A1DA73E">
      <w:pPr>
        <w:spacing w:line="576" w:lineRule="exact"/>
        <w:ind w:firstLine="1760" w:firstLineChars="400"/>
        <w:rPr>
          <w:rFonts w:hint="default" w:ascii="Times New Roman" w:hAnsi="Times New Roman" w:eastAsia="黑体" w:cs="Times New Roman"/>
          <w:sz w:val="44"/>
          <w:szCs w:val="44"/>
          <w:highlight w:val="none"/>
        </w:rPr>
      </w:pPr>
    </w:p>
    <w:p w14:paraId="7B38474B">
      <w:pPr>
        <w:spacing w:line="576" w:lineRule="exact"/>
        <w:ind w:firstLine="1760" w:firstLineChars="400"/>
        <w:rPr>
          <w:rFonts w:hint="default" w:ascii="Times New Roman" w:hAnsi="Times New Roman" w:eastAsia="黑体" w:cs="Times New Roman"/>
          <w:sz w:val="44"/>
          <w:szCs w:val="44"/>
          <w:highlight w:val="none"/>
        </w:rPr>
      </w:pPr>
    </w:p>
    <w:p w14:paraId="49736218">
      <w:pPr>
        <w:spacing w:line="576" w:lineRule="exact"/>
        <w:ind w:firstLine="1760" w:firstLineChars="400"/>
        <w:rPr>
          <w:rFonts w:hint="default" w:ascii="Times New Roman" w:hAnsi="Times New Roman" w:eastAsia="黑体" w:cs="Times New Roman"/>
          <w:sz w:val="44"/>
          <w:szCs w:val="44"/>
          <w:highlight w:val="none"/>
        </w:rPr>
      </w:pPr>
    </w:p>
    <w:p w14:paraId="415E7AB9">
      <w:pPr>
        <w:spacing w:line="576" w:lineRule="exact"/>
        <w:ind w:firstLine="1760" w:firstLineChars="400"/>
        <w:rPr>
          <w:rFonts w:hint="default" w:ascii="Times New Roman" w:hAnsi="Times New Roman" w:eastAsia="黑体" w:cs="Times New Roman"/>
          <w:sz w:val="44"/>
          <w:szCs w:val="44"/>
          <w:highlight w:val="none"/>
        </w:rPr>
      </w:pPr>
    </w:p>
    <w:p w14:paraId="04A8A85E">
      <w:pPr>
        <w:spacing w:line="576" w:lineRule="exact"/>
        <w:ind w:firstLine="1760" w:firstLineChars="400"/>
        <w:rPr>
          <w:rFonts w:hint="default" w:ascii="Times New Roman" w:hAnsi="Times New Roman" w:eastAsia="黑体" w:cs="Times New Roman"/>
          <w:sz w:val="44"/>
          <w:szCs w:val="44"/>
          <w:highlight w:val="none"/>
        </w:rPr>
      </w:pPr>
    </w:p>
    <w:p w14:paraId="14940823">
      <w:pPr>
        <w:spacing w:line="576" w:lineRule="exact"/>
        <w:ind w:firstLine="1760" w:firstLineChars="400"/>
        <w:rPr>
          <w:rFonts w:hint="default" w:ascii="Times New Roman" w:hAnsi="Times New Roman" w:eastAsia="黑体" w:cs="Times New Roman"/>
          <w:sz w:val="44"/>
          <w:szCs w:val="44"/>
          <w:highlight w:val="none"/>
        </w:rPr>
      </w:pPr>
    </w:p>
    <w:p w14:paraId="633CEA28">
      <w:pPr>
        <w:spacing w:line="576" w:lineRule="exact"/>
        <w:ind w:firstLine="1760" w:firstLineChars="400"/>
        <w:rPr>
          <w:rFonts w:hint="default" w:ascii="Times New Roman" w:hAnsi="Times New Roman" w:eastAsia="黑体" w:cs="Times New Roman"/>
          <w:sz w:val="44"/>
          <w:szCs w:val="44"/>
          <w:highlight w:val="none"/>
        </w:rPr>
      </w:pPr>
    </w:p>
    <w:p w14:paraId="2B1CB437">
      <w:pPr>
        <w:spacing w:line="576" w:lineRule="exact"/>
        <w:ind w:firstLine="1760" w:firstLineChars="400"/>
        <w:rPr>
          <w:rFonts w:hint="default" w:ascii="Times New Roman" w:hAnsi="Times New Roman" w:eastAsia="黑体" w:cs="Times New Roman"/>
          <w:sz w:val="44"/>
          <w:szCs w:val="44"/>
          <w:highlight w:val="none"/>
        </w:rPr>
      </w:pPr>
    </w:p>
    <w:p w14:paraId="3438A749">
      <w:pPr>
        <w:spacing w:line="576" w:lineRule="exact"/>
        <w:rPr>
          <w:rFonts w:hint="default" w:ascii="Times New Roman" w:hAnsi="Times New Roman" w:eastAsia="黑体" w:cs="Times New Roman"/>
          <w:sz w:val="44"/>
          <w:szCs w:val="44"/>
          <w:highlight w:val="none"/>
        </w:rPr>
      </w:pPr>
    </w:p>
    <w:p w14:paraId="33935D9C">
      <w:pPr>
        <w:spacing w:line="576" w:lineRule="exact"/>
        <w:ind w:firstLine="1760" w:firstLineChars="400"/>
        <w:rPr>
          <w:rFonts w:hint="default" w:ascii="Times New Roman" w:hAnsi="Times New Roman" w:eastAsia="黑体" w:cs="Times New Roman"/>
          <w:sz w:val="44"/>
          <w:szCs w:val="44"/>
          <w:highlight w:val="none"/>
        </w:rPr>
      </w:pPr>
    </w:p>
    <w:p w14:paraId="76FC8CD2">
      <w:pPr>
        <w:spacing w:line="576" w:lineRule="exact"/>
        <w:ind w:firstLine="1760" w:firstLineChars="400"/>
        <w:rPr>
          <w:rFonts w:hint="default" w:ascii="Times New Roman" w:hAnsi="Times New Roman" w:eastAsia="黑体" w:cs="Times New Roman"/>
          <w:sz w:val="44"/>
          <w:szCs w:val="44"/>
          <w:highlight w:val="none"/>
        </w:rPr>
      </w:pPr>
    </w:p>
    <w:p w14:paraId="735DC02B">
      <w:pPr>
        <w:spacing w:line="576" w:lineRule="exact"/>
        <w:ind w:firstLine="1760" w:firstLineChars="400"/>
        <w:rPr>
          <w:rFonts w:hint="default" w:ascii="Times New Roman" w:hAnsi="Times New Roman" w:eastAsia="黑体" w:cs="Times New Roman"/>
          <w:sz w:val="44"/>
          <w:szCs w:val="44"/>
          <w:highlight w:val="none"/>
        </w:rPr>
      </w:pPr>
    </w:p>
    <w:p w14:paraId="57C0E74A">
      <w:pPr>
        <w:autoSpaceDE w:val="0"/>
        <w:autoSpaceDN w:val="0"/>
        <w:adjustRightInd w:val="0"/>
        <w:ind w:left="420" w:leftChars="200"/>
        <w:jc w:val="left"/>
        <w:rPr>
          <w:rFonts w:hint="default" w:ascii="Times New Roman" w:hAnsi="Times New Roman" w:cs="Times New Roman"/>
          <w:sz w:val="32"/>
          <w:szCs w:val="32"/>
        </w:rPr>
      </w:pPr>
      <w:r>
        <w:rPr>
          <w:rFonts w:hint="default" w:ascii="Times New Roman" w:hAnsi="Times New Roman" w:cs="Times New Roman"/>
          <w:sz w:val="32"/>
          <w:szCs w:val="32"/>
        </w:rPr>
        <w:t>保密审查情况：已</w:t>
      </w:r>
      <w:r>
        <w:rPr>
          <w:rFonts w:hint="default" w:ascii="Times New Roman" w:hAnsi="Times New Roman" w:cs="Times New Roman"/>
          <w:sz w:val="32"/>
          <w:szCs w:val="32"/>
          <w:lang w:val="en-US" w:eastAsia="zh-CN"/>
        </w:rPr>
        <w:t>保密</w:t>
      </w:r>
      <w:r>
        <w:rPr>
          <w:rFonts w:hint="default" w:ascii="Times New Roman" w:hAnsi="Times New Roman" w:cs="Times New Roman"/>
          <w:sz w:val="32"/>
          <w:szCs w:val="32"/>
        </w:rPr>
        <w:t>审查，内容审定</w:t>
      </w:r>
    </w:p>
    <w:p w14:paraId="2F7E2431">
      <w:pPr>
        <w:autoSpaceDE w:val="0"/>
        <w:autoSpaceDN w:val="0"/>
        <w:adjustRightInd w:val="0"/>
        <w:ind w:left="420" w:leftChars="200"/>
        <w:jc w:val="left"/>
        <w:rPr>
          <w:rFonts w:hint="default" w:ascii="Times New Roman" w:hAnsi="Times New Roman" w:cs="Times New Roman"/>
          <w:sz w:val="32"/>
          <w:szCs w:val="32"/>
        </w:rPr>
      </w:pPr>
      <w:r>
        <w:rPr>
          <w:rFonts w:hint="default" w:ascii="Times New Roman" w:hAnsi="Times New Roman" w:cs="Times New Roman"/>
          <w:sz w:val="32"/>
          <w:szCs w:val="32"/>
        </w:rPr>
        <w:t>部门主要负责人审签情况：已审签，同意对外公开</w:t>
      </w:r>
    </w:p>
    <w:p w14:paraId="45B71C02">
      <w:pPr>
        <w:spacing w:line="576" w:lineRule="exact"/>
        <w:ind w:firstLine="1760" w:firstLineChars="400"/>
        <w:rPr>
          <w:rFonts w:hint="default" w:ascii="Times New Roman" w:hAnsi="Times New Roman" w:eastAsia="黑体" w:cs="Times New Roman"/>
          <w:sz w:val="44"/>
          <w:szCs w:val="44"/>
          <w:highlight w:val="none"/>
        </w:rPr>
      </w:pPr>
    </w:p>
    <w:p w14:paraId="71821E95">
      <w:pPr>
        <w:spacing w:line="576" w:lineRule="exact"/>
        <w:rPr>
          <w:rFonts w:hint="default" w:ascii="Times New Roman" w:hAnsi="Times New Roman" w:eastAsia="黑体" w:cs="Times New Roman"/>
          <w:sz w:val="44"/>
          <w:szCs w:val="44"/>
          <w:highlight w:val="none"/>
        </w:rPr>
      </w:pPr>
    </w:p>
    <w:p w14:paraId="7EDA258D">
      <w:pPr>
        <w:spacing w:line="576" w:lineRule="exact"/>
        <w:ind w:left="0"/>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44"/>
          <w:szCs w:val="44"/>
          <w:highlight w:val="none"/>
        </w:rPr>
        <w:t>目录</w:t>
      </w:r>
    </w:p>
    <w:p w14:paraId="477FAC86">
      <w:pPr>
        <w:spacing w:line="576" w:lineRule="exact"/>
        <w:ind w:firstLine="3080" w:firstLineChars="700"/>
        <w:rPr>
          <w:rFonts w:hint="default" w:ascii="Times New Roman" w:hAnsi="Times New Roman" w:eastAsia="黑体" w:cs="Times New Roman"/>
          <w:sz w:val="44"/>
          <w:szCs w:val="44"/>
          <w:highlight w:val="none"/>
        </w:rPr>
      </w:pPr>
    </w:p>
    <w:p w14:paraId="11768BC3">
      <w:pPr>
        <w:pStyle w:val="14"/>
        <w:spacing w:line="576" w:lineRule="exact"/>
        <w:ind w:firstLine="0" w:firstLineChars="0"/>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一、基本职能及主要工作</w:t>
      </w:r>
    </w:p>
    <w:p w14:paraId="03FE8310">
      <w:pPr>
        <w:spacing w:line="576" w:lineRule="exact"/>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（一）部门职能简介</w:t>
      </w:r>
    </w:p>
    <w:p w14:paraId="4D6FA9B6">
      <w:pPr>
        <w:spacing w:line="576" w:lineRule="exact"/>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（二）</w:t>
      </w:r>
      <w:r>
        <w:rPr>
          <w:rFonts w:hint="eastAsia" w:ascii="Times New Roman" w:hAnsi="Times New Roman" w:eastAsia="方正楷体_GBK" w:cs="Times New Roman"/>
          <w:b/>
          <w:bCs/>
          <w:sz w:val="32"/>
          <w:szCs w:val="32"/>
          <w:highlight w:val="none"/>
          <w:lang w:eastAsia="zh-CN"/>
        </w:rPr>
        <w:t>2024</w:t>
      </w:r>
      <w:r>
        <w:rPr>
          <w:rFonts w:hint="default" w:ascii="Times New Roman" w:hAnsi="Times New Roman" w:eastAsia="方正楷体_GBK" w:cs="Times New Roman"/>
          <w:b/>
          <w:bCs/>
          <w:sz w:val="32"/>
          <w:szCs w:val="32"/>
          <w:highlight w:val="none"/>
        </w:rPr>
        <w:t>年重点工作</w:t>
      </w:r>
    </w:p>
    <w:p w14:paraId="61568553">
      <w:pPr>
        <w:spacing w:line="576"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二、部门预算单位构成</w:t>
      </w:r>
    </w:p>
    <w:p w14:paraId="295CD558">
      <w:pPr>
        <w:spacing w:line="576"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三、收支预算情况说明</w:t>
      </w:r>
    </w:p>
    <w:p w14:paraId="41971D64">
      <w:pPr>
        <w:spacing w:line="576" w:lineRule="exact"/>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（一）收入预算情况</w:t>
      </w:r>
    </w:p>
    <w:p w14:paraId="5392E144">
      <w:pPr>
        <w:spacing w:line="576" w:lineRule="exact"/>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（二）支出预算情况</w:t>
      </w:r>
    </w:p>
    <w:p w14:paraId="681D8F8D">
      <w:pPr>
        <w:spacing w:line="576"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四、财政拨款收支预算情况说明</w:t>
      </w:r>
    </w:p>
    <w:p w14:paraId="75DA3697">
      <w:pPr>
        <w:spacing w:line="576" w:lineRule="exact"/>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五、一般公共预算当年拨款情况说明</w:t>
      </w:r>
    </w:p>
    <w:p w14:paraId="6C8BD27D">
      <w:pPr>
        <w:spacing w:line="576" w:lineRule="exact"/>
        <w:rPr>
          <w:rFonts w:hint="default" w:ascii="Times New Roman" w:hAnsi="Times New Roman" w:eastAsia="方正黑体_GBK" w:cs="Times New Roman"/>
          <w:sz w:val="32"/>
          <w:szCs w:val="32"/>
          <w:highlight w:val="none"/>
        </w:rPr>
      </w:pPr>
      <w:r>
        <w:rPr>
          <w:rFonts w:hint="default" w:ascii="Times New Roman" w:hAnsi="Times New Roman" w:eastAsia="方正楷体_GBK" w:cs="Times New Roman"/>
          <w:b/>
          <w:bCs/>
          <w:sz w:val="32"/>
          <w:szCs w:val="32"/>
          <w:highlight w:val="none"/>
        </w:rPr>
        <w:t>（一）一般公共预算当年拨款规模变化情况</w:t>
      </w:r>
      <w:r>
        <w:rPr>
          <w:rFonts w:hint="default" w:ascii="Times New Roman" w:hAnsi="Times New Roman" w:eastAsia="方正楷体_GBK" w:cs="Times New Roman"/>
          <w:b/>
          <w:bCs/>
          <w:sz w:val="32"/>
          <w:szCs w:val="32"/>
          <w:highlight w:val="none"/>
        </w:rPr>
        <w:br w:type="textWrapping"/>
      </w:r>
      <w:r>
        <w:rPr>
          <w:rFonts w:hint="default" w:ascii="Times New Roman" w:hAnsi="Times New Roman" w:eastAsia="方正楷体_GBK" w:cs="Times New Roman"/>
          <w:b/>
          <w:bCs/>
          <w:sz w:val="32"/>
          <w:szCs w:val="32"/>
          <w:highlight w:val="none"/>
        </w:rPr>
        <w:t>（二）一般公共预算当年拨款结构情况</w:t>
      </w:r>
      <w:r>
        <w:rPr>
          <w:rFonts w:hint="default" w:ascii="Times New Roman" w:hAnsi="Times New Roman" w:eastAsia="方正楷体_GBK" w:cs="Times New Roman"/>
          <w:b/>
          <w:bCs/>
          <w:sz w:val="32"/>
          <w:szCs w:val="32"/>
          <w:highlight w:val="none"/>
        </w:rPr>
        <w:br w:type="textWrapping"/>
      </w:r>
      <w:r>
        <w:rPr>
          <w:rFonts w:hint="default" w:ascii="Times New Roman" w:hAnsi="Times New Roman" w:eastAsia="方正楷体_GBK" w:cs="Times New Roman"/>
          <w:b/>
          <w:bCs/>
          <w:sz w:val="32"/>
          <w:szCs w:val="32"/>
          <w:highlight w:val="none"/>
        </w:rPr>
        <w:t>（三）一般公共预算当年拨款具体使用情况</w:t>
      </w:r>
      <w:r>
        <w:rPr>
          <w:rFonts w:hint="default" w:ascii="Times New Roman" w:hAnsi="Times New Roman" w:eastAsia="方正楷体_GBK" w:cs="Times New Roman"/>
          <w:b/>
          <w:bCs/>
          <w:sz w:val="32"/>
          <w:szCs w:val="32"/>
          <w:highlight w:val="none"/>
        </w:rPr>
        <w:br w:type="textWrapping"/>
      </w:r>
      <w:r>
        <w:rPr>
          <w:rFonts w:hint="default" w:ascii="Times New Roman" w:hAnsi="Times New Roman" w:eastAsia="方正黑体_GBK" w:cs="Times New Roman"/>
          <w:sz w:val="32"/>
          <w:szCs w:val="32"/>
          <w:highlight w:val="none"/>
        </w:rPr>
        <w:t>六、一般公共预算基本支出情况说明</w:t>
      </w:r>
      <w:r>
        <w:rPr>
          <w:rFonts w:hint="default" w:ascii="Times New Roman" w:hAnsi="Times New Roman" w:eastAsia="方正黑体_GBK" w:cs="Times New Roman"/>
          <w:sz w:val="32"/>
          <w:szCs w:val="32"/>
          <w:highlight w:val="none"/>
        </w:rPr>
        <w:br w:type="textWrapping"/>
      </w:r>
      <w:r>
        <w:rPr>
          <w:rFonts w:hint="default" w:ascii="Times New Roman" w:hAnsi="Times New Roman" w:eastAsia="方正黑体_GBK" w:cs="Times New Roman"/>
          <w:sz w:val="32"/>
          <w:szCs w:val="32"/>
          <w:highlight w:val="none"/>
        </w:rPr>
        <w:t>七、“三公”经费财政拨款预算安排情况说明</w:t>
      </w:r>
      <w:r>
        <w:rPr>
          <w:rFonts w:hint="default" w:ascii="Times New Roman" w:hAnsi="Times New Roman" w:eastAsia="方正黑体_GBK" w:cs="Times New Roman"/>
          <w:sz w:val="32"/>
          <w:szCs w:val="32"/>
          <w:highlight w:val="none"/>
        </w:rPr>
        <w:br w:type="textWrapping"/>
      </w:r>
      <w:r>
        <w:rPr>
          <w:rFonts w:hint="default" w:ascii="Times New Roman" w:hAnsi="Times New Roman" w:eastAsia="方正黑体_GBK" w:cs="Times New Roman"/>
          <w:sz w:val="32"/>
          <w:szCs w:val="32"/>
          <w:highlight w:val="none"/>
        </w:rPr>
        <w:t>八、政府性基金预算支出情况说明</w:t>
      </w:r>
      <w:r>
        <w:rPr>
          <w:rFonts w:hint="default" w:ascii="Times New Roman" w:hAnsi="Times New Roman" w:eastAsia="方正黑体_GBK" w:cs="Times New Roman"/>
          <w:sz w:val="32"/>
          <w:szCs w:val="32"/>
          <w:highlight w:val="none"/>
        </w:rPr>
        <w:br w:type="textWrapping"/>
      </w:r>
      <w:r>
        <w:rPr>
          <w:rFonts w:hint="default" w:ascii="Times New Roman" w:hAnsi="Times New Roman" w:eastAsia="方正黑体_GBK" w:cs="Times New Roman"/>
          <w:sz w:val="32"/>
          <w:szCs w:val="32"/>
          <w:highlight w:val="none"/>
        </w:rPr>
        <w:t>九、其他重要事项的情况说明</w:t>
      </w:r>
      <w:r>
        <w:rPr>
          <w:rFonts w:hint="default" w:ascii="Times New Roman" w:hAnsi="Times New Roman" w:eastAsia="方正黑体_GBK" w:cs="Times New Roman"/>
          <w:sz w:val="32"/>
          <w:szCs w:val="32"/>
          <w:highlight w:val="none"/>
        </w:rPr>
        <w:br w:type="textWrapping"/>
      </w:r>
      <w:r>
        <w:rPr>
          <w:rFonts w:hint="default" w:ascii="Times New Roman" w:hAnsi="Times New Roman" w:eastAsia="方正黑体_GBK" w:cs="Times New Roman"/>
          <w:sz w:val="32"/>
          <w:szCs w:val="32"/>
          <w:highlight w:val="none"/>
        </w:rPr>
        <w:t>十、名称解释</w:t>
      </w:r>
    </w:p>
    <w:p w14:paraId="5F371AD1">
      <w:pPr>
        <w:spacing w:line="576" w:lineRule="exact"/>
        <w:rPr>
          <w:rFonts w:hint="default" w:ascii="Times New Roman" w:hAnsi="Times New Roman" w:eastAsia="方正黑体_GBK" w:cs="Times New Roman"/>
          <w:sz w:val="32"/>
          <w:szCs w:val="32"/>
          <w:highlight w:val="none"/>
        </w:rPr>
      </w:pPr>
    </w:p>
    <w:p w14:paraId="6079C981">
      <w:pPr>
        <w:widowControl/>
        <w:shd w:val="clear" w:color="auto" w:fill="FFFFFF"/>
        <w:spacing w:line="576" w:lineRule="exact"/>
        <w:ind w:right="300"/>
        <w:jc w:val="left"/>
        <w:rPr>
          <w:rFonts w:hint="default" w:ascii="Times New Roman" w:hAnsi="Times New Roman" w:cs="Times New Roman"/>
          <w:kern w:val="0"/>
          <w:sz w:val="12"/>
          <w:szCs w:val="12"/>
          <w:highlight w:val="none"/>
        </w:rPr>
      </w:pPr>
    </w:p>
    <w:p w14:paraId="2A3916D6">
      <w:pPr>
        <w:pStyle w:val="14"/>
        <w:spacing w:line="576" w:lineRule="exact"/>
        <w:ind w:firstLine="0" w:firstLineChars="0"/>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br w:type="page"/>
      </w:r>
      <w:r>
        <w:rPr>
          <w:rFonts w:hint="default" w:ascii="Times New Roman" w:hAnsi="Times New Roman" w:eastAsia="方正黑体_GBK" w:cs="Times New Roman"/>
          <w:sz w:val="32"/>
          <w:szCs w:val="32"/>
          <w:highlight w:val="none"/>
        </w:rPr>
        <w:t>一、基本职能及主要工作</w:t>
      </w:r>
    </w:p>
    <w:p w14:paraId="62022122">
      <w:pPr>
        <w:spacing w:line="576" w:lineRule="exact"/>
        <w:ind w:firstLine="643" w:firstLineChars="20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（一）部门职能简介</w:t>
      </w:r>
    </w:p>
    <w:p w14:paraId="6826A05C">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1.贯彻执行党和国家关于民族宗教工作的方针、政策、法律、法规以及州委、州政府的决策部署；协助相关部门起草民族宗教地方性法规、规章草案，协调推进本系统依法行政，落实行政执法责任制；保障少数民族合法权益，联系民族乡，指导、督查、协调“一法两规定两条例”等民族宗教法律法规的贯彻落实。</w:t>
      </w:r>
    </w:p>
    <w:p w14:paraId="48F95EF5">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2.组织开展民族宗教理论、 政策及重大问题的调查研究；负责民族宗教动态和信息的汇总、分析，提出有关民族宗教工作的政策建议。</w:t>
      </w:r>
    </w:p>
    <w:p w14:paraId="7AAF42C2">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3.负责协调推动有关部门履行民族宗教工作相关职责，推进民族宗教事务法治化、社会化管理工作，促进民族宗教政策在经济发展和社会事业等相关领域的实施、衔接；负责对全州民族宗教工作进行业务指导。</w:t>
      </w:r>
    </w:p>
    <w:p w14:paraId="0ECE6D7F">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4.研究提出协调民族关系、宗教关系的工作建议，会同有关部门处理涉及民族关系、宗教关系的重大事项，参与协调民族地区社会稳定工作，促进各民族共同团结奋斗、共同繁荣发展，维护国家统一。</w:t>
      </w:r>
    </w:p>
    <w:p w14:paraId="4B0461B8">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5.参与拟订少数民族和民族地区经济社会相关领域的发展规划，促进建立和完善少数民族事业发展综合评价监测体系，推进民族宗教事务服务体系和管理信息化建设。</w:t>
      </w:r>
    </w:p>
    <w:p w14:paraId="2FCB11BA">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6.参与研究分析全州经济发展、社会事业方面的问题并提出特殊政策建议，组织协调或参与协调实施州委、州政府民生工程中的相关工作，参与协调全州科技发展、对口支援、经济技术合作和移民、扶贫开发等相关工作。</w:t>
      </w:r>
    </w:p>
    <w:p w14:paraId="44C78483">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7.负责组织指导全州民族宗教方面的法律法规、政策及基本知识的宣传教育工作；组织开展民族团结进步和文明和谐寺观教堂创建活动；承办州政府民族团结进步表彰活动；指导城市民族工作，协调城市民族关系；指导散居少数民族和民族乡工作；组织协调民族自治地方重大庆典活动。</w:t>
      </w:r>
    </w:p>
    <w:p w14:paraId="5CB17620">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8.负责管理全州少数民族语言文字工作，指导少数民族语言文字的翻译、出版和民族古籍的收集、整理、出版工作。</w:t>
      </w:r>
    </w:p>
    <w:p w14:paraId="647CE08A">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9.依法履行宗教事务管理职责，依法保护公民宗教信仰自由和正常的宗教活动，维护宗教界合法权益，促进宗教关系和谐。</w:t>
      </w:r>
    </w:p>
    <w:p w14:paraId="63F2A71D">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10.指导宗教团体依法依章开展活动，支持宗教团体加强自身建设，帮助宗教团体办好宗教院校，推动宗教团体在宗教界开展爱国主义、社会主义和维护祖国统一、民族团结的自我教育，办理宗教团体需由政府解决或协调的有关事宜。</w:t>
      </w:r>
    </w:p>
    <w:p w14:paraId="35635781">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11.指导各县民族宗教事务部门依法履行管理职责，防范利用民族宗教进行的非法、违法活动，抵御境外利用民族宗教进行的分裂、渗透、破坏活动。</w:t>
      </w:r>
    </w:p>
    <w:p w14:paraId="28800941">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12.负责民族宗教事务方面的外事管理工作，组织指导民族宗教工作领域有关对外和对港澳台的交流、交往与合作；参与涉及民族宗教事务的对外宣传工作。</w:t>
      </w:r>
    </w:p>
    <w:p w14:paraId="5EE04020">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13.参与拟订少数民族干部人才队伍、宗教工作干部队伍建设规划,研究提出相关的政策建议；联系少数民族干部和宗教代表人士，会同有关部门开展少数民族和民族地区干部、宗教人士的培养教育和使用工作。</w:t>
      </w:r>
    </w:p>
    <w:p w14:paraId="08F68DFE">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14.承担两项资金管理职责，建立和完善两项资金管理综合评价体系，参与研究和制定全州经济和社会发展规划及年度计划的职责。</w:t>
      </w:r>
    </w:p>
    <w:p w14:paraId="6B6FA4AD">
      <w:pPr>
        <w:spacing w:line="576"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15.承担州政府公布的有关行政审批事项。</w:t>
      </w:r>
    </w:p>
    <w:p w14:paraId="2659263D">
      <w:pPr>
        <w:spacing w:line="576" w:lineRule="exact"/>
        <w:ind w:firstLine="63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16.承办州委、州政府交办的其他事项。</w:t>
      </w:r>
    </w:p>
    <w:p w14:paraId="2A944933">
      <w:pPr>
        <w:spacing w:line="576" w:lineRule="exact"/>
        <w:ind w:firstLine="643" w:firstLineChars="200"/>
        <w:rPr>
          <w:rFonts w:hint="default" w:ascii="Times New Roman" w:hAnsi="Times New Roman" w:eastAsia="仿宋_GB2312" w:cs="Times New Roman"/>
          <w:b/>
          <w:bCs/>
          <w:sz w:val="32"/>
          <w:szCs w:val="32"/>
          <w:highlight w:val="none"/>
          <w:lang w:val="en-US" w:eastAsia="zh-CN" w:bidi="ar-SA"/>
        </w:rPr>
      </w:pPr>
      <w:r>
        <w:rPr>
          <w:rFonts w:hint="default" w:ascii="Times New Roman" w:hAnsi="Times New Roman" w:eastAsia="仿宋_GB2312" w:cs="Times New Roman"/>
          <w:b/>
          <w:bCs/>
          <w:sz w:val="32"/>
          <w:szCs w:val="32"/>
          <w:highlight w:val="none"/>
          <w:lang w:val="en-US" w:eastAsia="zh-CN" w:bidi="ar-SA"/>
        </w:rPr>
        <w:t>（二）</w:t>
      </w:r>
      <w:r>
        <w:rPr>
          <w:rFonts w:hint="eastAsia" w:ascii="Times New Roman" w:hAnsi="Times New Roman" w:eastAsia="仿宋_GB2312" w:cs="Times New Roman"/>
          <w:b/>
          <w:bCs/>
          <w:sz w:val="32"/>
          <w:szCs w:val="32"/>
          <w:highlight w:val="none"/>
          <w:lang w:val="en-US" w:eastAsia="zh-CN" w:bidi="ar-SA"/>
        </w:rPr>
        <w:t>2024</w:t>
      </w:r>
      <w:r>
        <w:rPr>
          <w:rFonts w:hint="default" w:ascii="Times New Roman" w:hAnsi="Times New Roman" w:eastAsia="仿宋_GB2312" w:cs="Times New Roman"/>
          <w:b/>
          <w:bCs/>
          <w:sz w:val="32"/>
          <w:szCs w:val="32"/>
          <w:highlight w:val="none"/>
          <w:lang w:val="en-US" w:eastAsia="zh-CN" w:bidi="ar-SA"/>
        </w:rPr>
        <w:t>年重点工作</w:t>
      </w:r>
    </w:p>
    <w:p w14:paraId="22666010">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b w:val="0"/>
          <w:bCs w:val="0"/>
          <w:color w:val="auto"/>
          <w:spacing w:val="0"/>
          <w:kern w:val="2"/>
          <w:sz w:val="32"/>
          <w:szCs w:val="32"/>
          <w:lang w:val="en-US" w:eastAsia="zh-CN" w:bidi="ar-SA"/>
        </w:rPr>
      </w:pPr>
      <w:r>
        <w:rPr>
          <w:rFonts w:hint="default" w:ascii="Times New Roman" w:hAnsi="Times New Roman" w:eastAsia="方正仿宋_GBK" w:cs="Times New Roman"/>
          <w:b w:val="0"/>
          <w:bCs w:val="0"/>
          <w:color w:val="auto"/>
          <w:spacing w:val="0"/>
          <w:kern w:val="2"/>
          <w:sz w:val="32"/>
          <w:szCs w:val="32"/>
          <w:lang w:val="en-US" w:eastAsia="zh-CN" w:bidi="ar-SA"/>
        </w:rPr>
        <w:t>2024年，州民宗委将围绕“全国民族团结进步示范州”复报复审复评等中心工作和依法规范管理藏传佛教事务等重点工作，攻坚克难、服务大局。</w:t>
      </w:r>
    </w:p>
    <w:p w14:paraId="61626C87">
      <w:pPr>
        <w:spacing w:line="560" w:lineRule="exact"/>
        <w:ind w:firstLine="643" w:firstLineChars="200"/>
        <w:rPr>
          <w:rFonts w:hint="default" w:ascii="Times New Roman" w:hAnsi="Times New Roman" w:eastAsia="方正仿宋_GBK" w:cs="Times New Roman"/>
          <w:b w:val="0"/>
          <w:bCs w:val="0"/>
          <w:color w:val="auto"/>
          <w:spacing w:val="0"/>
          <w:kern w:val="2"/>
          <w:sz w:val="32"/>
          <w:szCs w:val="32"/>
          <w:lang w:val="en-US" w:eastAsia="zh-CN" w:bidi="ar-SA"/>
        </w:rPr>
      </w:pPr>
      <w:r>
        <w:rPr>
          <w:rFonts w:hint="default" w:ascii="Times New Roman" w:hAnsi="Times New Roman" w:eastAsia="方正楷体_GBK" w:cs="Times New Roman"/>
          <w:b/>
          <w:bCs/>
          <w:color w:val="auto"/>
          <w:kern w:val="2"/>
          <w:sz w:val="32"/>
          <w:szCs w:val="32"/>
          <w:lang w:val="en-US" w:eastAsia="zh-CN" w:bidi="ar-SA"/>
        </w:rPr>
        <w:t>一是</w:t>
      </w:r>
      <w:r>
        <w:rPr>
          <w:rFonts w:hint="eastAsia" w:eastAsia="方正楷体_GBK" w:cs="Times New Roman"/>
          <w:b/>
          <w:bCs/>
          <w:color w:val="auto"/>
          <w:kern w:val="2"/>
          <w:sz w:val="32"/>
          <w:szCs w:val="32"/>
          <w:lang w:val="en-US" w:eastAsia="zh-CN" w:bidi="ar-SA"/>
        </w:rPr>
        <w:t>在中心工作上着力，全力确保二次命名</w:t>
      </w:r>
      <w:r>
        <w:rPr>
          <w:rFonts w:hint="default" w:ascii="Times New Roman" w:hAnsi="Times New Roman" w:eastAsia="方正楷体_GBK" w:cs="Times New Roman"/>
          <w:b/>
          <w:bCs/>
          <w:color w:val="auto"/>
          <w:kern w:val="2"/>
          <w:sz w:val="32"/>
          <w:szCs w:val="32"/>
          <w:lang w:val="en-US" w:eastAsia="zh-CN" w:bidi="ar-SA"/>
        </w:rPr>
        <w:t>。</w:t>
      </w:r>
      <w:r>
        <w:rPr>
          <w:rFonts w:hint="eastAsia" w:ascii="Times New Roman" w:hAnsi="Times New Roman" w:eastAsia="方正仿宋_GBK" w:cs="Times New Roman"/>
          <w:b w:val="0"/>
          <w:bCs w:val="0"/>
          <w:color w:val="auto"/>
          <w:spacing w:val="0"/>
          <w:kern w:val="2"/>
          <w:sz w:val="32"/>
          <w:szCs w:val="32"/>
          <w:lang w:val="en-US" w:eastAsia="zh-CN" w:bidi="ar-SA"/>
        </w:rPr>
        <w:t>2024年创建工作重点和难点是，全力</w:t>
      </w:r>
      <w:r>
        <w:rPr>
          <w:rFonts w:hint="default" w:ascii="Times New Roman" w:hAnsi="Times New Roman" w:eastAsia="方正仿宋_GBK" w:cs="Times New Roman"/>
          <w:b w:val="0"/>
          <w:bCs w:val="0"/>
          <w:color w:val="auto"/>
          <w:spacing w:val="0"/>
          <w:kern w:val="2"/>
          <w:sz w:val="32"/>
          <w:szCs w:val="32"/>
          <w:lang w:val="en-US" w:eastAsia="zh-CN" w:bidi="ar-SA"/>
        </w:rPr>
        <w:t>开展全国民族团结进步示范州二次创建申报工作</w:t>
      </w:r>
      <w:r>
        <w:rPr>
          <w:rFonts w:hint="eastAsia" w:eastAsia="方正仿宋_GBK" w:cs="Times New Roman"/>
          <w:b w:val="0"/>
          <w:bCs w:val="0"/>
          <w:color w:val="auto"/>
          <w:spacing w:val="0"/>
          <w:kern w:val="2"/>
          <w:sz w:val="32"/>
          <w:szCs w:val="32"/>
          <w:lang w:val="en" w:eastAsia="zh-CN" w:bidi="ar-SA"/>
        </w:rPr>
        <w:t>，我们将增添举措、创新工作，全力确保</w:t>
      </w:r>
      <w:r>
        <w:rPr>
          <w:rFonts w:hint="default" w:ascii="Times New Roman" w:hAnsi="Times New Roman" w:eastAsia="方正仿宋_GBK" w:cs="Times New Roman"/>
          <w:b w:val="0"/>
          <w:bCs w:val="0"/>
          <w:color w:val="auto"/>
          <w:spacing w:val="0"/>
          <w:kern w:val="2"/>
          <w:sz w:val="32"/>
          <w:szCs w:val="32"/>
          <w:lang w:val="en-US" w:eastAsia="zh-CN" w:bidi="ar-SA"/>
        </w:rPr>
        <w:t>创建全国民族团结进步示范州省级初评</w:t>
      </w:r>
      <w:r>
        <w:rPr>
          <w:rFonts w:hint="eastAsia" w:eastAsia="方正仿宋_GBK" w:cs="Times New Roman"/>
          <w:b w:val="0"/>
          <w:bCs w:val="0"/>
          <w:color w:val="auto"/>
          <w:spacing w:val="0"/>
          <w:kern w:val="2"/>
          <w:sz w:val="32"/>
          <w:szCs w:val="32"/>
          <w:lang w:val="en-US" w:eastAsia="zh-CN" w:bidi="ar-SA"/>
        </w:rPr>
        <w:t>和</w:t>
      </w:r>
      <w:r>
        <w:rPr>
          <w:rFonts w:hint="default" w:ascii="Times New Roman" w:hAnsi="Times New Roman" w:eastAsia="方正仿宋_GBK" w:cs="Times New Roman"/>
          <w:b w:val="0"/>
          <w:bCs w:val="0"/>
          <w:color w:val="auto"/>
          <w:spacing w:val="0"/>
          <w:kern w:val="2"/>
          <w:sz w:val="32"/>
          <w:szCs w:val="32"/>
          <w:lang w:val="en-US" w:eastAsia="zh-CN" w:bidi="ar-SA"/>
        </w:rPr>
        <w:t>国检</w:t>
      </w:r>
      <w:r>
        <w:rPr>
          <w:rFonts w:hint="eastAsia" w:ascii="Times New Roman" w:hAnsi="Times New Roman" w:eastAsia="方正仿宋_GBK" w:cs="Times New Roman"/>
          <w:b w:val="0"/>
          <w:bCs w:val="0"/>
          <w:color w:val="auto"/>
          <w:spacing w:val="0"/>
          <w:kern w:val="2"/>
          <w:sz w:val="32"/>
          <w:szCs w:val="32"/>
          <w:lang w:val="en-US" w:eastAsia="zh-CN" w:bidi="ar-SA"/>
        </w:rPr>
        <w:t>顺利通过，力争创建全国民族团结进步示范州二次命名</w:t>
      </w:r>
      <w:r>
        <w:rPr>
          <w:rFonts w:hint="default" w:ascii="Times New Roman" w:hAnsi="Times New Roman" w:eastAsia="方正仿宋_GBK" w:cs="Times New Roman"/>
          <w:b w:val="0"/>
          <w:bCs w:val="0"/>
          <w:color w:val="auto"/>
          <w:spacing w:val="0"/>
          <w:kern w:val="2"/>
          <w:sz w:val="32"/>
          <w:szCs w:val="32"/>
          <w:lang w:val="en-US" w:eastAsia="zh-CN" w:bidi="ar-SA"/>
        </w:rPr>
        <w:t>。聚焦民族工作主线，持续深化铸牢中华民族共同体意识宣传教育“七进+”</w:t>
      </w:r>
      <w:r>
        <w:rPr>
          <w:rFonts w:hint="eastAsia" w:ascii="Times New Roman" w:hAnsi="Times New Roman" w:eastAsia="方正仿宋_GBK" w:cs="Times New Roman"/>
          <w:b w:val="0"/>
          <w:bCs w:val="0"/>
          <w:color w:val="auto"/>
          <w:spacing w:val="0"/>
          <w:kern w:val="2"/>
          <w:sz w:val="32"/>
          <w:szCs w:val="32"/>
          <w:lang w:val="en-US" w:eastAsia="zh-CN" w:bidi="ar-SA"/>
        </w:rPr>
        <w:t>。</w:t>
      </w:r>
      <w:r>
        <w:rPr>
          <w:rFonts w:hint="default" w:ascii="Times New Roman" w:hAnsi="Times New Roman" w:eastAsia="方正仿宋_GBK" w:cs="Times New Roman"/>
          <w:b w:val="0"/>
          <w:bCs w:val="0"/>
          <w:color w:val="auto"/>
          <w:spacing w:val="0"/>
          <w:kern w:val="2"/>
          <w:sz w:val="32"/>
          <w:szCs w:val="32"/>
          <w:lang w:val="en-US" w:eastAsia="zh-CN" w:bidi="ar-SA"/>
        </w:rPr>
        <w:t>在全州13县（市）及州级示范点开展民族团结进步创建工作互观互检。积极推荐、指导国家、省级民族团结进步示范区（单位）和教育基地申创工作，创建国家级示范区示范单位1个，省级示范区示范单位13个。</w:t>
      </w:r>
      <w:r>
        <w:rPr>
          <w:rFonts w:hint="eastAsia" w:ascii="Times New Roman" w:hAnsi="Times New Roman" w:eastAsia="方正仿宋_GBK" w:cs="Times New Roman"/>
          <w:b w:val="0"/>
          <w:bCs w:val="0"/>
          <w:color w:val="auto"/>
          <w:spacing w:val="0"/>
          <w:kern w:val="2"/>
          <w:sz w:val="32"/>
          <w:szCs w:val="32"/>
          <w:lang w:val="en-US" w:eastAsia="zh-CN" w:bidi="ar-SA"/>
        </w:rPr>
        <w:t>进一步加强少数民族流动人口服务与管理工作，引导和帮助少数民族群众在城市安居乐业。</w:t>
      </w:r>
    </w:p>
    <w:p w14:paraId="5E95A05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仿宋_GBK" w:cs="Times New Roman"/>
          <w:b w:val="0"/>
          <w:bCs w:val="0"/>
          <w:color w:val="auto"/>
          <w:spacing w:val="0"/>
          <w:kern w:val="2"/>
          <w:sz w:val="32"/>
          <w:szCs w:val="32"/>
          <w:lang w:val="en-US" w:eastAsia="zh-CN" w:bidi="ar-SA"/>
        </w:rPr>
      </w:pPr>
      <w:r>
        <w:rPr>
          <w:rFonts w:hint="default" w:ascii="Times New Roman" w:hAnsi="Times New Roman" w:eastAsia="方正楷体_GBK" w:cs="Times New Roman"/>
          <w:b/>
          <w:bCs/>
          <w:color w:val="auto"/>
          <w:kern w:val="2"/>
          <w:sz w:val="32"/>
          <w:szCs w:val="32"/>
          <w:lang w:val="en-US" w:eastAsia="zh-CN" w:bidi="ar-SA"/>
        </w:rPr>
        <w:t>二是</w:t>
      </w:r>
      <w:r>
        <w:rPr>
          <w:rFonts w:hint="eastAsia" w:eastAsia="方正楷体_GBK" w:cs="Times New Roman"/>
          <w:b/>
          <w:bCs/>
          <w:color w:val="auto"/>
          <w:kern w:val="2"/>
          <w:sz w:val="32"/>
          <w:szCs w:val="32"/>
          <w:lang w:val="en-US" w:eastAsia="zh-CN" w:bidi="ar-SA"/>
        </w:rPr>
        <w:t>在拓展载体上着力，推动民族工作再建新功</w:t>
      </w:r>
      <w:r>
        <w:rPr>
          <w:rFonts w:hint="default" w:ascii="Times New Roman" w:hAnsi="Times New Roman" w:eastAsia="方正楷体_GBK" w:cs="Times New Roman"/>
          <w:b/>
          <w:bCs/>
          <w:color w:val="auto"/>
          <w:kern w:val="2"/>
          <w:sz w:val="32"/>
          <w:szCs w:val="32"/>
          <w:lang w:val="en-US" w:eastAsia="zh-CN" w:bidi="ar-SA"/>
        </w:rPr>
        <w:t>。</w:t>
      </w:r>
      <w:r>
        <w:rPr>
          <w:rFonts w:hint="default" w:ascii="Times New Roman" w:hAnsi="Times New Roman" w:eastAsia="方正仿宋_GBK" w:cs="Times New Roman"/>
          <w:b w:val="0"/>
          <w:bCs w:val="0"/>
          <w:color w:val="auto"/>
          <w:spacing w:val="0"/>
          <w:kern w:val="2"/>
          <w:sz w:val="32"/>
          <w:szCs w:val="32"/>
          <w:lang w:val="en-US" w:eastAsia="zh-CN" w:bidi="ar-SA"/>
        </w:rPr>
        <w:t>深入推进“三项交流计划”，推动各民族交往交流交融不断向广度和深度拓展</w:t>
      </w:r>
      <w:r>
        <w:rPr>
          <w:rFonts w:hint="eastAsia" w:ascii="Times New Roman" w:hAnsi="Times New Roman" w:eastAsia="方正仿宋_GBK" w:cs="Times New Roman"/>
          <w:b w:val="0"/>
          <w:bCs w:val="0"/>
          <w:color w:val="auto"/>
          <w:spacing w:val="0"/>
          <w:kern w:val="2"/>
          <w:sz w:val="32"/>
          <w:szCs w:val="32"/>
          <w:lang w:val="en-US" w:eastAsia="zh-CN" w:bidi="ar-SA"/>
        </w:rPr>
        <w:t>。</w:t>
      </w:r>
      <w:r>
        <w:rPr>
          <w:rFonts w:hint="default" w:ascii="Times New Roman" w:hAnsi="Times New Roman" w:eastAsia="方正仿宋_GBK" w:cs="Times New Roman"/>
          <w:b w:val="0"/>
          <w:bCs w:val="0"/>
          <w:color w:val="auto"/>
          <w:spacing w:val="0"/>
          <w:kern w:val="2"/>
          <w:sz w:val="32"/>
          <w:szCs w:val="32"/>
          <w:lang w:val="en-US" w:eastAsia="zh-CN" w:bidi="ar-SA"/>
        </w:rPr>
        <w:t>进一步规范项目管理，注重项目绩效评价，加强项目跟踪监管力度，确保年度实地查看项目数达当年项目总数70%以上，执行好“月跟踪、季通报”制度。做好十二届全国少数民族传统体育运动会四川省代表队表演项目的协调、筹备、组队、集训以及参赛等各项工作。做好2024年藏历新年</w:t>
      </w:r>
      <w:r>
        <w:rPr>
          <w:rFonts w:hint="eastAsia" w:ascii="Times New Roman" w:hAnsi="Times New Roman" w:eastAsia="方正仿宋_GBK" w:cs="Times New Roman"/>
          <w:b w:val="0"/>
          <w:bCs w:val="0"/>
          <w:color w:val="auto"/>
          <w:spacing w:val="0"/>
          <w:kern w:val="2"/>
          <w:sz w:val="32"/>
          <w:szCs w:val="32"/>
          <w:lang w:val="en-US" w:eastAsia="zh-CN" w:bidi="ar-SA"/>
        </w:rPr>
        <w:t>、羌</w:t>
      </w:r>
      <w:r>
        <w:rPr>
          <w:rFonts w:hint="default" w:ascii="Times New Roman" w:hAnsi="Times New Roman" w:eastAsia="方正仿宋_GBK" w:cs="Times New Roman"/>
          <w:b w:val="0"/>
          <w:bCs w:val="0"/>
          <w:color w:val="auto"/>
          <w:spacing w:val="0"/>
          <w:kern w:val="2"/>
          <w:sz w:val="32"/>
          <w:szCs w:val="32"/>
          <w:lang w:val="en-US" w:eastAsia="zh-CN" w:bidi="ar-SA"/>
        </w:rPr>
        <w:t>年筹备工作。进一步加强《阿坝藏族羌族自治州藏语言文字条例》的贯彻落实，强化对各县（市）藏文社会用字管理工作的</w:t>
      </w:r>
      <w:r>
        <w:rPr>
          <w:rFonts w:hint="eastAsia" w:ascii="Times New Roman" w:hAnsi="Times New Roman" w:eastAsia="方正仿宋_GBK" w:cs="Times New Roman"/>
          <w:b w:val="0"/>
          <w:bCs w:val="0"/>
          <w:color w:val="auto"/>
          <w:spacing w:val="0"/>
          <w:kern w:val="2"/>
          <w:sz w:val="32"/>
          <w:szCs w:val="32"/>
          <w:lang w:val="en-US" w:eastAsia="zh-CN" w:bidi="ar-SA"/>
        </w:rPr>
        <w:t>督</w:t>
      </w:r>
      <w:r>
        <w:rPr>
          <w:rFonts w:hint="default" w:ascii="Times New Roman" w:hAnsi="Times New Roman" w:eastAsia="方正仿宋_GBK" w:cs="Times New Roman"/>
          <w:b w:val="0"/>
          <w:bCs w:val="0"/>
          <w:color w:val="auto"/>
          <w:spacing w:val="0"/>
          <w:kern w:val="2"/>
          <w:sz w:val="32"/>
          <w:szCs w:val="32"/>
          <w:lang w:val="en-US" w:eastAsia="zh-CN" w:bidi="ar-SA"/>
        </w:rPr>
        <w:t>导。整理修复古籍《多挪那他》文集。</w:t>
      </w:r>
    </w:p>
    <w:p w14:paraId="01B1298F">
      <w:pPr>
        <w:pBdr>
          <w:bottom w:val="single" w:color="FFFFFF" w:sz="4" w:space="31"/>
        </w:pBdr>
        <w:tabs>
          <w:tab w:val="left" w:pos="1440"/>
        </w:tabs>
        <w:spacing w:line="576" w:lineRule="exact"/>
        <w:ind w:left="0" w:firstLine="643" w:firstLineChars="200"/>
        <w:rPr>
          <w:rFonts w:hint="eastAsia" w:ascii="Times New Roman" w:hAnsi="Times New Roman" w:eastAsia="方正仿宋_GBK" w:cs="Times New Roman"/>
          <w:b w:val="0"/>
          <w:bCs w:val="0"/>
          <w:color w:val="auto"/>
          <w:spacing w:val="0"/>
          <w:sz w:val="32"/>
          <w:szCs w:val="32"/>
          <w:u w:val="none"/>
          <w:lang w:val="en-US" w:eastAsia="zh-CN"/>
        </w:rPr>
      </w:pPr>
      <w:r>
        <w:rPr>
          <w:rFonts w:hint="default" w:ascii="Times New Roman" w:hAnsi="Times New Roman" w:eastAsia="方正楷体_GBK" w:cs="Times New Roman"/>
          <w:b/>
          <w:color w:val="auto"/>
          <w:kern w:val="2"/>
          <w:sz w:val="32"/>
          <w:szCs w:val="32"/>
          <w:lang w:val="en-US" w:eastAsia="zh-CN" w:bidi="ar-SA"/>
        </w:rPr>
        <w:t>三是</w:t>
      </w:r>
      <w:r>
        <w:rPr>
          <w:rFonts w:hint="eastAsia" w:eastAsia="方正楷体_GBK" w:cs="Times New Roman"/>
          <w:b/>
          <w:color w:val="auto"/>
          <w:kern w:val="2"/>
          <w:sz w:val="32"/>
          <w:szCs w:val="32"/>
          <w:lang w:val="en-US" w:eastAsia="zh-CN" w:bidi="ar-SA"/>
        </w:rPr>
        <w:t>在依法管理着力，力争事务规范有序。</w:t>
      </w:r>
      <w:r>
        <w:rPr>
          <w:rFonts w:hint="default" w:ascii="Times New Roman" w:hAnsi="Times New Roman" w:eastAsia="方正仿宋_GBK" w:cs="Times New Roman"/>
          <w:b w:val="0"/>
          <w:bCs w:val="0"/>
          <w:sz w:val="32"/>
          <w:szCs w:val="32"/>
          <w:lang w:val="en-US" w:eastAsia="zh-CN"/>
        </w:rPr>
        <w:t>始终</w:t>
      </w:r>
      <w:r>
        <w:rPr>
          <w:rFonts w:hint="default" w:ascii="Times New Roman" w:hAnsi="Times New Roman" w:eastAsia="方正仿宋_GBK" w:cs="Times New Roman"/>
          <w:b w:val="0"/>
          <w:bCs w:val="0"/>
          <w:sz w:val="32"/>
        </w:rPr>
        <w:t>高举法治旗帜，</w:t>
      </w:r>
      <w:r>
        <w:rPr>
          <w:rFonts w:hint="default" w:ascii="Times New Roman" w:hAnsi="Times New Roman" w:eastAsia="方正仿宋_GBK" w:cs="Times New Roman"/>
          <w:sz w:val="32"/>
          <w:lang w:eastAsia="zh-CN"/>
        </w:rPr>
        <w:t>按照</w:t>
      </w:r>
      <w:r>
        <w:rPr>
          <w:rFonts w:hint="default" w:ascii="Times New Roman" w:hAnsi="Times New Roman" w:eastAsia="方正仿宋_GBK" w:cs="Times New Roman"/>
          <w:sz w:val="32"/>
        </w:rPr>
        <w:t>“依法治寺管僧”总体要求，</w:t>
      </w:r>
      <w:r>
        <w:rPr>
          <w:rFonts w:hint="default" w:ascii="Times New Roman" w:hAnsi="Times New Roman" w:eastAsia="方正仿宋_GBK" w:cs="Times New Roman"/>
          <w:b w:val="0"/>
          <w:bCs w:val="0"/>
          <w:sz w:val="32"/>
          <w:lang w:eastAsia="zh-CN"/>
        </w:rPr>
        <w:t>持续推动宗教事务管理制度化、规范化、法治化。</w:t>
      </w:r>
      <w:r>
        <w:rPr>
          <w:rFonts w:hint="default" w:ascii="Times New Roman" w:hAnsi="Times New Roman" w:eastAsia="方正仿宋_GBK" w:cs="Times New Roman"/>
          <w:sz w:val="32"/>
        </w:rPr>
        <w:t>突出人财物佛事教务“五件大事”，</w:t>
      </w:r>
      <w:r>
        <w:rPr>
          <w:rFonts w:hint="default" w:ascii="Times New Roman" w:hAnsi="Times New Roman" w:eastAsia="方正仿宋_GBK" w:cs="Times New Roman"/>
          <w:sz w:val="32"/>
          <w:lang w:val="en-US" w:eastAsia="zh-CN"/>
        </w:rPr>
        <w:t>严格落实持“双证”住寺制度，</w:t>
      </w:r>
      <w:r>
        <w:rPr>
          <w:rFonts w:hint="eastAsia" w:ascii="Times New Roman" w:hAnsi="Times New Roman" w:eastAsia="方正仿宋_GBK" w:cs="Times New Roman"/>
          <w:sz w:val="32"/>
          <w:lang w:val="en-US" w:eastAsia="zh-CN"/>
        </w:rPr>
        <w:t>严把僧人入寺关，持续推进寺庙财税监管工作，</w:t>
      </w:r>
      <w:r>
        <w:rPr>
          <w:rFonts w:hint="default" w:ascii="Times New Roman" w:hAnsi="Times New Roman" w:eastAsia="方正仿宋_GBK" w:cs="Times New Roman"/>
          <w:sz w:val="32"/>
          <w:szCs w:val="32"/>
        </w:rPr>
        <w:t>严格执行寺庙用地控规底线和建设申报审批制度，</w:t>
      </w:r>
      <w:r>
        <w:rPr>
          <w:rFonts w:hint="default" w:ascii="Times New Roman" w:hAnsi="Times New Roman" w:eastAsia="CESI仿宋-GB2312" w:cs="Times New Roman"/>
          <w:b w:val="0"/>
          <w:bCs w:val="0"/>
          <w:sz w:val="32"/>
          <w:szCs w:val="32"/>
          <w:lang w:val="en" w:eastAsia="zh-CN"/>
        </w:rPr>
        <w:t>推进全州宗教活动场所值班室、警务室、卫生室、消防室“四室”一体化建设。</w:t>
      </w:r>
      <w:r>
        <w:rPr>
          <w:rFonts w:hint="default" w:ascii="Times New Roman" w:hAnsi="Times New Roman" w:eastAsia="方正仿宋_GBK" w:cs="Times New Roman"/>
          <w:sz w:val="32"/>
          <w:szCs w:val="32"/>
          <w:lang w:val="en-US" w:eastAsia="zh-CN"/>
        </w:rPr>
        <w:t>按照“寺申报、县审核、州审批”程序，备案202</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年常规性佛事活动</w:t>
      </w:r>
      <w:r>
        <w:rPr>
          <w:rFonts w:hint="eastAsia" w:ascii="Times New Roman" w:hAnsi="Times New Roman" w:eastAsia="方正仿宋_GBK" w:cs="Times New Roman"/>
          <w:sz w:val="32"/>
          <w:szCs w:val="32"/>
          <w:lang w:val="en-US" w:eastAsia="zh-CN"/>
        </w:rPr>
        <w:t>，</w:t>
      </w:r>
      <w:r>
        <w:rPr>
          <w:rFonts w:hint="eastAsia" w:ascii="Times New Roman" w:eastAsia="方正仿宋_GBK" w:cs="Times New Roman"/>
          <w:sz w:val="32"/>
          <w:szCs w:val="32"/>
          <w:lang w:val="en-US" w:eastAsia="zh-CN"/>
        </w:rPr>
        <w:t>严格按程序审批备案</w:t>
      </w:r>
      <w:r>
        <w:rPr>
          <w:rFonts w:hint="default" w:ascii="Times New Roman" w:hAnsi="Times New Roman" w:eastAsia="方正仿宋_GBK" w:cs="Times New Roman"/>
          <w:sz w:val="32"/>
          <w:szCs w:val="32"/>
          <w:lang w:val="en-US" w:eastAsia="zh-CN"/>
        </w:rPr>
        <w:t>主要教职认定、异地开展教务活动</w:t>
      </w:r>
      <w:r>
        <w:rPr>
          <w:rFonts w:hint="eastAsia" w:asci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推动政策法规、时</w:t>
      </w:r>
      <w:bookmarkStart w:id="0" w:name="_GoBack"/>
      <w:bookmarkEnd w:id="0"/>
      <w:r>
        <w:rPr>
          <w:rFonts w:hint="default" w:ascii="Times New Roman" w:hAnsi="Times New Roman" w:eastAsia="方正仿宋_GBK" w:cs="Times New Roman"/>
          <w:sz w:val="32"/>
          <w:szCs w:val="32"/>
          <w:lang w:val="en-US" w:eastAsia="zh-CN"/>
        </w:rPr>
        <w:t>事政治、通用语言等课程进学经班</w:t>
      </w:r>
      <w:r>
        <w:rPr>
          <w:rFonts w:hint="eastAsia" w:asci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以社会主义核心价值观为引领，深入挖掘教规教义中有利于社会进步、健康文明的内容，引导宗教界加强自我变革，积极</w:t>
      </w:r>
      <w:r>
        <w:rPr>
          <w:rFonts w:hint="eastAsia" w:ascii="Times New Roman" w:hAnsi="Times New Roman" w:eastAsia="方正仿宋_GBK" w:cs="Times New Roman"/>
          <w:sz w:val="32"/>
          <w:szCs w:val="32"/>
          <w:lang w:val="en-US" w:eastAsia="zh-CN"/>
        </w:rPr>
        <w:t>引导</w:t>
      </w:r>
      <w:r>
        <w:rPr>
          <w:rFonts w:hint="default" w:ascii="Times New Roman" w:hAnsi="Times New Roman" w:eastAsia="方正仿宋_GBK" w:cs="Times New Roman"/>
          <w:sz w:val="32"/>
          <w:szCs w:val="32"/>
          <w:lang w:val="en-US" w:eastAsia="zh-CN"/>
        </w:rPr>
        <w:t>宗教与社会主义社会相适应。深化宗教领域意识形态教育引导，增强广大宗教界人士“爱国团结守法感恩”意识。深入开展“爱党爱国爱社会主义”“爱国爱教爱家乡”等主题教育活动，</w:t>
      </w:r>
      <w:r>
        <w:rPr>
          <w:rFonts w:hint="default" w:ascii="Times New Roman" w:hAnsi="Times New Roman" w:eastAsia="方正仿宋_GBK" w:cs="Times New Roman"/>
          <w:sz w:val="32"/>
        </w:rPr>
        <w:t>持续深化</w:t>
      </w:r>
      <w:r>
        <w:rPr>
          <w:rFonts w:hint="default" w:ascii="Times New Roman" w:hAnsi="Times New Roman" w:eastAsia="方正仿宋_GBK" w:cs="Times New Roman"/>
          <w:sz w:val="32"/>
          <w:lang w:eastAsia="zh-CN"/>
        </w:rPr>
        <w:t>中国共产党史、新中国史、改革开放史、社会主义发展史</w:t>
      </w:r>
      <w:r>
        <w:rPr>
          <w:rFonts w:hint="default" w:ascii="Times New Roman" w:hAnsi="Times New Roman" w:eastAsia="方正仿宋_GBK" w:cs="Times New Roman"/>
          <w:sz w:val="32"/>
        </w:rPr>
        <w:t>“四史”教育活动，</w:t>
      </w:r>
      <w:r>
        <w:rPr>
          <w:rFonts w:hint="default" w:ascii="Times New Roman" w:hAnsi="Times New Roman" w:eastAsia="方正仿宋_GBK" w:cs="Times New Roman"/>
          <w:sz w:val="32"/>
          <w:lang w:eastAsia="zh-CN"/>
        </w:rPr>
        <w:t>推进中华民族视觉形象建设，增强</w:t>
      </w:r>
      <w:r>
        <w:rPr>
          <w:rFonts w:hint="default" w:ascii="Times New Roman" w:hAnsi="Times New Roman" w:eastAsia="方正仿宋_GBK" w:cs="Times New Roman"/>
          <w:sz w:val="32"/>
        </w:rPr>
        <w:t>宗教界</w:t>
      </w:r>
      <w:r>
        <w:rPr>
          <w:rFonts w:hint="default" w:ascii="Times New Roman" w:hAnsi="Times New Roman" w:eastAsia="方正仿宋_GBK" w:cs="Times New Roman"/>
          <w:sz w:val="32"/>
          <w:lang w:eastAsia="zh-CN"/>
        </w:rPr>
        <w:t>人士“</w:t>
      </w:r>
      <w:r>
        <w:rPr>
          <w:rFonts w:hint="default" w:ascii="Times New Roman" w:hAnsi="Times New Roman" w:eastAsia="方正仿宋_GBK" w:cs="Times New Roman"/>
          <w:sz w:val="32"/>
          <w:lang w:val="en-US" w:eastAsia="zh-CN"/>
        </w:rPr>
        <w:t>五个认同</w:t>
      </w:r>
      <w:r>
        <w:rPr>
          <w:rFonts w:hint="default"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积极引导</w:t>
      </w:r>
      <w:r>
        <w:rPr>
          <w:rFonts w:hint="eastAsia" w:ascii="Times New Roman" w:hAnsi="Times New Roman" w:eastAsia="方正仿宋_GBK" w:cs="Times New Roman"/>
          <w:b w:val="0"/>
          <w:bCs w:val="0"/>
          <w:color w:val="auto"/>
          <w:spacing w:val="0"/>
          <w:sz w:val="32"/>
          <w:szCs w:val="32"/>
          <w:u w:val="none"/>
          <w:lang w:val="en-US" w:eastAsia="zh-CN"/>
        </w:rPr>
        <w:t>藏传佛教与社会主义社会相适应。</w:t>
      </w:r>
    </w:p>
    <w:p w14:paraId="4DD51DB0">
      <w:pPr>
        <w:pBdr>
          <w:bottom w:val="single" w:color="FFFFFF" w:sz="4" w:space="31"/>
        </w:pBdr>
        <w:tabs>
          <w:tab w:val="left" w:pos="1440"/>
        </w:tabs>
        <w:spacing w:line="576" w:lineRule="exact"/>
        <w:ind w:left="0"/>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二、部门预算单位构成</w:t>
      </w:r>
    </w:p>
    <w:p w14:paraId="26371765">
      <w:pPr>
        <w:pBdr>
          <w:bottom w:val="single" w:color="FFFFFF" w:sz="4" w:space="31"/>
        </w:pBdr>
        <w:tabs>
          <w:tab w:val="left" w:pos="1440"/>
        </w:tabs>
        <w:spacing w:line="576" w:lineRule="exact"/>
        <w:ind w:firstLine="642"/>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阿坝州民宗委属一级预算单位，下属二级预算单位1个即阿坝州民族宗教政策研究中心（预算经费包括阿坝州民族宗教政策研究中心，阿坝州民宗委培训教育中心，阿坝州民宗委涉宗网络监管中心。）</w:t>
      </w:r>
    </w:p>
    <w:p w14:paraId="796DD72D">
      <w:pPr>
        <w:pBdr>
          <w:bottom w:val="single" w:color="FFFFFF" w:sz="4" w:space="31"/>
        </w:pBdr>
        <w:tabs>
          <w:tab w:val="left" w:pos="1440"/>
        </w:tabs>
        <w:spacing w:line="576" w:lineRule="exact"/>
        <w:rPr>
          <w:rFonts w:hint="default" w:ascii="Times New Roman" w:hAnsi="Times New Roman" w:eastAsia="方正黑体_GBK" w:cs="Times New Roman"/>
          <w:sz w:val="32"/>
          <w:szCs w:val="32"/>
          <w:highlight w:val="none"/>
        </w:rPr>
      </w:pPr>
      <w:r>
        <w:rPr>
          <w:rFonts w:hint="eastAsia" w:ascii="Times New Roman" w:hAnsi="Times New Roman" w:eastAsia="方正黑体_GBK" w:cs="Times New Roman"/>
          <w:sz w:val="32"/>
          <w:szCs w:val="32"/>
          <w:highlight w:val="none"/>
          <w:lang w:val="en-US" w:eastAsia="zh-CN"/>
        </w:rPr>
        <w:t>三、</w:t>
      </w:r>
      <w:r>
        <w:rPr>
          <w:rFonts w:hint="default" w:ascii="Times New Roman" w:hAnsi="Times New Roman" w:eastAsia="方正黑体_GBK" w:cs="Times New Roman"/>
          <w:sz w:val="32"/>
          <w:szCs w:val="32"/>
          <w:highlight w:val="none"/>
        </w:rPr>
        <w:t>收支预算情况说明</w:t>
      </w:r>
    </w:p>
    <w:p w14:paraId="2CF2E3A3">
      <w:pPr>
        <w:numPr>
          <w:ilvl w:val="0"/>
          <w:numId w:val="1"/>
        </w:numPr>
        <w:pBdr>
          <w:bottom w:val="single" w:color="FFFFFF" w:sz="4" w:space="31"/>
        </w:pBdr>
        <w:tabs>
          <w:tab w:val="left" w:pos="1440"/>
        </w:tabs>
        <w:spacing w:line="576" w:lineRule="exact"/>
        <w:ind w:firstLine="642"/>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收入预算情况</w:t>
      </w:r>
    </w:p>
    <w:p w14:paraId="5D46FE61">
      <w:pPr>
        <w:numPr>
          <w:ilvl w:val="0"/>
          <w:numId w:val="0"/>
        </w:numPr>
        <w:pBdr>
          <w:bottom w:val="single" w:color="FFFFFF" w:sz="4" w:space="31"/>
        </w:pBdr>
        <w:tabs>
          <w:tab w:val="left" w:pos="1440"/>
        </w:tabs>
        <w:spacing w:line="576" w:lineRule="exact"/>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2024</w:t>
      </w:r>
      <w:r>
        <w:rPr>
          <w:rFonts w:hint="default" w:ascii="Times New Roman" w:hAnsi="Times New Roman" w:eastAsia="仿宋_GB2312" w:cs="Times New Roman"/>
          <w:sz w:val="32"/>
          <w:szCs w:val="32"/>
          <w:highlight w:val="none"/>
        </w:rPr>
        <w:t>年收入预算</w:t>
      </w:r>
      <w:r>
        <w:rPr>
          <w:rFonts w:hint="eastAsia" w:ascii="Times New Roman" w:hAnsi="Times New Roman" w:eastAsia="仿宋_GB2312" w:cs="Times New Roman"/>
          <w:sz w:val="32"/>
          <w:szCs w:val="32"/>
          <w:highlight w:val="none"/>
          <w:lang w:val="en-US" w:eastAsia="zh-CN"/>
        </w:rPr>
        <w:t>1580.76</w:t>
      </w:r>
      <w:r>
        <w:rPr>
          <w:rFonts w:hint="default" w:ascii="Times New Roman" w:hAnsi="Times New Roman" w:eastAsia="仿宋_GB2312" w:cs="Times New Roman"/>
          <w:sz w:val="32"/>
          <w:szCs w:val="32"/>
          <w:highlight w:val="none"/>
        </w:rPr>
        <w:t>万元，其中：上年结转</w:t>
      </w:r>
      <w:r>
        <w:rPr>
          <w:rFonts w:hint="eastAsia" w:ascii="Times New Roman" w:hAnsi="Times New Roman" w:eastAsia="仿宋_GB2312" w:cs="Times New Roman"/>
          <w:sz w:val="32"/>
          <w:szCs w:val="32"/>
          <w:highlight w:val="none"/>
          <w:lang w:val="en-US" w:eastAsia="zh-CN"/>
        </w:rPr>
        <w:t>44.47</w:t>
      </w:r>
      <w:r>
        <w:rPr>
          <w:rFonts w:hint="default" w:ascii="Times New Roman" w:hAnsi="Times New Roman" w:eastAsia="仿宋_GB2312" w:cs="Times New Roman"/>
          <w:sz w:val="32"/>
          <w:szCs w:val="32"/>
          <w:highlight w:val="none"/>
        </w:rPr>
        <w:t>万元，一般公共预算拨款收入</w:t>
      </w:r>
      <w:r>
        <w:rPr>
          <w:rFonts w:hint="eastAsia" w:ascii="Times New Roman" w:hAnsi="Times New Roman" w:eastAsia="仿宋_GB2312" w:cs="Times New Roman"/>
          <w:sz w:val="32"/>
          <w:szCs w:val="32"/>
          <w:highlight w:val="none"/>
          <w:lang w:eastAsia="zh-CN"/>
        </w:rPr>
        <w:t>1536.29</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100</w:t>
      </w:r>
      <w:r>
        <w:rPr>
          <w:rFonts w:hint="default" w:ascii="Times New Roman" w:hAnsi="Times New Roman" w:eastAsia="仿宋_GB2312" w:cs="Times New Roman"/>
          <w:sz w:val="32"/>
          <w:szCs w:val="32"/>
          <w:highlight w:val="none"/>
        </w:rPr>
        <w:t>%。</w:t>
      </w:r>
    </w:p>
    <w:p w14:paraId="332171BB">
      <w:pPr>
        <w:numPr>
          <w:ilvl w:val="0"/>
          <w:numId w:val="1"/>
        </w:numPr>
        <w:pBdr>
          <w:bottom w:val="single" w:color="FFFFFF" w:sz="4" w:space="31"/>
        </w:pBdr>
        <w:tabs>
          <w:tab w:val="left" w:pos="1440"/>
        </w:tabs>
        <w:spacing w:line="576" w:lineRule="exact"/>
        <w:ind w:left="0" w:leftChars="0" w:firstLine="642" w:firstLineChars="0"/>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支出预算情况</w:t>
      </w:r>
    </w:p>
    <w:p w14:paraId="0479997E">
      <w:pPr>
        <w:numPr>
          <w:ilvl w:val="0"/>
          <w:numId w:val="0"/>
        </w:numPr>
        <w:pBdr>
          <w:bottom w:val="single" w:color="FFFFFF" w:sz="4" w:space="31"/>
        </w:pBdr>
        <w:tabs>
          <w:tab w:val="left" w:pos="1440"/>
        </w:tabs>
        <w:spacing w:line="576" w:lineRule="exact"/>
        <w:ind w:firstLine="640" w:firstLineChars="200"/>
        <w:rPr>
          <w:rFonts w:hint="default"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2024</w:t>
      </w:r>
      <w:r>
        <w:rPr>
          <w:rFonts w:hint="default" w:ascii="Times New Roman" w:hAnsi="Times New Roman" w:eastAsia="仿宋_GB2312" w:cs="Times New Roman"/>
          <w:sz w:val="32"/>
          <w:szCs w:val="32"/>
          <w:highlight w:val="none"/>
          <w:lang w:eastAsia="zh-CN"/>
        </w:rPr>
        <w:t>年部门支出预算</w:t>
      </w:r>
      <w:r>
        <w:rPr>
          <w:rFonts w:hint="eastAsia" w:ascii="Times New Roman" w:hAnsi="Times New Roman" w:eastAsia="仿宋_GB2312" w:cs="Times New Roman"/>
          <w:sz w:val="32"/>
          <w:szCs w:val="32"/>
          <w:highlight w:val="none"/>
          <w:lang w:eastAsia="zh-CN"/>
        </w:rPr>
        <w:t>1580.76</w:t>
      </w:r>
      <w:r>
        <w:rPr>
          <w:rFonts w:hint="default" w:ascii="Times New Roman" w:hAnsi="Times New Roman" w:eastAsia="仿宋_GB2312" w:cs="Times New Roman"/>
          <w:sz w:val="32"/>
          <w:szCs w:val="32"/>
          <w:highlight w:val="none"/>
          <w:lang w:eastAsia="zh-CN"/>
        </w:rPr>
        <w:t>万元</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上年结转</w:t>
      </w:r>
      <w:r>
        <w:rPr>
          <w:rFonts w:hint="eastAsia" w:ascii="Times New Roman" w:hAnsi="Times New Roman" w:eastAsia="仿宋_GB2312" w:cs="Times New Roman"/>
          <w:sz w:val="32"/>
          <w:szCs w:val="32"/>
          <w:highlight w:val="none"/>
          <w:lang w:val="en-US" w:eastAsia="zh-CN"/>
        </w:rPr>
        <w:t>44.47</w:t>
      </w:r>
      <w:r>
        <w:rPr>
          <w:rFonts w:hint="default" w:ascii="Times New Roman" w:hAnsi="Times New Roman" w:eastAsia="仿宋_GB2312" w:cs="Times New Roman"/>
          <w:sz w:val="32"/>
          <w:szCs w:val="32"/>
          <w:highlight w:val="none"/>
          <w:lang w:eastAsia="zh-CN"/>
        </w:rPr>
        <w:t>万元</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，其中：基本支出</w:t>
      </w:r>
      <w:r>
        <w:rPr>
          <w:rFonts w:hint="default" w:ascii="Times New Roman" w:hAnsi="Times New Roman" w:eastAsia="仿宋_GB2312" w:cs="Times New Roman"/>
          <w:sz w:val="32"/>
          <w:szCs w:val="32"/>
          <w:highlight w:val="none"/>
          <w:lang w:val="en-US" w:eastAsia="zh-CN"/>
        </w:rPr>
        <w:t>1237.29</w:t>
      </w:r>
      <w:r>
        <w:rPr>
          <w:rFonts w:hint="default" w:ascii="Times New Roman" w:hAnsi="Times New Roman" w:eastAsia="仿宋_GB2312" w:cs="Times New Roman"/>
          <w:sz w:val="32"/>
          <w:szCs w:val="32"/>
          <w:highlight w:val="none"/>
          <w:lang w:eastAsia="zh-CN"/>
        </w:rPr>
        <w:t>万元，占</w:t>
      </w:r>
      <w:r>
        <w:rPr>
          <w:rFonts w:hint="default" w:ascii="Times New Roman" w:hAnsi="Times New Roman" w:eastAsia="仿宋_GB2312" w:cs="Times New Roman"/>
          <w:sz w:val="32"/>
          <w:szCs w:val="32"/>
          <w:highlight w:val="none"/>
          <w:lang w:val="en-US" w:eastAsia="zh-CN"/>
        </w:rPr>
        <w:t>7</w:t>
      </w:r>
      <w:r>
        <w:rPr>
          <w:rFonts w:hint="eastAsia" w:ascii="Times New Roman" w:hAnsi="Times New Roman" w:eastAsia="仿宋_GB2312" w:cs="Times New Roman"/>
          <w:sz w:val="32"/>
          <w:szCs w:val="32"/>
          <w:highlight w:val="none"/>
          <w:lang w:val="en-US" w:eastAsia="zh-CN"/>
        </w:rPr>
        <w:t>8.27</w:t>
      </w:r>
      <w:r>
        <w:rPr>
          <w:rFonts w:hint="default" w:ascii="Times New Roman" w:hAnsi="Times New Roman" w:eastAsia="仿宋_GB2312" w:cs="Times New Roman"/>
          <w:sz w:val="32"/>
          <w:szCs w:val="32"/>
          <w:highlight w:val="none"/>
          <w:lang w:eastAsia="zh-CN"/>
        </w:rPr>
        <w:t>%；项目支出</w:t>
      </w:r>
      <w:r>
        <w:rPr>
          <w:rFonts w:hint="default" w:ascii="Times New Roman" w:hAnsi="Times New Roman" w:eastAsia="仿宋_GB2312" w:cs="Times New Roman"/>
          <w:sz w:val="32"/>
          <w:szCs w:val="32"/>
          <w:highlight w:val="none"/>
          <w:lang w:val="en-US" w:eastAsia="zh-CN"/>
        </w:rPr>
        <w:t>343.47</w:t>
      </w:r>
      <w:r>
        <w:rPr>
          <w:rFonts w:hint="default" w:ascii="Times New Roman" w:hAnsi="Times New Roman" w:eastAsia="仿宋_GB2312" w:cs="Times New Roman"/>
          <w:sz w:val="32"/>
          <w:szCs w:val="32"/>
          <w:highlight w:val="none"/>
          <w:lang w:eastAsia="zh-CN"/>
        </w:rPr>
        <w:t>万元</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上年结转</w:t>
      </w:r>
      <w:r>
        <w:rPr>
          <w:rFonts w:hint="eastAsia" w:ascii="Times New Roman" w:hAnsi="Times New Roman" w:eastAsia="仿宋_GB2312" w:cs="Times New Roman"/>
          <w:sz w:val="32"/>
          <w:szCs w:val="32"/>
          <w:highlight w:val="none"/>
          <w:lang w:val="en-US" w:eastAsia="zh-CN"/>
        </w:rPr>
        <w:t>44.47</w:t>
      </w:r>
      <w:r>
        <w:rPr>
          <w:rFonts w:hint="default" w:ascii="Times New Roman" w:hAnsi="Times New Roman" w:eastAsia="仿宋_GB2312" w:cs="Times New Roman"/>
          <w:sz w:val="32"/>
          <w:szCs w:val="32"/>
          <w:highlight w:val="none"/>
          <w:lang w:eastAsia="zh-CN"/>
        </w:rPr>
        <w:t>万元</w:t>
      </w:r>
      <w:r>
        <w:rPr>
          <w:rFonts w:hint="default"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eastAsia="zh-CN"/>
        </w:rPr>
        <w:t>，占</w:t>
      </w:r>
      <w:r>
        <w:rPr>
          <w:rFonts w:hint="eastAsia" w:ascii="Times New Roman" w:hAnsi="Times New Roman" w:eastAsia="仿宋_GB2312" w:cs="Times New Roman"/>
          <w:sz w:val="32"/>
          <w:szCs w:val="32"/>
          <w:highlight w:val="none"/>
          <w:lang w:val="en-US" w:eastAsia="zh-CN"/>
        </w:rPr>
        <w:t>21.73</w:t>
      </w:r>
      <w:r>
        <w:rPr>
          <w:rFonts w:hint="default" w:ascii="Times New Roman" w:hAnsi="Times New Roman" w:eastAsia="仿宋_GB2312" w:cs="Times New Roman"/>
          <w:sz w:val="32"/>
          <w:szCs w:val="32"/>
          <w:highlight w:val="none"/>
          <w:lang w:eastAsia="zh-CN"/>
        </w:rPr>
        <w:t>%。</w:t>
      </w:r>
    </w:p>
    <w:p w14:paraId="695B77B5">
      <w:pPr>
        <w:numPr>
          <w:ilvl w:val="0"/>
          <w:numId w:val="0"/>
        </w:numPr>
        <w:pBdr>
          <w:bottom w:val="single" w:color="FFFFFF" w:sz="4" w:space="31"/>
        </w:pBdr>
        <w:tabs>
          <w:tab w:val="left" w:pos="1440"/>
        </w:tabs>
        <w:spacing w:line="576" w:lineRule="exact"/>
        <w:rPr>
          <w:rFonts w:hint="default" w:ascii="Times New Roman" w:hAnsi="Times New Roman" w:eastAsia="仿宋_GB2312"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四、</w:t>
      </w:r>
      <w:r>
        <w:rPr>
          <w:rFonts w:hint="default" w:ascii="Times New Roman" w:hAnsi="Times New Roman" w:eastAsia="方正黑体_GBK" w:cs="Times New Roman"/>
          <w:sz w:val="32"/>
          <w:szCs w:val="32"/>
          <w:highlight w:val="none"/>
        </w:rPr>
        <w:t>财政拨款收支预算情况说明</w:t>
      </w:r>
      <w:r>
        <w:rPr>
          <w:rFonts w:hint="default" w:ascii="Times New Roman" w:hAnsi="Times New Roman" w:cs="Times New Roman"/>
          <w:sz w:val="16"/>
          <w:highlight w:val="none"/>
        </w:rPr>
        <w:br w:type="textWrapping"/>
      </w:r>
      <w:r>
        <w:rPr>
          <w:rFonts w:hint="default" w:ascii="Times New Roman" w:hAnsi="Times New Roman" w:cs="Times New Roman"/>
          <w:sz w:val="16"/>
          <w:highlight w:val="none"/>
        </w:rPr>
        <w:t>　</w:t>
      </w:r>
      <w:r>
        <w:rPr>
          <w:rFonts w:hint="default" w:ascii="Times New Roman" w:hAnsi="Times New Roman" w:cs="Times New Roman"/>
          <w:sz w:val="16"/>
          <w:highlight w:val="none"/>
          <w:lang w:val="en-US" w:eastAsia="zh-CN"/>
        </w:rPr>
        <w:t xml:space="preserve">      </w:t>
      </w:r>
      <w:r>
        <w:rPr>
          <w:rFonts w:hint="default" w:ascii="Times New Roman" w:hAnsi="Times New Roman" w:eastAsia="仿宋_GB2312" w:cs="Times New Roman"/>
          <w:sz w:val="32"/>
          <w:szCs w:val="32"/>
          <w:highlight w:val="none"/>
          <w:lang w:val="en-US" w:eastAsia="zh-CN"/>
        </w:rPr>
        <w:t>我单位</w:t>
      </w:r>
      <w:r>
        <w:rPr>
          <w:rFonts w:hint="eastAsia" w:ascii="Times New Roman" w:hAnsi="Times New Roman" w:eastAsia="仿宋_GB2312" w:cs="Times New Roman"/>
          <w:sz w:val="32"/>
          <w:szCs w:val="32"/>
          <w:highlight w:val="none"/>
          <w:lang w:val="en-US" w:eastAsia="zh-CN"/>
        </w:rPr>
        <w:t>2024</w:t>
      </w:r>
      <w:r>
        <w:rPr>
          <w:rFonts w:hint="default" w:ascii="Times New Roman" w:hAnsi="Times New Roman" w:eastAsia="仿宋_GB2312" w:cs="Times New Roman"/>
          <w:sz w:val="32"/>
          <w:szCs w:val="32"/>
          <w:highlight w:val="none"/>
          <w:lang w:val="en-US" w:eastAsia="zh-CN"/>
        </w:rPr>
        <w:t>年财政拨款收支总预算</w:t>
      </w:r>
      <w:r>
        <w:rPr>
          <w:rFonts w:hint="eastAsia" w:ascii="Times New Roman" w:hAnsi="Times New Roman" w:eastAsia="仿宋_GB2312" w:cs="Times New Roman"/>
          <w:sz w:val="32"/>
          <w:szCs w:val="32"/>
          <w:highlight w:val="none"/>
          <w:lang w:val="en-US" w:eastAsia="zh-CN"/>
        </w:rPr>
        <w:t>1580.76</w:t>
      </w:r>
      <w:r>
        <w:rPr>
          <w:rFonts w:hint="default" w:ascii="Times New Roman" w:hAnsi="Times New Roman" w:eastAsia="仿宋_GB2312" w:cs="Times New Roman"/>
          <w:sz w:val="32"/>
          <w:szCs w:val="32"/>
          <w:highlight w:val="none"/>
          <w:lang w:val="en-US" w:eastAsia="zh-CN"/>
        </w:rPr>
        <w:t>万元,比</w:t>
      </w:r>
      <w:r>
        <w:rPr>
          <w:rFonts w:hint="eastAsia" w:ascii="Times New Roman" w:hAnsi="Times New Roman" w:eastAsia="仿宋_GB2312" w:cs="Times New Roman"/>
          <w:sz w:val="32"/>
          <w:szCs w:val="32"/>
          <w:highlight w:val="none"/>
          <w:lang w:val="en-US" w:eastAsia="zh-CN"/>
        </w:rPr>
        <w:t>2023</w:t>
      </w:r>
      <w:r>
        <w:rPr>
          <w:rFonts w:hint="default" w:ascii="Times New Roman" w:hAnsi="Times New Roman" w:eastAsia="仿宋_GB2312" w:cs="Times New Roman"/>
          <w:sz w:val="32"/>
          <w:szCs w:val="32"/>
          <w:highlight w:val="none"/>
          <w:lang w:val="en-US" w:eastAsia="zh-CN"/>
        </w:rPr>
        <w:t>年财政拨款收支总预算增加</w:t>
      </w:r>
      <w:r>
        <w:rPr>
          <w:rFonts w:hint="eastAsia" w:ascii="Times New Roman" w:hAnsi="Times New Roman" w:eastAsia="仿宋_GB2312" w:cs="Times New Roman"/>
          <w:sz w:val="32"/>
          <w:szCs w:val="32"/>
          <w:highlight w:val="none"/>
          <w:lang w:val="en-US" w:eastAsia="zh-CN"/>
        </w:rPr>
        <w:t>265.72</w:t>
      </w:r>
      <w:r>
        <w:rPr>
          <w:rFonts w:hint="default" w:ascii="Times New Roman" w:hAnsi="Times New Roman" w:eastAsia="仿宋_GB2312" w:cs="Times New Roman"/>
          <w:sz w:val="32"/>
          <w:szCs w:val="32"/>
          <w:highlight w:val="none"/>
          <w:lang w:val="en-US" w:eastAsia="zh-CN"/>
        </w:rPr>
        <w:t>万元，主要原因:阿坝州民族团结进步创建工作经费</w:t>
      </w:r>
      <w:r>
        <w:rPr>
          <w:rFonts w:hint="eastAsia" w:ascii="Times New Roman" w:hAnsi="Times New Roman" w:eastAsia="仿宋_GB2312" w:cs="Times New Roman"/>
          <w:sz w:val="32"/>
          <w:szCs w:val="32"/>
          <w:highlight w:val="none"/>
          <w:lang w:val="en-US" w:eastAsia="zh-CN"/>
        </w:rPr>
        <w:t>增加</w:t>
      </w:r>
      <w:r>
        <w:rPr>
          <w:rFonts w:hint="default" w:ascii="Times New Roman" w:hAnsi="Times New Roman" w:eastAsia="仿宋_GB2312" w:cs="Times New Roman"/>
          <w:sz w:val="32"/>
          <w:szCs w:val="32"/>
          <w:highlight w:val="none"/>
          <w:lang w:val="en-US" w:eastAsia="zh-CN"/>
        </w:rPr>
        <w:t>。收入包括：本年一般公共预算拨款收入</w:t>
      </w:r>
      <w:r>
        <w:rPr>
          <w:rFonts w:hint="eastAsia" w:ascii="Times New Roman" w:hAnsi="Times New Roman" w:eastAsia="仿宋_GB2312" w:cs="Times New Roman"/>
          <w:sz w:val="32"/>
          <w:szCs w:val="32"/>
          <w:highlight w:val="none"/>
          <w:lang w:val="en-US" w:eastAsia="zh-CN"/>
        </w:rPr>
        <w:t>1536.29</w:t>
      </w:r>
      <w:r>
        <w:rPr>
          <w:rFonts w:hint="default" w:ascii="Times New Roman" w:hAnsi="Times New Roman" w:eastAsia="仿宋_GB2312" w:cs="Times New Roman"/>
          <w:sz w:val="32"/>
          <w:szCs w:val="32"/>
          <w:highlight w:val="none"/>
          <w:lang w:val="en-US" w:eastAsia="zh-CN"/>
        </w:rPr>
        <w:t>万元</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上年结转资金</w:t>
      </w:r>
      <w:r>
        <w:rPr>
          <w:rFonts w:hint="eastAsia" w:ascii="Times New Roman" w:hAnsi="Times New Roman" w:eastAsia="仿宋_GB2312" w:cs="Times New Roman"/>
          <w:sz w:val="32"/>
          <w:szCs w:val="32"/>
          <w:highlight w:val="none"/>
          <w:lang w:val="en-US" w:eastAsia="zh-CN"/>
        </w:rPr>
        <w:t>44.47</w:t>
      </w:r>
      <w:r>
        <w:rPr>
          <w:rFonts w:hint="default" w:ascii="Times New Roman" w:hAnsi="Times New Roman" w:eastAsia="仿宋_GB2312" w:cs="Times New Roman"/>
          <w:sz w:val="32"/>
          <w:szCs w:val="32"/>
          <w:highlight w:val="none"/>
          <w:lang w:val="en-US" w:eastAsia="zh-CN"/>
        </w:rPr>
        <w:t>万元。</w:t>
      </w:r>
    </w:p>
    <w:p w14:paraId="3CE1348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支出包括：一般公共服务支出1281.93万元，社会保障和就业支出161.28万元，卫生健康支出58.51万元，住房保障支出79.04万元。</w:t>
      </w:r>
    </w:p>
    <w:p w14:paraId="05C51443">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spacing w:line="576" w:lineRule="exact"/>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一般公共预算当年拨款情况说明</w:t>
      </w:r>
    </w:p>
    <w:p w14:paraId="6D9DB6D9">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spacing w:line="576" w:lineRule="exact"/>
        <w:ind w:firstLine="643" w:firstLineChars="200"/>
        <w:textAlignment w:val="auto"/>
        <w:rPr>
          <w:rFonts w:hint="default" w:ascii="Times New Roman" w:hAnsi="Times New Roman" w:eastAsia="方正楷体_GBK" w:cs="Times New Roman"/>
          <w:b/>
          <w:bCs/>
          <w:kern w:val="2"/>
          <w:sz w:val="32"/>
          <w:szCs w:val="32"/>
          <w:highlight w:val="none"/>
        </w:rPr>
      </w:pPr>
      <w:r>
        <w:rPr>
          <w:rFonts w:hint="default" w:ascii="Times New Roman" w:hAnsi="Times New Roman" w:eastAsia="方正楷体_GBK" w:cs="Times New Roman"/>
          <w:b/>
          <w:bCs/>
          <w:kern w:val="2"/>
          <w:sz w:val="32"/>
          <w:szCs w:val="32"/>
          <w:highlight w:val="none"/>
        </w:rPr>
        <w:t>一般公共预算当年拨款规模变化情况</w:t>
      </w:r>
    </w:p>
    <w:p w14:paraId="61F7FC2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我单位</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年一般公共预算当年拨款</w:t>
      </w:r>
      <w:r>
        <w:rPr>
          <w:rFonts w:hint="eastAsia" w:ascii="Times New Roman" w:hAnsi="Times New Roman" w:eastAsia="仿宋_GB2312" w:cs="Times New Roman"/>
          <w:kern w:val="2"/>
          <w:sz w:val="32"/>
          <w:szCs w:val="32"/>
          <w:highlight w:val="none"/>
          <w:lang w:val="en-US" w:eastAsia="zh-CN" w:bidi="ar-SA"/>
        </w:rPr>
        <w:t>1536.29</w:t>
      </w:r>
      <w:r>
        <w:rPr>
          <w:rFonts w:hint="default" w:ascii="Times New Roman" w:hAnsi="Times New Roman" w:eastAsia="仿宋_GB2312" w:cs="Times New Roman"/>
          <w:kern w:val="2"/>
          <w:sz w:val="32"/>
          <w:szCs w:val="32"/>
          <w:highlight w:val="none"/>
          <w:lang w:val="en-US" w:eastAsia="zh-CN" w:bidi="ar-SA"/>
        </w:rPr>
        <w:t>万元，比</w:t>
      </w:r>
      <w:r>
        <w:rPr>
          <w:rFonts w:hint="eastAsia" w:ascii="Times New Roman" w:hAnsi="Times New Roman" w:eastAsia="仿宋_GB2312" w:cs="Times New Roman"/>
          <w:kern w:val="2"/>
          <w:sz w:val="32"/>
          <w:szCs w:val="32"/>
          <w:highlight w:val="none"/>
          <w:lang w:val="en-US" w:eastAsia="zh-CN" w:bidi="ar-SA"/>
        </w:rPr>
        <w:t>2023</w:t>
      </w:r>
      <w:r>
        <w:rPr>
          <w:rFonts w:hint="default" w:ascii="Times New Roman" w:hAnsi="Times New Roman" w:eastAsia="仿宋_GB2312" w:cs="Times New Roman"/>
          <w:kern w:val="2"/>
          <w:sz w:val="32"/>
          <w:szCs w:val="32"/>
          <w:highlight w:val="none"/>
          <w:lang w:val="en-US" w:eastAsia="zh-CN" w:bidi="ar-SA"/>
        </w:rPr>
        <w:t>年预算数增加265.72万元，主要原因：阿坝州民族团结进步创建工作经费增加。</w:t>
      </w:r>
    </w:p>
    <w:p w14:paraId="4D4D2276">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spacing w:line="576" w:lineRule="exact"/>
        <w:ind w:left="0" w:leftChars="0" w:firstLine="643" w:firstLineChars="200"/>
        <w:textAlignment w:val="auto"/>
        <w:rPr>
          <w:rFonts w:hint="default" w:ascii="Times New Roman" w:hAnsi="Times New Roman" w:eastAsia="方正楷体_GBK" w:cs="Times New Roman"/>
          <w:b/>
          <w:bCs/>
          <w:kern w:val="2"/>
          <w:sz w:val="32"/>
          <w:szCs w:val="32"/>
          <w:highlight w:val="none"/>
        </w:rPr>
      </w:pPr>
      <w:r>
        <w:rPr>
          <w:rFonts w:hint="default" w:ascii="Times New Roman" w:hAnsi="Times New Roman" w:eastAsia="方正楷体_GBK" w:cs="Times New Roman"/>
          <w:b/>
          <w:bCs/>
          <w:kern w:val="2"/>
          <w:sz w:val="32"/>
          <w:szCs w:val="32"/>
          <w:highlight w:val="none"/>
        </w:rPr>
        <w:t>一般公共预算当年拨款结构情况</w:t>
      </w:r>
    </w:p>
    <w:p w14:paraId="13CFA53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一般公共服务支出</w:t>
      </w:r>
      <w:r>
        <w:rPr>
          <w:rFonts w:hint="default" w:ascii="Times New Roman" w:hAnsi="Times New Roman" w:eastAsia="仿宋_GB2312" w:cs="Times New Roman"/>
          <w:sz w:val="32"/>
          <w:szCs w:val="32"/>
          <w:highlight w:val="none"/>
          <w:lang w:val="en-US" w:eastAsia="zh-CN"/>
        </w:rPr>
        <w:t>1281.93</w:t>
      </w:r>
      <w:r>
        <w:rPr>
          <w:rFonts w:hint="default" w:ascii="Times New Roman" w:hAnsi="Times New Roman" w:eastAsia="仿宋_GB2312" w:cs="Times New Roman"/>
          <w:kern w:val="2"/>
          <w:sz w:val="32"/>
          <w:szCs w:val="32"/>
          <w:highlight w:val="none"/>
          <w:lang w:val="en-US" w:eastAsia="zh-CN" w:bidi="ar-SA"/>
        </w:rPr>
        <w:t>万元，占8</w:t>
      </w:r>
      <w:r>
        <w:rPr>
          <w:rFonts w:hint="eastAsia" w:ascii="Times New Roman" w:hAnsi="Times New Roman" w:eastAsia="仿宋_GB2312" w:cs="Times New Roman"/>
          <w:kern w:val="2"/>
          <w:sz w:val="32"/>
          <w:szCs w:val="32"/>
          <w:highlight w:val="none"/>
          <w:lang w:val="en-US" w:eastAsia="zh-CN" w:bidi="ar-SA"/>
        </w:rPr>
        <w:t>1.1</w:t>
      </w:r>
      <w:r>
        <w:rPr>
          <w:rFonts w:hint="default" w:ascii="Times New Roman" w:hAnsi="Times New Roman" w:eastAsia="仿宋_GB2312" w:cs="Times New Roman"/>
          <w:kern w:val="2"/>
          <w:sz w:val="32"/>
          <w:szCs w:val="32"/>
          <w:highlight w:val="none"/>
          <w:lang w:val="en-US" w:eastAsia="zh-CN" w:bidi="ar-SA"/>
        </w:rPr>
        <w:t xml:space="preserve"> %；社会保障和就业支出</w:t>
      </w:r>
      <w:r>
        <w:rPr>
          <w:rFonts w:hint="default" w:ascii="Times New Roman" w:hAnsi="Times New Roman" w:eastAsia="仿宋_GB2312" w:cs="Times New Roman"/>
          <w:sz w:val="32"/>
          <w:szCs w:val="32"/>
          <w:highlight w:val="none"/>
          <w:lang w:val="en-US" w:eastAsia="zh-CN"/>
        </w:rPr>
        <w:t>161.28</w:t>
      </w:r>
      <w:r>
        <w:rPr>
          <w:rFonts w:hint="default" w:ascii="Times New Roman" w:hAnsi="Times New Roman" w:eastAsia="仿宋_GB2312" w:cs="Times New Roman"/>
          <w:kern w:val="2"/>
          <w:sz w:val="32"/>
          <w:szCs w:val="32"/>
          <w:highlight w:val="none"/>
          <w:lang w:val="en-US" w:eastAsia="zh-CN" w:bidi="ar-SA"/>
        </w:rPr>
        <w:t>万元，占10.2</w:t>
      </w:r>
      <w:r>
        <w:rPr>
          <w:rFonts w:hint="eastAsia" w:ascii="Times New Roman" w:hAnsi="Times New Roman" w:eastAsia="仿宋_GB2312" w:cs="Times New Roman"/>
          <w:kern w:val="2"/>
          <w:sz w:val="32"/>
          <w:szCs w:val="32"/>
          <w:highlight w:val="none"/>
          <w:lang w:val="en-US" w:eastAsia="zh-CN" w:bidi="ar-SA"/>
        </w:rPr>
        <w:t>0</w:t>
      </w:r>
      <w:r>
        <w:rPr>
          <w:rFonts w:hint="default" w:ascii="Times New Roman" w:hAnsi="Times New Roman" w:eastAsia="仿宋_GB2312" w:cs="Times New Roman"/>
          <w:kern w:val="2"/>
          <w:sz w:val="32"/>
          <w:szCs w:val="32"/>
          <w:highlight w:val="none"/>
          <w:lang w:val="en-US" w:eastAsia="zh-CN" w:bidi="ar-SA"/>
        </w:rPr>
        <w:t xml:space="preserve"> %；医疗卫生与计划生育支出</w:t>
      </w:r>
      <w:r>
        <w:rPr>
          <w:rFonts w:hint="default" w:ascii="Times New Roman" w:hAnsi="Times New Roman" w:eastAsia="仿宋_GB2312" w:cs="Times New Roman"/>
          <w:sz w:val="32"/>
          <w:szCs w:val="32"/>
          <w:highlight w:val="none"/>
          <w:lang w:val="en-US" w:eastAsia="zh-CN"/>
        </w:rPr>
        <w:t>58.51</w:t>
      </w:r>
      <w:r>
        <w:rPr>
          <w:rFonts w:hint="default" w:ascii="Times New Roman" w:hAnsi="Times New Roman" w:eastAsia="仿宋_GB2312" w:cs="Times New Roman"/>
          <w:kern w:val="2"/>
          <w:sz w:val="32"/>
          <w:szCs w:val="32"/>
          <w:highlight w:val="none"/>
          <w:lang w:val="en-US" w:eastAsia="zh-CN" w:bidi="ar-SA"/>
        </w:rPr>
        <w:t>万元，占3.7 %；住房保障支出</w:t>
      </w:r>
      <w:r>
        <w:rPr>
          <w:rFonts w:hint="default" w:ascii="Times New Roman" w:hAnsi="Times New Roman" w:eastAsia="仿宋_GB2312" w:cs="Times New Roman"/>
          <w:sz w:val="32"/>
          <w:szCs w:val="32"/>
          <w:highlight w:val="none"/>
          <w:lang w:val="en-US" w:eastAsia="zh-CN"/>
        </w:rPr>
        <w:t>79.04</w:t>
      </w:r>
      <w:r>
        <w:rPr>
          <w:rFonts w:hint="default" w:ascii="Times New Roman" w:hAnsi="Times New Roman" w:eastAsia="仿宋_GB2312" w:cs="Times New Roman"/>
          <w:kern w:val="2"/>
          <w:sz w:val="32"/>
          <w:szCs w:val="32"/>
          <w:highlight w:val="none"/>
          <w:lang w:val="en-US" w:eastAsia="zh-CN" w:bidi="ar-SA"/>
        </w:rPr>
        <w:t>万元，占</w:t>
      </w:r>
      <w:r>
        <w:rPr>
          <w:rFonts w:hint="eastAsia" w:ascii="Times New Roman" w:hAnsi="Times New Roman" w:eastAsia="仿宋_GB2312" w:cs="Times New Roman"/>
          <w:kern w:val="2"/>
          <w:sz w:val="32"/>
          <w:szCs w:val="32"/>
          <w:highlight w:val="none"/>
          <w:lang w:val="en-US" w:eastAsia="zh-CN" w:bidi="ar-SA"/>
        </w:rPr>
        <w:t>5</w:t>
      </w:r>
      <w:r>
        <w:rPr>
          <w:rFonts w:hint="default" w:ascii="Times New Roman" w:hAnsi="Times New Roman" w:eastAsia="仿宋_GB2312" w:cs="Times New Roman"/>
          <w:kern w:val="2"/>
          <w:sz w:val="32"/>
          <w:szCs w:val="32"/>
          <w:highlight w:val="none"/>
          <w:lang w:val="en-US" w:eastAsia="zh-CN" w:bidi="ar-SA"/>
        </w:rPr>
        <w:t>%。</w:t>
      </w:r>
    </w:p>
    <w:p w14:paraId="45317698">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spacing w:line="576" w:lineRule="exact"/>
        <w:ind w:left="0" w:leftChars="0" w:firstLine="643"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方正楷体_GBK" w:cs="Times New Roman"/>
          <w:b/>
          <w:bCs/>
          <w:kern w:val="2"/>
          <w:sz w:val="32"/>
          <w:szCs w:val="32"/>
          <w:highlight w:val="none"/>
        </w:rPr>
        <w:t>一般公共预算当年拨款具体使用情况</w:t>
      </w:r>
    </w:p>
    <w:p w14:paraId="266DB33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1.</w:t>
      </w:r>
      <w:r>
        <w:rPr>
          <w:rFonts w:hint="default" w:ascii="Times New Roman" w:hAnsi="Times New Roman" w:eastAsia="仿宋_GB2312" w:cs="Times New Roman"/>
          <w:kern w:val="2"/>
          <w:sz w:val="32"/>
          <w:szCs w:val="32"/>
          <w:highlight w:val="none"/>
          <w:lang w:val="en-US" w:eastAsia="zh-CN" w:bidi="ar-SA"/>
        </w:rPr>
        <w:t>一般公共服务（类）民族事务（款）行政运行（2012301）</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年预算数为938.46万元，主要用于 :民族宗教事务的基本支出。</w:t>
      </w:r>
      <w:r>
        <w:rPr>
          <w:rFonts w:hint="default" w:ascii="Times New Roman" w:hAnsi="Times New Roman" w:eastAsia="仿宋_GB2312" w:cs="Times New Roman"/>
          <w:kern w:val="2"/>
          <w:sz w:val="32"/>
          <w:szCs w:val="32"/>
          <w:highlight w:val="none"/>
          <w:lang w:val="en-US" w:eastAsia="zh-CN" w:bidi="ar-SA"/>
        </w:rPr>
        <w:br w:type="textWrapping"/>
      </w:r>
      <w:r>
        <w:rPr>
          <w:rFonts w:hint="default" w:ascii="Times New Roman" w:hAnsi="Times New Roman" w:eastAsia="仿宋_GB2312" w:cs="Times New Roman"/>
          <w:kern w:val="2"/>
          <w:sz w:val="32"/>
          <w:szCs w:val="32"/>
          <w:highlight w:val="none"/>
          <w:lang w:val="en-US" w:eastAsia="zh-CN" w:bidi="ar-SA"/>
        </w:rPr>
        <w:t>　　2</w:t>
      </w:r>
      <w:r>
        <w:rPr>
          <w:rFonts w:hint="eastAsia" w:ascii="Times New Roman" w:hAnsi="Times New Roman"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一般公共服务（类）民族事务（款）一般行政管理事务（2012302）</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年预算数为343.47万元，主要用于 :民族宗教事务的项目支出。</w:t>
      </w:r>
    </w:p>
    <w:p w14:paraId="56690AD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3.</w:t>
      </w:r>
      <w:r>
        <w:rPr>
          <w:rFonts w:hint="default" w:ascii="Times New Roman" w:hAnsi="Times New Roman" w:eastAsia="仿宋_GB2312" w:cs="Times New Roman"/>
          <w:kern w:val="2"/>
          <w:sz w:val="32"/>
          <w:szCs w:val="32"/>
          <w:highlight w:val="none"/>
          <w:lang w:val="en-US" w:eastAsia="zh-CN" w:bidi="ar-SA"/>
        </w:rPr>
        <w:t>社会保障和就业支出（类）行政事业单位离退休（款）机关事业单位基本养老保险支出（2080505）</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年预算数为107.52万元，主要用于：缴纳单位职工的基本养老保险支出。</w:t>
      </w:r>
    </w:p>
    <w:p w14:paraId="0EC00A9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4.</w:t>
      </w:r>
      <w:r>
        <w:rPr>
          <w:rFonts w:hint="default" w:ascii="Times New Roman" w:hAnsi="Times New Roman" w:eastAsia="仿宋_GB2312" w:cs="Times New Roman"/>
          <w:kern w:val="2"/>
          <w:sz w:val="32"/>
          <w:szCs w:val="32"/>
          <w:highlight w:val="none"/>
          <w:lang w:val="en-US" w:eastAsia="zh-CN" w:bidi="ar-SA"/>
        </w:rPr>
        <w:t>社会保障和就业支出（类）行政事业单位离退休（款）机关事业单位职业年金缴费支出（2080506）</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年预算数为53.76万元，主要用于：缴纳单位职工的职业年金支出。</w:t>
      </w:r>
    </w:p>
    <w:p w14:paraId="1027BA0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5.医疗卫生与计划生育支出（类）行政事业单位医疗（款）行政单位医疗（项目）</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年预算数为47.04万元，主要用于：缴纳单位行政人员的医疗保险费用。</w:t>
      </w:r>
    </w:p>
    <w:p w14:paraId="55A57F3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6.医疗卫生与计划生育支出（类）行政事业单位医疗（款）公务员医疗补助（2101103）</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年预算数为11.47万元，主要用于：缴纳单位行政人员的公务员医疗补助费用。</w:t>
      </w:r>
    </w:p>
    <w:p w14:paraId="604C38B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7.住房保障支出（类）住房改革支出（款）住房公积金（2210201）</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年预算数为79.04万元，主要用于：为单位职工缴纳的住房公积金。</w:t>
      </w:r>
    </w:p>
    <w:p w14:paraId="373C58D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六、一般公共预算基本支出情况说明</w:t>
      </w:r>
    </w:p>
    <w:p w14:paraId="3E71B68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我单位</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一般公共预算基本支出1,237.29万元，其中：人员经费1,071.12万元，主要包括：基本工资、津贴补贴、奖金、绩效工资、机关事业单位基本养老保险缴费、职业年金缴费、城镇职工基本医疗保险缴费、公务员医疗补助缴费、其他社会保障缴费、住房公积金、其他工资福利支出、对个人和家庭的补助支出。</w:t>
      </w:r>
    </w:p>
    <w:p w14:paraId="166BDD0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公用经费166.17万元，主要包括：办公费、水电费、邮电费、取暖费、物业管理费、差旅费、维修（护）费、培训费、公务接待费、福利费、公务用车运行维护费、其他商品和服务支出。</w:t>
      </w:r>
    </w:p>
    <w:p w14:paraId="2B03C7C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七、“三公”经费财政拨款预算安排情况说明</w:t>
      </w:r>
    </w:p>
    <w:p w14:paraId="319466B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年“三公”经费财政拨款预算数86.66万元，其中：因公出国（境）经费0万元，公务接待费2.46万元，公务用车运行维护费84.20万元。</w:t>
      </w:r>
      <w:r>
        <w:rPr>
          <w:rFonts w:hint="default" w:ascii="Times New Roman" w:hAnsi="Times New Roman" w:eastAsia="仿宋_GB2312" w:cs="Times New Roman"/>
          <w:kern w:val="2"/>
          <w:sz w:val="32"/>
          <w:szCs w:val="32"/>
          <w:highlight w:val="none"/>
          <w:lang w:val="en-US" w:eastAsia="zh-CN" w:bidi="ar-SA"/>
        </w:rPr>
        <w:br w:type="textWrapping"/>
      </w:r>
      <w:r>
        <w:rPr>
          <w:rFonts w:hint="default" w:ascii="Times New Roman" w:hAnsi="Times New Roman" w:eastAsia="仿宋_GB2312" w:cs="Times New Roman"/>
          <w:kern w:val="2"/>
          <w:sz w:val="32"/>
          <w:szCs w:val="32"/>
          <w:highlight w:val="none"/>
          <w:lang w:val="en-US" w:eastAsia="zh-CN" w:bidi="ar-SA"/>
        </w:rPr>
        <w:t>　　（一）</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年无因公出国（境）经费，较</w:t>
      </w:r>
      <w:r>
        <w:rPr>
          <w:rFonts w:hint="eastAsia" w:ascii="Times New Roman" w:hAnsi="Times New Roman" w:eastAsia="仿宋_GB2312" w:cs="Times New Roman"/>
          <w:kern w:val="2"/>
          <w:sz w:val="32"/>
          <w:szCs w:val="32"/>
          <w:highlight w:val="none"/>
          <w:lang w:val="en-US" w:eastAsia="zh-CN" w:bidi="ar-SA"/>
        </w:rPr>
        <w:t>2023</w:t>
      </w:r>
      <w:r>
        <w:rPr>
          <w:rFonts w:hint="default" w:ascii="Times New Roman" w:hAnsi="Times New Roman" w:eastAsia="仿宋_GB2312" w:cs="Times New Roman"/>
          <w:kern w:val="2"/>
          <w:sz w:val="32"/>
          <w:szCs w:val="32"/>
          <w:highlight w:val="none"/>
          <w:lang w:val="en-US" w:eastAsia="zh-CN" w:bidi="ar-SA"/>
        </w:rPr>
        <w:t>年预算经费0万元持平。</w:t>
      </w:r>
    </w:p>
    <w:p w14:paraId="7599C49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（二）</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年公务接待费2.</w:t>
      </w:r>
      <w:r>
        <w:rPr>
          <w:rFonts w:hint="eastAsia" w:ascii="Times New Roman" w:hAnsi="Times New Roman" w:eastAsia="仿宋_GB2312" w:cs="Times New Roman"/>
          <w:kern w:val="2"/>
          <w:sz w:val="32"/>
          <w:szCs w:val="32"/>
          <w:highlight w:val="none"/>
          <w:lang w:val="en-US" w:eastAsia="zh-CN" w:bidi="ar-SA"/>
        </w:rPr>
        <w:t>46</w:t>
      </w:r>
      <w:r>
        <w:rPr>
          <w:rFonts w:hint="default" w:ascii="Times New Roman" w:hAnsi="Times New Roman" w:eastAsia="仿宋_GB2312" w:cs="Times New Roman"/>
          <w:kern w:val="2"/>
          <w:sz w:val="32"/>
          <w:szCs w:val="32"/>
          <w:highlight w:val="none"/>
          <w:lang w:val="en-US" w:eastAsia="zh-CN" w:bidi="ar-SA"/>
        </w:rPr>
        <w:t>万元。较</w:t>
      </w:r>
      <w:r>
        <w:rPr>
          <w:rFonts w:hint="eastAsia" w:ascii="Times New Roman" w:hAnsi="Times New Roman" w:eastAsia="仿宋_GB2312" w:cs="Times New Roman"/>
          <w:kern w:val="2"/>
          <w:sz w:val="32"/>
          <w:szCs w:val="32"/>
          <w:highlight w:val="none"/>
          <w:lang w:val="en-US" w:eastAsia="zh-CN" w:bidi="ar-SA"/>
        </w:rPr>
        <w:t>2023</w:t>
      </w:r>
      <w:r>
        <w:rPr>
          <w:rFonts w:hint="default" w:ascii="Times New Roman" w:hAnsi="Times New Roman" w:eastAsia="仿宋_GB2312" w:cs="Times New Roman"/>
          <w:kern w:val="2"/>
          <w:sz w:val="32"/>
          <w:szCs w:val="32"/>
          <w:highlight w:val="none"/>
          <w:lang w:val="en-US" w:eastAsia="zh-CN" w:bidi="ar-SA"/>
        </w:rPr>
        <w:t xml:space="preserve">年预算经费减少0.07万元。　　     </w:t>
      </w:r>
    </w:p>
    <w:p w14:paraId="18DB7DE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（三）</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年公务用车运行维护费</w:t>
      </w:r>
      <w:r>
        <w:rPr>
          <w:rFonts w:hint="eastAsia" w:ascii="Times New Roman" w:hAnsi="Times New Roman" w:eastAsia="仿宋_GB2312" w:cs="Times New Roman"/>
          <w:kern w:val="2"/>
          <w:sz w:val="32"/>
          <w:szCs w:val="32"/>
          <w:highlight w:val="none"/>
          <w:lang w:val="en-US" w:eastAsia="zh-CN" w:bidi="ar-SA"/>
        </w:rPr>
        <w:t>84.2</w:t>
      </w:r>
      <w:r>
        <w:rPr>
          <w:rFonts w:hint="default" w:ascii="Times New Roman" w:hAnsi="Times New Roman" w:eastAsia="仿宋_GB2312" w:cs="Times New Roman"/>
          <w:kern w:val="2"/>
          <w:sz w:val="32"/>
          <w:szCs w:val="32"/>
          <w:highlight w:val="none"/>
          <w:lang w:val="en-US" w:eastAsia="zh-CN" w:bidi="ar-SA"/>
        </w:rPr>
        <w:t>万元。较</w:t>
      </w:r>
      <w:r>
        <w:rPr>
          <w:rFonts w:hint="eastAsia" w:ascii="Times New Roman" w:hAnsi="Times New Roman" w:eastAsia="仿宋_GB2312" w:cs="Times New Roman"/>
          <w:kern w:val="2"/>
          <w:sz w:val="32"/>
          <w:szCs w:val="32"/>
          <w:highlight w:val="none"/>
          <w:lang w:val="en-US" w:eastAsia="zh-CN" w:bidi="ar-SA"/>
        </w:rPr>
        <w:t>2023</w:t>
      </w:r>
      <w:r>
        <w:rPr>
          <w:rFonts w:hint="default" w:ascii="Times New Roman" w:hAnsi="Times New Roman" w:eastAsia="仿宋_GB2312" w:cs="Times New Roman"/>
          <w:kern w:val="2"/>
          <w:sz w:val="32"/>
          <w:szCs w:val="32"/>
          <w:highlight w:val="none"/>
          <w:lang w:val="en-US" w:eastAsia="zh-CN" w:bidi="ar-SA"/>
        </w:rPr>
        <w:t>年预算经费</w:t>
      </w:r>
      <w:r>
        <w:rPr>
          <w:rFonts w:hint="eastAsia" w:ascii="Times New Roman" w:hAnsi="Times New Roman" w:eastAsia="仿宋_GB2312" w:cs="Times New Roman"/>
          <w:kern w:val="2"/>
          <w:sz w:val="32"/>
          <w:szCs w:val="32"/>
          <w:highlight w:val="none"/>
          <w:lang w:val="en-US" w:eastAsia="zh-CN" w:bidi="ar-SA"/>
        </w:rPr>
        <w:t>增加11</w:t>
      </w:r>
      <w:r>
        <w:rPr>
          <w:rFonts w:hint="default" w:ascii="Times New Roman" w:hAnsi="Times New Roman" w:eastAsia="仿宋_GB2312" w:cs="Times New Roman"/>
          <w:kern w:val="2"/>
          <w:sz w:val="32"/>
          <w:szCs w:val="32"/>
          <w:highlight w:val="none"/>
          <w:lang w:val="en-US" w:eastAsia="zh-CN" w:bidi="ar-SA"/>
        </w:rPr>
        <w:t>万元</w:t>
      </w:r>
      <w:r>
        <w:rPr>
          <w:rFonts w:hint="eastAsia" w:ascii="Times New Roman" w:hAnsi="Times New Roman" w:eastAsia="仿宋_GB2312" w:cs="Times New Roman"/>
          <w:kern w:val="2"/>
          <w:sz w:val="32"/>
          <w:szCs w:val="32"/>
          <w:highlight w:val="none"/>
          <w:lang w:val="en-US" w:eastAsia="zh-CN" w:bidi="ar-SA"/>
        </w:rPr>
        <w:t>，增长15.03</w:t>
      </w:r>
      <w:r>
        <w:rPr>
          <w:rFonts w:hint="default" w:ascii="Times New Roman" w:hAnsi="Times New Roman" w:eastAsia="仿宋_GB2312" w:cs="Times New Roman"/>
          <w:kern w:val="2"/>
          <w:sz w:val="32"/>
          <w:szCs w:val="32"/>
          <w:highlight w:val="none"/>
          <w:lang w:val="en-US" w:eastAsia="zh-CN" w:bidi="ar-SA"/>
        </w:rPr>
        <w:t>%，主要原因：</w:t>
      </w:r>
      <w:r>
        <w:rPr>
          <w:rFonts w:hint="eastAsia" w:ascii="Times New Roman" w:hAnsi="Times New Roman" w:eastAsia="仿宋_GB2312" w:cs="Times New Roman"/>
          <w:kern w:val="2"/>
          <w:sz w:val="32"/>
          <w:szCs w:val="32"/>
          <w:highlight w:val="none"/>
          <w:lang w:val="en-US" w:eastAsia="zh-CN" w:bidi="ar-SA"/>
        </w:rPr>
        <w:t>工作任务增加</w:t>
      </w:r>
      <w:r>
        <w:rPr>
          <w:rFonts w:hint="default" w:ascii="Times New Roman" w:hAnsi="Times New Roman" w:eastAsia="仿宋_GB2312" w:cs="Times New Roman"/>
          <w:kern w:val="2"/>
          <w:sz w:val="32"/>
          <w:szCs w:val="32"/>
          <w:highlight w:val="none"/>
          <w:lang w:val="en-US" w:eastAsia="zh-CN" w:bidi="ar-SA"/>
        </w:rPr>
        <w:t>。</w:t>
      </w:r>
    </w:p>
    <w:p w14:paraId="2095B11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八、政府性基金预算支出情况说明</w:t>
      </w:r>
    </w:p>
    <w:p w14:paraId="1AC03D9D">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我单位</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年无政府性基金预算拨款安排。</w:t>
      </w:r>
    </w:p>
    <w:p w14:paraId="1DF58406">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spacing w:line="576" w:lineRule="exact"/>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其他重要事项的情况说明</w:t>
      </w:r>
    </w:p>
    <w:p w14:paraId="571D96F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spacing w:line="576" w:lineRule="exact"/>
        <w:ind w:firstLine="643" w:firstLineChars="200"/>
        <w:textAlignment w:val="auto"/>
        <w:rPr>
          <w:rFonts w:hint="default" w:ascii="Times New Roman" w:hAnsi="Times New Roman" w:cs="Times New Roman"/>
          <w:color w:val="FF0000"/>
          <w:kern w:val="2"/>
          <w:sz w:val="32"/>
          <w:szCs w:val="32"/>
          <w:highlight w:val="none"/>
        </w:rPr>
      </w:pPr>
      <w:r>
        <w:rPr>
          <w:rFonts w:hint="default" w:ascii="Times New Roman" w:hAnsi="Times New Roman" w:eastAsia="方正楷体_GBK" w:cs="Times New Roman"/>
          <w:b/>
          <w:bCs/>
          <w:kern w:val="2"/>
          <w:sz w:val="32"/>
          <w:szCs w:val="32"/>
          <w:highlight w:val="none"/>
        </w:rPr>
        <w:t>（一）机关运行经费</w:t>
      </w:r>
      <w:r>
        <w:rPr>
          <w:rFonts w:hint="default" w:ascii="Times New Roman" w:hAnsi="Times New Roman" w:eastAsia="方正楷体_GBK" w:cs="Times New Roman"/>
          <w:b/>
          <w:bCs/>
          <w:kern w:val="2"/>
          <w:sz w:val="32"/>
          <w:szCs w:val="32"/>
          <w:highlight w:val="none"/>
        </w:rPr>
        <w:br w:type="textWrapping"/>
      </w:r>
      <w:r>
        <w:rPr>
          <w:rFonts w:hint="default" w:ascii="Times New Roman" w:hAnsi="Times New Roman" w:cs="Times New Roman"/>
          <w:kern w:val="2"/>
          <w:sz w:val="32"/>
          <w:szCs w:val="32"/>
          <w:highlight w:val="none"/>
        </w:rPr>
        <w:t xml:space="preserve">　   </w:t>
      </w:r>
      <w:r>
        <w:rPr>
          <w:rFonts w:hint="default" w:ascii="Times New Roman" w:hAnsi="Times New Roman" w:eastAsia="仿宋_GB2312" w:cs="Times New Roman"/>
          <w:kern w:val="2"/>
          <w:sz w:val="32"/>
          <w:szCs w:val="32"/>
          <w:highlight w:val="none"/>
          <w:lang w:val="en-US" w:eastAsia="zh-CN" w:bidi="ar-SA"/>
        </w:rPr>
        <w:t>我单位</w:t>
      </w:r>
      <w:r>
        <w:rPr>
          <w:rFonts w:hint="eastAsia" w:ascii="Times New Roman" w:hAnsi="Times New Roman" w:eastAsia="仿宋_GB2312"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年机关运行经费财政拨款预算为</w:t>
      </w:r>
      <w:r>
        <w:rPr>
          <w:rFonts w:hint="eastAsia" w:ascii="Times New Roman" w:hAnsi="Times New Roman" w:eastAsia="仿宋_GB2312" w:cs="Times New Roman"/>
          <w:kern w:val="2"/>
          <w:sz w:val="32"/>
          <w:szCs w:val="32"/>
          <w:highlight w:val="none"/>
          <w:lang w:val="en-US" w:eastAsia="zh-CN" w:bidi="ar-SA"/>
        </w:rPr>
        <w:t>166.17</w:t>
      </w:r>
      <w:r>
        <w:rPr>
          <w:rFonts w:hint="default" w:ascii="Times New Roman" w:hAnsi="Times New Roman" w:eastAsia="仿宋_GB2312" w:cs="Times New Roman"/>
          <w:kern w:val="2"/>
          <w:sz w:val="32"/>
          <w:szCs w:val="32"/>
          <w:highlight w:val="none"/>
          <w:lang w:val="en-US" w:eastAsia="zh-CN" w:bidi="ar-SA"/>
        </w:rPr>
        <w:t>万元，比</w:t>
      </w:r>
      <w:r>
        <w:rPr>
          <w:rFonts w:hint="eastAsia" w:ascii="Times New Roman" w:hAnsi="Times New Roman" w:eastAsia="仿宋_GB2312" w:cs="Times New Roman"/>
          <w:kern w:val="2"/>
          <w:sz w:val="32"/>
          <w:szCs w:val="32"/>
          <w:highlight w:val="none"/>
          <w:lang w:val="en-US" w:eastAsia="zh-CN" w:bidi="ar-SA"/>
        </w:rPr>
        <w:t>2023</w:t>
      </w:r>
      <w:r>
        <w:rPr>
          <w:rFonts w:hint="default" w:ascii="Times New Roman" w:hAnsi="Times New Roman" w:eastAsia="仿宋_GB2312" w:cs="Times New Roman"/>
          <w:kern w:val="2"/>
          <w:sz w:val="32"/>
          <w:szCs w:val="32"/>
          <w:highlight w:val="none"/>
          <w:lang w:val="en-US" w:eastAsia="zh-CN" w:bidi="ar-SA"/>
        </w:rPr>
        <w:t>年预算150.83万元</w:t>
      </w:r>
      <w:r>
        <w:rPr>
          <w:rFonts w:hint="eastAsia" w:ascii="Times New Roman" w:hAnsi="Times New Roman" w:eastAsia="仿宋_GB2312" w:cs="Times New Roman"/>
          <w:kern w:val="2"/>
          <w:sz w:val="32"/>
          <w:szCs w:val="32"/>
          <w:highlight w:val="none"/>
          <w:lang w:val="en-US" w:eastAsia="zh-CN" w:bidi="ar-SA"/>
        </w:rPr>
        <w:t>增加15.34</w:t>
      </w:r>
      <w:r>
        <w:rPr>
          <w:rFonts w:hint="default" w:ascii="Times New Roman" w:hAnsi="Times New Roman" w:eastAsia="仿宋_GB2312" w:cs="Times New Roman"/>
          <w:kern w:val="2"/>
          <w:sz w:val="32"/>
          <w:szCs w:val="32"/>
          <w:highlight w:val="none"/>
          <w:lang w:val="en-US" w:eastAsia="zh-CN" w:bidi="ar-SA"/>
        </w:rPr>
        <w:t>万元，</w:t>
      </w:r>
      <w:r>
        <w:rPr>
          <w:rFonts w:hint="eastAsia" w:ascii="Times New Roman" w:hAnsi="Times New Roman" w:eastAsia="仿宋_GB2312" w:cs="Times New Roman"/>
          <w:kern w:val="2"/>
          <w:sz w:val="32"/>
          <w:szCs w:val="32"/>
          <w:highlight w:val="none"/>
          <w:lang w:val="en-US" w:eastAsia="zh-CN" w:bidi="ar-SA"/>
        </w:rPr>
        <w:t>增长10.17</w:t>
      </w:r>
      <w:r>
        <w:rPr>
          <w:rFonts w:hint="default" w:ascii="Times New Roman" w:hAnsi="Times New Roman" w:eastAsia="仿宋_GB2312" w:cs="Times New Roman"/>
          <w:kern w:val="2"/>
          <w:sz w:val="32"/>
          <w:szCs w:val="32"/>
          <w:highlight w:val="none"/>
          <w:lang w:val="en-US" w:eastAsia="zh-CN" w:bidi="ar-SA"/>
        </w:rPr>
        <w:t xml:space="preserve">%。 </w:t>
      </w:r>
    </w:p>
    <w:p w14:paraId="7B6D5D7E">
      <w:pPr>
        <w:pStyle w:val="15"/>
        <w:spacing w:before="0" w:line="576" w:lineRule="exact"/>
        <w:ind w:firstLine="643" w:firstLineChars="200"/>
        <w:rPr>
          <w:rFonts w:hint="default" w:ascii="Times New Roman" w:hAnsi="Times New Roman" w:eastAsia="方正仿宋_GBK" w:cs="Times New Roman"/>
          <w:kern w:val="2"/>
          <w:sz w:val="32"/>
          <w:szCs w:val="32"/>
          <w:highlight w:val="none"/>
        </w:rPr>
      </w:pPr>
      <w:r>
        <w:rPr>
          <w:rFonts w:hint="default" w:ascii="Times New Roman" w:hAnsi="Times New Roman" w:eastAsia="方正楷体_GBK" w:cs="Times New Roman"/>
          <w:b/>
          <w:bCs/>
          <w:kern w:val="2"/>
          <w:sz w:val="32"/>
          <w:szCs w:val="32"/>
          <w:highlight w:val="none"/>
        </w:rPr>
        <w:t>（二）政府采购情况</w:t>
      </w:r>
      <w:r>
        <w:rPr>
          <w:rFonts w:hint="default" w:ascii="Times New Roman" w:hAnsi="Times New Roman" w:eastAsia="方正楷体_GBK" w:cs="Times New Roman"/>
          <w:b/>
          <w:bCs/>
          <w:kern w:val="2"/>
          <w:sz w:val="32"/>
          <w:szCs w:val="32"/>
          <w:highlight w:val="none"/>
        </w:rPr>
        <w:br w:type="textWrapping"/>
      </w:r>
      <w:r>
        <w:rPr>
          <w:rFonts w:hint="default" w:ascii="Times New Roman" w:hAnsi="Times New Roman" w:cs="Times New Roman"/>
          <w:kern w:val="2"/>
          <w:sz w:val="32"/>
          <w:szCs w:val="32"/>
          <w:highlight w:val="none"/>
        </w:rPr>
        <w:t xml:space="preserve">　　 </w:t>
      </w:r>
      <w:r>
        <w:rPr>
          <w:rFonts w:hint="eastAsia" w:ascii="Times New Roman" w:hAnsi="Times New Roman"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年我单位安排政府采购预算</w:t>
      </w:r>
      <w:r>
        <w:rPr>
          <w:rFonts w:hint="eastAsia" w:ascii="Times New Roman" w:hAnsi="Times New Roman" w:cs="Times New Roman"/>
          <w:kern w:val="2"/>
          <w:sz w:val="32"/>
          <w:szCs w:val="32"/>
          <w:highlight w:val="none"/>
          <w:lang w:val="en-US" w:eastAsia="zh-CN" w:bidi="ar-SA"/>
        </w:rPr>
        <w:t>12</w:t>
      </w:r>
      <w:r>
        <w:rPr>
          <w:rFonts w:hint="default" w:ascii="Times New Roman" w:hAnsi="Times New Roman" w:eastAsia="仿宋_GB2312" w:cs="Times New Roman"/>
          <w:kern w:val="2"/>
          <w:sz w:val="32"/>
          <w:szCs w:val="32"/>
          <w:highlight w:val="none"/>
          <w:lang w:val="en-US" w:eastAsia="zh-CN" w:bidi="ar-SA"/>
        </w:rPr>
        <w:t>万元，其中：1.公务用车的大修7万；2.办公用品采购</w:t>
      </w:r>
      <w:r>
        <w:rPr>
          <w:rFonts w:hint="eastAsia" w:ascii="Times New Roman" w:hAnsi="Times New Roman" w:cs="Times New Roman"/>
          <w:kern w:val="2"/>
          <w:sz w:val="32"/>
          <w:szCs w:val="32"/>
          <w:highlight w:val="none"/>
          <w:lang w:val="en-US" w:eastAsia="zh-CN" w:bidi="ar-SA"/>
        </w:rPr>
        <w:t>5</w:t>
      </w:r>
      <w:r>
        <w:rPr>
          <w:rFonts w:hint="default" w:ascii="Times New Roman" w:hAnsi="Times New Roman" w:eastAsia="仿宋_GB2312" w:cs="Times New Roman"/>
          <w:kern w:val="2"/>
          <w:sz w:val="32"/>
          <w:szCs w:val="32"/>
          <w:highlight w:val="none"/>
          <w:lang w:val="en-US" w:eastAsia="zh-CN" w:bidi="ar-SA"/>
        </w:rPr>
        <w:t>万元。</w:t>
      </w:r>
    </w:p>
    <w:p w14:paraId="2D979B79">
      <w:pPr>
        <w:pStyle w:val="15"/>
        <w:spacing w:before="0" w:line="576" w:lineRule="exact"/>
        <w:ind w:firstLine="643" w:firstLineChars="200"/>
        <w:rPr>
          <w:rFonts w:hint="default" w:ascii="Times New Roman" w:hAnsi="Times New Roman" w:eastAsia="方正楷体_GBK" w:cs="Times New Roman"/>
          <w:b/>
          <w:bCs/>
          <w:kern w:val="2"/>
          <w:sz w:val="32"/>
          <w:szCs w:val="32"/>
          <w:highlight w:val="none"/>
        </w:rPr>
      </w:pPr>
      <w:r>
        <w:rPr>
          <w:rFonts w:hint="default" w:ascii="Times New Roman" w:hAnsi="Times New Roman" w:eastAsia="方正楷体_GBK" w:cs="Times New Roman"/>
          <w:b/>
          <w:bCs/>
          <w:kern w:val="2"/>
          <w:sz w:val="32"/>
          <w:szCs w:val="32"/>
          <w:highlight w:val="none"/>
        </w:rPr>
        <w:t>（三）国有资产占有使用情况</w:t>
      </w:r>
    </w:p>
    <w:p w14:paraId="07257696">
      <w:pPr>
        <w:pStyle w:val="15"/>
        <w:spacing w:before="0" w:line="576" w:lineRule="exac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截至</w:t>
      </w:r>
      <w:r>
        <w:rPr>
          <w:rFonts w:hint="eastAsia" w:ascii="Times New Roman" w:hAnsi="Times New Roman" w:cs="Times New Roman"/>
          <w:kern w:val="2"/>
          <w:sz w:val="32"/>
          <w:szCs w:val="32"/>
          <w:highlight w:val="none"/>
          <w:lang w:val="en-US" w:eastAsia="zh-CN" w:bidi="ar-SA"/>
        </w:rPr>
        <w:t>2023</w:t>
      </w:r>
      <w:r>
        <w:rPr>
          <w:rFonts w:hint="default" w:ascii="Times New Roman" w:hAnsi="Times New Roman" w:eastAsia="仿宋_GB2312" w:cs="Times New Roman"/>
          <w:kern w:val="2"/>
          <w:sz w:val="32"/>
          <w:szCs w:val="32"/>
          <w:highlight w:val="none"/>
          <w:lang w:val="en-US" w:eastAsia="zh-CN" w:bidi="ar-SA"/>
        </w:rPr>
        <w:t>年12月31日，我单位固定资产7</w:t>
      </w:r>
      <w:r>
        <w:rPr>
          <w:rFonts w:hint="eastAsia" w:ascii="Times New Roman" w:hAnsi="Times New Roman" w:cs="Times New Roman"/>
          <w:kern w:val="2"/>
          <w:sz w:val="32"/>
          <w:szCs w:val="32"/>
          <w:highlight w:val="none"/>
          <w:lang w:val="en-US" w:eastAsia="zh-CN" w:bidi="ar-SA"/>
        </w:rPr>
        <w:t>31.06</w:t>
      </w:r>
      <w:r>
        <w:rPr>
          <w:rFonts w:hint="default" w:ascii="Times New Roman" w:hAnsi="Times New Roman" w:eastAsia="仿宋_GB2312" w:cs="Times New Roman"/>
          <w:kern w:val="2"/>
          <w:sz w:val="32"/>
          <w:szCs w:val="32"/>
          <w:highlight w:val="none"/>
          <w:lang w:val="en-US" w:eastAsia="zh-CN" w:bidi="ar-SA"/>
        </w:rPr>
        <w:t>万元，无形资产35.69万元。</w:t>
      </w:r>
    </w:p>
    <w:p w14:paraId="4ACF3748">
      <w:pPr>
        <w:pStyle w:val="15"/>
        <w:numPr>
          <w:ilvl w:val="0"/>
          <w:numId w:val="0"/>
        </w:numPr>
        <w:spacing w:before="0" w:line="576" w:lineRule="exact"/>
        <w:ind w:leftChars="310"/>
        <w:jc w:val="both"/>
        <w:rPr>
          <w:rFonts w:hint="default" w:ascii="Times New Roman" w:hAnsi="Times New Roman" w:eastAsia="方正楷体_GBK" w:cs="Times New Roman"/>
          <w:b/>
          <w:bCs/>
          <w:kern w:val="2"/>
          <w:sz w:val="32"/>
          <w:szCs w:val="32"/>
          <w:highlight w:val="none"/>
        </w:rPr>
      </w:pPr>
      <w:r>
        <w:rPr>
          <w:rFonts w:hint="eastAsia" w:ascii="Times New Roman" w:hAnsi="Times New Roman" w:eastAsia="方正楷体_GBK" w:cs="Times New Roman"/>
          <w:b/>
          <w:bCs/>
          <w:kern w:val="2"/>
          <w:sz w:val="32"/>
          <w:szCs w:val="32"/>
          <w:highlight w:val="none"/>
          <w:lang w:eastAsia="zh-CN"/>
        </w:rPr>
        <w:t>（</w:t>
      </w:r>
      <w:r>
        <w:rPr>
          <w:rFonts w:hint="eastAsia" w:ascii="Times New Roman" w:hAnsi="Times New Roman" w:eastAsia="方正楷体_GBK" w:cs="Times New Roman"/>
          <w:b/>
          <w:bCs/>
          <w:kern w:val="2"/>
          <w:sz w:val="32"/>
          <w:szCs w:val="32"/>
          <w:highlight w:val="none"/>
          <w:lang w:val="en-US" w:eastAsia="zh-CN"/>
        </w:rPr>
        <w:t>四</w:t>
      </w:r>
      <w:r>
        <w:rPr>
          <w:rFonts w:hint="eastAsia" w:ascii="Times New Roman" w:hAnsi="Times New Roman" w:eastAsia="方正楷体_GBK" w:cs="Times New Roman"/>
          <w:b/>
          <w:bCs/>
          <w:kern w:val="2"/>
          <w:sz w:val="32"/>
          <w:szCs w:val="32"/>
          <w:highlight w:val="none"/>
          <w:lang w:eastAsia="zh-CN"/>
        </w:rPr>
        <w:t>）</w:t>
      </w:r>
      <w:r>
        <w:rPr>
          <w:rFonts w:hint="default" w:ascii="Times New Roman" w:hAnsi="Times New Roman" w:eastAsia="方正楷体_GBK" w:cs="Times New Roman"/>
          <w:b/>
          <w:bCs/>
          <w:kern w:val="2"/>
          <w:sz w:val="32"/>
          <w:szCs w:val="32"/>
          <w:highlight w:val="none"/>
        </w:rPr>
        <w:t>绩效目标设置情况</w:t>
      </w:r>
    </w:p>
    <w:p w14:paraId="407F55A7">
      <w:pPr>
        <w:pStyle w:val="15"/>
        <w:spacing w:before="0" w:line="576" w:lineRule="exact"/>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cs="Times New Roman"/>
          <w:kern w:val="2"/>
          <w:sz w:val="32"/>
          <w:szCs w:val="32"/>
          <w:highlight w:val="none"/>
          <w:lang w:val="en-US" w:eastAsia="zh-CN" w:bidi="ar-SA"/>
        </w:rPr>
        <w:t>2024</w:t>
      </w:r>
      <w:r>
        <w:rPr>
          <w:rFonts w:hint="default" w:ascii="Times New Roman" w:hAnsi="Times New Roman" w:eastAsia="仿宋_GB2312" w:cs="Times New Roman"/>
          <w:kern w:val="2"/>
          <w:sz w:val="32"/>
          <w:szCs w:val="32"/>
          <w:highlight w:val="none"/>
          <w:lang w:val="en-US" w:eastAsia="zh-CN" w:bidi="ar-SA"/>
        </w:rPr>
        <w:t>年我单位均按要求实行绩效目标管理</w:t>
      </w:r>
      <w:r>
        <w:rPr>
          <w:rFonts w:hint="eastAsia" w:ascii="Times New Roman" w:hAnsi="Times New Roman"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部门一般公共预算当年拨款共</w:t>
      </w:r>
      <w:r>
        <w:rPr>
          <w:rFonts w:hint="eastAsia" w:ascii="Times New Roman" w:hAnsi="Times New Roman" w:cs="Times New Roman"/>
          <w:kern w:val="2"/>
          <w:sz w:val="32"/>
          <w:szCs w:val="32"/>
          <w:highlight w:val="none"/>
          <w:lang w:val="en-US" w:eastAsia="zh-CN" w:bidi="ar-SA"/>
        </w:rPr>
        <w:t>1763.89</w:t>
      </w:r>
      <w:r>
        <w:rPr>
          <w:rFonts w:hint="default" w:ascii="Times New Roman" w:hAnsi="Times New Roman" w:eastAsia="仿宋_GB2312" w:cs="Times New Roman"/>
          <w:kern w:val="2"/>
          <w:sz w:val="32"/>
          <w:szCs w:val="32"/>
          <w:highlight w:val="none"/>
          <w:lang w:val="en-US" w:eastAsia="zh-CN" w:bidi="ar-SA"/>
        </w:rPr>
        <w:t>万元，其中129001阿坝州民族宗教事务委员会1580.76万元（项目2</w:t>
      </w:r>
      <w:r>
        <w:rPr>
          <w:rFonts w:hint="eastAsia" w:ascii="Times New Roman" w:hAnsi="Times New Roman" w:cs="Times New Roman"/>
          <w:kern w:val="2"/>
          <w:sz w:val="32"/>
          <w:szCs w:val="32"/>
          <w:highlight w:val="none"/>
          <w:lang w:val="en-US" w:eastAsia="zh-CN" w:bidi="ar-SA"/>
        </w:rPr>
        <w:t>99</w:t>
      </w:r>
      <w:r>
        <w:rPr>
          <w:rFonts w:hint="default" w:ascii="Times New Roman" w:hAnsi="Times New Roman" w:eastAsia="仿宋_GB2312" w:cs="Times New Roman"/>
          <w:kern w:val="2"/>
          <w:sz w:val="32"/>
          <w:szCs w:val="32"/>
          <w:highlight w:val="none"/>
          <w:lang w:val="en-US" w:eastAsia="zh-CN" w:bidi="ar-SA"/>
        </w:rPr>
        <w:t>万元）；</w:t>
      </w:r>
      <w:r>
        <w:rPr>
          <w:rFonts w:hint="eastAsia" w:ascii="Times New Roman" w:hAnsi="Times New Roman" w:cs="Times New Roman"/>
          <w:kern w:val="2"/>
          <w:sz w:val="32"/>
          <w:szCs w:val="32"/>
          <w:highlight w:val="none"/>
          <w:lang w:val="en-US" w:eastAsia="zh-CN" w:bidi="ar-SA"/>
        </w:rPr>
        <w:t>129002</w:t>
      </w:r>
      <w:r>
        <w:rPr>
          <w:rFonts w:hint="default" w:ascii="Times New Roman" w:hAnsi="Times New Roman" w:eastAsia="仿宋_GB2312" w:cs="Times New Roman"/>
          <w:kern w:val="2"/>
          <w:sz w:val="32"/>
          <w:szCs w:val="32"/>
          <w:highlight w:val="none"/>
          <w:lang w:val="en-US" w:eastAsia="zh-CN" w:bidi="ar-SA"/>
        </w:rPr>
        <w:t>阿坝州民族宗教政策研究中心183.13万元。</w:t>
      </w:r>
    </w:p>
    <w:p w14:paraId="4267AB33">
      <w:pPr>
        <w:pStyle w:val="15"/>
        <w:spacing w:before="0" w:line="576" w:lineRule="exact"/>
        <w:ind w:firstLine="640" w:firstLineChars="200"/>
        <w:rPr>
          <w:rFonts w:hint="default" w:ascii="Times New Roman" w:hAnsi="Times New Roman" w:eastAsia="仿宋_GB2312" w:cs="Times New Roman"/>
          <w:kern w:val="2"/>
          <w:sz w:val="32"/>
          <w:szCs w:val="32"/>
          <w:highlight w:val="none"/>
          <w:lang w:val="en-US" w:eastAsia="zh-CN" w:bidi="ar-SA"/>
        </w:rPr>
      </w:pPr>
    </w:p>
    <w:tbl>
      <w:tblPr>
        <w:tblStyle w:val="10"/>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539"/>
        <w:gridCol w:w="895"/>
        <w:gridCol w:w="1621"/>
        <w:gridCol w:w="1476"/>
      </w:tblGrid>
      <w:tr w14:paraId="57CD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8"/>
            <w:noWrap w:val="0"/>
            <w:vAlign w:val="center"/>
          </w:tcPr>
          <w:p w14:paraId="7A922D4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highlight w:val="none"/>
                <w:u w:val="none"/>
              </w:rPr>
            </w:pPr>
            <w:r>
              <w:rPr>
                <w:rFonts w:hint="default" w:ascii="Times New Roman" w:hAnsi="Times New Roman" w:eastAsia="微软雅黑" w:cs="Times New Roman"/>
                <w:i w:val="0"/>
                <w:color w:val="000000"/>
                <w:kern w:val="0"/>
                <w:sz w:val="44"/>
                <w:szCs w:val="44"/>
                <w:highlight w:val="none"/>
                <w:u w:val="none"/>
                <w:lang w:val="en-US" w:eastAsia="zh-CN" w:bidi="ar"/>
              </w:rPr>
              <w:t>部门整体支出绩效目标完成情况自评表</w:t>
            </w:r>
          </w:p>
        </w:tc>
      </w:tr>
      <w:tr w14:paraId="7F662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8"/>
            <w:noWrap w:val="0"/>
            <w:vAlign w:val="center"/>
          </w:tcPr>
          <w:p w14:paraId="3369F4A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highlight w:val="none"/>
                <w:u w:val="none"/>
              </w:rPr>
            </w:pPr>
            <w:r>
              <w:rPr>
                <w:rFonts w:hint="default" w:ascii="Times New Roman" w:hAnsi="Times New Roman" w:eastAsia="宋体" w:cs="Times New Roman"/>
                <w:i w:val="0"/>
                <w:color w:val="000000"/>
                <w:kern w:val="0"/>
                <w:sz w:val="28"/>
                <w:szCs w:val="28"/>
                <w:highlight w:val="none"/>
                <w:u w:val="none"/>
                <w:lang w:val="en-US" w:eastAsia="zh-CN" w:bidi="ar"/>
              </w:rPr>
              <w:t>（202</w:t>
            </w:r>
            <w:r>
              <w:rPr>
                <w:rFonts w:hint="eastAsia" w:ascii="Times New Roman" w:hAnsi="Times New Roman" w:cs="Times New Roman"/>
                <w:i w:val="0"/>
                <w:color w:val="000000"/>
                <w:kern w:val="0"/>
                <w:sz w:val="28"/>
                <w:szCs w:val="28"/>
                <w:highlight w:val="none"/>
                <w:u w:val="none"/>
                <w:lang w:val="en-US" w:eastAsia="zh-CN" w:bidi="ar"/>
              </w:rPr>
              <w:t>4</w:t>
            </w:r>
            <w:r>
              <w:rPr>
                <w:rFonts w:hint="default" w:ascii="Times New Roman" w:hAnsi="Times New Roman" w:eastAsia="宋体" w:cs="Times New Roman"/>
                <w:i w:val="0"/>
                <w:color w:val="000000"/>
                <w:kern w:val="0"/>
                <w:sz w:val="28"/>
                <w:szCs w:val="28"/>
                <w:highlight w:val="none"/>
                <w:u w:val="none"/>
                <w:lang w:val="en-US" w:eastAsia="zh-CN" w:bidi="ar"/>
              </w:rPr>
              <w:t>年度）</w:t>
            </w:r>
          </w:p>
        </w:tc>
      </w:tr>
      <w:tr w14:paraId="6D5C4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8"/>
            <w:tcBorders>
              <w:bottom w:val="single" w:color="000000" w:sz="4" w:space="0"/>
            </w:tcBorders>
            <w:noWrap w:val="0"/>
            <w:vAlign w:val="center"/>
          </w:tcPr>
          <w:p w14:paraId="55F6CF35">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highlight w:val="none"/>
                <w:u w:val="none"/>
              </w:rPr>
            </w:pPr>
            <w:r>
              <w:rPr>
                <w:rFonts w:hint="default" w:ascii="Times New Roman" w:hAnsi="Times New Roman" w:eastAsia="宋体" w:cs="Times New Roman"/>
                <w:i w:val="0"/>
                <w:color w:val="000000"/>
                <w:kern w:val="0"/>
                <w:sz w:val="21"/>
                <w:szCs w:val="21"/>
                <w:highlight w:val="none"/>
                <w:u w:val="none"/>
                <w:lang w:val="en-US" w:eastAsia="zh-CN" w:bidi="ar"/>
              </w:rPr>
              <w:t>单位：万元</w:t>
            </w:r>
          </w:p>
        </w:tc>
      </w:tr>
      <w:tr w14:paraId="5D46F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8"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noWrap w:val="0"/>
            <w:vAlign w:val="center"/>
          </w:tcPr>
          <w:p w14:paraId="209559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部门名称</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44C0D34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lang w:val="en-US"/>
              </w:rPr>
            </w:pPr>
            <w:r>
              <w:rPr>
                <w:rFonts w:hint="eastAsia" w:ascii="Times New Roman" w:hAnsi="Times New Roman" w:eastAsia="宋体" w:cs="Times New Roman"/>
                <w:i w:val="0"/>
                <w:color w:val="000000"/>
                <w:kern w:val="0"/>
                <w:sz w:val="24"/>
                <w:szCs w:val="24"/>
                <w:highlight w:val="none"/>
                <w:u w:val="none"/>
                <w:lang w:val="en-US" w:eastAsia="zh-CN" w:bidi="ar"/>
              </w:rPr>
              <w:t>阿坝藏族羌族自治州民族宗教事务委员会</w:t>
            </w:r>
          </w:p>
        </w:tc>
      </w:tr>
      <w:tr w14:paraId="4380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6"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48499A8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6FBAEBB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资金总额</w:t>
            </w:r>
          </w:p>
        </w:tc>
        <w:tc>
          <w:tcPr>
            <w:tcW w:w="2639" w:type="dxa"/>
            <w:gridSpan w:val="2"/>
            <w:tcBorders>
              <w:top w:val="single" w:color="000000" w:sz="4" w:space="0"/>
              <w:left w:val="single" w:color="000000" w:sz="4" w:space="0"/>
              <w:bottom w:val="single" w:color="000000" w:sz="4" w:space="0"/>
              <w:right w:val="single" w:color="000000" w:sz="4" w:space="0"/>
            </w:tcBorders>
            <w:noWrap w:val="0"/>
            <w:vAlign w:val="center"/>
          </w:tcPr>
          <w:p w14:paraId="7D35D25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财政拨款</w:t>
            </w:r>
          </w:p>
        </w:tc>
        <w:tc>
          <w:tcPr>
            <w:tcW w:w="3992" w:type="dxa"/>
            <w:gridSpan w:val="3"/>
            <w:tcBorders>
              <w:top w:val="single" w:color="000000" w:sz="4" w:space="0"/>
              <w:left w:val="single" w:color="000000" w:sz="4" w:space="0"/>
              <w:bottom w:val="single" w:color="000000" w:sz="4" w:space="0"/>
              <w:right w:val="single" w:color="000000" w:sz="4" w:space="0"/>
            </w:tcBorders>
            <w:noWrap w:val="0"/>
            <w:vAlign w:val="center"/>
          </w:tcPr>
          <w:p w14:paraId="7DEAC9A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其他资金</w:t>
            </w:r>
          </w:p>
        </w:tc>
      </w:tr>
      <w:tr w14:paraId="42C3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E234B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14:paraId="0FFDCF5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lang w:val="en-US"/>
              </w:rPr>
            </w:pPr>
            <w:r>
              <w:rPr>
                <w:rFonts w:hint="eastAsia" w:ascii="Times New Roman" w:hAnsi="Times New Roman" w:cs="Times New Roman"/>
                <w:i w:val="0"/>
                <w:color w:val="000000"/>
                <w:kern w:val="0"/>
                <w:sz w:val="24"/>
                <w:szCs w:val="24"/>
                <w:highlight w:val="none"/>
                <w:u w:val="none"/>
                <w:lang w:val="en-US" w:eastAsia="zh-CN" w:bidi="ar"/>
              </w:rPr>
              <w:t>1763.89</w:t>
            </w:r>
          </w:p>
        </w:tc>
        <w:tc>
          <w:tcPr>
            <w:tcW w:w="2639" w:type="dxa"/>
            <w:gridSpan w:val="2"/>
            <w:tcBorders>
              <w:top w:val="single" w:color="000000" w:sz="4" w:space="0"/>
              <w:left w:val="single" w:color="000000" w:sz="4" w:space="0"/>
              <w:bottom w:val="single" w:color="000000" w:sz="4" w:space="0"/>
              <w:right w:val="single" w:color="000000" w:sz="4" w:space="0"/>
            </w:tcBorders>
            <w:noWrap w:val="0"/>
            <w:vAlign w:val="center"/>
          </w:tcPr>
          <w:p w14:paraId="16DD998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lang w:val="en-US"/>
              </w:rPr>
            </w:pPr>
            <w:r>
              <w:rPr>
                <w:rFonts w:hint="eastAsia" w:ascii="Times New Roman" w:hAnsi="Times New Roman" w:cs="Times New Roman"/>
                <w:i w:val="0"/>
                <w:color w:val="000000"/>
                <w:kern w:val="0"/>
                <w:sz w:val="24"/>
                <w:szCs w:val="24"/>
                <w:highlight w:val="none"/>
                <w:u w:val="none"/>
                <w:lang w:val="en-US" w:eastAsia="zh-CN" w:bidi="ar"/>
              </w:rPr>
              <w:t>1763.89</w:t>
            </w:r>
          </w:p>
        </w:tc>
        <w:tc>
          <w:tcPr>
            <w:tcW w:w="3992" w:type="dxa"/>
            <w:gridSpan w:val="3"/>
            <w:tcBorders>
              <w:top w:val="single" w:color="000000" w:sz="4" w:space="0"/>
              <w:left w:val="single" w:color="000000" w:sz="4" w:space="0"/>
              <w:bottom w:val="single" w:color="000000" w:sz="4" w:space="0"/>
              <w:right w:val="single" w:color="000000" w:sz="4" w:space="0"/>
            </w:tcBorders>
            <w:noWrap w:val="0"/>
            <w:vAlign w:val="center"/>
          </w:tcPr>
          <w:p w14:paraId="6229B81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lang w:val="en-US"/>
              </w:rPr>
            </w:pPr>
            <w:r>
              <w:rPr>
                <w:rFonts w:hint="eastAsia" w:ascii="Times New Roman" w:hAnsi="Times New Roman" w:eastAsia="宋体" w:cs="Times New Roman"/>
                <w:i w:val="0"/>
                <w:color w:val="000000"/>
                <w:kern w:val="0"/>
                <w:sz w:val="24"/>
                <w:szCs w:val="24"/>
                <w:highlight w:val="none"/>
                <w:u w:val="none"/>
                <w:lang w:val="en-US" w:eastAsia="zh-CN" w:bidi="ar"/>
              </w:rPr>
              <w:t>0.00</w:t>
            </w:r>
          </w:p>
        </w:tc>
      </w:tr>
      <w:tr w14:paraId="2AFE1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43" w:hRule="atLeast"/>
          <w:jc w:val="center"/>
        </w:trPr>
        <w:tc>
          <w:tcPr>
            <w:tcW w:w="1309" w:type="dxa"/>
            <w:tcBorders>
              <w:top w:val="single" w:color="000000" w:sz="4" w:space="0"/>
              <w:left w:val="single" w:color="000000" w:sz="4" w:space="0"/>
              <w:bottom w:val="single" w:color="auto" w:sz="4" w:space="0"/>
              <w:right w:val="single" w:color="000000" w:sz="4" w:space="0"/>
            </w:tcBorders>
            <w:noWrap w:val="0"/>
            <w:vAlign w:val="center"/>
          </w:tcPr>
          <w:p w14:paraId="021B214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年度总体</w:t>
            </w:r>
          </w:p>
          <w:p w14:paraId="5D06227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目标</w:t>
            </w:r>
          </w:p>
        </w:tc>
        <w:tc>
          <w:tcPr>
            <w:tcW w:w="9251" w:type="dxa"/>
            <w:gridSpan w:val="7"/>
            <w:tcBorders>
              <w:top w:val="single" w:color="000000" w:sz="4" w:space="0"/>
              <w:left w:val="single" w:color="000000" w:sz="4" w:space="0"/>
              <w:bottom w:val="single" w:color="000000" w:sz="4" w:space="0"/>
              <w:right w:val="single" w:color="000000" w:sz="4" w:space="0"/>
            </w:tcBorders>
            <w:noWrap w:val="0"/>
            <w:vAlign w:val="center"/>
          </w:tcPr>
          <w:p w14:paraId="0B8F102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sz w:val="24"/>
                <w:szCs w:val="24"/>
                <w:highlight w:val="none"/>
                <w:u w:val="none"/>
              </w:rPr>
              <w:t>结合民族宗教工作实际和省州学习贯彻意见,抓实抓细系统内和全州宗教界学习宣传贯彻工作,全面履行民宗工作部门应有的工作职责。持续深化开展铸牢中华民族共同体意识宣传教育“七进+”;积极筹备建立州级民族团结进步协会;积极培树民族团结进步各类先进典型,有序开展国家及省级民族团结进步示范区示范单位推荐工作。狠抓民族宗教法律法规宣传贯彻工作,在全州范围内开展民族宗教政策、民族宗教法律法规贯彻落实情况监督检查。做好2023年中央衔接资金项目分配下达和四川省民族地区开发资金项目申报工作。积极参与民族文化宣传交流等工作。全力做好民族古籍的挖掘与保护工作，少数民族语言文字的推广与规范使用等工作。</w:t>
            </w:r>
          </w:p>
          <w:p w14:paraId="7C0D17CA">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highlight w:val="none"/>
                <w:u w:val="none"/>
              </w:rPr>
            </w:pPr>
          </w:p>
        </w:tc>
      </w:tr>
      <w:tr w14:paraId="21251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9" w:hRule="atLeast"/>
          <w:jc w:val="center"/>
        </w:trPr>
        <w:tc>
          <w:tcPr>
            <w:tcW w:w="1309" w:type="dxa"/>
            <w:vMerge w:val="restart"/>
            <w:tcBorders>
              <w:top w:val="single" w:color="auto" w:sz="4" w:space="0"/>
              <w:left w:val="single" w:color="auto" w:sz="4" w:space="0"/>
              <w:bottom w:val="single" w:color="auto" w:sz="4" w:space="0"/>
              <w:right w:val="single" w:color="auto" w:sz="4" w:space="0"/>
            </w:tcBorders>
            <w:noWrap w:val="0"/>
            <w:vAlign w:val="center"/>
          </w:tcPr>
          <w:p w14:paraId="23568FC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年度主要</w:t>
            </w:r>
          </w:p>
          <w:p w14:paraId="547132A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任务</w:t>
            </w: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004BB32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任务名称</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0CFE58A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主要内容</w:t>
            </w:r>
          </w:p>
        </w:tc>
      </w:tr>
      <w:tr w14:paraId="50901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7788243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59B44A1C">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深入推进民族团结进步创建工作</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7BBF066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巩固提升全国民族团结进步示范州成果、贯彻落实《阿坝藏族羌族自治州民族团结进步条例》，做好城市民族管理等工作。</w:t>
            </w:r>
          </w:p>
        </w:tc>
      </w:tr>
      <w:tr w14:paraId="2706D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85"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72892586">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1758BFE9">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依法管理宗教事务</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6FDDA04B">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坚持宗教中国化方向，深入推进“依法治寺管僧”，积极引导藏传佛教与社会主义社会相适应。健全完善依法管理、民主管理、社会管理相结合的寺庙管理体系，大力抓好宗教领域突出问题整改，按照“一寺一策”要求，做好寺庙管理工作。</w:t>
            </w:r>
          </w:p>
        </w:tc>
      </w:tr>
      <w:tr w14:paraId="10E74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6"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2CCF624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681CA5AC">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少数民族管理</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16D96CDB">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加强对少数民族语言文字的调研管理等工作，搞好藏历年、羌年庆祝活动，组织联络协调指导全州古籍收集整理及指导。</w:t>
            </w:r>
          </w:p>
        </w:tc>
      </w:tr>
      <w:tr w14:paraId="309C0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4"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2EE559C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48019378">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两资项目管理</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20C2ED08">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做好民宗渠道项目资金的申报、监督、管理等工作，加强项目资金的监管、项目落实的跟踪督导等工作。</w:t>
            </w:r>
          </w:p>
        </w:tc>
      </w:tr>
      <w:tr w14:paraId="602CF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1"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0374F1B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4CC99D04">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开展民族宗教政策宣传</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0AE667DA">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抓好民族宗教法律法规、政策等知识的宣传工作，营造民族团结良好氛围，通过举办培训班、民族团结进步活动月、法律七进等进一步加强宣传，不断提高民族宗教政策知识水平。</w:t>
            </w:r>
          </w:p>
        </w:tc>
      </w:tr>
      <w:tr w14:paraId="66718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6"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2AFC685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49305B71">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机关事务正常运转</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5F1587A2">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highlight w:val="none"/>
                <w:u w:val="none"/>
                <w:lang w:val="en-US" w:eastAsia="zh-CN" w:bidi="ar"/>
              </w:rPr>
              <w:t>提高预算编制质量,严格执行预算,按照工作职能职责，认真开展民族宗教事务管理各项工作,保障单位正常运转。</w:t>
            </w:r>
          </w:p>
        </w:tc>
      </w:tr>
      <w:tr w14:paraId="16474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06" w:hRule="atLeast"/>
          <w:jc w:val="center"/>
        </w:trPr>
        <w:tc>
          <w:tcPr>
            <w:tcW w:w="1309" w:type="dxa"/>
            <w:tcBorders>
              <w:top w:val="single" w:color="auto" w:sz="4" w:space="0"/>
              <w:left w:val="single" w:color="auto" w:sz="4" w:space="0"/>
              <w:bottom w:val="single" w:color="auto" w:sz="4" w:space="0"/>
              <w:right w:val="single" w:color="auto" w:sz="4" w:space="0"/>
            </w:tcBorders>
            <w:noWrap w:val="0"/>
            <w:vAlign w:val="center"/>
          </w:tcPr>
          <w:p w14:paraId="042584E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2620" w:type="dxa"/>
            <w:gridSpan w:val="2"/>
            <w:tcBorders>
              <w:top w:val="single" w:color="000000" w:sz="4" w:space="0"/>
              <w:left w:val="single" w:color="auto" w:sz="4" w:space="0"/>
              <w:bottom w:val="single" w:color="000000" w:sz="4" w:space="0"/>
              <w:right w:val="single" w:color="000000" w:sz="4" w:space="0"/>
            </w:tcBorders>
            <w:noWrap w:val="0"/>
            <w:vAlign w:val="center"/>
          </w:tcPr>
          <w:p w14:paraId="3B8E89CC">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民族宗教工作培训</w:t>
            </w:r>
          </w:p>
        </w:tc>
        <w:tc>
          <w:tcPr>
            <w:tcW w:w="6631" w:type="dxa"/>
            <w:gridSpan w:val="5"/>
            <w:tcBorders>
              <w:top w:val="single" w:color="000000" w:sz="4" w:space="0"/>
              <w:left w:val="single" w:color="000000" w:sz="4" w:space="0"/>
              <w:bottom w:val="single" w:color="000000" w:sz="4" w:space="0"/>
              <w:right w:val="single" w:color="000000" w:sz="4" w:space="0"/>
            </w:tcBorders>
            <w:noWrap w:val="0"/>
            <w:vAlign w:val="center"/>
          </w:tcPr>
          <w:p w14:paraId="27CF524E">
            <w:pPr>
              <w:keepNext w:val="0"/>
              <w:keepLines w:val="0"/>
              <w:widowControl/>
              <w:suppressLineNumbers w:val="0"/>
              <w:tabs>
                <w:tab w:val="left" w:pos="1074"/>
              </w:tabs>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加大对宗教教职人员、寺管会人员、民族宗教工作人员的培训力度，开展好民族宗教领域的各类知识培训。</w:t>
            </w:r>
          </w:p>
        </w:tc>
      </w:tr>
      <w:tr w14:paraId="761E4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auto" w:sz="4" w:space="0"/>
              <w:left w:val="single" w:color="auto" w:sz="4" w:space="0"/>
              <w:bottom w:val="single" w:color="auto" w:sz="4" w:space="0"/>
              <w:right w:val="single" w:color="auto" w:sz="4" w:space="0"/>
            </w:tcBorders>
            <w:noWrap w:val="0"/>
            <w:vAlign w:val="center"/>
          </w:tcPr>
          <w:p w14:paraId="009BA6A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年度绩效</w:t>
            </w:r>
          </w:p>
          <w:p w14:paraId="489A927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指标</w:t>
            </w:r>
          </w:p>
        </w:tc>
        <w:tc>
          <w:tcPr>
            <w:tcW w:w="1347" w:type="dxa"/>
            <w:tcBorders>
              <w:top w:val="single" w:color="000000" w:sz="4" w:space="0"/>
              <w:left w:val="single" w:color="auto" w:sz="4" w:space="0"/>
              <w:bottom w:val="single" w:color="000000" w:sz="4" w:space="0"/>
              <w:right w:val="single" w:color="000000" w:sz="4" w:space="0"/>
            </w:tcBorders>
            <w:noWrap w:val="0"/>
            <w:vAlign w:val="center"/>
          </w:tcPr>
          <w:p w14:paraId="2C38D25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2CAED4C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4ABE7C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三级指标</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17DDAA4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highlight w:val="none"/>
                <w:u w:val="none"/>
                <w:lang w:val="en-US" w:eastAsia="zh-CN" w:bidi="ar"/>
              </w:rPr>
            </w:pPr>
            <w:r>
              <w:rPr>
                <w:rFonts w:hint="default" w:ascii="Times New Roman" w:hAnsi="Times New Roman" w:eastAsia="宋体" w:cs="Times New Roman"/>
                <w:i w:val="0"/>
                <w:color w:val="000000"/>
                <w:kern w:val="0"/>
                <w:sz w:val="24"/>
                <w:szCs w:val="24"/>
                <w:highlight w:val="none"/>
                <w:u w:val="none"/>
                <w:lang w:val="en-US" w:eastAsia="zh-CN" w:bidi="ar"/>
              </w:rPr>
              <w:t>绩效指标</w:t>
            </w:r>
          </w:p>
          <w:p w14:paraId="7A3EF77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性质</w:t>
            </w:r>
          </w:p>
        </w:tc>
        <w:tc>
          <w:tcPr>
            <w:tcW w:w="895" w:type="dxa"/>
            <w:tcBorders>
              <w:top w:val="single" w:color="000000" w:sz="4" w:space="0"/>
              <w:left w:val="single" w:color="000000" w:sz="4" w:space="0"/>
              <w:bottom w:val="single" w:color="000000" w:sz="4" w:space="0"/>
              <w:right w:val="single" w:color="auto" w:sz="4" w:space="0"/>
            </w:tcBorders>
            <w:noWrap w:val="0"/>
            <w:vAlign w:val="center"/>
          </w:tcPr>
          <w:p w14:paraId="35E97BE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绩效指标值</w:t>
            </w:r>
          </w:p>
        </w:tc>
        <w:tc>
          <w:tcPr>
            <w:tcW w:w="1621" w:type="dxa"/>
            <w:tcBorders>
              <w:top w:val="single" w:color="auto" w:sz="4" w:space="0"/>
              <w:left w:val="single" w:color="auto" w:sz="4" w:space="0"/>
              <w:bottom w:val="single" w:color="auto" w:sz="4" w:space="0"/>
              <w:right w:val="single" w:color="auto" w:sz="4" w:space="0"/>
            </w:tcBorders>
            <w:noWrap w:val="0"/>
            <w:vAlign w:val="center"/>
          </w:tcPr>
          <w:p w14:paraId="4CE7D8D0">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绩效度量单位</w:t>
            </w:r>
          </w:p>
        </w:tc>
        <w:tc>
          <w:tcPr>
            <w:tcW w:w="1476" w:type="dxa"/>
            <w:tcBorders>
              <w:top w:val="single" w:color="auto" w:sz="4" w:space="0"/>
              <w:left w:val="single" w:color="auto" w:sz="4" w:space="0"/>
              <w:bottom w:val="single" w:color="auto" w:sz="4" w:space="0"/>
              <w:right w:val="single" w:color="auto" w:sz="4" w:space="0"/>
            </w:tcBorders>
            <w:noWrap w:val="0"/>
            <w:vAlign w:val="center"/>
          </w:tcPr>
          <w:p w14:paraId="39B457B8">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权重</w:t>
            </w:r>
          </w:p>
        </w:tc>
      </w:tr>
      <w:tr w14:paraId="1B90B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7"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1C75AAB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vMerge w:val="restart"/>
            <w:tcBorders>
              <w:top w:val="single" w:color="000000" w:sz="4" w:space="0"/>
              <w:left w:val="single" w:color="auto" w:sz="4" w:space="0"/>
              <w:bottom w:val="single" w:color="000000" w:sz="4" w:space="0"/>
              <w:right w:val="single" w:color="000000" w:sz="4" w:space="0"/>
            </w:tcBorders>
            <w:noWrap w:val="0"/>
            <w:vAlign w:val="center"/>
          </w:tcPr>
          <w:p w14:paraId="5BB8DA3E">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noWrap w:val="0"/>
            <w:vAlign w:val="center"/>
          </w:tcPr>
          <w:p w14:paraId="4342C7C3">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8F9FE59">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开展培训班期数</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0174F7EE">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00717029">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rPr>
            </w:pPr>
            <w:r>
              <w:rPr>
                <w:rFonts w:hint="eastAsia" w:ascii="宋体" w:hAnsi="宋体" w:eastAsia="宋体" w:cs="宋体"/>
                <w:i w:val="0"/>
                <w:iCs w:val="0"/>
                <w:color w:val="000000"/>
                <w:kern w:val="0"/>
                <w:sz w:val="22"/>
                <w:szCs w:val="22"/>
                <w:u w:val="none"/>
                <w:lang w:val="en-US" w:eastAsia="zh-CN" w:bidi="ar"/>
              </w:rPr>
              <w:t>4</w:t>
            </w:r>
          </w:p>
        </w:tc>
        <w:tc>
          <w:tcPr>
            <w:tcW w:w="1621" w:type="dxa"/>
            <w:tcBorders>
              <w:top w:val="single" w:color="auto" w:sz="4" w:space="0"/>
              <w:left w:val="single" w:color="000000" w:sz="4" w:space="0"/>
              <w:bottom w:val="single" w:color="000000" w:sz="4" w:space="0"/>
              <w:right w:val="single" w:color="000000" w:sz="4" w:space="0"/>
            </w:tcBorders>
            <w:noWrap w:val="0"/>
            <w:vAlign w:val="center"/>
          </w:tcPr>
          <w:p w14:paraId="4885C33A">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期/年</w:t>
            </w:r>
          </w:p>
        </w:tc>
        <w:tc>
          <w:tcPr>
            <w:tcW w:w="1476" w:type="dxa"/>
            <w:tcBorders>
              <w:top w:val="single" w:color="auto" w:sz="4" w:space="0"/>
              <w:left w:val="single" w:color="000000" w:sz="4" w:space="0"/>
              <w:bottom w:val="single" w:color="000000" w:sz="4" w:space="0"/>
              <w:right w:val="single" w:color="000000" w:sz="4" w:space="0"/>
            </w:tcBorders>
            <w:noWrap w:val="0"/>
            <w:vAlign w:val="center"/>
          </w:tcPr>
          <w:p w14:paraId="242ED31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492A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41C4C4E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vMerge w:val="continue"/>
            <w:tcBorders>
              <w:top w:val="single" w:color="000000" w:sz="4" w:space="0"/>
              <w:left w:val="single" w:color="auto" w:sz="4" w:space="0"/>
              <w:bottom w:val="single" w:color="000000" w:sz="4" w:space="0"/>
              <w:right w:val="single" w:color="000000" w:sz="4" w:space="0"/>
            </w:tcBorders>
            <w:noWrap w:val="0"/>
            <w:vAlign w:val="center"/>
          </w:tcPr>
          <w:p w14:paraId="3B9FA2D6">
            <w:pPr>
              <w:jc w:val="left"/>
              <w:rPr>
                <w:rFonts w:hint="default" w:ascii="Times New Roman" w:hAnsi="Times New Roman" w:eastAsia="宋体" w:cs="Times New Roman"/>
                <w:i w:val="0"/>
                <w:color w:val="000000"/>
                <w:sz w:val="24"/>
                <w:szCs w:val="24"/>
                <w:highlight w:val="none"/>
                <w:u w:val="none"/>
              </w:rPr>
            </w:pPr>
          </w:p>
        </w:tc>
        <w:tc>
          <w:tcPr>
            <w:tcW w:w="127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F8332A">
            <w:pPr>
              <w:rPr>
                <w:rFonts w:hint="default" w:ascii="Times New Roman" w:hAnsi="Times New Roman" w:eastAsia="宋体" w:cs="Times New Roman"/>
                <w:i w:val="0"/>
                <w:color w:val="000000"/>
                <w:sz w:val="24"/>
                <w:szCs w:val="24"/>
                <w:highlight w:val="none"/>
                <w:u w:val="none"/>
              </w:rPr>
            </w:pP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74B5850D">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项目完成数</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6D1D09E2">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72BE32F2">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4B6AFF63">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个</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14:paraId="71DD47EB">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0AE69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11"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5EB0793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vMerge w:val="continue"/>
            <w:tcBorders>
              <w:top w:val="single" w:color="000000" w:sz="4" w:space="0"/>
              <w:left w:val="single" w:color="auto" w:sz="4" w:space="0"/>
              <w:bottom w:val="single" w:color="000000" w:sz="4" w:space="0"/>
              <w:right w:val="single" w:color="000000" w:sz="4" w:space="0"/>
            </w:tcBorders>
            <w:noWrap w:val="0"/>
            <w:vAlign w:val="center"/>
          </w:tcPr>
          <w:p w14:paraId="31A662B2">
            <w:pPr>
              <w:jc w:val="left"/>
              <w:rPr>
                <w:rFonts w:hint="default" w:ascii="Times New Roman" w:hAnsi="Times New Roman" w:eastAsia="宋体" w:cs="Times New Roman"/>
                <w:i w:val="0"/>
                <w:color w:val="000000"/>
                <w:sz w:val="24"/>
                <w:szCs w:val="24"/>
                <w:highlight w:val="none"/>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3E4B3D9A">
            <w:r>
              <w:rPr>
                <w:rFonts w:hint="eastAsia" w:ascii="宋体" w:hAnsi="宋体" w:eastAsia="宋体" w:cs="宋体"/>
                <w:i w:val="0"/>
                <w:iCs w:val="0"/>
                <w:color w:val="000000"/>
                <w:kern w:val="0"/>
                <w:sz w:val="22"/>
                <w:szCs w:val="22"/>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E8A0908">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项目完成达标率</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18E04DCF">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0274B2D8">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22B62AC2">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14:paraId="7FE8A4A5">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900F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290622B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vMerge w:val="continue"/>
            <w:tcBorders>
              <w:top w:val="single" w:color="000000" w:sz="4" w:space="0"/>
              <w:left w:val="single" w:color="auto" w:sz="4" w:space="0"/>
              <w:bottom w:val="single" w:color="000000" w:sz="4" w:space="0"/>
              <w:right w:val="single" w:color="000000" w:sz="4" w:space="0"/>
            </w:tcBorders>
            <w:noWrap w:val="0"/>
            <w:vAlign w:val="center"/>
          </w:tcPr>
          <w:p w14:paraId="7480D05F">
            <w:pPr>
              <w:jc w:val="left"/>
              <w:rPr>
                <w:rFonts w:hint="default" w:ascii="Times New Roman" w:hAnsi="Times New Roman" w:eastAsia="宋体" w:cs="Times New Roman"/>
                <w:i w:val="0"/>
                <w:color w:val="000000"/>
                <w:sz w:val="24"/>
                <w:szCs w:val="24"/>
                <w:highlight w:val="none"/>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78E5FC55">
            <w:r>
              <w:rPr>
                <w:rFonts w:hint="eastAsia" w:ascii="宋体" w:hAnsi="宋体" w:eastAsia="宋体" w:cs="宋体"/>
                <w:i w:val="0"/>
                <w:iCs w:val="0"/>
                <w:color w:val="000000"/>
                <w:kern w:val="0"/>
                <w:sz w:val="22"/>
                <w:szCs w:val="22"/>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800A40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项目完成及时率</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0535F917">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18D607C3">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7D7B6172">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14:paraId="540A3246">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6DC77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6"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5A8F762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tcBorders>
              <w:top w:val="single" w:color="000000" w:sz="4" w:space="0"/>
              <w:left w:val="single" w:color="auto" w:sz="4" w:space="0"/>
              <w:bottom w:val="single" w:color="000000" w:sz="4" w:space="0"/>
              <w:right w:val="single" w:color="000000" w:sz="4" w:space="0"/>
            </w:tcBorders>
            <w:noWrap w:val="0"/>
            <w:vAlign w:val="center"/>
          </w:tcPr>
          <w:p w14:paraId="23ECCF02">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14:paraId="10C3D839">
            <w:r>
              <w:rPr>
                <w:rFonts w:hint="eastAsia" w:ascii="宋体" w:hAnsi="宋体" w:eastAsia="宋体" w:cs="宋体"/>
                <w:i w:val="0"/>
                <w:iCs w:val="0"/>
                <w:color w:val="000000"/>
                <w:kern w:val="0"/>
                <w:sz w:val="22"/>
                <w:szCs w:val="22"/>
                <w:u w:val="none"/>
                <w:lang w:val="en-US" w:eastAsia="zh-CN" w:bidi="ar"/>
              </w:rPr>
              <w:t>社会效益指标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25DFB7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各项工作有序开展</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5684C6C9">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定性</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71AF069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显著提升</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0C14A5A4">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项</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14:paraId="2D4760C3">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20</w:t>
            </w:r>
          </w:p>
        </w:tc>
      </w:tr>
      <w:tr w14:paraId="167F6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3"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43D9FA6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tcBorders>
              <w:top w:val="single" w:color="000000" w:sz="4" w:space="0"/>
              <w:left w:val="single" w:color="auto" w:sz="4" w:space="0"/>
              <w:bottom w:val="single" w:color="000000" w:sz="4" w:space="0"/>
              <w:right w:val="single" w:color="000000" w:sz="4" w:space="0"/>
            </w:tcBorders>
            <w:noWrap w:val="0"/>
            <w:vAlign w:val="center"/>
          </w:tcPr>
          <w:p w14:paraId="68706D0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满意度指标</w:t>
            </w:r>
          </w:p>
        </w:tc>
        <w:tc>
          <w:tcPr>
            <w:tcW w:w="1273" w:type="dxa"/>
            <w:tcBorders>
              <w:top w:val="single" w:color="000000" w:sz="4" w:space="0"/>
              <w:left w:val="single" w:color="000000" w:sz="4" w:space="0"/>
              <w:right w:val="single" w:color="000000" w:sz="4" w:space="0"/>
            </w:tcBorders>
            <w:noWrap w:val="0"/>
            <w:vAlign w:val="center"/>
          </w:tcPr>
          <w:p w14:paraId="71D8CCE0">
            <w:r>
              <w:rPr>
                <w:rFonts w:hint="eastAsia" w:ascii="宋体" w:hAnsi="宋体" w:eastAsia="宋体" w:cs="宋体"/>
                <w:i w:val="0"/>
                <w:iCs w:val="0"/>
                <w:color w:val="000000"/>
                <w:kern w:val="0"/>
                <w:sz w:val="22"/>
                <w:szCs w:val="22"/>
                <w:u w:val="none"/>
                <w:lang w:val="en-US" w:eastAsia="zh-CN" w:bidi="ar"/>
              </w:rPr>
              <w:t>服务对象满意度指标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CFCF38C">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工作人员满意度</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5EC45E4E">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77DFEC05">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99</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0E755D33">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14:paraId="03E9A811">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10</w:t>
            </w:r>
          </w:p>
        </w:tc>
      </w:tr>
      <w:tr w14:paraId="2C1C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6" w:hRule="atLeast"/>
          <w:jc w:val="center"/>
        </w:trPr>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6B32B4E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highlight w:val="none"/>
                <w:u w:val="none"/>
              </w:rPr>
            </w:pPr>
          </w:p>
        </w:tc>
        <w:tc>
          <w:tcPr>
            <w:tcW w:w="1347" w:type="dxa"/>
            <w:tcBorders>
              <w:top w:val="single" w:color="000000" w:sz="4" w:space="0"/>
              <w:left w:val="single" w:color="auto" w:sz="4" w:space="0"/>
              <w:bottom w:val="single" w:color="000000" w:sz="4" w:space="0"/>
              <w:right w:val="single" w:color="000000" w:sz="4" w:space="0"/>
            </w:tcBorders>
            <w:noWrap w:val="0"/>
            <w:vAlign w:val="center"/>
          </w:tcPr>
          <w:p w14:paraId="3C8D8BA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14:paraId="4665B95F">
            <w:r>
              <w:rPr>
                <w:rFonts w:hint="eastAsia" w:ascii="宋体" w:hAnsi="宋体" w:eastAsia="宋体" w:cs="宋体"/>
                <w:i w:val="0"/>
                <w:iCs w:val="0"/>
                <w:color w:val="000000"/>
                <w:kern w:val="0"/>
                <w:sz w:val="22"/>
                <w:szCs w:val="22"/>
                <w:u w:val="none"/>
                <w:lang w:val="en-US" w:eastAsia="zh-CN" w:bidi="ar"/>
              </w:rPr>
              <w:t>经济成本指标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0600444A">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rPr>
            </w:pPr>
            <w:r>
              <w:rPr>
                <w:rFonts w:hint="eastAsia" w:ascii="宋体" w:hAnsi="宋体" w:eastAsia="宋体" w:cs="宋体"/>
                <w:i w:val="0"/>
                <w:iCs w:val="0"/>
                <w:color w:val="000000"/>
                <w:kern w:val="0"/>
                <w:sz w:val="22"/>
                <w:szCs w:val="22"/>
                <w:u w:val="none"/>
                <w:lang w:val="en-US" w:eastAsia="zh-CN" w:bidi="ar"/>
              </w:rPr>
              <w:t>成本控制率</w:t>
            </w:r>
          </w:p>
        </w:tc>
        <w:tc>
          <w:tcPr>
            <w:tcW w:w="1539" w:type="dxa"/>
            <w:tcBorders>
              <w:top w:val="single" w:color="000000" w:sz="4" w:space="0"/>
              <w:left w:val="single" w:color="000000" w:sz="4" w:space="0"/>
              <w:bottom w:val="single" w:color="000000" w:sz="4" w:space="0"/>
              <w:right w:val="single" w:color="000000" w:sz="4" w:space="0"/>
            </w:tcBorders>
            <w:noWrap w:val="0"/>
            <w:vAlign w:val="center"/>
          </w:tcPr>
          <w:p w14:paraId="47AEEBEE">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895" w:type="dxa"/>
            <w:tcBorders>
              <w:top w:val="single" w:color="000000" w:sz="4" w:space="0"/>
              <w:left w:val="single" w:color="000000" w:sz="4" w:space="0"/>
              <w:bottom w:val="single" w:color="000000" w:sz="4" w:space="0"/>
              <w:right w:val="single" w:color="000000" w:sz="4" w:space="0"/>
            </w:tcBorders>
            <w:noWrap w:val="0"/>
            <w:vAlign w:val="center"/>
          </w:tcPr>
          <w:p w14:paraId="21AA96B7">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90</w:t>
            </w:r>
          </w:p>
        </w:tc>
        <w:tc>
          <w:tcPr>
            <w:tcW w:w="1621" w:type="dxa"/>
            <w:tcBorders>
              <w:top w:val="single" w:color="000000" w:sz="4" w:space="0"/>
              <w:left w:val="single" w:color="000000" w:sz="4" w:space="0"/>
              <w:bottom w:val="single" w:color="000000" w:sz="4" w:space="0"/>
              <w:right w:val="single" w:color="000000" w:sz="4" w:space="0"/>
            </w:tcBorders>
            <w:noWrap w:val="0"/>
            <w:vAlign w:val="center"/>
          </w:tcPr>
          <w:p w14:paraId="622C48FC">
            <w:pPr>
              <w:keepNext w:val="0"/>
              <w:keepLines w:val="0"/>
              <w:widowControl/>
              <w:suppressLineNumbers w:val="0"/>
              <w:jc w:val="left"/>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w:t>
            </w:r>
          </w:p>
        </w:tc>
        <w:tc>
          <w:tcPr>
            <w:tcW w:w="1476" w:type="dxa"/>
            <w:tcBorders>
              <w:top w:val="single" w:color="000000" w:sz="4" w:space="0"/>
              <w:left w:val="single" w:color="000000" w:sz="4" w:space="0"/>
              <w:bottom w:val="single" w:color="000000" w:sz="4" w:space="0"/>
              <w:right w:val="single" w:color="000000" w:sz="4" w:space="0"/>
            </w:tcBorders>
            <w:noWrap w:val="0"/>
            <w:vAlign w:val="center"/>
          </w:tcPr>
          <w:p w14:paraId="2DB59351">
            <w:pPr>
              <w:keepNext w:val="0"/>
              <w:keepLines w:val="0"/>
              <w:widowControl/>
              <w:suppressLineNumbers w:val="0"/>
              <w:jc w:val="left"/>
              <w:textAlignment w:val="center"/>
              <w:rPr>
                <w:rFonts w:hint="default" w:ascii="Times New Roman" w:hAnsi="Times New Roman" w:eastAsia="宋体" w:cs="Times New Roman"/>
                <w:i w:val="0"/>
                <w:color w:val="000000"/>
                <w:sz w:val="24"/>
                <w:szCs w:val="24"/>
                <w:highlight w:val="none"/>
                <w:u w:val="none"/>
                <w:lang w:val="en-US" w:eastAsia="zh-CN"/>
              </w:rPr>
            </w:pPr>
            <w:r>
              <w:rPr>
                <w:rFonts w:hint="eastAsia" w:ascii="宋体" w:hAnsi="宋体" w:eastAsia="宋体" w:cs="宋体"/>
                <w:i w:val="0"/>
                <w:iCs w:val="0"/>
                <w:color w:val="000000"/>
                <w:kern w:val="0"/>
                <w:sz w:val="22"/>
                <w:szCs w:val="22"/>
                <w:u w:val="none"/>
                <w:lang w:val="en-US" w:eastAsia="zh-CN" w:bidi="ar"/>
              </w:rPr>
              <w:t>20</w:t>
            </w:r>
          </w:p>
        </w:tc>
      </w:tr>
    </w:tbl>
    <w:p w14:paraId="490779E7">
      <w:pPr>
        <w:pStyle w:val="15"/>
        <w:spacing w:before="0" w:line="576" w:lineRule="exact"/>
        <w:ind w:firstLine="640" w:firstLineChars="200"/>
        <w:rPr>
          <w:rFonts w:hint="default" w:ascii="Times New Roman" w:hAnsi="Times New Roman" w:eastAsia="仿宋_GB2312" w:cs="Times New Roman"/>
          <w:kern w:val="2"/>
          <w:sz w:val="32"/>
          <w:szCs w:val="32"/>
          <w:highlight w:val="none"/>
          <w:lang w:val="en-US" w:eastAsia="zh-CN" w:bidi="ar-SA"/>
        </w:rPr>
      </w:pPr>
    </w:p>
    <w:p w14:paraId="5C824886">
      <w:pPr>
        <w:pStyle w:val="15"/>
        <w:wordWrap/>
        <w:adjustRightInd/>
        <w:snapToGrid/>
        <w:spacing w:before="0" w:line="576" w:lineRule="exact"/>
        <w:ind w:left="0" w:firstLine="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黑体" w:cs="Times New Roman"/>
          <w:sz w:val="32"/>
          <w:szCs w:val="32"/>
          <w:highlight w:val="none"/>
        </w:rPr>
        <w:t xml:space="preserve">十、名称解释 </w:t>
      </w:r>
      <w:r>
        <w:rPr>
          <w:rFonts w:hint="default" w:ascii="Times New Roman" w:hAnsi="Times New Roman" w:eastAsia="方正仿宋_GBK" w:cs="Times New Roman"/>
          <w:sz w:val="32"/>
          <w:szCs w:val="32"/>
          <w:highlight w:val="none"/>
        </w:rPr>
        <w:br w:type="textWrapping"/>
      </w:r>
      <w:r>
        <w:rPr>
          <w:rFonts w:hint="default" w:ascii="Times New Roman" w:hAnsi="Times New Roman" w:eastAsia="宋体" w:cs="Times New Roman"/>
          <w:sz w:val="16"/>
          <w:highlight w:val="none"/>
        </w:rPr>
        <w:t>　　</w:t>
      </w:r>
      <w:r>
        <w:rPr>
          <w:rFonts w:hint="default" w:ascii="Times New Roman" w:hAnsi="Times New Roman" w:eastAsia="方正楷体_GBK" w:cs="Times New Roman"/>
          <w:b/>
          <w:bCs/>
          <w:kern w:val="2"/>
          <w:sz w:val="32"/>
          <w:szCs w:val="32"/>
          <w:highlight w:val="none"/>
          <w:lang w:val="en-US" w:eastAsia="zh-CN"/>
        </w:rPr>
        <w:t xml:space="preserve">  </w:t>
      </w:r>
      <w:r>
        <w:rPr>
          <w:rFonts w:hint="default" w:ascii="Times New Roman" w:hAnsi="Times New Roman" w:eastAsia="方正楷体_GBK" w:cs="Times New Roman"/>
          <w:b/>
          <w:bCs/>
          <w:kern w:val="2"/>
          <w:sz w:val="32"/>
          <w:szCs w:val="32"/>
          <w:highlight w:val="none"/>
        </w:rPr>
        <w:t>（一）财政拨款收入：</w:t>
      </w:r>
      <w:r>
        <w:rPr>
          <w:rFonts w:hint="default" w:ascii="Times New Roman" w:hAnsi="Times New Roman" w:eastAsia="仿宋_GB2312" w:cs="Times New Roman"/>
          <w:kern w:val="2"/>
          <w:sz w:val="32"/>
          <w:szCs w:val="32"/>
          <w:highlight w:val="none"/>
          <w:lang w:val="en-US" w:eastAsia="zh-CN" w:bidi="ar-SA"/>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highlight w:val="none"/>
        </w:rPr>
        <w:br w:type="textWrapping"/>
      </w:r>
      <w:r>
        <w:rPr>
          <w:rFonts w:hint="default" w:ascii="Times New Roman" w:hAnsi="Times New Roman" w:cs="Times New Roman"/>
          <w:kern w:val="2"/>
          <w:sz w:val="32"/>
          <w:szCs w:val="32"/>
          <w:highlight w:val="none"/>
        </w:rPr>
        <w:t>　　</w:t>
      </w:r>
      <w:r>
        <w:rPr>
          <w:rFonts w:hint="default" w:ascii="Times New Roman" w:hAnsi="Times New Roman" w:eastAsia="方正楷体_GBK" w:cs="Times New Roman"/>
          <w:b/>
          <w:bCs/>
          <w:kern w:val="2"/>
          <w:sz w:val="32"/>
          <w:szCs w:val="32"/>
          <w:highlight w:val="none"/>
        </w:rPr>
        <w:t>（二）事业收入：</w:t>
      </w:r>
      <w:r>
        <w:rPr>
          <w:rFonts w:hint="default" w:ascii="Times New Roman" w:hAnsi="Times New Roman" w:eastAsia="仿宋_GB2312" w:cs="Times New Roman"/>
          <w:kern w:val="2"/>
          <w:sz w:val="32"/>
          <w:szCs w:val="32"/>
          <w:highlight w:val="none"/>
          <w:lang w:val="en-US" w:eastAsia="zh-CN" w:bidi="ar-SA"/>
        </w:rPr>
        <w:t>指所属事业单位开展专业业务活动及辅助活动所取得的收入。</w:t>
      </w:r>
      <w:r>
        <w:rPr>
          <w:rFonts w:hint="default" w:ascii="Times New Roman" w:hAnsi="Times New Roman" w:eastAsia="仿宋_GB2312" w:cs="Times New Roman"/>
          <w:kern w:val="2"/>
          <w:sz w:val="32"/>
          <w:szCs w:val="32"/>
          <w:highlight w:val="none"/>
          <w:lang w:val="en-US" w:eastAsia="zh-CN" w:bidi="ar-SA"/>
        </w:rPr>
        <w:br w:type="textWrapping"/>
      </w:r>
      <w:r>
        <w:rPr>
          <w:rFonts w:hint="default" w:ascii="Times New Roman" w:hAnsi="Times New Roman" w:cs="Times New Roman"/>
          <w:kern w:val="2"/>
          <w:sz w:val="32"/>
          <w:szCs w:val="32"/>
          <w:highlight w:val="none"/>
        </w:rPr>
        <w:t>　　</w:t>
      </w:r>
      <w:r>
        <w:rPr>
          <w:rFonts w:hint="default" w:ascii="Times New Roman" w:hAnsi="Times New Roman" w:eastAsia="方正楷体_GBK" w:cs="Times New Roman"/>
          <w:b/>
          <w:bCs/>
          <w:kern w:val="2"/>
          <w:sz w:val="32"/>
          <w:szCs w:val="32"/>
          <w:highlight w:val="none"/>
        </w:rPr>
        <w:t>（三）事业单位经营收入：</w:t>
      </w:r>
      <w:r>
        <w:rPr>
          <w:rFonts w:hint="default" w:ascii="Times New Roman" w:hAnsi="Times New Roman" w:eastAsia="仿宋_GB2312" w:cs="Times New Roman"/>
          <w:kern w:val="2"/>
          <w:sz w:val="32"/>
          <w:szCs w:val="32"/>
          <w:highlight w:val="none"/>
          <w:lang w:val="en-US" w:eastAsia="zh-CN" w:bidi="ar-SA"/>
        </w:rPr>
        <w:t>指所属事业单位在专业业务活动及其辅助活动之外开展非独立核算经营活动取得的收入。</w:t>
      </w:r>
      <w:r>
        <w:rPr>
          <w:rFonts w:hint="default" w:ascii="Times New Roman" w:hAnsi="Times New Roman" w:eastAsia="仿宋_GB2312" w:cs="Times New Roman"/>
          <w:kern w:val="2"/>
          <w:sz w:val="32"/>
          <w:szCs w:val="32"/>
          <w:highlight w:val="none"/>
          <w:lang w:val="en-US" w:eastAsia="zh-CN" w:bidi="ar-SA"/>
        </w:rPr>
        <w:br w:type="textWrapping"/>
      </w:r>
      <w:r>
        <w:rPr>
          <w:rFonts w:hint="default" w:ascii="Times New Roman" w:hAnsi="Times New Roman" w:cs="Times New Roman"/>
          <w:kern w:val="2"/>
          <w:sz w:val="32"/>
          <w:szCs w:val="32"/>
          <w:highlight w:val="none"/>
        </w:rPr>
        <w:t>　　</w:t>
      </w:r>
      <w:r>
        <w:rPr>
          <w:rFonts w:hint="default" w:ascii="Times New Roman" w:hAnsi="Times New Roman" w:eastAsia="方正楷体_GBK" w:cs="Times New Roman"/>
          <w:b/>
          <w:bCs/>
          <w:kern w:val="2"/>
          <w:sz w:val="32"/>
          <w:szCs w:val="32"/>
          <w:highlight w:val="none"/>
        </w:rPr>
        <w:t>（四）其他收入：</w:t>
      </w:r>
      <w:r>
        <w:rPr>
          <w:rFonts w:hint="default" w:ascii="Times New Roman" w:hAnsi="Times New Roman" w:eastAsia="仿宋_GB2312" w:cs="Times New Roman"/>
          <w:kern w:val="2"/>
          <w:sz w:val="32"/>
          <w:szCs w:val="32"/>
          <w:highlight w:val="none"/>
          <w:lang w:val="en-US" w:eastAsia="zh-CN" w:bidi="ar-SA"/>
        </w:rPr>
        <w:t>指除上述“财政拨款收入”、“事业收入”、“事业单位经营收入”等以外的收入，主要是所属行政事业单位按规定动用的售房收入、存款利息收入等。</w:t>
      </w:r>
      <w:r>
        <w:rPr>
          <w:rFonts w:hint="default" w:ascii="Times New Roman" w:hAnsi="Times New Roman" w:eastAsia="仿宋_GB2312" w:cs="Times New Roman"/>
          <w:kern w:val="2"/>
          <w:sz w:val="32"/>
          <w:szCs w:val="32"/>
          <w:highlight w:val="none"/>
          <w:lang w:val="en-US" w:eastAsia="zh-CN" w:bidi="ar-SA"/>
        </w:rPr>
        <w:br w:type="textWrapping"/>
      </w:r>
      <w:r>
        <w:rPr>
          <w:rFonts w:hint="default" w:ascii="Times New Roman" w:hAnsi="Times New Roman" w:cs="Times New Roman"/>
          <w:kern w:val="2"/>
          <w:sz w:val="32"/>
          <w:szCs w:val="32"/>
          <w:highlight w:val="none"/>
        </w:rPr>
        <w:t>　　</w:t>
      </w:r>
      <w:r>
        <w:rPr>
          <w:rFonts w:hint="default" w:ascii="Times New Roman" w:hAnsi="Times New Roman" w:eastAsia="方正楷体_GBK" w:cs="Times New Roman"/>
          <w:b/>
          <w:bCs/>
          <w:kern w:val="2"/>
          <w:sz w:val="32"/>
          <w:szCs w:val="32"/>
          <w:highlight w:val="none"/>
        </w:rPr>
        <w:t>（五）用事业基金弥补收支差额：</w:t>
      </w:r>
      <w:r>
        <w:rPr>
          <w:rFonts w:hint="default" w:ascii="Times New Roman" w:hAnsi="Times New Roman" w:eastAsia="仿宋_GB2312" w:cs="Times New Roman"/>
          <w:kern w:val="2"/>
          <w:sz w:val="32"/>
          <w:szCs w:val="32"/>
          <w:highlight w:val="none"/>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仿宋_GB2312" w:cs="Times New Roman"/>
          <w:kern w:val="2"/>
          <w:sz w:val="32"/>
          <w:szCs w:val="32"/>
          <w:highlight w:val="none"/>
          <w:lang w:val="en-US" w:eastAsia="zh-CN" w:bidi="ar-SA"/>
        </w:rPr>
        <w:br w:type="textWrapping"/>
      </w:r>
      <w:r>
        <w:rPr>
          <w:rFonts w:hint="default" w:ascii="Times New Roman" w:hAnsi="Times New Roman" w:cs="Times New Roman"/>
          <w:kern w:val="2"/>
          <w:sz w:val="32"/>
          <w:szCs w:val="32"/>
          <w:highlight w:val="none"/>
        </w:rPr>
        <w:t>　　</w:t>
      </w:r>
      <w:r>
        <w:rPr>
          <w:rFonts w:hint="default" w:ascii="Times New Roman" w:hAnsi="Times New Roman" w:eastAsia="方正楷体_GBK" w:cs="Times New Roman"/>
          <w:b/>
          <w:bCs/>
          <w:kern w:val="2"/>
          <w:sz w:val="32"/>
          <w:szCs w:val="32"/>
          <w:highlight w:val="none"/>
        </w:rPr>
        <w:t>（六）上年结转：</w:t>
      </w:r>
      <w:r>
        <w:rPr>
          <w:rFonts w:hint="default" w:ascii="Times New Roman" w:hAnsi="Times New Roman" w:eastAsia="仿宋_GB2312" w:cs="Times New Roman"/>
          <w:kern w:val="2"/>
          <w:sz w:val="32"/>
          <w:szCs w:val="32"/>
          <w:highlight w:val="none"/>
          <w:lang w:val="en-US" w:eastAsia="zh-CN" w:bidi="ar-SA"/>
        </w:rPr>
        <w:t>指所属行政事业单位以前年度尚未完成、结转至本年按原规定用途继续使用的资金和以前年度已完成项目剩余资金经批准用于新用途使用的资金。</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00007A87" w:usb1="80000000" w:usb2="00000008" w:usb3="00000000" w:csb0="400001FF" w:csb1="FFFF0000"/>
  </w:font>
  <w:font w:name="宋体">
    <w:panose1 w:val="02010600030101010101"/>
    <w:charset w:val="B1"/>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libri Light">
    <w:altName w:val="Lucida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仿宋_GB2312"/>
    <w:panose1 w:val="02010609060101010101"/>
    <w:charset w:val="86"/>
    <w:family w:val="auto"/>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微软雅黑">
    <w:altName w:val="黑体"/>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C08AE">
    <w:pPr>
      <w:pStyle w:val="7"/>
      <w:framePr w:wrap="around" w:vAnchor="text" w:hAnchor="margin" w:xAlign="outside" w:y="1"/>
      <w:pBdr>
        <w:top w:val="none" w:color="auto" w:sz="0" w:space="0"/>
        <w:left w:val="none" w:color="auto" w:sz="0" w:space="0"/>
        <w:bottom w:val="none" w:color="auto" w:sz="0" w:space="0"/>
        <w:right w:val="none" w:color="auto" w:sz="0" w:space="0"/>
      </w:pBdr>
      <w:rPr>
        <w:rFonts w:ascii="Times New Roman" w:hAnsi="Times New Roman"/>
        <w:sz w:val="28"/>
        <w:szCs w:val="28"/>
      </w:rPr>
    </w:pPr>
    <w:r>
      <w:rPr>
        <w:rStyle w:val="16"/>
        <w:rFonts w:ascii="Times New Roman" w:hAnsi="Times New Roman"/>
        <w:sz w:val="28"/>
        <w:szCs w:val="28"/>
      </w:rPr>
      <w:t xml:space="preserve">— </w:t>
    </w:r>
    <w:r>
      <w:rPr>
        <w:rStyle w:val="16"/>
        <w:rFonts w:ascii="Times New Roman" w:hAnsi="Times New Roman"/>
        <w:sz w:val="28"/>
        <w:szCs w:val="28"/>
      </w:rPr>
      <w:fldChar w:fldCharType="begin"/>
    </w:r>
    <w:r>
      <w:rPr>
        <w:rStyle w:val="16"/>
        <w:rFonts w:ascii="Times New Roman" w:hAnsi="Times New Roman"/>
        <w:sz w:val="28"/>
        <w:szCs w:val="28"/>
      </w:rPr>
      <w:instrText xml:space="preserve">Page</w:instrText>
    </w:r>
    <w:r>
      <w:rPr>
        <w:rFonts w:ascii="Times New Roman" w:hAnsi="Times New Roman"/>
        <w:sz w:val="28"/>
        <w:szCs w:val="28"/>
      </w:rPr>
      <w:fldChar w:fldCharType="separate"/>
    </w:r>
    <w:r>
      <w:rPr>
        <w:rStyle w:val="16"/>
        <w:rFonts w:ascii="Times New Roman" w:hAnsi="Times New Roman"/>
        <w:sz w:val="28"/>
        <w:szCs w:val="28"/>
      </w:rPr>
      <w:t>1</w:t>
    </w:r>
    <w:r>
      <w:rPr>
        <w:rFonts w:ascii="Times New Roman" w:hAnsi="Times New Roman"/>
        <w:sz w:val="28"/>
        <w:szCs w:val="28"/>
      </w:rPr>
      <w:fldChar w:fldCharType="end"/>
    </w:r>
    <w:r>
      <w:rPr>
        <w:rStyle w:val="16"/>
        <w:rFonts w:ascii="Times New Roman" w:hAnsi="Times New Roman"/>
        <w:sz w:val="28"/>
        <w:szCs w:val="28"/>
      </w:rPr>
      <w:t xml:space="preserve"> —</w:t>
    </w:r>
  </w:p>
  <w:p w14:paraId="0C5040DE">
    <w:pPr>
      <w:pStyle w:val="7"/>
      <w:ind w:right="360" w:firstLine="360"/>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46F89">
    <w:pPr>
      <w:pStyle w:val="7"/>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fldChar w:fldCharType="separate"/>
    </w:r>
    <w:r>
      <w:rPr>
        <w:rStyle w:val="16"/>
      </w:rPr>
      <w:t>1</w:t>
    </w:r>
    <w:r>
      <w:fldChar w:fldCharType="end"/>
    </w:r>
  </w:p>
  <w:p w14:paraId="1918CC85">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9DBF">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9A41BD"/>
    <w:multiLevelType w:val="singleLevel"/>
    <w:tmpl w:val="919A41BD"/>
    <w:lvl w:ilvl="0" w:tentative="0">
      <w:start w:val="5"/>
      <w:numFmt w:val="chineseCounting"/>
      <w:suff w:val="nothing"/>
      <w:lvlText w:val="%1、"/>
      <w:lvlJc w:val="left"/>
      <w:rPr>
        <w:rFonts w:hint="eastAsia"/>
      </w:rPr>
    </w:lvl>
  </w:abstractNum>
  <w:abstractNum w:abstractNumId="1">
    <w:nsid w:val="C62D0869"/>
    <w:multiLevelType w:val="singleLevel"/>
    <w:tmpl w:val="C62D0869"/>
    <w:lvl w:ilvl="0" w:tentative="0">
      <w:start w:val="9"/>
      <w:numFmt w:val="chineseCounting"/>
      <w:suff w:val="nothing"/>
      <w:lvlText w:val="%1、"/>
      <w:lvlJc w:val="left"/>
      <w:rPr>
        <w:rFonts w:hint="eastAsia"/>
      </w:rPr>
    </w:lvl>
  </w:abstractNum>
  <w:abstractNum w:abstractNumId="2">
    <w:nsid w:val="DB1B0A23"/>
    <w:multiLevelType w:val="singleLevel"/>
    <w:tmpl w:val="DB1B0A23"/>
    <w:lvl w:ilvl="0" w:tentative="0">
      <w:start w:val="1"/>
      <w:numFmt w:val="chineseCounting"/>
      <w:suff w:val="nothing"/>
      <w:lvlText w:val="（%1）"/>
      <w:lvlJc w:val="left"/>
      <w:rPr>
        <w:rFonts w:hint="eastAsia"/>
      </w:rPr>
    </w:lvl>
  </w:abstractNum>
  <w:abstractNum w:abstractNumId="3">
    <w:nsid w:val="454ED691"/>
    <w:multiLevelType w:val="singleLevel"/>
    <w:tmpl w:val="454ED691"/>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splitPgBreakAndParaMark/>
    <w:compatSetting w:name="compatibilityMode" w:uri="http://schemas.microsoft.com/office/word" w:val="11"/>
  </w:compat>
  <w:docVars>
    <w:docVar w:name="commondata" w:val="eyJoZGlkIjoiZjJlNzIyY2I2NzY3MDUyYTk3ODIyNjI2MGY1NDJiMjYifQ=="/>
  </w:docVars>
  <w:rsids>
    <w:rsidRoot w:val="00000000"/>
    <w:rsid w:val="01FB0577"/>
    <w:rsid w:val="028A20EF"/>
    <w:rsid w:val="03B66504"/>
    <w:rsid w:val="03C07382"/>
    <w:rsid w:val="04E377A0"/>
    <w:rsid w:val="050B0AD1"/>
    <w:rsid w:val="055B2D46"/>
    <w:rsid w:val="080A32C2"/>
    <w:rsid w:val="096A26BA"/>
    <w:rsid w:val="0AB87D27"/>
    <w:rsid w:val="0B136931"/>
    <w:rsid w:val="0C0F6320"/>
    <w:rsid w:val="0C58275F"/>
    <w:rsid w:val="0C9F66CF"/>
    <w:rsid w:val="0D884979"/>
    <w:rsid w:val="0F046CBD"/>
    <w:rsid w:val="0F9C0802"/>
    <w:rsid w:val="13394A5B"/>
    <w:rsid w:val="13897791"/>
    <w:rsid w:val="14466CB8"/>
    <w:rsid w:val="147A17CF"/>
    <w:rsid w:val="15237DE9"/>
    <w:rsid w:val="176A7EEB"/>
    <w:rsid w:val="1B642891"/>
    <w:rsid w:val="1C1C4F1A"/>
    <w:rsid w:val="1CEF4B16"/>
    <w:rsid w:val="1CFB1B87"/>
    <w:rsid w:val="1E543091"/>
    <w:rsid w:val="1F335A17"/>
    <w:rsid w:val="1FAB0A8F"/>
    <w:rsid w:val="20915ED7"/>
    <w:rsid w:val="229879F0"/>
    <w:rsid w:val="2309444A"/>
    <w:rsid w:val="24527F03"/>
    <w:rsid w:val="25CF3A2D"/>
    <w:rsid w:val="2A1C2CB5"/>
    <w:rsid w:val="2A9A62D0"/>
    <w:rsid w:val="2C9A25B7"/>
    <w:rsid w:val="2CFC1069"/>
    <w:rsid w:val="2D6C3F53"/>
    <w:rsid w:val="2DB74B3B"/>
    <w:rsid w:val="2E222864"/>
    <w:rsid w:val="2EF31F27"/>
    <w:rsid w:val="2F0A3A24"/>
    <w:rsid w:val="2F6E629F"/>
    <w:rsid w:val="322A1CE7"/>
    <w:rsid w:val="32676A97"/>
    <w:rsid w:val="32BC3287"/>
    <w:rsid w:val="33264BA4"/>
    <w:rsid w:val="332E1CAB"/>
    <w:rsid w:val="342033A2"/>
    <w:rsid w:val="349B511E"/>
    <w:rsid w:val="35040F15"/>
    <w:rsid w:val="35FA7C22"/>
    <w:rsid w:val="385B709E"/>
    <w:rsid w:val="38AF2BE0"/>
    <w:rsid w:val="39561614"/>
    <w:rsid w:val="39B27192"/>
    <w:rsid w:val="3A0A0D7C"/>
    <w:rsid w:val="3A47779C"/>
    <w:rsid w:val="3DAA0BF6"/>
    <w:rsid w:val="3F397A0D"/>
    <w:rsid w:val="3FBC0FA5"/>
    <w:rsid w:val="41B25855"/>
    <w:rsid w:val="431E31A2"/>
    <w:rsid w:val="44380293"/>
    <w:rsid w:val="49331971"/>
    <w:rsid w:val="4A1D0657"/>
    <w:rsid w:val="4C462EE1"/>
    <w:rsid w:val="4CC4300C"/>
    <w:rsid w:val="4D4B3259"/>
    <w:rsid w:val="4E257ADB"/>
    <w:rsid w:val="4F245FE4"/>
    <w:rsid w:val="4F980780"/>
    <w:rsid w:val="502411D1"/>
    <w:rsid w:val="5075461D"/>
    <w:rsid w:val="51B263F2"/>
    <w:rsid w:val="54813591"/>
    <w:rsid w:val="562C1C22"/>
    <w:rsid w:val="563058B8"/>
    <w:rsid w:val="56B37C4E"/>
    <w:rsid w:val="5889335C"/>
    <w:rsid w:val="588E2720"/>
    <w:rsid w:val="58C6010C"/>
    <w:rsid w:val="5A504131"/>
    <w:rsid w:val="5ACB37B8"/>
    <w:rsid w:val="5AF745AD"/>
    <w:rsid w:val="5B871DD5"/>
    <w:rsid w:val="5C573A7C"/>
    <w:rsid w:val="5E8E5228"/>
    <w:rsid w:val="5EC155FD"/>
    <w:rsid w:val="5F9C5723"/>
    <w:rsid w:val="607E751E"/>
    <w:rsid w:val="630C7063"/>
    <w:rsid w:val="657B5DDA"/>
    <w:rsid w:val="66F10A4A"/>
    <w:rsid w:val="67010561"/>
    <w:rsid w:val="69470DF5"/>
    <w:rsid w:val="6C81461E"/>
    <w:rsid w:val="6D13515D"/>
    <w:rsid w:val="70607F3F"/>
    <w:rsid w:val="72231CD3"/>
    <w:rsid w:val="72AA7CFF"/>
    <w:rsid w:val="74A92964"/>
    <w:rsid w:val="74EE481B"/>
    <w:rsid w:val="75F126B1"/>
    <w:rsid w:val="7A4E3666"/>
    <w:rsid w:val="7B8B2BED"/>
    <w:rsid w:val="7CB92CB8"/>
    <w:rsid w:val="7D364FB1"/>
    <w:rsid w:val="7D584F27"/>
    <w:rsid w:val="7E8B30DA"/>
    <w:rsid w:val="7F315B1F"/>
    <w:rsid w:val="7F6B7E4D"/>
    <w:rsid w:val="7FA75CF2"/>
    <w:rsid w:val="7FDD1714"/>
    <w:rsid w:val="AFA706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6"/>
    <w:qFormat/>
    <w:uiPriority w:val="0"/>
    <w:pPr>
      <w:spacing w:before="30" w:beforeLines="30"/>
    </w:pPr>
    <w:rPr>
      <w:rFonts w:ascii="仿宋_GB2312" w:eastAsia="仿宋_GB2312"/>
      <w:kern w:val="0"/>
      <w:sz w:val="24"/>
      <w:szCs w:val="20"/>
    </w:rPr>
  </w:style>
  <w:style w:type="paragraph" w:styleId="6">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qFormat/>
    <w:uiPriority w:val="0"/>
    <w:pPr>
      <w:widowControl w:val="0"/>
      <w:ind w:left="400" w:leftChars="200" w:hanging="200" w:hangingChars="200"/>
      <w:jc w:val="both"/>
    </w:pPr>
    <w:rPr>
      <w:rFonts w:ascii="Times New Roman" w:hAnsi="Times New Roman" w:eastAsia="宋体" w:cs="Times New Roman"/>
      <w:kern w:val="2"/>
      <w:sz w:val="21"/>
      <w:szCs w:val="24"/>
      <w:lang w:val="en-US" w:eastAsia="zh-CN" w:bidi="ar-SA"/>
    </w:rPr>
  </w:style>
  <w:style w:type="paragraph" w:customStyle="1" w:styleId="12">
    <w:name w:val="Body Text Indent"/>
    <w:basedOn w:val="1"/>
    <w:next w:val="13"/>
    <w:qFormat/>
    <w:uiPriority w:val="0"/>
    <w:pPr>
      <w:widowControl/>
      <w:spacing w:line="540" w:lineRule="exact"/>
      <w:ind w:firstLine="200" w:firstLineChars="200"/>
      <w:textAlignment w:val="baseline"/>
    </w:pPr>
    <w:rPr>
      <w:rFonts w:eastAsia="仿宋_GB2312"/>
      <w:color w:val="000000"/>
      <w:kern w:val="0"/>
      <w:sz w:val="32"/>
      <w:szCs w:val="32"/>
    </w:rPr>
  </w:style>
  <w:style w:type="paragraph" w:customStyle="1" w:styleId="13">
    <w:name w:val="Body Text First Indent 2"/>
    <w:basedOn w:val="12"/>
    <w:next w:val="1"/>
    <w:qFormat/>
    <w:uiPriority w:val="0"/>
    <w:rPr>
      <w:rFonts w:eastAsia="宋体"/>
    </w:rPr>
  </w:style>
  <w:style w:type="paragraph" w:customStyle="1"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 w:type="character" w:customStyle="1" w:styleId="16">
    <w:name w:val="page number"/>
    <w:basedOn w:val="1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13</Pages>
  <Words>5608</Words>
  <Characters>6064</Characters>
  <Lines>249</Lines>
  <Paragraphs>77</Paragraphs>
  <TotalTime>5</TotalTime>
  <ScaleCrop>false</ScaleCrop>
  <LinksUpToDate>false</LinksUpToDate>
  <CharactersWithSpaces>6144</CharactersWithSpaces>
  <Application>WPS Office_12.8.2.21176_F1E327BC-269C-435d-A152-05C5408002CA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2022-01-15T08:31:00Z</dcterms:created>
  <dc:creator>疯丫头。。</dc:creator>
  <cp:lastModifiedBy>user</cp:lastModifiedBy>
  <cp:lastPrinted>2023-01-09T11:16:00Z</cp:lastPrinted>
  <dcterms:modified xsi:type="dcterms:W3CDTF">2026-04-17T17:19:32Z</dcterms:modified>
  <dc:title>Administrator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F4AFAA22DBED4F5C9ABD434088FCC990</vt:lpwstr>
  </property>
</Properties>
</file>