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420" w:firstLineChars="200"/>
        <w:rPr>
          <w:color w:val="000000"/>
        </w:rPr>
      </w:pPr>
    </w:p>
    <w:p>
      <w:pPr>
        <w:spacing w:line="500" w:lineRule="exact"/>
        <w:ind w:firstLine="420" w:firstLineChars="200"/>
        <w:rPr>
          <w:color w:val="000000"/>
        </w:rPr>
      </w:pPr>
    </w:p>
    <w:p>
      <w:pPr>
        <w:spacing w:line="500" w:lineRule="exact"/>
        <w:ind w:firstLine="420" w:firstLineChars="200"/>
        <w:rPr>
          <w:color w:val="000000"/>
        </w:rPr>
      </w:pPr>
    </w:p>
    <w:p>
      <w:pPr>
        <w:spacing w:line="500" w:lineRule="exact"/>
        <w:ind w:firstLine="880" w:firstLineChars="200"/>
        <w:rPr>
          <w:rFonts w:ascii="黑体" w:eastAsia="黑体"/>
          <w:color w:val="000000"/>
          <w:sz w:val="44"/>
          <w:szCs w:val="44"/>
        </w:rPr>
      </w:pPr>
    </w:p>
    <w:p>
      <w:pPr>
        <w:spacing w:line="500" w:lineRule="exact"/>
        <w:ind w:firstLine="880" w:firstLineChars="200"/>
        <w:jc w:val="center"/>
        <w:rPr>
          <w:rFonts w:ascii="方正小标宋_GBK" w:eastAsia="方正小标宋_GBK" w:cs="方正小标宋_GBK"/>
          <w:color w:val="000000"/>
          <w:sz w:val="44"/>
          <w:szCs w:val="44"/>
        </w:rPr>
      </w:pPr>
      <w:r>
        <w:rPr>
          <w:rFonts w:hint="eastAsia" w:ascii="方正小标宋_GBK" w:eastAsia="方正小标宋_GBK" w:cs="方正小标宋_GBK"/>
          <w:color w:val="000000"/>
          <w:sz w:val="44"/>
          <w:szCs w:val="44"/>
        </w:rPr>
        <w:t>四川阿坝工业园区管理委员会</w:t>
      </w:r>
    </w:p>
    <w:p>
      <w:pPr>
        <w:spacing w:line="500" w:lineRule="exact"/>
        <w:ind w:firstLine="880" w:firstLineChars="200"/>
        <w:jc w:val="center"/>
        <w:rPr>
          <w:rFonts w:ascii="方正小标宋_GBK" w:eastAsia="方正小标宋_GBK" w:cs="方正小标宋_GBK"/>
          <w:color w:val="000000"/>
          <w:sz w:val="44"/>
          <w:szCs w:val="44"/>
        </w:rPr>
      </w:pPr>
      <w:r>
        <w:rPr>
          <w:rFonts w:hint="eastAsia" w:ascii="方正小标宋_GBK" w:eastAsia="方正小标宋_GBK" w:cs="方正小标宋_GBK"/>
          <w:color w:val="000000"/>
          <w:sz w:val="44"/>
          <w:szCs w:val="44"/>
        </w:rPr>
        <w:t>202</w:t>
      </w:r>
      <w:r>
        <w:rPr>
          <w:rFonts w:ascii="方正小标宋_GBK" w:eastAsia="方正小标宋_GBK" w:cs="方正小标宋_GBK"/>
          <w:color w:val="000000"/>
          <w:sz w:val="44"/>
          <w:szCs w:val="44"/>
        </w:rPr>
        <w:t>6</w:t>
      </w:r>
      <w:r>
        <w:rPr>
          <w:rFonts w:hint="eastAsia" w:ascii="方正小标宋_GBK" w:eastAsia="方正小标宋_GBK" w:cs="方正小标宋_GBK"/>
          <w:color w:val="000000"/>
          <w:sz w:val="44"/>
          <w:szCs w:val="44"/>
        </w:rPr>
        <w:t>年部门预算</w:t>
      </w:r>
    </w:p>
    <w:p>
      <w:pPr>
        <w:spacing w:line="500" w:lineRule="exact"/>
        <w:ind w:firstLine="880" w:firstLineChars="200"/>
        <w:jc w:val="center"/>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640" w:firstLineChars="200"/>
        <w:rPr>
          <w:rFonts w:ascii="黑体" w:eastAsia="黑体"/>
          <w:color w:val="000000"/>
          <w:sz w:val="32"/>
          <w:szCs w:val="32"/>
        </w:rPr>
      </w:pPr>
    </w:p>
    <w:p>
      <w:pPr>
        <w:spacing w:line="500" w:lineRule="exact"/>
        <w:ind w:firstLine="640" w:firstLineChars="200"/>
        <w:jc w:val="center"/>
        <w:rPr>
          <w:rFonts w:ascii="黑体" w:eastAsia="黑体"/>
          <w:color w:val="000000"/>
          <w:sz w:val="32"/>
          <w:szCs w:val="32"/>
        </w:rPr>
      </w:pPr>
      <w:r>
        <w:rPr>
          <w:rFonts w:hint="eastAsia" w:ascii="黑体" w:eastAsia="黑体"/>
          <w:color w:val="000000"/>
          <w:sz w:val="32"/>
          <w:szCs w:val="32"/>
        </w:rPr>
        <w:t>已经保密审查、内容审定，同意对外公开</w:t>
      </w:r>
    </w:p>
    <w:p>
      <w:pPr>
        <w:spacing w:line="500" w:lineRule="exact"/>
        <w:ind w:firstLine="880" w:firstLineChars="200"/>
        <w:jc w:val="center"/>
        <w:rPr>
          <w:rFonts w:ascii="黑体" w:eastAsia="黑体"/>
          <w:color w:val="000000"/>
          <w:sz w:val="44"/>
          <w:szCs w:val="44"/>
        </w:rPr>
      </w:pPr>
    </w:p>
    <w:p>
      <w:pPr>
        <w:spacing w:line="500" w:lineRule="exact"/>
        <w:ind w:firstLine="880" w:firstLineChars="200"/>
        <w:jc w:val="center"/>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rPr>
          <w:rFonts w:ascii="黑体" w:eastAsia="黑体"/>
          <w:color w:val="000000"/>
          <w:sz w:val="44"/>
          <w:szCs w:val="44"/>
        </w:rPr>
      </w:pPr>
    </w:p>
    <w:p>
      <w:pPr>
        <w:spacing w:line="500" w:lineRule="exact"/>
        <w:ind w:firstLine="880" w:firstLineChars="200"/>
        <w:jc w:val="center"/>
        <w:rPr>
          <w:rFonts w:ascii="方正小标宋_GBK" w:eastAsia="方正小标宋_GBK" w:cs="方正小标宋_GBK"/>
          <w:color w:val="000000"/>
          <w:sz w:val="44"/>
          <w:szCs w:val="44"/>
        </w:rPr>
      </w:pPr>
      <w:r>
        <w:rPr>
          <w:rFonts w:hint="eastAsia" w:ascii="方正小标宋_GBK" w:eastAsia="方正小标宋_GBK" w:cs="方正小标宋_GBK"/>
          <w:color w:val="000000"/>
          <w:sz w:val="44"/>
          <w:szCs w:val="44"/>
        </w:rPr>
        <w:t>目录</w:t>
      </w:r>
    </w:p>
    <w:p>
      <w:pPr>
        <w:spacing w:line="500" w:lineRule="exact"/>
        <w:ind w:firstLine="880" w:firstLineChars="200"/>
        <w:rPr>
          <w:rFonts w:ascii="黑体" w:eastAsia="黑体"/>
          <w:color w:val="000000"/>
          <w:sz w:val="44"/>
          <w:szCs w:val="44"/>
        </w:rPr>
      </w:pPr>
    </w:p>
    <w:p>
      <w:pPr>
        <w:pStyle w:val="13"/>
        <w:spacing w:line="500" w:lineRule="exact"/>
        <w:rPr>
          <w:rFonts w:ascii="黑体" w:eastAsia="黑体"/>
          <w:color w:val="000000"/>
          <w:sz w:val="32"/>
          <w:szCs w:val="32"/>
        </w:rPr>
      </w:pPr>
      <w:r>
        <w:rPr>
          <w:rFonts w:hint="eastAsia" w:ascii="黑体" w:eastAsia="黑体"/>
          <w:color w:val="000000"/>
          <w:sz w:val="32"/>
          <w:szCs w:val="32"/>
        </w:rPr>
        <w:t>一、基本职能及主要工作</w:t>
      </w:r>
    </w:p>
    <w:p>
      <w:pPr>
        <w:spacing w:line="500" w:lineRule="exact"/>
        <w:ind w:firstLine="640" w:firstLineChars="200"/>
        <w:rPr>
          <w:rFonts w:ascii="楷体" w:eastAsia="楷体"/>
          <w:color w:val="000000"/>
          <w:sz w:val="32"/>
          <w:szCs w:val="32"/>
        </w:rPr>
      </w:pPr>
      <w:r>
        <w:rPr>
          <w:rFonts w:hint="eastAsia" w:ascii="楷体" w:eastAsia="楷体"/>
          <w:color w:val="000000"/>
          <w:sz w:val="32"/>
          <w:szCs w:val="32"/>
        </w:rPr>
        <w:t>（一）部门职能简介</w:t>
      </w:r>
    </w:p>
    <w:p>
      <w:pPr>
        <w:spacing w:line="500" w:lineRule="exact"/>
        <w:ind w:firstLine="640" w:firstLineChars="200"/>
        <w:rPr>
          <w:rFonts w:ascii="楷体" w:eastAsia="楷体"/>
          <w:color w:val="000000"/>
          <w:sz w:val="32"/>
          <w:szCs w:val="32"/>
        </w:rPr>
      </w:pPr>
      <w:r>
        <w:rPr>
          <w:rFonts w:hint="eastAsia" w:ascii="楷体" w:eastAsia="楷体"/>
          <w:color w:val="000000"/>
          <w:sz w:val="32"/>
          <w:szCs w:val="32"/>
        </w:rPr>
        <w:t>（二）</w:t>
      </w:r>
      <w:r>
        <w:rPr>
          <w:rFonts w:ascii="楷体" w:eastAsia="楷体"/>
          <w:color w:val="000000"/>
          <w:sz w:val="32"/>
          <w:szCs w:val="32"/>
        </w:rPr>
        <w:t>2026</w:t>
      </w:r>
      <w:r>
        <w:rPr>
          <w:rFonts w:hint="eastAsia" w:ascii="楷体" w:eastAsia="楷体"/>
          <w:color w:val="000000"/>
          <w:sz w:val="32"/>
          <w:szCs w:val="32"/>
        </w:rPr>
        <w:t>年重点工作</w:t>
      </w:r>
    </w:p>
    <w:p>
      <w:pPr>
        <w:spacing w:line="500" w:lineRule="exact"/>
        <w:ind w:firstLine="640" w:firstLineChars="200"/>
        <w:rPr>
          <w:rFonts w:ascii="黑体" w:eastAsia="黑体"/>
          <w:color w:val="000000"/>
          <w:sz w:val="32"/>
          <w:szCs w:val="32"/>
        </w:rPr>
      </w:pPr>
      <w:r>
        <w:rPr>
          <w:rFonts w:hint="eastAsia" w:ascii="黑体" w:eastAsia="黑体"/>
          <w:color w:val="000000"/>
          <w:sz w:val="32"/>
          <w:szCs w:val="32"/>
        </w:rPr>
        <w:t>二、部门预算单位构成</w:t>
      </w:r>
    </w:p>
    <w:p>
      <w:pPr>
        <w:spacing w:line="500" w:lineRule="exact"/>
        <w:ind w:firstLine="640" w:firstLineChars="200"/>
        <w:rPr>
          <w:rFonts w:ascii="黑体" w:eastAsia="黑体"/>
          <w:color w:val="000000"/>
          <w:sz w:val="32"/>
          <w:szCs w:val="32"/>
        </w:rPr>
      </w:pPr>
      <w:r>
        <w:rPr>
          <w:rFonts w:hint="eastAsia" w:ascii="黑体" w:eastAsia="黑体"/>
          <w:color w:val="000000"/>
          <w:sz w:val="32"/>
          <w:szCs w:val="32"/>
        </w:rPr>
        <w:t>三、收支预算情况说明</w:t>
      </w:r>
    </w:p>
    <w:p>
      <w:pPr>
        <w:spacing w:line="500" w:lineRule="exact"/>
        <w:ind w:firstLine="640" w:firstLineChars="200"/>
        <w:rPr>
          <w:rFonts w:ascii="楷体" w:eastAsia="楷体"/>
          <w:color w:val="000000"/>
          <w:sz w:val="32"/>
          <w:szCs w:val="32"/>
        </w:rPr>
      </w:pPr>
      <w:r>
        <w:rPr>
          <w:rFonts w:hint="eastAsia" w:ascii="楷体" w:eastAsia="楷体"/>
          <w:color w:val="000000"/>
          <w:sz w:val="32"/>
          <w:szCs w:val="32"/>
        </w:rPr>
        <w:t>（一）收入预算情况</w:t>
      </w:r>
    </w:p>
    <w:p>
      <w:pPr>
        <w:spacing w:line="500" w:lineRule="exact"/>
        <w:ind w:firstLine="640" w:firstLineChars="200"/>
        <w:rPr>
          <w:rFonts w:ascii="楷体" w:eastAsia="楷体"/>
          <w:color w:val="000000"/>
          <w:sz w:val="32"/>
          <w:szCs w:val="32"/>
        </w:rPr>
      </w:pPr>
      <w:r>
        <w:rPr>
          <w:rFonts w:hint="eastAsia" w:ascii="楷体" w:eastAsia="楷体"/>
          <w:color w:val="000000"/>
          <w:sz w:val="32"/>
          <w:szCs w:val="32"/>
        </w:rPr>
        <w:t>（二）支出预算情况</w:t>
      </w:r>
    </w:p>
    <w:p>
      <w:pPr>
        <w:spacing w:line="500" w:lineRule="exact"/>
        <w:ind w:firstLine="640" w:firstLineChars="200"/>
        <w:rPr>
          <w:rFonts w:ascii="黑体" w:eastAsia="黑体"/>
          <w:color w:val="000000"/>
          <w:sz w:val="32"/>
          <w:szCs w:val="32"/>
        </w:rPr>
      </w:pPr>
      <w:r>
        <w:rPr>
          <w:rFonts w:hint="eastAsia" w:ascii="黑体" w:eastAsia="黑体"/>
          <w:color w:val="000000"/>
          <w:sz w:val="32"/>
          <w:szCs w:val="32"/>
        </w:rPr>
        <w:t>四、财政拨款收支预算情况说明</w:t>
      </w:r>
    </w:p>
    <w:p>
      <w:pPr>
        <w:spacing w:line="500" w:lineRule="exact"/>
        <w:ind w:firstLine="640" w:firstLineChars="200"/>
        <w:rPr>
          <w:rFonts w:ascii="黑体" w:eastAsia="黑体"/>
          <w:color w:val="000000"/>
          <w:sz w:val="32"/>
          <w:szCs w:val="32"/>
        </w:rPr>
      </w:pPr>
      <w:r>
        <w:rPr>
          <w:rFonts w:hint="eastAsia" w:ascii="黑体" w:eastAsia="黑体"/>
          <w:color w:val="000000"/>
          <w:sz w:val="32"/>
          <w:szCs w:val="32"/>
        </w:rPr>
        <w:t>五、一般公共预算当年拨款情况说明</w:t>
      </w:r>
    </w:p>
    <w:p>
      <w:pPr>
        <w:spacing w:line="500" w:lineRule="exact"/>
        <w:ind w:left="638" w:leftChars="304"/>
        <w:rPr>
          <w:rFonts w:ascii="黑体" w:eastAsia="黑体"/>
          <w:color w:val="000000"/>
          <w:sz w:val="32"/>
          <w:szCs w:val="32"/>
        </w:rPr>
      </w:pPr>
      <w:r>
        <w:rPr>
          <w:rFonts w:hint="eastAsia" w:ascii="楷体" w:eastAsia="楷体"/>
          <w:color w:val="000000"/>
          <w:sz w:val="32"/>
          <w:szCs w:val="32"/>
        </w:rPr>
        <w:t>（一）一般公共预算当年拨款规模变化情况</w:t>
      </w:r>
      <w:r>
        <w:rPr>
          <w:rFonts w:ascii="楷体" w:eastAsia="楷体"/>
          <w:color w:val="000000"/>
          <w:sz w:val="32"/>
          <w:szCs w:val="32"/>
        </w:rPr>
        <w:br w:type="textWrapping"/>
      </w:r>
      <w:r>
        <w:rPr>
          <w:rFonts w:hint="eastAsia" w:ascii="楷体" w:eastAsia="楷体"/>
          <w:color w:val="000000"/>
          <w:sz w:val="32"/>
          <w:szCs w:val="32"/>
        </w:rPr>
        <w:t>（二）一般公共预算当年拨款结构情况</w:t>
      </w:r>
      <w:r>
        <w:rPr>
          <w:rFonts w:ascii="楷体" w:eastAsia="楷体"/>
          <w:color w:val="000000"/>
          <w:sz w:val="32"/>
          <w:szCs w:val="32"/>
        </w:rPr>
        <w:br w:type="textWrapping"/>
      </w:r>
      <w:r>
        <w:rPr>
          <w:rFonts w:hint="eastAsia" w:ascii="楷体" w:eastAsia="楷体"/>
          <w:color w:val="000000"/>
          <w:sz w:val="32"/>
          <w:szCs w:val="32"/>
        </w:rPr>
        <w:t>（三）一般公共预算当年拨款具体使用情况</w:t>
      </w:r>
      <w:r>
        <w:rPr>
          <w:rFonts w:ascii="??" w:hAnsi="??" w:cs="宋体"/>
          <w:color w:val="000000"/>
          <w:kern w:val="0"/>
          <w:sz w:val="16"/>
          <w:szCs w:val="16"/>
        </w:rPr>
        <w:br w:type="textWrapping"/>
      </w:r>
      <w:r>
        <w:rPr>
          <w:rFonts w:hint="eastAsia" w:ascii="黑体" w:eastAsia="黑体"/>
          <w:color w:val="000000"/>
          <w:sz w:val="32"/>
          <w:szCs w:val="32"/>
        </w:rPr>
        <w:t>六、一般公共预算基本支出情况说明</w:t>
      </w:r>
      <w:r>
        <w:rPr>
          <w:rFonts w:ascii="黑体" w:eastAsia="黑体"/>
          <w:color w:val="000000"/>
          <w:sz w:val="32"/>
          <w:szCs w:val="32"/>
        </w:rPr>
        <w:br w:type="textWrapping"/>
      </w:r>
      <w:r>
        <w:rPr>
          <w:rFonts w:hint="eastAsia" w:ascii="黑体" w:eastAsia="黑体"/>
          <w:color w:val="000000"/>
          <w:sz w:val="32"/>
          <w:szCs w:val="32"/>
        </w:rPr>
        <w:t>七、“三公”经费财政拨款预算安排情况说明</w:t>
      </w:r>
      <w:r>
        <w:rPr>
          <w:rFonts w:ascii="黑体" w:eastAsia="黑体"/>
          <w:color w:val="000000"/>
          <w:sz w:val="32"/>
          <w:szCs w:val="32"/>
        </w:rPr>
        <w:br w:type="textWrapping"/>
      </w:r>
      <w:r>
        <w:rPr>
          <w:rFonts w:hint="eastAsia" w:ascii="黑体" w:eastAsia="黑体"/>
          <w:color w:val="000000"/>
          <w:sz w:val="32"/>
          <w:szCs w:val="32"/>
        </w:rPr>
        <w:t>八、政府性基金预算支出情况说明</w:t>
      </w:r>
      <w:r>
        <w:rPr>
          <w:rFonts w:ascii="黑体" w:eastAsia="黑体"/>
          <w:color w:val="000000"/>
          <w:sz w:val="32"/>
          <w:szCs w:val="32"/>
        </w:rPr>
        <w:br w:type="textWrapping"/>
      </w:r>
      <w:r>
        <w:rPr>
          <w:rFonts w:hint="eastAsia" w:ascii="黑体" w:eastAsia="黑体"/>
          <w:color w:val="000000"/>
          <w:sz w:val="32"/>
          <w:szCs w:val="32"/>
        </w:rPr>
        <w:t>九、其他重要事项的情况说明</w:t>
      </w:r>
      <w:r>
        <w:rPr>
          <w:rFonts w:ascii="黑体" w:eastAsia="黑体"/>
          <w:color w:val="000000"/>
          <w:sz w:val="32"/>
          <w:szCs w:val="32"/>
        </w:rPr>
        <w:br w:type="textWrapping"/>
      </w:r>
      <w:r>
        <w:rPr>
          <w:rFonts w:hint="eastAsia" w:ascii="黑体" w:eastAsia="黑体"/>
          <w:color w:val="000000"/>
          <w:sz w:val="32"/>
          <w:szCs w:val="32"/>
        </w:rPr>
        <w:t>十、名称解释</w:t>
      </w:r>
    </w:p>
    <w:p>
      <w:pPr>
        <w:spacing w:line="500" w:lineRule="exact"/>
        <w:ind w:firstLine="640" w:firstLineChars="200"/>
        <w:rPr>
          <w:rFonts w:ascii="黑体" w:eastAsia="黑体"/>
          <w:color w:val="000000"/>
          <w:sz w:val="32"/>
          <w:szCs w:val="32"/>
        </w:rPr>
      </w:pPr>
    </w:p>
    <w:p>
      <w:pPr>
        <w:spacing w:line="500" w:lineRule="exact"/>
        <w:ind w:firstLine="640" w:firstLineChars="200"/>
        <w:rPr>
          <w:rFonts w:ascii="黑体" w:eastAsia="黑体"/>
          <w:color w:val="000000"/>
          <w:sz w:val="32"/>
          <w:szCs w:val="32"/>
        </w:rPr>
      </w:pPr>
    </w:p>
    <w:p>
      <w:pPr>
        <w:spacing w:line="500" w:lineRule="exact"/>
        <w:ind w:firstLine="640" w:firstLineChars="200"/>
        <w:rPr>
          <w:rFonts w:ascii="黑体" w:eastAsia="黑体"/>
          <w:color w:val="000000"/>
          <w:sz w:val="32"/>
          <w:szCs w:val="32"/>
        </w:rPr>
      </w:pPr>
    </w:p>
    <w:p>
      <w:pPr>
        <w:spacing w:line="500" w:lineRule="exact"/>
        <w:ind w:firstLine="640" w:firstLineChars="200"/>
        <w:rPr>
          <w:rFonts w:ascii="黑体" w:eastAsia="黑体"/>
          <w:color w:val="000000"/>
          <w:sz w:val="32"/>
          <w:szCs w:val="32"/>
        </w:rPr>
      </w:pPr>
    </w:p>
    <w:p>
      <w:pPr>
        <w:spacing w:line="500" w:lineRule="exact"/>
        <w:ind w:firstLine="640" w:firstLineChars="200"/>
        <w:rPr>
          <w:rFonts w:ascii="黑体" w:eastAsia="黑体"/>
          <w:color w:val="000000"/>
          <w:sz w:val="32"/>
          <w:szCs w:val="32"/>
        </w:rPr>
      </w:pPr>
    </w:p>
    <w:p>
      <w:pPr>
        <w:spacing w:line="500" w:lineRule="exact"/>
        <w:rPr>
          <w:rFonts w:ascii="黑体" w:eastAsia="黑体"/>
          <w:color w:val="000000"/>
          <w:sz w:val="32"/>
          <w:szCs w:val="32"/>
        </w:rPr>
      </w:pPr>
    </w:p>
    <w:p>
      <w:pPr>
        <w:widowControl/>
        <w:shd w:val="clear" w:color="auto" w:fill="FFFFFF"/>
        <w:tabs>
          <w:tab w:val="left" w:pos="5098"/>
        </w:tabs>
        <w:spacing w:line="500" w:lineRule="exact"/>
        <w:ind w:firstLine="240" w:firstLineChars="200"/>
        <w:rPr>
          <w:rFonts w:ascii="??" w:hAnsi="??" w:cs="宋体"/>
          <w:color w:val="000000"/>
          <w:kern w:val="0"/>
          <w:sz w:val="12"/>
          <w:szCs w:val="12"/>
        </w:rPr>
      </w:pPr>
      <w:r>
        <w:rPr>
          <w:rFonts w:hint="eastAsia" w:ascii="??" w:hAnsi="??" w:cs="宋体"/>
          <w:color w:val="000000"/>
          <w:kern w:val="0"/>
          <w:sz w:val="12"/>
          <w:szCs w:val="12"/>
        </w:rPr>
        <w:tab/>
      </w:r>
    </w:p>
    <w:p>
      <w:pPr>
        <w:pStyle w:val="13"/>
        <w:spacing w:line="500" w:lineRule="exact"/>
        <w:rPr>
          <w:rFonts w:ascii="方正黑体_GBK" w:eastAsia="方正黑体_GBK" w:cs="方正黑体_GBK"/>
          <w:color w:val="000000"/>
          <w:sz w:val="32"/>
          <w:szCs w:val="32"/>
        </w:rPr>
        <w:sectPr>
          <w:headerReference r:id="rId3" w:type="default"/>
          <w:pgSz w:w="11906" w:h="16838"/>
          <w:pgMar w:top="1440" w:right="1800" w:bottom="1440" w:left="1800" w:header="851" w:footer="992" w:gutter="0"/>
          <w:cols w:space="720" w:num="1"/>
          <w:docGrid w:type="lines" w:linePitch="312" w:charSpace="0"/>
        </w:sectPr>
      </w:pPr>
    </w:p>
    <w:p>
      <w:pPr>
        <w:pStyle w:val="13"/>
        <w:spacing w:line="500" w:lineRule="exact"/>
        <w:rPr>
          <w:rFonts w:ascii="方正黑体_GBK" w:eastAsia="方正黑体_GBK" w:cs="方正黑体_GBK"/>
          <w:color w:val="000000"/>
          <w:sz w:val="32"/>
          <w:szCs w:val="32"/>
        </w:rPr>
      </w:pPr>
      <w:r>
        <w:rPr>
          <w:rFonts w:hint="eastAsia" w:ascii="方正黑体_GBK" w:eastAsia="方正黑体_GBK" w:cs="方正黑体_GBK"/>
          <w:color w:val="000000"/>
          <w:sz w:val="32"/>
          <w:szCs w:val="32"/>
        </w:rPr>
        <w:t>一、基本职能及主要工作</w:t>
      </w:r>
    </w:p>
    <w:p>
      <w:pPr>
        <w:spacing w:line="500" w:lineRule="exact"/>
        <w:ind w:firstLine="642" w:firstLineChars="200"/>
        <w:rPr>
          <w:rFonts w:ascii="方正楷体_GBK" w:eastAsia="方正楷体_GBK" w:cs="方正楷体_GBK"/>
          <w:b/>
          <w:bCs/>
          <w:color w:val="000000"/>
          <w:sz w:val="32"/>
          <w:szCs w:val="32"/>
        </w:rPr>
      </w:pPr>
      <w:r>
        <w:rPr>
          <w:rFonts w:hint="eastAsia" w:ascii="方正楷体_GBK" w:eastAsia="方正楷体_GBK" w:cs="方正楷体_GBK"/>
          <w:b/>
          <w:bCs/>
          <w:color w:val="000000"/>
          <w:sz w:val="32"/>
          <w:szCs w:val="32"/>
        </w:rPr>
        <w:t>（一）部门职能简介</w:t>
      </w:r>
    </w:p>
    <w:p>
      <w:pPr>
        <w:shd w:val="clear" w:color="auto" w:fill="FFFFFF"/>
        <w:adjustRightInd/>
        <w:snapToGrid/>
        <w:spacing w:after="0" w:line="56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四川阿坝工业园区管理委员会为州政府直属正县级公益一类事业单位，财政全额拨款参公事业单位,主要职责是为园区企业服务，协助州县相关职能部门开展招商引资、督导企业安全生产和环保、督促企业推进重大项目建设等工作。</w:t>
      </w:r>
    </w:p>
    <w:p>
      <w:pPr>
        <w:spacing w:line="500" w:lineRule="exact"/>
        <w:ind w:firstLine="642" w:firstLineChars="200"/>
        <w:rPr>
          <w:rFonts w:ascii="方正楷体_GBK" w:eastAsia="方正楷体_GBK" w:cs="方正楷体_GBK"/>
          <w:b/>
          <w:bCs/>
          <w:color w:val="000000"/>
          <w:sz w:val="32"/>
          <w:szCs w:val="32"/>
        </w:rPr>
      </w:pPr>
      <w:r>
        <w:rPr>
          <w:rFonts w:hint="eastAsia" w:ascii="方正楷体_GBK" w:eastAsia="方正楷体_GBK" w:cs="方正楷体_GBK"/>
          <w:b/>
          <w:bCs/>
          <w:color w:val="000000"/>
          <w:sz w:val="32"/>
          <w:szCs w:val="32"/>
        </w:rPr>
        <w:t>（二）202</w:t>
      </w:r>
      <w:r>
        <w:rPr>
          <w:rFonts w:ascii="方正楷体_GBK" w:eastAsia="方正楷体_GBK" w:cs="方正楷体_GBK"/>
          <w:b/>
          <w:bCs/>
          <w:color w:val="000000"/>
          <w:sz w:val="32"/>
          <w:szCs w:val="32"/>
        </w:rPr>
        <w:t>6</w:t>
      </w:r>
      <w:r>
        <w:rPr>
          <w:rFonts w:hint="eastAsia" w:ascii="方正楷体_GBK" w:eastAsia="方正楷体_GBK" w:cs="方正楷体_GBK"/>
          <w:b/>
          <w:bCs/>
          <w:color w:val="000000"/>
          <w:sz w:val="32"/>
          <w:szCs w:val="32"/>
        </w:rPr>
        <w:t>年重点工作</w:t>
      </w:r>
    </w:p>
    <w:p>
      <w:pPr>
        <w:spacing w:line="560" w:lineRule="exact"/>
        <w:ind w:firstLine="642" w:firstLineChars="200"/>
        <w:rPr>
          <w:rFonts w:ascii="楷体_GB2312" w:eastAsia="楷体_GB2312" w:cs="楷体_GB2312"/>
          <w:b/>
          <w:bCs w:val="0"/>
          <w:color w:val="000000"/>
          <w:sz w:val="32"/>
          <w:szCs w:val="32"/>
        </w:rPr>
      </w:pPr>
      <w:r>
        <w:rPr>
          <w:rFonts w:ascii="楷体_GB2312" w:eastAsia="楷体_GB2312" w:cs="楷体_GB2312"/>
          <w:b/>
          <w:bCs w:val="0"/>
          <w:sz w:val="32"/>
          <w:szCs w:val="32"/>
        </w:rPr>
        <w:t>1.</w:t>
      </w:r>
      <w:r>
        <w:rPr>
          <w:rFonts w:hint="eastAsia" w:ascii="楷体_GB2312" w:eastAsia="楷体_GB2312" w:cs="楷体_GB2312"/>
          <w:b/>
          <w:bCs w:val="0"/>
          <w:sz w:val="32"/>
          <w:szCs w:val="32"/>
        </w:rPr>
        <w:t>明确核心指标，锚定发展目标。</w:t>
      </w:r>
      <w:r>
        <w:rPr>
          <w:rFonts w:ascii="Times New Roman" w:hAnsi="Times New Roman" w:eastAsia="仿宋_GB2312" w:cs="Times New Roman"/>
          <w:sz w:val="32"/>
          <w:szCs w:val="32"/>
        </w:rPr>
        <w:t>2026年实现工业总产</w:t>
      </w:r>
      <w:r>
        <w:rPr>
          <w:rFonts w:ascii="Times New Roman" w:hAnsi="Times New Roman" w:eastAsia="仿宋_GB2312" w:cs="Times New Roman"/>
          <w:color w:val="000000"/>
          <w:sz w:val="32"/>
          <w:szCs w:val="32"/>
        </w:rPr>
        <w:t>值680亿元、</w:t>
      </w:r>
      <w:r>
        <w:rPr>
          <w:rFonts w:hint="eastAsia" w:ascii="Times New Roman" w:hAnsi="Times New Roman" w:eastAsia="仿宋_GB2312" w:cs="Times New Roman"/>
          <w:color w:val="000000"/>
          <w:sz w:val="32"/>
          <w:szCs w:val="32"/>
        </w:rPr>
        <w:t>规上工业增加值增速10%</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新增培育升规企业8户；新增招商引资企业落地10户；新增开工项目7个、新增竣工项目5个、完成技改项目3个；完成闲置用地清理500亩，盘活闲置厂房2.4万平方米。</w:t>
      </w:r>
    </w:p>
    <w:p>
      <w:pPr>
        <w:spacing w:line="560" w:lineRule="exact"/>
        <w:ind w:firstLine="642" w:firstLineChars="200"/>
        <w:rPr>
          <w:rFonts w:ascii="Times New Roman" w:hAnsi="Times New Roman" w:eastAsia="仿宋_GB2312" w:cs="Times New Roman"/>
          <w:sz w:val="32"/>
          <w:szCs w:val="32"/>
        </w:rPr>
      </w:pPr>
      <w:r>
        <w:rPr>
          <w:rFonts w:ascii="楷体_GB2312" w:eastAsia="楷体_GB2312" w:cs="楷体_GB2312"/>
          <w:b/>
          <w:bCs w:val="0"/>
          <w:color w:val="000000"/>
          <w:sz w:val="32"/>
          <w:szCs w:val="32"/>
        </w:rPr>
        <w:t>2.</w:t>
      </w:r>
      <w:r>
        <w:rPr>
          <w:rFonts w:hint="eastAsia" w:ascii="楷体_GB2312" w:eastAsia="楷体_GB2312" w:cs="楷体_GB2312"/>
          <w:b/>
          <w:bCs w:val="0"/>
          <w:color w:val="000000"/>
          <w:sz w:val="32"/>
          <w:szCs w:val="32"/>
        </w:rPr>
        <w:t>强化制度保障，释放发展活力。</w:t>
      </w:r>
      <w:r>
        <w:rPr>
          <w:rFonts w:ascii="Times New Roman" w:hAnsi="Times New Roman" w:eastAsia="仿宋_GB2312" w:cs="Times New Roman"/>
          <w:color w:val="000000"/>
          <w:sz w:val="32"/>
          <w:szCs w:val="32"/>
        </w:rPr>
        <w:t>州内园区积极争取省</w:t>
      </w:r>
      <w:r>
        <w:rPr>
          <w:rFonts w:ascii="Times New Roman" w:hAnsi="Times New Roman" w:eastAsia="仿宋_GB2312" w:cs="Times New Roman"/>
          <w:sz w:val="32"/>
          <w:szCs w:val="32"/>
        </w:rPr>
        <w:t>级帮扶资金与项目；成阿园区优化“管委会+公司”机制，推动两地平台公司共建；德阿园区协商新合作事项，加快园区高效建设；绵阿园区推进国企实体化运作，争取专项债与补助资金支持。</w:t>
      </w:r>
    </w:p>
    <w:p>
      <w:pPr>
        <w:spacing w:line="560" w:lineRule="exact"/>
        <w:ind w:firstLine="642" w:firstLineChars="200"/>
        <w:rPr>
          <w:rFonts w:ascii="Times New Roman" w:hAnsi="Times New Roman" w:eastAsia="仿宋_GB2312" w:cs="Times New Roman"/>
          <w:sz w:val="32"/>
          <w:szCs w:val="32"/>
        </w:rPr>
      </w:pPr>
      <w:r>
        <w:rPr>
          <w:rFonts w:ascii="楷体_GB2312" w:eastAsia="楷体_GB2312" w:cs="楷体_GB2312"/>
          <w:b/>
          <w:bCs w:val="0"/>
          <w:sz w:val="32"/>
          <w:szCs w:val="32"/>
        </w:rPr>
        <w:t>3.</w:t>
      </w:r>
      <w:r>
        <w:rPr>
          <w:rFonts w:hint="eastAsia" w:ascii="楷体_GB2312" w:eastAsia="楷体_GB2312" w:cs="楷体_GB2312"/>
          <w:b/>
          <w:bCs w:val="0"/>
          <w:sz w:val="32"/>
          <w:szCs w:val="32"/>
        </w:rPr>
        <w:t>夯实产业基础，提升发展质效。</w:t>
      </w:r>
      <w:r>
        <w:rPr>
          <w:rFonts w:ascii="Times New Roman" w:hAnsi="Times New Roman" w:eastAsia="仿宋_GB2312" w:cs="Times New Roman"/>
          <w:sz w:val="32"/>
          <w:szCs w:val="32"/>
        </w:rPr>
        <w:t>州内园区推进企业循环化改造，培育存量产业增长点；成阿园区推进4个省市重点项目（年度投资13.7亿元），培育3家专精特新企业；德阿园区坚持锂电新材料“一核两翼”思路，完善项目“四张清单”，推动能投德阿锂业项目投产，修改园区控制性详细规划，完善“水电气网路”配套；绵阿园区推动久信科技、金鲲鹏项目投产，完善创新产业园基础设施闭环。</w:t>
      </w:r>
    </w:p>
    <w:p>
      <w:pPr>
        <w:spacing w:line="560" w:lineRule="exact"/>
        <w:ind w:firstLine="642" w:firstLineChars="200"/>
        <w:rPr>
          <w:rFonts w:ascii="Times New Roman" w:hAnsi="Times New Roman" w:eastAsia="仿宋_GB2312" w:cs="Times New Roman"/>
          <w:sz w:val="32"/>
          <w:szCs w:val="32"/>
        </w:rPr>
      </w:pPr>
      <w:r>
        <w:rPr>
          <w:rFonts w:ascii="楷体_GB2312" w:eastAsia="楷体_GB2312" w:cs="楷体_GB2312"/>
          <w:b/>
          <w:bCs w:val="0"/>
          <w:sz w:val="32"/>
          <w:szCs w:val="32"/>
        </w:rPr>
        <w:t>4.</w:t>
      </w:r>
      <w:r>
        <w:rPr>
          <w:rFonts w:hint="eastAsia" w:ascii="楷体_GB2312" w:eastAsia="楷体_GB2312" w:cs="楷体_GB2312"/>
          <w:b/>
          <w:bCs w:val="0"/>
          <w:sz w:val="32"/>
          <w:szCs w:val="32"/>
        </w:rPr>
        <w:t>深化精准招商，搭建跨区域平台。</w:t>
      </w:r>
      <w:r>
        <w:rPr>
          <w:rFonts w:ascii="Times New Roman" w:hAnsi="Times New Roman" w:eastAsia="仿宋_GB2312" w:cs="Times New Roman"/>
          <w:sz w:val="32"/>
          <w:szCs w:val="32"/>
        </w:rPr>
        <w:t>组建专业招商团队，聚焦氢能源、生物医药等领域，对接飞地园区下游项目；</w:t>
      </w:r>
      <w:r>
        <w:rPr>
          <w:rFonts w:ascii="Times New Roman" w:hAnsi="Times New Roman" w:eastAsia="仿宋_GB2312" w:cs="Times New Roman"/>
          <w:color w:val="000000"/>
          <w:sz w:val="32"/>
          <w:szCs w:val="32"/>
        </w:rPr>
        <w:t>成阿园区聚焦主导产业，盘活低质低效用地，引进重大项目5个以上；绵阿园区跟进欧亚新材料等项目，办好2场长三角</w:t>
      </w:r>
      <w:r>
        <w:rPr>
          <w:rFonts w:ascii="Times New Roman" w:hAnsi="Times New Roman" w:eastAsia="仿宋_GB2312" w:cs="Times New Roman"/>
          <w:sz w:val="32"/>
          <w:szCs w:val="32"/>
        </w:rPr>
        <w:t>推介会，推进1.9亿元产业基金落地；德阿园区依托化工园区与特色产业，引进重点产业项目2个以上。</w:t>
      </w:r>
    </w:p>
    <w:p>
      <w:pPr>
        <w:spacing w:line="560" w:lineRule="exact"/>
        <w:ind w:firstLine="642" w:firstLineChars="200"/>
        <w:rPr>
          <w:rFonts w:ascii="Times New Roman" w:hAnsi="Times New Roman" w:eastAsia="仿宋_GB2312"/>
          <w:sz w:val="32"/>
          <w:szCs w:val="32"/>
        </w:rPr>
      </w:pPr>
      <w:r>
        <w:rPr>
          <w:rFonts w:ascii="楷体_GB2312" w:eastAsia="楷体_GB2312" w:cs="楷体_GB2312"/>
          <w:b/>
          <w:bCs w:val="0"/>
          <w:sz w:val="32"/>
          <w:szCs w:val="32"/>
        </w:rPr>
        <w:t>5.</w:t>
      </w:r>
      <w:r>
        <w:rPr>
          <w:rFonts w:hint="eastAsia" w:ascii="楷体_GB2312" w:eastAsia="楷体_GB2312" w:cs="楷体_GB2312"/>
          <w:b/>
          <w:bCs w:val="0"/>
          <w:sz w:val="32"/>
          <w:szCs w:val="32"/>
        </w:rPr>
        <w:t>推进绿色转型，筑牢安全底线。</w:t>
      </w:r>
      <w:r>
        <w:rPr>
          <w:rFonts w:ascii="Times New Roman" w:hAnsi="Times New Roman" w:eastAsia="仿宋_GB2312" w:cs="Times New Roman"/>
          <w:sz w:val="32"/>
          <w:szCs w:val="32"/>
        </w:rPr>
        <w:t>州内园区持续推进循环化改造，强化环保技术支撑；成阿园区争创国家级零碳示范园区，完善“专家+管家”监管机制，开展应急演练；绵阿园区落实“三线一单”，建立环境监测平台，实行“周巡查、月通报”制度；德阿园区用好危化停车场等设施，依托智慧平台强化环保管控。</w:t>
      </w:r>
    </w:p>
    <w:p>
      <w:pPr>
        <w:pStyle w:val="13"/>
        <w:spacing w:line="500" w:lineRule="exact"/>
        <w:rPr>
          <w:rFonts w:ascii="方正黑体_GBK" w:eastAsia="方正黑体_GBK" w:cs="方正黑体_GBK"/>
          <w:color w:val="000000"/>
          <w:sz w:val="32"/>
          <w:szCs w:val="32"/>
        </w:rPr>
      </w:pPr>
      <w:r>
        <w:rPr>
          <w:rFonts w:hint="eastAsia" w:ascii="方正黑体_GBK" w:eastAsia="方正黑体_GBK" w:cs="方正黑体_GBK"/>
          <w:color w:val="000000"/>
          <w:sz w:val="32"/>
          <w:szCs w:val="32"/>
        </w:rPr>
        <w:t>二、部门预算单位构成</w:t>
      </w:r>
    </w:p>
    <w:p>
      <w:pPr>
        <w:pStyle w:val="13"/>
        <w:spacing w:line="520" w:lineRule="exact"/>
        <w:rPr>
          <w:rFonts w:ascii="仿宋_GB2312" w:eastAsia="仿宋_GB2312" w:cs="仿宋_GB2312"/>
          <w:sz w:val="32"/>
          <w:szCs w:val="32"/>
        </w:rPr>
      </w:pPr>
      <w:r>
        <w:rPr>
          <w:rFonts w:hint="eastAsia" w:ascii="仿宋_GB2312" w:eastAsia="仿宋_GB2312" w:cs="仿宋_GB2312"/>
          <w:sz w:val="32"/>
          <w:szCs w:val="32"/>
        </w:rPr>
        <w:t>现有机构1个，为参公事业单位，机构无变动。</w:t>
      </w:r>
    </w:p>
    <w:p>
      <w:pPr>
        <w:pStyle w:val="13"/>
        <w:spacing w:line="500" w:lineRule="exact"/>
        <w:rPr>
          <w:rFonts w:ascii="方正黑体_GBK" w:eastAsia="方正黑体_GBK" w:cs="方正黑体_GBK"/>
          <w:color w:val="000000"/>
          <w:sz w:val="32"/>
          <w:szCs w:val="32"/>
        </w:rPr>
      </w:pPr>
      <w:r>
        <w:rPr>
          <w:rFonts w:hint="eastAsia" w:ascii="方正黑体_GBK" w:eastAsia="方正黑体_GBK" w:cs="方正黑体_GBK"/>
          <w:color w:val="000000"/>
          <w:sz w:val="32"/>
          <w:szCs w:val="32"/>
        </w:rPr>
        <w:t>三、收支预算情况说明</w:t>
      </w:r>
    </w:p>
    <w:p>
      <w:pPr>
        <w:spacing w:line="500" w:lineRule="exact"/>
        <w:ind w:firstLine="642" w:firstLineChars="200"/>
        <w:rPr>
          <w:rFonts w:ascii="方正楷体_GBK" w:eastAsia="方正楷体_GBK" w:cs="方正楷体_GBK"/>
          <w:b/>
          <w:bCs/>
          <w:color w:val="000000"/>
          <w:sz w:val="32"/>
          <w:szCs w:val="32"/>
        </w:rPr>
      </w:pPr>
      <w:r>
        <w:rPr>
          <w:rFonts w:hint="eastAsia" w:ascii="方正楷体_GBK" w:eastAsia="方正楷体_GBK" w:cs="方正楷体_GBK"/>
          <w:b/>
          <w:bCs/>
          <w:color w:val="000000"/>
          <w:sz w:val="32"/>
          <w:szCs w:val="32"/>
        </w:rPr>
        <w:t>（一）收入预算情况</w:t>
      </w:r>
    </w:p>
    <w:p>
      <w:pPr>
        <w:pStyle w:val="7"/>
        <w:widowControl/>
        <w:shd w:val="clear" w:color="auto" w:fill="FFFFFF"/>
        <w:spacing w:before="0" w:beforeAutospacing="0" w:after="0" w:afterAutospacing="0" w:line="500" w:lineRule="exact"/>
        <w:ind w:firstLine="640" w:firstLineChars="200"/>
        <w:jc w:val="both"/>
        <w:textAlignment w:val="baseline"/>
        <w:rPr>
          <w:rFonts w:hint="default" w:ascii="Times New Roman" w:hAnsi="Times New Roman" w:eastAsia="楷体" w:cs="Times New Roman"/>
          <w:color w:val="000000"/>
          <w:sz w:val="32"/>
          <w:szCs w:val="32"/>
        </w:rPr>
      </w:pPr>
      <w:r>
        <w:rPr>
          <w:rFonts w:hint="default" w:ascii="Times New Roman" w:hAnsi="Times New Roman" w:eastAsia="仿宋_GB2312" w:cs="Times New Roman"/>
          <w:color w:val="000000"/>
          <w:kern w:val="2"/>
          <w:sz w:val="32"/>
          <w:szCs w:val="32"/>
        </w:rPr>
        <w:t>四川阿坝工业园区管理委员会所有收入和支出均纳入部门预算管理。收入包括：一般公共预算拨款总收入901.10万元，其中：机关事业单位基本养老保险收入68.07万元，机关事业单位职业年金收入34.03万元，行政单位医疗收入29.78万元，公务员医疗补助收入9.09万元，行政运行收入603.63万元，项目收入107万元，住房公积金收入49.50万元。</w:t>
      </w:r>
    </w:p>
    <w:p>
      <w:pPr>
        <w:spacing w:line="500" w:lineRule="exact"/>
        <w:ind w:firstLine="642" w:firstLineChars="200"/>
        <w:rPr>
          <w:rFonts w:ascii="方正楷体_GBK" w:eastAsia="方正楷体_GBK" w:cs="方正楷体_GBK"/>
          <w:b/>
          <w:bCs/>
          <w:color w:val="000000"/>
          <w:sz w:val="32"/>
          <w:szCs w:val="32"/>
        </w:rPr>
      </w:pPr>
      <w:r>
        <w:rPr>
          <w:rFonts w:hint="eastAsia" w:ascii="方正楷体_GBK" w:eastAsia="方正楷体_GBK" w:cs="方正楷体_GBK"/>
          <w:b/>
          <w:bCs/>
          <w:color w:val="000000"/>
          <w:sz w:val="32"/>
          <w:szCs w:val="32"/>
        </w:rPr>
        <w:t>（二）支出预算情况</w:t>
      </w:r>
    </w:p>
    <w:p>
      <w:pPr>
        <w:pStyle w:val="13"/>
        <w:spacing w:line="500" w:lineRule="exact"/>
        <w:rPr>
          <w:rFonts w:hint="default" w:ascii="Times New Roman" w:hAnsi="Times New Roman" w:eastAsia="方正黑体_GBK" w:cs="Times New Roman"/>
          <w:color w:val="000000"/>
          <w:sz w:val="32"/>
          <w:szCs w:val="32"/>
        </w:rPr>
      </w:pPr>
      <w:r>
        <w:rPr>
          <w:rFonts w:hint="default" w:ascii="Times New Roman" w:hAnsi="Times New Roman" w:eastAsia="仿宋_GB2312" w:cs="Times New Roman"/>
          <w:color w:val="000000"/>
          <w:sz w:val="32"/>
          <w:szCs w:val="32"/>
        </w:rPr>
        <w:t>四川阿坝工业园区管理委员会所有收入和支出均纳入部门预算管理。支出包括：我委预算总支出901.10万元 ，其中：机关事业单位基本养老保险缴费支出68.07万元，机关事业单位职业年金缴费支出34.03万元，行政单位医疗支出29.78万元，公务员医疗补助支出9.09万元，行政运行支出603.63万元， 项目支出107万元，住房公积金支出49.50万元。</w:t>
      </w:r>
    </w:p>
    <w:p>
      <w:pPr>
        <w:pStyle w:val="13"/>
        <w:spacing w:line="500" w:lineRule="exact"/>
        <w:rPr>
          <w:rFonts w:ascii="方正楷体_GBK" w:eastAsia="方正楷体_GBK" w:cs="方正楷体_GBK"/>
          <w:b/>
          <w:bCs/>
          <w:color w:val="000000"/>
          <w:sz w:val="32"/>
          <w:szCs w:val="32"/>
        </w:rPr>
      </w:pPr>
      <w:r>
        <w:rPr>
          <w:rFonts w:hint="eastAsia" w:ascii="方正黑体_GBK" w:eastAsia="方正黑体_GBK" w:cs="方正黑体_GBK"/>
          <w:color w:val="000000"/>
          <w:sz w:val="32"/>
          <w:szCs w:val="32"/>
        </w:rPr>
        <w:t>四、财政拨款收支预算情况说明</w:t>
      </w:r>
    </w:p>
    <w:p>
      <w:pPr>
        <w:pStyle w:val="7"/>
        <w:widowControl/>
        <w:shd w:val="clear" w:color="auto" w:fill="FFFFFF"/>
        <w:spacing w:before="0" w:beforeAutospacing="0" w:after="0" w:afterAutospacing="0" w:line="500" w:lineRule="exact"/>
        <w:ind w:firstLine="640" w:firstLineChars="200"/>
        <w:jc w:val="both"/>
        <w:textAlignment w:val="baseline"/>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sz w:val="32"/>
          <w:szCs w:val="32"/>
        </w:rPr>
        <w:t>四川阿坝工业园区管理委员会2026年财政拨款收支总预算901.10万元,比2025年财政拨款收支总预算增加83.62万元，主要原因:</w:t>
      </w:r>
      <w:r>
        <w:rPr>
          <w:rFonts w:hint="default" w:ascii="Times New Roman" w:hAnsi="Times New Roman" w:eastAsia="仿宋_GB2312" w:cs="Times New Roman"/>
          <w:b/>
          <w:bCs/>
          <w:color w:val="000000"/>
          <w:sz w:val="32"/>
          <w:szCs w:val="32"/>
        </w:rPr>
        <w:t>一是</w:t>
      </w:r>
      <w:r>
        <w:rPr>
          <w:rFonts w:hint="default" w:ascii="Times New Roman" w:hAnsi="Times New Roman" w:eastAsia="仿宋_GB2312" w:cs="Times New Roman"/>
          <w:color w:val="000000"/>
          <w:sz w:val="32"/>
          <w:szCs w:val="32"/>
        </w:rPr>
        <w:t>2026年人员增加1人，运行费</w:t>
      </w:r>
      <w:r>
        <w:rPr>
          <w:rFonts w:hint="default" w:ascii="Times New Roman" w:hAnsi="Times New Roman" w:eastAsia="仿宋_GB2312" w:cs="Times New Roman"/>
          <w:color w:val="000000"/>
          <w:kern w:val="2"/>
          <w:sz w:val="32"/>
          <w:szCs w:val="32"/>
        </w:rPr>
        <w:t>、职工工资、社保和住房公积金等经费较2025年有所增加;</w:t>
      </w:r>
      <w:r>
        <w:rPr>
          <w:rFonts w:hint="default" w:ascii="Times New Roman" w:hAnsi="Times New Roman" w:eastAsia="仿宋_GB2312" w:cs="Times New Roman"/>
          <w:b/>
          <w:bCs/>
          <w:color w:val="000000"/>
          <w:kern w:val="2"/>
          <w:sz w:val="32"/>
          <w:szCs w:val="32"/>
        </w:rPr>
        <w:t>二是</w:t>
      </w:r>
      <w:r>
        <w:rPr>
          <w:rFonts w:hint="default" w:ascii="Times New Roman" w:hAnsi="Times New Roman" w:eastAsia="仿宋_GB2312" w:cs="Times New Roman"/>
          <w:color w:val="000000"/>
          <w:kern w:val="2"/>
          <w:sz w:val="32"/>
          <w:szCs w:val="32"/>
        </w:rPr>
        <w:t>增加了车辆大修、聘请法律顾问、四川阿坝经济开发区总体规划编制等项目,项目经费增加。</w:t>
      </w:r>
    </w:p>
    <w:p>
      <w:pPr>
        <w:pStyle w:val="7"/>
        <w:widowControl/>
        <w:shd w:val="clear" w:color="auto" w:fill="FFFFFF"/>
        <w:spacing w:before="0" w:beforeAutospacing="0" w:after="0" w:afterAutospacing="0" w:line="500" w:lineRule="exact"/>
        <w:ind w:firstLine="640" w:firstLineChars="200"/>
        <w:jc w:val="both"/>
        <w:textAlignment w:val="baseline"/>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收入包括：</w:t>
      </w:r>
      <w:r>
        <w:rPr>
          <w:rFonts w:hint="default" w:ascii="Times New Roman" w:hAnsi="Times New Roman" w:eastAsia="仿宋_GB2312" w:cs="Times New Roman"/>
          <w:color w:val="000000"/>
          <w:kern w:val="2"/>
          <w:sz w:val="32"/>
          <w:szCs w:val="32"/>
        </w:rPr>
        <w:t>一般公共预算拨款总收入901.10万元，其中：机关事业单位基本养老保险收入68.07万元，机关事业单位职业年金收入34.03万元，行政单位医疗收入29.78万元，公务员医疗补助收入9.09万元，行政运行收入603.63万元，项目收入107万元，住房公积金收入49.50万元。</w:t>
      </w:r>
    </w:p>
    <w:p>
      <w:pPr>
        <w:pStyle w:val="7"/>
        <w:widowControl/>
        <w:shd w:val="clear" w:color="auto" w:fill="FFFFFF"/>
        <w:spacing w:before="0" w:beforeAutospacing="0" w:after="0" w:afterAutospacing="0" w:line="500" w:lineRule="exact"/>
        <w:ind w:firstLine="640" w:firstLineChars="200"/>
        <w:jc w:val="both"/>
        <w:textAlignment w:val="baseline"/>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支出包括：</w:t>
      </w:r>
      <w:r>
        <w:rPr>
          <w:rFonts w:hint="default" w:ascii="Times New Roman" w:hAnsi="Times New Roman" w:eastAsia="仿宋_GB2312" w:cs="Times New Roman"/>
          <w:color w:val="000000"/>
          <w:kern w:val="2"/>
          <w:sz w:val="32"/>
          <w:szCs w:val="32"/>
        </w:rPr>
        <w:t>我委预算总支出901.10万元 ，其中：机关事业单位基本养老保险缴费支出68.07万元，机关事业单位职业年金缴费支出34.03万元，行政单位医疗支出29.78万元，公务员医疗补助支出9.09万元，行政运行支出603.63万元， 项目支出107万元，住房公积金支出49.50万元。</w:t>
      </w:r>
    </w:p>
    <w:p>
      <w:pPr>
        <w:spacing w:line="500" w:lineRule="exact"/>
        <w:ind w:firstLine="640" w:firstLineChars="200"/>
        <w:rPr>
          <w:rFonts w:ascii="方正黑体_GBK" w:eastAsia="方正黑体_GBK" w:cs="方正黑体_GBK"/>
          <w:color w:val="000000"/>
          <w:sz w:val="32"/>
          <w:szCs w:val="32"/>
        </w:rPr>
      </w:pPr>
      <w:r>
        <w:rPr>
          <w:rFonts w:hint="eastAsia" w:ascii="方正黑体_GBK" w:eastAsia="方正黑体_GBK" w:cs="方正黑体_GBK"/>
          <w:color w:val="000000"/>
          <w:sz w:val="32"/>
          <w:szCs w:val="32"/>
        </w:rPr>
        <w:t>五、一般公共预算当年拨款情况说明</w:t>
      </w:r>
    </w:p>
    <w:p>
      <w:pPr>
        <w:pStyle w:val="14"/>
        <w:spacing w:before="0" w:line="500" w:lineRule="exact"/>
        <w:ind w:firstLine="642" w:firstLineChars="200"/>
        <w:rPr>
          <w:rFonts w:ascii="方正楷体_GBK" w:eastAsia="方正楷体_GBK" w:cs="方正楷体_GBK"/>
          <w:b/>
          <w:bCs/>
          <w:color w:val="000000"/>
          <w:kern w:val="2"/>
          <w:sz w:val="32"/>
          <w:szCs w:val="32"/>
        </w:rPr>
      </w:pPr>
      <w:r>
        <w:rPr>
          <w:rFonts w:hint="eastAsia" w:ascii="方正楷体_GBK" w:eastAsia="方正楷体_GBK" w:cs="方正楷体_GBK"/>
          <w:b/>
          <w:bCs/>
          <w:color w:val="000000"/>
          <w:kern w:val="2"/>
          <w:sz w:val="32"/>
          <w:szCs w:val="32"/>
        </w:rPr>
        <w:t>（一）一般公共预算当年拨款规模变化情况</w:t>
      </w:r>
    </w:p>
    <w:p>
      <w:pPr>
        <w:pStyle w:val="7"/>
        <w:widowControl/>
        <w:shd w:val="clear" w:color="auto" w:fill="FFFFFF"/>
        <w:spacing w:before="0" w:beforeAutospacing="0" w:after="0" w:afterAutospacing="0" w:line="500" w:lineRule="exact"/>
        <w:ind w:firstLine="640" w:firstLineChars="200"/>
        <w:jc w:val="both"/>
        <w:textAlignment w:val="baseline"/>
        <w:rPr>
          <w:rFonts w:ascii="仿宋_GB2312" w:eastAsia="仿宋_GB2312" w:cs="仿宋_GB2312"/>
          <w:color w:val="000000"/>
          <w:kern w:val="2"/>
          <w:sz w:val="32"/>
          <w:szCs w:val="32"/>
        </w:rPr>
      </w:pPr>
      <w:r>
        <w:rPr>
          <w:rFonts w:hint="default" w:ascii="Times New Roman" w:hAnsi="Times New Roman" w:eastAsia="方正仿宋_GBK" w:cs="Times New Roman"/>
          <w:color w:val="000000"/>
          <w:sz w:val="32"/>
          <w:szCs w:val="32"/>
        </w:rPr>
        <w:t>四川阿坝工业园区管理委员会2026年一般公共预算当年拨款901.10万元，比2025年预算数增加83.62万元，主要原因:</w:t>
      </w:r>
      <w:r>
        <w:rPr>
          <w:rFonts w:hint="default" w:ascii="Times New Roman" w:hAnsi="Times New Roman" w:eastAsia="方正仿宋_GBK" w:cs="Times New Roman"/>
          <w:b/>
          <w:bCs/>
          <w:color w:val="000000"/>
          <w:sz w:val="32"/>
          <w:szCs w:val="32"/>
        </w:rPr>
        <w:t>一是</w:t>
      </w:r>
      <w:r>
        <w:rPr>
          <w:rFonts w:hint="default" w:ascii="Times New Roman" w:hAnsi="Times New Roman" w:eastAsia="仿宋_GB2312" w:cs="Times New Roman"/>
          <w:color w:val="000000"/>
          <w:sz w:val="32"/>
          <w:szCs w:val="32"/>
        </w:rPr>
        <w:t>2026年人员增加1人，运行费</w:t>
      </w:r>
      <w:r>
        <w:rPr>
          <w:rFonts w:hint="default" w:ascii="Times New Roman" w:hAnsi="Times New Roman" w:eastAsia="仿宋_GB2312" w:cs="Times New Roman"/>
          <w:color w:val="000000"/>
          <w:kern w:val="2"/>
          <w:sz w:val="32"/>
          <w:szCs w:val="32"/>
        </w:rPr>
        <w:t>、职工工资、社保和住房公积金等经费较2025年有所增加;</w:t>
      </w:r>
      <w:r>
        <w:rPr>
          <w:rFonts w:hint="default" w:ascii="Times New Roman" w:hAnsi="Times New Roman" w:eastAsia="仿宋_GB2312" w:cs="Times New Roman"/>
          <w:b/>
          <w:bCs/>
          <w:color w:val="000000"/>
          <w:kern w:val="2"/>
          <w:sz w:val="32"/>
          <w:szCs w:val="32"/>
        </w:rPr>
        <w:t>二是</w:t>
      </w:r>
      <w:r>
        <w:rPr>
          <w:rFonts w:hint="default" w:ascii="Times New Roman" w:hAnsi="Times New Roman" w:eastAsia="仿宋_GB2312" w:cs="Times New Roman"/>
          <w:color w:val="000000"/>
          <w:kern w:val="2"/>
          <w:sz w:val="32"/>
          <w:szCs w:val="32"/>
        </w:rPr>
        <w:t>增加了车辆大修、聘请法律顾问、四川阿坝经济开发区总体规划编制等项目,项目经费增加。</w:t>
      </w:r>
    </w:p>
    <w:p>
      <w:pPr>
        <w:pStyle w:val="14"/>
        <w:spacing w:before="0" w:line="500" w:lineRule="exact"/>
        <w:ind w:firstLine="642" w:firstLineChars="200"/>
        <w:rPr>
          <w:rFonts w:ascii="方正楷体_GBK" w:eastAsia="方正楷体_GBK" w:cs="方正楷体_GBK"/>
          <w:b/>
          <w:bCs/>
          <w:color w:val="000000"/>
          <w:kern w:val="2"/>
          <w:sz w:val="32"/>
          <w:szCs w:val="32"/>
        </w:rPr>
      </w:pPr>
      <w:r>
        <w:rPr>
          <w:rFonts w:hint="eastAsia" w:ascii="方正楷体_GBK" w:eastAsia="方正楷体_GBK" w:cs="方正楷体_GBK"/>
          <w:b/>
          <w:bCs/>
          <w:color w:val="000000"/>
          <w:kern w:val="2"/>
          <w:sz w:val="32"/>
          <w:szCs w:val="32"/>
        </w:rPr>
        <w:t>（二）一般公共预算当年拨款结构情况</w:t>
      </w:r>
    </w:p>
    <w:p>
      <w:pPr>
        <w:pStyle w:val="7"/>
        <w:widowControl/>
        <w:shd w:val="clear" w:color="auto" w:fill="FFFFFF"/>
        <w:spacing w:before="0" w:beforeAutospacing="0" w:after="0" w:afterAutospacing="0" w:line="500" w:lineRule="exact"/>
        <w:ind w:firstLine="640" w:firstLineChars="200"/>
        <w:jc w:val="both"/>
        <w:textAlignment w:val="baseline"/>
        <w:rPr>
          <w:rFonts w:hint="default" w:ascii="Times New Roman" w:hAnsi="Times New Roman" w:cs="Times New Roman"/>
          <w:color w:val="000000"/>
          <w:kern w:val="2"/>
          <w:sz w:val="32"/>
          <w:szCs w:val="32"/>
        </w:rPr>
      </w:pPr>
      <w:r>
        <w:rPr>
          <w:rFonts w:hint="default" w:ascii="Times New Roman" w:hAnsi="Times New Roman" w:eastAsia="仿宋_GB2312" w:cs="Times New Roman"/>
          <w:color w:val="000000"/>
          <w:kern w:val="2"/>
          <w:sz w:val="32"/>
          <w:szCs w:val="32"/>
        </w:rPr>
        <w:t>我委拨款预算总支出901.10万元 ，一般公共服务支出</w:t>
      </w:r>
      <w:r>
        <w:rPr>
          <w:rFonts w:hint="default" w:ascii="Times New Roman" w:hAnsi="Times New Roman" w:eastAsia="方正仿宋_GBK" w:cs="Times New Roman"/>
          <w:color w:val="000000"/>
          <w:sz w:val="32"/>
          <w:szCs w:val="32"/>
        </w:rPr>
        <w:t>901.10万元，占100%；</w:t>
      </w:r>
      <w:r>
        <w:rPr>
          <w:rFonts w:hint="default" w:ascii="Times New Roman" w:hAnsi="Times New Roman" w:eastAsia="仿宋_GB2312" w:cs="Times New Roman"/>
          <w:color w:val="000000"/>
          <w:kern w:val="2"/>
          <w:sz w:val="32"/>
          <w:szCs w:val="32"/>
        </w:rPr>
        <w:t>其中：社会保障和就业支出102.10万元，占11.33%；卫生健康支出38.87万元，占4.32%；资源勘探信息等支出710.63万元，占78.86%；住房保障支出49.50万元，占5.49%。</w:t>
      </w:r>
    </w:p>
    <w:p>
      <w:pPr>
        <w:pStyle w:val="14"/>
        <w:spacing w:before="0" w:line="500" w:lineRule="exact"/>
        <w:ind w:firstLine="642" w:firstLineChars="200"/>
        <w:rPr>
          <w:rFonts w:ascii="方正楷体_GBK" w:eastAsia="方正楷体_GBK" w:cs="方正楷体_GBK"/>
          <w:b/>
          <w:bCs/>
          <w:color w:val="000000"/>
          <w:kern w:val="2"/>
          <w:sz w:val="32"/>
          <w:szCs w:val="32"/>
        </w:rPr>
      </w:pPr>
      <w:r>
        <w:rPr>
          <w:rFonts w:hint="eastAsia" w:ascii="方正楷体_GBK" w:eastAsia="方正楷体_GBK" w:cs="方正楷体_GBK"/>
          <w:b/>
          <w:bCs/>
          <w:color w:val="000000"/>
          <w:kern w:val="2"/>
          <w:sz w:val="32"/>
          <w:szCs w:val="32"/>
        </w:rPr>
        <w:t>（三）一般公共预算当年拨款具体使用情况</w:t>
      </w:r>
    </w:p>
    <w:p>
      <w:pPr>
        <w:pStyle w:val="7"/>
        <w:widowControl/>
        <w:shd w:val="clear" w:color="auto" w:fill="FFFFFF"/>
        <w:spacing w:before="0" w:beforeAutospacing="0" w:after="0" w:afterAutospacing="0" w:line="500" w:lineRule="exact"/>
        <w:ind w:firstLine="640" w:firstLineChars="200"/>
        <w:jc w:val="both"/>
        <w:textAlignment w:val="baseline"/>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1.行政运行2026年预算数为603.63万元，主要用于:维持本单位正常运转的人员经费和公用经费支出，其中：三公经费44.59万元。</w:t>
      </w:r>
    </w:p>
    <w:p>
      <w:pPr>
        <w:pStyle w:val="7"/>
        <w:widowControl/>
        <w:shd w:val="clear" w:color="auto" w:fill="FFFFFF"/>
        <w:spacing w:before="0" w:beforeAutospacing="0" w:after="0" w:afterAutospacing="0" w:line="500" w:lineRule="exact"/>
        <w:ind w:firstLine="640" w:firstLineChars="200"/>
        <w:jc w:val="both"/>
        <w:textAlignment w:val="baseline"/>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2.项目支出2026年预算数为107万元，主要用于：园区开展招商引资、工业推进、职工伤残补助、车辆大修、聘请法律顾问、四川阿坝经济开发区总体规划编制。</w:t>
      </w:r>
    </w:p>
    <w:p>
      <w:pPr>
        <w:pStyle w:val="7"/>
        <w:widowControl/>
        <w:shd w:val="clear" w:color="auto" w:fill="FFFFFF"/>
        <w:spacing w:before="0" w:beforeAutospacing="0" w:after="0" w:afterAutospacing="0" w:line="500" w:lineRule="exact"/>
        <w:ind w:firstLine="640" w:firstLineChars="200"/>
        <w:jc w:val="both"/>
        <w:textAlignment w:val="baseline"/>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3.社会保障和就业支出——机关事业单位基本养老保险缴费支出2026年预算数为68.07万元，主要用于:为职工缴存养老保险单位部分。</w:t>
      </w:r>
    </w:p>
    <w:p>
      <w:pPr>
        <w:pStyle w:val="7"/>
        <w:widowControl/>
        <w:shd w:val="clear" w:color="auto" w:fill="FFFFFF"/>
        <w:spacing w:before="0" w:beforeAutospacing="0" w:after="0" w:afterAutospacing="0" w:line="500" w:lineRule="exact"/>
        <w:ind w:firstLine="640" w:firstLineChars="200"/>
        <w:jc w:val="both"/>
        <w:textAlignment w:val="baseline"/>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4.社会保障和就业支出——机关事业单位职业年金缴费支出2026年预算数为34.03万元，主要用于:为职工缴存职业年金单位部分。</w:t>
      </w:r>
    </w:p>
    <w:p>
      <w:pPr>
        <w:pStyle w:val="7"/>
        <w:widowControl/>
        <w:shd w:val="clear" w:color="auto" w:fill="FFFFFF"/>
        <w:spacing w:before="0" w:beforeAutospacing="0" w:after="0" w:afterAutospacing="0" w:line="500" w:lineRule="exact"/>
        <w:ind w:firstLine="640" w:firstLineChars="200"/>
        <w:jc w:val="both"/>
        <w:textAlignment w:val="baseline"/>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5.医疗卫生与计划生育支出——行政单位医疗2026年预算数为29.78万元，主要用于:为职工缴存基本医疗保险单位部分。</w:t>
      </w:r>
    </w:p>
    <w:p>
      <w:pPr>
        <w:pStyle w:val="7"/>
        <w:widowControl/>
        <w:shd w:val="clear" w:color="auto" w:fill="FFFFFF"/>
        <w:spacing w:before="0" w:beforeAutospacing="0" w:after="0" w:afterAutospacing="0" w:line="500" w:lineRule="exact"/>
        <w:ind w:firstLine="640" w:firstLineChars="200"/>
        <w:jc w:val="both"/>
        <w:textAlignment w:val="baseline"/>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6.卫生健康支出——公务员医疗补助支出2026年预算数为9.09万元，主要用于:为职工缴存行政事业单位补充医疗保险单位部分。</w:t>
      </w:r>
    </w:p>
    <w:p>
      <w:pPr>
        <w:pStyle w:val="7"/>
        <w:widowControl/>
        <w:shd w:val="clear" w:color="auto" w:fill="FFFFFF"/>
        <w:spacing w:before="0" w:beforeAutospacing="0" w:after="0" w:afterAutospacing="0" w:line="500" w:lineRule="exact"/>
        <w:ind w:firstLine="640" w:firstLineChars="200"/>
        <w:jc w:val="both"/>
        <w:textAlignment w:val="baseline"/>
        <w:rPr>
          <w:rFonts w:hint="default" w:ascii="Times New Roman" w:hAnsi="Times New Roman" w:cs="Times New Roman"/>
          <w:color w:val="000000"/>
          <w:kern w:val="2"/>
          <w:sz w:val="32"/>
          <w:szCs w:val="32"/>
        </w:rPr>
      </w:pPr>
      <w:r>
        <w:rPr>
          <w:rFonts w:hint="default" w:ascii="Times New Roman" w:hAnsi="Times New Roman" w:eastAsia="仿宋_GB2312" w:cs="Times New Roman"/>
          <w:color w:val="000000"/>
          <w:kern w:val="2"/>
          <w:sz w:val="32"/>
          <w:szCs w:val="32"/>
        </w:rPr>
        <w:t>7.住房保障支出——住房改革支出——住房公积金2026年预算数为49.50万元，主要用于:为职工缴存住房公积金单位部分。</w:t>
      </w:r>
    </w:p>
    <w:p>
      <w:pPr>
        <w:spacing w:line="500" w:lineRule="exact"/>
        <w:ind w:firstLine="640" w:firstLineChars="200"/>
        <w:rPr>
          <w:rFonts w:ascii="方正黑体_GBK" w:eastAsia="方正黑体_GBK" w:cs="方正黑体_GBK"/>
          <w:color w:val="000000"/>
          <w:sz w:val="32"/>
          <w:szCs w:val="32"/>
        </w:rPr>
      </w:pPr>
      <w:r>
        <w:rPr>
          <w:rFonts w:hint="eastAsia" w:ascii="方正黑体_GBK" w:eastAsia="方正黑体_GBK" w:cs="方正黑体_GBK"/>
          <w:color w:val="000000"/>
          <w:sz w:val="32"/>
          <w:szCs w:val="32"/>
        </w:rPr>
        <w:t>六、一般公共预算基本支出情况说明</w:t>
      </w:r>
    </w:p>
    <w:p>
      <w:pPr>
        <w:pStyle w:val="14"/>
        <w:spacing w:before="0" w:line="500" w:lineRule="exact"/>
        <w:ind w:firstLine="640" w:firstLineChars="200"/>
        <w:rPr>
          <w:rFonts w:hint="default" w:ascii="Times New Roman" w:hAnsi="Times New Roman" w:cs="Times New Roman"/>
          <w:color w:val="000000"/>
          <w:kern w:val="2"/>
          <w:sz w:val="32"/>
          <w:szCs w:val="32"/>
        </w:rPr>
      </w:pPr>
      <w:r>
        <w:rPr>
          <w:rFonts w:hint="default" w:ascii="Times New Roman" w:hAnsi="Times New Roman" w:cs="Times New Roman"/>
          <w:color w:val="000000"/>
          <w:kern w:val="2"/>
          <w:sz w:val="32"/>
          <w:szCs w:val="32"/>
        </w:rPr>
        <w:t>四川阿坝工业园区管理委员会2026年一般公共预算基本支出794.10万元，其中：人员经费673.18万元，主要包括：基本工资、津贴补贴、奖金、其他社会保障缴费、绩效奖金、机关事业单位基本养老保险缴费、职业年金缴费、其他工资福利支出、退休人员公用经费、奖励金、住房公积金、其他对个人和家庭的补助支出;公用经费120.92万元，主要包括：办公费、印刷费、手续费、水费、电费、邮电费、差旅费、维修（护）费、租赁费、会议费、培训费、劳务费、工会经费、福利费、其他交通工具运行维护费、其他商品和服务支出。</w:t>
      </w:r>
    </w:p>
    <w:p>
      <w:pPr>
        <w:pStyle w:val="7"/>
        <w:widowControl/>
        <w:shd w:val="clear" w:color="auto" w:fill="FFFFFF"/>
        <w:spacing w:before="0" w:beforeAutospacing="0" w:after="0" w:afterAutospacing="0" w:line="500" w:lineRule="exact"/>
        <w:ind w:left="0" w:firstLine="640" w:firstLineChars="200"/>
        <w:jc w:val="both"/>
        <w:textAlignment w:val="baseline"/>
        <w:rPr>
          <w:rFonts w:ascii="黑体" w:eastAsia="黑体"/>
          <w:color w:val="000000"/>
          <w:sz w:val="32"/>
          <w:szCs w:val="32"/>
        </w:rPr>
      </w:pPr>
      <w:r>
        <w:rPr>
          <w:rFonts w:hint="eastAsia" w:ascii="方正黑体_GBK" w:eastAsia="方正黑体_GBK" w:cs="方正黑体_GBK"/>
          <w:color w:val="000000"/>
          <w:kern w:val="2"/>
          <w:sz w:val="32"/>
          <w:szCs w:val="32"/>
        </w:rPr>
        <w:t>七、“三公”经费财政拨款预算安排情况说明</w:t>
      </w:r>
    </w:p>
    <w:p>
      <w:pPr>
        <w:pStyle w:val="14"/>
        <w:spacing w:before="0" w:line="500" w:lineRule="exact"/>
        <w:ind w:firstLine="640" w:firstLineChars="200"/>
        <w:rPr>
          <w:rFonts w:cs="仿宋_GB2312"/>
          <w:color w:val="000000"/>
          <w:kern w:val="2"/>
          <w:sz w:val="32"/>
          <w:szCs w:val="32"/>
        </w:rPr>
      </w:pPr>
      <w:r>
        <w:rPr>
          <w:rFonts w:hint="default" w:ascii="Times New Roman" w:hAnsi="Times New Roman" w:cs="Times New Roman"/>
          <w:color w:val="000000"/>
          <w:kern w:val="2"/>
          <w:sz w:val="32"/>
          <w:szCs w:val="32"/>
        </w:rPr>
        <w:t>四川阿坝工业园区管理委员会2026年“三公”经费财政拨款预算数44.59万元，其中：因公出国（境）经费0万元，公务接待费2.03万元，公务用车运行维护费42.56万元。</w:t>
      </w:r>
    </w:p>
    <w:p>
      <w:pPr>
        <w:pStyle w:val="14"/>
        <w:spacing w:before="0" w:line="500" w:lineRule="exact"/>
        <w:ind w:firstLine="642" w:firstLineChars="200"/>
        <w:rPr>
          <w:rFonts w:ascii="方正楷体_GBK" w:eastAsia="方正楷体_GBK" w:cs="方正楷体_GBK"/>
          <w:b/>
          <w:bCs/>
          <w:color w:val="000000"/>
          <w:kern w:val="2"/>
          <w:sz w:val="32"/>
          <w:szCs w:val="32"/>
        </w:rPr>
      </w:pPr>
      <w:r>
        <w:rPr>
          <w:rFonts w:hint="eastAsia" w:ascii="方正楷体_GBK" w:eastAsia="方正楷体_GBK" w:cs="方正楷体_GBK"/>
          <w:b/>
          <w:bCs/>
          <w:color w:val="000000"/>
          <w:kern w:val="2"/>
          <w:sz w:val="32"/>
          <w:szCs w:val="32"/>
        </w:rPr>
        <w:t>（一）202</w:t>
      </w:r>
      <w:r>
        <w:rPr>
          <w:rFonts w:ascii="方正楷体_GBK" w:eastAsia="方正楷体_GBK" w:cs="方正楷体_GBK"/>
          <w:b/>
          <w:bCs/>
          <w:color w:val="000000"/>
          <w:kern w:val="2"/>
          <w:sz w:val="32"/>
          <w:szCs w:val="32"/>
        </w:rPr>
        <w:t>6</w:t>
      </w:r>
      <w:r>
        <w:rPr>
          <w:rFonts w:hint="eastAsia" w:ascii="方正楷体_GBK" w:eastAsia="方正楷体_GBK" w:cs="方正楷体_GBK"/>
          <w:b/>
          <w:bCs/>
          <w:color w:val="000000"/>
          <w:kern w:val="2"/>
          <w:sz w:val="32"/>
          <w:szCs w:val="32"/>
        </w:rPr>
        <w:t>年因公出国（境）经费0万元</w:t>
      </w:r>
      <w:r>
        <w:rPr>
          <w:rFonts w:ascii="方正楷体_GBK" w:eastAsia="方正楷体_GBK" w:cs="方正楷体_GBK"/>
          <w:b/>
          <w:bCs/>
          <w:color w:val="000000"/>
          <w:kern w:val="2"/>
          <w:sz w:val="32"/>
          <w:szCs w:val="32"/>
        </w:rPr>
        <w:t>,与2025年相比无变化</w:t>
      </w:r>
      <w:r>
        <w:rPr>
          <w:rFonts w:hint="eastAsia" w:ascii="方正楷体_GBK" w:eastAsia="方正楷体_GBK" w:cs="方正楷体_GBK"/>
          <w:b/>
          <w:bCs/>
          <w:color w:val="000000"/>
          <w:kern w:val="2"/>
          <w:sz w:val="32"/>
          <w:szCs w:val="32"/>
        </w:rPr>
        <w:t>。</w:t>
      </w:r>
    </w:p>
    <w:p>
      <w:pPr>
        <w:pStyle w:val="14"/>
        <w:spacing w:before="0" w:line="500" w:lineRule="exact"/>
        <w:ind w:firstLine="642" w:firstLineChars="200"/>
        <w:rPr>
          <w:rFonts w:ascii="方正楷体_GBK" w:eastAsia="方正楷体_GBK" w:cs="方正楷体_GBK"/>
          <w:b/>
          <w:bCs/>
          <w:color w:val="000000"/>
          <w:kern w:val="2"/>
          <w:sz w:val="32"/>
          <w:szCs w:val="32"/>
        </w:rPr>
      </w:pPr>
      <w:r>
        <w:rPr>
          <w:rFonts w:hint="eastAsia" w:ascii="方正楷体_GBK" w:eastAsia="方正楷体_GBK" w:cs="方正楷体_GBK"/>
          <w:b/>
          <w:bCs/>
          <w:color w:val="000000"/>
          <w:kern w:val="2"/>
          <w:sz w:val="32"/>
          <w:szCs w:val="32"/>
        </w:rPr>
        <w:t>（二）202</w:t>
      </w:r>
      <w:r>
        <w:rPr>
          <w:rFonts w:ascii="方正楷体_GBK" w:eastAsia="方正楷体_GBK" w:cs="方正楷体_GBK"/>
          <w:b/>
          <w:bCs/>
          <w:color w:val="000000"/>
          <w:kern w:val="2"/>
          <w:sz w:val="32"/>
          <w:szCs w:val="32"/>
        </w:rPr>
        <w:t>6</w:t>
      </w:r>
      <w:r>
        <w:rPr>
          <w:rFonts w:hint="eastAsia" w:ascii="方正楷体_GBK" w:eastAsia="方正楷体_GBK" w:cs="方正楷体_GBK"/>
          <w:b/>
          <w:bCs/>
          <w:color w:val="000000"/>
          <w:kern w:val="2"/>
          <w:sz w:val="32"/>
          <w:szCs w:val="32"/>
        </w:rPr>
        <w:t>年公务接待经费2.0</w:t>
      </w:r>
      <w:r>
        <w:rPr>
          <w:rFonts w:ascii="方正楷体_GBK" w:eastAsia="方正楷体_GBK" w:cs="方正楷体_GBK"/>
          <w:b/>
          <w:bCs/>
          <w:color w:val="000000"/>
          <w:kern w:val="2"/>
          <w:sz w:val="32"/>
          <w:szCs w:val="32"/>
        </w:rPr>
        <w:t>3</w:t>
      </w:r>
      <w:r>
        <w:rPr>
          <w:rFonts w:hint="eastAsia" w:ascii="方正楷体_GBK" w:eastAsia="方正楷体_GBK" w:cs="方正楷体_GBK"/>
          <w:b/>
          <w:bCs/>
          <w:color w:val="000000"/>
          <w:kern w:val="2"/>
          <w:sz w:val="32"/>
          <w:szCs w:val="32"/>
        </w:rPr>
        <w:t>万元。较202</w:t>
      </w:r>
      <w:r>
        <w:rPr>
          <w:rFonts w:ascii="方正楷体_GBK" w:eastAsia="方正楷体_GBK" w:cs="方正楷体_GBK"/>
          <w:b/>
          <w:bCs/>
          <w:color w:val="000000"/>
          <w:kern w:val="2"/>
          <w:sz w:val="32"/>
          <w:szCs w:val="32"/>
        </w:rPr>
        <w:t>5</w:t>
      </w:r>
      <w:r>
        <w:rPr>
          <w:rFonts w:hint="eastAsia" w:ascii="方正楷体_GBK" w:eastAsia="方正楷体_GBK" w:cs="方正楷体_GBK"/>
          <w:b/>
          <w:bCs/>
          <w:color w:val="000000"/>
          <w:kern w:val="2"/>
          <w:sz w:val="32"/>
          <w:szCs w:val="32"/>
        </w:rPr>
        <w:t>年预算经费</w:t>
      </w:r>
      <w:r>
        <w:rPr>
          <w:rFonts w:ascii="方正楷体_GBK" w:eastAsia="方正楷体_GBK" w:cs="方正楷体_GBK"/>
          <w:b/>
          <w:bCs/>
          <w:color w:val="000000"/>
          <w:kern w:val="2"/>
          <w:sz w:val="32"/>
          <w:szCs w:val="32"/>
        </w:rPr>
        <w:t xml:space="preserve">增加 </w:t>
      </w:r>
      <w:r>
        <w:rPr>
          <w:rFonts w:hint="eastAsia" w:ascii="方正楷体_GBK" w:eastAsia="方正楷体_GBK" w:cs="方正楷体_GBK"/>
          <w:b/>
          <w:bCs/>
          <w:color w:val="000000"/>
          <w:kern w:val="2"/>
          <w:sz w:val="32"/>
          <w:szCs w:val="32"/>
        </w:rPr>
        <w:t>0.0</w:t>
      </w:r>
      <w:r>
        <w:rPr>
          <w:rFonts w:ascii="方正楷体_GBK" w:eastAsia="方正楷体_GBK" w:cs="方正楷体_GBK"/>
          <w:b/>
          <w:bCs/>
          <w:color w:val="000000"/>
          <w:kern w:val="2"/>
          <w:sz w:val="32"/>
          <w:szCs w:val="32"/>
        </w:rPr>
        <w:t>1</w:t>
      </w:r>
      <w:r>
        <w:rPr>
          <w:rFonts w:hint="eastAsia" w:ascii="方正楷体_GBK" w:eastAsia="方正楷体_GBK" w:cs="方正楷体_GBK"/>
          <w:b/>
          <w:bCs/>
          <w:color w:val="000000"/>
          <w:kern w:val="2"/>
          <w:sz w:val="32"/>
          <w:szCs w:val="32"/>
        </w:rPr>
        <w:t>万元，与202</w:t>
      </w:r>
      <w:r>
        <w:rPr>
          <w:rFonts w:ascii="方正楷体_GBK" w:eastAsia="方正楷体_GBK" w:cs="方正楷体_GBK"/>
          <w:b/>
          <w:bCs/>
          <w:color w:val="000000"/>
          <w:kern w:val="2"/>
          <w:sz w:val="32"/>
          <w:szCs w:val="32"/>
        </w:rPr>
        <w:t>5</w:t>
      </w:r>
      <w:r>
        <w:rPr>
          <w:rFonts w:hint="eastAsia" w:ascii="方正楷体_GBK" w:eastAsia="方正楷体_GBK" w:cs="方正楷体_GBK"/>
          <w:b/>
          <w:bCs/>
          <w:color w:val="000000"/>
          <w:kern w:val="2"/>
          <w:sz w:val="32"/>
          <w:szCs w:val="32"/>
        </w:rPr>
        <w:t>年基本持平。</w:t>
      </w:r>
    </w:p>
    <w:p>
      <w:pPr>
        <w:pStyle w:val="14"/>
        <w:spacing w:before="0" w:line="500" w:lineRule="exact"/>
        <w:ind w:firstLine="642" w:firstLineChars="200"/>
        <w:rPr>
          <w:rFonts w:ascii="方正楷体_GBK" w:eastAsia="方正楷体_GBK" w:cs="方正楷体_GBK"/>
          <w:b/>
          <w:bCs/>
          <w:color w:val="000000"/>
          <w:kern w:val="2"/>
          <w:sz w:val="32"/>
          <w:szCs w:val="32"/>
        </w:rPr>
      </w:pPr>
      <w:r>
        <w:rPr>
          <w:rFonts w:hint="eastAsia" w:ascii="方正楷体_GBK" w:eastAsia="方正楷体_GBK" w:cs="方正楷体_GBK"/>
          <w:b/>
          <w:bCs/>
          <w:color w:val="000000"/>
          <w:kern w:val="2"/>
          <w:sz w:val="32"/>
          <w:szCs w:val="32"/>
        </w:rPr>
        <w:t>（三）202</w:t>
      </w:r>
      <w:r>
        <w:rPr>
          <w:rFonts w:ascii="方正楷体_GBK" w:eastAsia="方正楷体_GBK" w:cs="方正楷体_GBK"/>
          <w:b/>
          <w:bCs/>
          <w:color w:val="000000"/>
          <w:kern w:val="2"/>
          <w:sz w:val="32"/>
          <w:szCs w:val="32"/>
        </w:rPr>
        <w:t>6</w:t>
      </w:r>
      <w:r>
        <w:rPr>
          <w:rFonts w:hint="eastAsia" w:ascii="方正楷体_GBK" w:eastAsia="方正楷体_GBK" w:cs="方正楷体_GBK"/>
          <w:b/>
          <w:bCs/>
          <w:color w:val="000000"/>
          <w:kern w:val="2"/>
          <w:sz w:val="32"/>
          <w:szCs w:val="32"/>
        </w:rPr>
        <w:t>年公务用车购置及运行维护费</w:t>
      </w:r>
      <w:r>
        <w:rPr>
          <w:rFonts w:ascii="方正楷体_GBK" w:eastAsia="方正楷体_GBK" w:cs="方正楷体_GBK"/>
          <w:b/>
          <w:bCs/>
          <w:color w:val="000000"/>
          <w:kern w:val="2"/>
          <w:sz w:val="32"/>
          <w:szCs w:val="32"/>
        </w:rPr>
        <w:t>42.56</w:t>
      </w:r>
      <w:r>
        <w:rPr>
          <w:rFonts w:hint="eastAsia" w:ascii="方正楷体_GBK" w:eastAsia="方正楷体_GBK" w:cs="方正楷体_GBK"/>
          <w:b/>
          <w:bCs/>
          <w:color w:val="000000"/>
          <w:kern w:val="2"/>
          <w:sz w:val="32"/>
          <w:szCs w:val="32"/>
        </w:rPr>
        <w:t>万元。较202</w:t>
      </w:r>
      <w:r>
        <w:rPr>
          <w:rFonts w:ascii="方正楷体_GBK" w:eastAsia="方正楷体_GBK" w:cs="方正楷体_GBK"/>
          <w:b/>
          <w:bCs/>
          <w:color w:val="000000"/>
          <w:kern w:val="2"/>
          <w:sz w:val="32"/>
          <w:szCs w:val="32"/>
        </w:rPr>
        <w:t>5</w:t>
      </w:r>
      <w:r>
        <w:rPr>
          <w:rFonts w:hint="eastAsia" w:ascii="方正楷体_GBK" w:eastAsia="方正楷体_GBK" w:cs="方正楷体_GBK"/>
          <w:b/>
          <w:bCs/>
          <w:color w:val="000000"/>
          <w:kern w:val="2"/>
          <w:sz w:val="32"/>
          <w:szCs w:val="32"/>
        </w:rPr>
        <w:t>年预算经费</w:t>
      </w:r>
      <w:r>
        <w:rPr>
          <w:rFonts w:ascii="方正楷体_GBK" w:eastAsia="方正楷体_GBK" w:cs="方正楷体_GBK"/>
          <w:b/>
          <w:bCs/>
          <w:color w:val="000000"/>
          <w:kern w:val="2"/>
          <w:sz w:val="32"/>
          <w:szCs w:val="32"/>
        </w:rPr>
        <w:t>增加</w:t>
      </w:r>
      <w:r>
        <w:rPr>
          <w:rFonts w:hint="eastAsia" w:ascii="方正楷体_GBK" w:eastAsia="方正楷体_GBK" w:cs="方正楷体_GBK"/>
          <w:b/>
          <w:bCs/>
          <w:color w:val="000000"/>
          <w:kern w:val="2"/>
          <w:sz w:val="32"/>
          <w:szCs w:val="32"/>
        </w:rPr>
        <w:t>8万元，主要原因为202</w:t>
      </w:r>
      <w:r>
        <w:rPr>
          <w:rFonts w:ascii="方正楷体_GBK" w:eastAsia="方正楷体_GBK" w:cs="方正楷体_GBK"/>
          <w:b/>
          <w:bCs/>
          <w:color w:val="000000"/>
          <w:kern w:val="2"/>
          <w:sz w:val="32"/>
          <w:szCs w:val="32"/>
        </w:rPr>
        <w:t>6</w:t>
      </w:r>
      <w:r>
        <w:rPr>
          <w:rFonts w:hint="eastAsia" w:ascii="方正楷体_GBK" w:eastAsia="方正楷体_GBK" w:cs="方正楷体_GBK"/>
          <w:b/>
          <w:bCs/>
          <w:color w:val="000000"/>
          <w:kern w:val="2"/>
          <w:sz w:val="32"/>
          <w:szCs w:val="32"/>
        </w:rPr>
        <w:t>年</w:t>
      </w:r>
      <w:r>
        <w:rPr>
          <w:rFonts w:ascii="方正楷体_GBK" w:eastAsia="方正楷体_GBK" w:cs="方正楷体_GBK"/>
          <w:b/>
          <w:bCs/>
          <w:color w:val="000000"/>
          <w:kern w:val="2"/>
          <w:sz w:val="32"/>
          <w:szCs w:val="32"/>
        </w:rPr>
        <w:t>增加</w:t>
      </w:r>
      <w:r>
        <w:rPr>
          <w:rFonts w:hint="eastAsia" w:ascii="方正楷体_GBK" w:eastAsia="方正楷体_GBK" w:cs="方正楷体_GBK"/>
          <w:b/>
          <w:bCs/>
          <w:color w:val="000000"/>
          <w:kern w:val="2"/>
          <w:sz w:val="32"/>
          <w:szCs w:val="32"/>
        </w:rPr>
        <w:t>了车辆大修费用。</w:t>
      </w:r>
    </w:p>
    <w:p>
      <w:pPr>
        <w:pStyle w:val="14"/>
        <w:spacing w:before="0" w:line="500" w:lineRule="exact"/>
        <w:ind w:firstLine="640" w:firstLineChars="200"/>
        <w:rPr>
          <w:rFonts w:ascii="方正黑体_GBK" w:eastAsia="方正黑体_GBK" w:cs="方正黑体_GBK"/>
          <w:color w:val="000000"/>
          <w:kern w:val="2"/>
          <w:sz w:val="32"/>
          <w:szCs w:val="32"/>
        </w:rPr>
      </w:pPr>
      <w:r>
        <w:rPr>
          <w:rFonts w:hint="eastAsia" w:ascii="方正黑体_GBK" w:eastAsia="方正黑体_GBK" w:cs="方正黑体_GBK"/>
          <w:color w:val="000000"/>
          <w:kern w:val="2"/>
          <w:sz w:val="32"/>
          <w:szCs w:val="32"/>
        </w:rPr>
        <w:t>八、政府性基金预算支出情况说明</w:t>
      </w:r>
    </w:p>
    <w:p>
      <w:pPr>
        <w:pStyle w:val="14"/>
        <w:spacing w:before="0" w:line="500" w:lineRule="exact"/>
        <w:ind w:firstLine="640" w:firstLineChars="200"/>
        <w:rPr>
          <w:rFonts w:cs="仿宋_GB2312"/>
          <w:color w:val="000000"/>
          <w:kern w:val="2"/>
          <w:sz w:val="32"/>
          <w:szCs w:val="32"/>
        </w:rPr>
      </w:pPr>
      <w:r>
        <w:rPr>
          <w:rFonts w:hint="default" w:ascii="Times New Roman" w:hAnsi="Times New Roman" w:cs="Times New Roman"/>
          <w:color w:val="000000"/>
          <w:kern w:val="2"/>
          <w:sz w:val="32"/>
          <w:szCs w:val="32"/>
        </w:rPr>
        <w:t>四川阿坝工业园区管理委员会2026年政府性基金预算拨款安排的支出0万元。较2025年预算经费</w:t>
      </w:r>
      <w:r>
        <w:rPr>
          <w:rFonts w:hint="default" w:ascii="Times New Roman" w:hAnsi="Times New Roman" w:cs="Times New Roman"/>
          <w:color w:val="000000"/>
          <w:sz w:val="32"/>
          <w:szCs w:val="32"/>
        </w:rPr>
        <w:t>增加/</w:t>
      </w:r>
      <w:r>
        <w:rPr>
          <w:rFonts w:hint="default" w:ascii="Times New Roman" w:hAnsi="Times New Roman" w:cs="Times New Roman"/>
          <w:color w:val="000000"/>
          <w:kern w:val="2"/>
          <w:sz w:val="32"/>
          <w:szCs w:val="32"/>
        </w:rPr>
        <w:t>减少0万元，增长0%。</w:t>
      </w:r>
    </w:p>
    <w:p>
      <w:pPr>
        <w:pStyle w:val="14"/>
        <w:spacing w:before="0" w:line="500" w:lineRule="exact"/>
        <w:ind w:firstLine="640" w:firstLineChars="200"/>
        <w:rPr>
          <w:rFonts w:ascii="方正黑体_GBK" w:eastAsia="方正黑体_GBK" w:cs="方正黑体_GBK"/>
          <w:color w:val="000000"/>
          <w:kern w:val="2"/>
          <w:sz w:val="32"/>
          <w:szCs w:val="32"/>
        </w:rPr>
      </w:pPr>
      <w:r>
        <w:rPr>
          <w:rFonts w:hint="eastAsia" w:ascii="方正黑体_GBK" w:eastAsia="方正黑体_GBK" w:cs="方正黑体_GBK"/>
          <w:color w:val="000000"/>
          <w:kern w:val="2"/>
          <w:sz w:val="32"/>
          <w:szCs w:val="32"/>
        </w:rPr>
        <w:t>九、其他重要事项的情况说明</w:t>
      </w:r>
    </w:p>
    <w:p>
      <w:pPr>
        <w:pStyle w:val="14"/>
        <w:spacing w:before="0" w:line="500" w:lineRule="exact"/>
        <w:ind w:firstLine="642" w:firstLineChars="200"/>
        <w:rPr>
          <w:rFonts w:cs="仿宋_GB2312"/>
          <w:color w:val="000000"/>
          <w:kern w:val="2"/>
          <w:sz w:val="32"/>
          <w:szCs w:val="32"/>
        </w:rPr>
      </w:pPr>
      <w:r>
        <w:rPr>
          <w:rFonts w:hint="eastAsia" w:ascii="方正楷体_GBK" w:eastAsia="方正楷体_GBK" w:cs="方正楷体_GBK"/>
          <w:b/>
          <w:bCs/>
          <w:color w:val="000000"/>
          <w:kern w:val="2"/>
          <w:sz w:val="32"/>
          <w:szCs w:val="32"/>
        </w:rPr>
        <w:t>（一）机关运行经费</w:t>
      </w:r>
      <w:r>
        <w:rPr>
          <w:rFonts w:hint="eastAsia" w:cs="仿宋_GB2312"/>
          <w:color w:val="000000"/>
          <w:kern w:val="2"/>
          <w:sz w:val="32"/>
          <w:szCs w:val="32"/>
        </w:rPr>
        <w:br w:type="textWrapping"/>
      </w:r>
      <w:r>
        <w:rPr>
          <w:rFonts w:hint="eastAsia" w:cs="仿宋_GB2312"/>
          <w:color w:val="000000"/>
          <w:kern w:val="2"/>
          <w:sz w:val="32"/>
          <w:szCs w:val="32"/>
        </w:rPr>
        <w:t xml:space="preserve">　 </w:t>
      </w:r>
      <w:r>
        <w:rPr>
          <w:rFonts w:hint="default" w:ascii="Times New Roman" w:hAnsi="Times New Roman" w:cs="Times New Roman"/>
          <w:color w:val="000000"/>
          <w:kern w:val="2"/>
          <w:sz w:val="32"/>
          <w:szCs w:val="32"/>
        </w:rPr>
        <w:t xml:space="preserve"> 四川阿坝工业园区管理委员会2026年机关运行经费财政拨款预算为603.63万元，比2025年预算</w:t>
      </w:r>
      <w:r>
        <w:rPr>
          <w:rFonts w:hint="default" w:ascii="Times New Roman" w:hAnsi="Times New Roman" w:cs="Times New Roman"/>
          <w:color w:val="000000"/>
          <w:sz w:val="32"/>
          <w:szCs w:val="32"/>
        </w:rPr>
        <w:t>增加11.69</w:t>
      </w:r>
      <w:r>
        <w:rPr>
          <w:rFonts w:hint="default" w:ascii="Times New Roman" w:hAnsi="Times New Roman" w:cs="Times New Roman"/>
          <w:color w:val="000000"/>
          <w:kern w:val="2"/>
          <w:sz w:val="32"/>
          <w:szCs w:val="32"/>
        </w:rPr>
        <w:t>万元。</w:t>
      </w:r>
      <w:r>
        <w:rPr>
          <w:rFonts w:hint="eastAsia" w:cs="仿宋_GB2312"/>
          <w:color w:val="000000"/>
          <w:kern w:val="2"/>
          <w:sz w:val="32"/>
          <w:szCs w:val="32"/>
        </w:rPr>
        <w:t xml:space="preserve"> </w:t>
      </w:r>
    </w:p>
    <w:p>
      <w:pPr>
        <w:pStyle w:val="14"/>
        <w:spacing w:before="0" w:line="500" w:lineRule="exact"/>
        <w:ind w:firstLine="642" w:firstLineChars="200"/>
        <w:rPr>
          <w:rFonts w:cs="仿宋_GB2312"/>
          <w:color w:val="000000"/>
          <w:kern w:val="2"/>
          <w:sz w:val="32"/>
          <w:szCs w:val="32"/>
        </w:rPr>
      </w:pPr>
      <w:r>
        <w:rPr>
          <w:rFonts w:hint="eastAsia" w:ascii="方正楷体_GBK" w:eastAsia="方正楷体_GBK" w:cs="方正楷体_GBK"/>
          <w:b/>
          <w:bCs/>
          <w:color w:val="000000"/>
          <w:kern w:val="2"/>
          <w:sz w:val="32"/>
          <w:szCs w:val="32"/>
        </w:rPr>
        <w:t>（二）政府采购情况</w:t>
      </w:r>
      <w:r>
        <w:rPr>
          <w:rFonts w:hint="eastAsia" w:cs="仿宋_GB2312"/>
          <w:color w:val="000000"/>
          <w:kern w:val="2"/>
          <w:sz w:val="32"/>
          <w:szCs w:val="32"/>
        </w:rPr>
        <w:br w:type="textWrapping"/>
      </w:r>
      <w:r>
        <w:rPr>
          <w:rFonts w:hint="eastAsia" w:cs="仿宋_GB2312"/>
          <w:color w:val="000000"/>
          <w:kern w:val="2"/>
          <w:sz w:val="32"/>
          <w:szCs w:val="32"/>
        </w:rPr>
        <w:t>　　</w:t>
      </w:r>
      <w:r>
        <w:rPr>
          <w:rFonts w:hint="default" w:ascii="Times New Roman" w:hAnsi="Times New Roman" w:cs="Times New Roman"/>
          <w:color w:val="000000"/>
          <w:kern w:val="2"/>
          <w:sz w:val="32"/>
          <w:szCs w:val="32"/>
        </w:rPr>
        <w:t xml:space="preserve"> 2026年安排政府采购预算0万元。</w:t>
      </w:r>
      <w:r>
        <w:rPr>
          <w:rFonts w:hint="eastAsia" w:cs="仿宋_GB2312"/>
          <w:color w:val="000000"/>
          <w:kern w:val="2"/>
          <w:sz w:val="32"/>
          <w:szCs w:val="32"/>
        </w:rPr>
        <w:t xml:space="preserve"> </w:t>
      </w:r>
    </w:p>
    <w:p>
      <w:pPr>
        <w:pStyle w:val="14"/>
        <w:spacing w:before="0" w:line="500" w:lineRule="exact"/>
        <w:ind w:firstLine="642" w:firstLineChars="200"/>
        <w:rPr>
          <w:rFonts w:ascii="方正楷体_GBK" w:eastAsia="方正楷体_GBK" w:cs="方正楷体_GBK"/>
          <w:b/>
          <w:bCs/>
          <w:color w:val="000000"/>
          <w:kern w:val="2"/>
          <w:sz w:val="32"/>
          <w:szCs w:val="32"/>
        </w:rPr>
      </w:pPr>
      <w:r>
        <w:rPr>
          <w:rFonts w:hint="eastAsia" w:ascii="方正楷体_GBK" w:eastAsia="方正楷体_GBK" w:cs="方正楷体_GBK"/>
          <w:b/>
          <w:bCs/>
          <w:color w:val="000000"/>
          <w:kern w:val="2"/>
          <w:sz w:val="32"/>
          <w:szCs w:val="32"/>
        </w:rPr>
        <w:t>（三）国有资产占有使用情况</w:t>
      </w:r>
    </w:p>
    <w:p>
      <w:pPr>
        <w:pStyle w:val="14"/>
        <w:spacing w:before="0" w:line="500" w:lineRule="exact"/>
        <w:ind w:firstLine="640" w:firstLineChars="200"/>
        <w:rPr>
          <w:rFonts w:cs="仿宋_GB2312"/>
          <w:color w:val="000000"/>
          <w:kern w:val="2"/>
          <w:sz w:val="32"/>
          <w:szCs w:val="32"/>
        </w:rPr>
      </w:pPr>
      <w:r>
        <w:rPr>
          <w:rFonts w:hint="default" w:ascii="Times New Roman" w:hAnsi="Times New Roman" w:cs="Times New Roman"/>
          <w:color w:val="000000"/>
          <w:kern w:val="2"/>
          <w:sz w:val="32"/>
          <w:szCs w:val="32"/>
        </w:rPr>
        <w:t>截至2025年12月31日，我委国有资产</w:t>
      </w:r>
      <w:r>
        <w:rPr>
          <w:rFonts w:hint="default" w:ascii="Times New Roman" w:hAnsi="Times New Roman" w:cs="Times New Roman"/>
          <w:kern w:val="2"/>
          <w:sz w:val="32"/>
          <w:szCs w:val="32"/>
        </w:rPr>
        <w:t>原值2073.03</w:t>
      </w:r>
      <w:r>
        <w:rPr>
          <w:rFonts w:hint="default" w:ascii="Times New Roman" w:hAnsi="Times New Roman" w:cs="Times New Roman"/>
          <w:color w:val="000000"/>
          <w:kern w:val="2"/>
          <w:sz w:val="32"/>
          <w:szCs w:val="32"/>
        </w:rPr>
        <w:t>万元。</w:t>
      </w:r>
    </w:p>
    <w:p>
      <w:pPr>
        <w:pStyle w:val="14"/>
        <w:spacing w:before="0" w:line="500" w:lineRule="exact"/>
        <w:ind w:firstLine="642" w:firstLineChars="200"/>
        <w:rPr>
          <w:rFonts w:hint="default" w:ascii="Times New Roman" w:hAnsi="Times New Roman" w:eastAsia="黑体" w:cs="Times New Roman"/>
          <w:color w:val="000000"/>
          <w:sz w:val="32"/>
          <w:szCs w:val="32"/>
        </w:rPr>
      </w:pPr>
      <w:r>
        <w:rPr>
          <w:rFonts w:hint="eastAsia" w:ascii="方正楷体_GBK" w:eastAsia="方正楷体_GBK" w:cs="方正楷体_GBK"/>
          <w:b/>
          <w:bCs/>
          <w:color w:val="000000"/>
          <w:kern w:val="2"/>
          <w:sz w:val="32"/>
          <w:szCs w:val="32"/>
        </w:rPr>
        <w:t>（四）绩效目标设置情况</w:t>
      </w:r>
      <w:r>
        <w:rPr>
          <w:rFonts w:hint="eastAsia" w:cs="仿宋_GB2312"/>
          <w:color w:val="000000"/>
          <w:kern w:val="2"/>
          <w:sz w:val="32"/>
          <w:szCs w:val="32"/>
        </w:rPr>
        <w:br w:type="textWrapping"/>
      </w:r>
      <w:r>
        <w:rPr>
          <w:rFonts w:hint="eastAsia" w:cs="仿宋_GB2312"/>
          <w:color w:val="000000"/>
          <w:kern w:val="2"/>
          <w:sz w:val="32"/>
          <w:szCs w:val="32"/>
        </w:rPr>
        <w:t>　</w:t>
      </w:r>
      <w:bookmarkStart w:id="0" w:name="_GoBack"/>
      <w:r>
        <w:rPr>
          <w:rFonts w:hint="default" w:ascii="Times New Roman" w:hAnsi="Times New Roman" w:cs="Times New Roman"/>
          <w:color w:val="000000"/>
          <w:kern w:val="2"/>
          <w:sz w:val="32"/>
          <w:szCs w:val="32"/>
        </w:rPr>
        <w:t>　2026年我委通用项目和专用项目均按要求实行绩效目标管理，涉及一般公共预算当年拨款901.10万元。</w:t>
      </w:r>
    </w:p>
    <w:bookmarkEnd w:id="0"/>
    <w:p>
      <w:pPr>
        <w:pStyle w:val="14"/>
        <w:spacing w:before="0" w:line="500" w:lineRule="exact"/>
        <w:ind w:firstLine="640" w:firstLineChars="200"/>
        <w:rPr>
          <w:rFonts w:cs="仿宋_GB2312"/>
          <w:color w:val="000000"/>
          <w:kern w:val="2"/>
          <w:sz w:val="32"/>
          <w:szCs w:val="32"/>
        </w:rPr>
      </w:pPr>
      <w:r>
        <w:rPr>
          <w:rFonts w:hint="eastAsia" w:ascii="方正黑体_GBK" w:eastAsia="方正黑体_GBK" w:cs="方正黑体_GBK"/>
          <w:color w:val="000000"/>
          <w:kern w:val="2"/>
          <w:sz w:val="32"/>
          <w:szCs w:val="32"/>
        </w:rPr>
        <w:t xml:space="preserve">十、名称解释 </w:t>
      </w:r>
      <w:r>
        <w:rPr>
          <w:rFonts w:hint="eastAsia" w:cs="仿宋_GB2312"/>
          <w:color w:val="000000"/>
          <w:sz w:val="32"/>
          <w:szCs w:val="32"/>
        </w:rPr>
        <w:br w:type="textWrapping"/>
      </w:r>
      <w:r>
        <w:rPr>
          <w:rFonts w:hint="eastAsia" w:ascii="??" w:hAnsi="??" w:eastAsia="宋体" w:cs="宋体"/>
          <w:color w:val="000000"/>
          <w:sz w:val="16"/>
        </w:rPr>
        <w:t xml:space="preserve">　　   </w:t>
      </w:r>
      <w:r>
        <w:rPr>
          <w:rFonts w:hint="eastAsia" w:ascii="方正楷体_GBK" w:eastAsia="方正楷体_GBK" w:cs="方正楷体_GBK"/>
          <w:b/>
          <w:bCs/>
          <w:color w:val="000000"/>
          <w:kern w:val="2"/>
          <w:sz w:val="32"/>
          <w:szCs w:val="32"/>
        </w:rPr>
        <w:t>（一）财政拨款收入：</w:t>
      </w:r>
      <w:r>
        <w:rPr>
          <w:rFonts w:hint="eastAsia" w:cs="仿宋_GB2312"/>
          <w:color w:val="000000"/>
          <w:kern w:val="2"/>
          <w:sz w:val="32"/>
          <w:szCs w:val="32"/>
        </w:rPr>
        <w:t>指由财政拨款形成的部门收入。按现行管理制度，部门预算中反映的财政拨款仅包括一般公共预算拨款和政府性基金预算拨款。</w:t>
      </w:r>
      <w:r>
        <w:rPr>
          <w:rFonts w:cs="仿宋_GB2312"/>
          <w:color w:val="000000"/>
          <w:kern w:val="2"/>
          <w:sz w:val="32"/>
          <w:szCs w:val="32"/>
        </w:rPr>
        <w:br w:type="textWrapping"/>
      </w:r>
      <w:r>
        <w:rPr>
          <w:rFonts w:hint="eastAsia" w:cs="仿宋_GB2312"/>
          <w:color w:val="000000"/>
          <w:kern w:val="2"/>
          <w:sz w:val="32"/>
          <w:szCs w:val="32"/>
        </w:rPr>
        <w:t>　</w:t>
      </w:r>
      <w:r>
        <w:rPr>
          <w:rFonts w:hint="eastAsia" w:ascii="方正楷体_GBK" w:eastAsia="方正楷体_GBK" w:cs="方正楷体_GBK"/>
          <w:b/>
          <w:bCs/>
          <w:color w:val="000000"/>
          <w:kern w:val="2"/>
          <w:sz w:val="32"/>
          <w:szCs w:val="32"/>
        </w:rPr>
        <w:t>　（二）事业收入：</w:t>
      </w:r>
      <w:r>
        <w:rPr>
          <w:rFonts w:hint="eastAsia" w:cs="仿宋_GB2312"/>
          <w:color w:val="000000"/>
          <w:kern w:val="2"/>
          <w:sz w:val="32"/>
          <w:szCs w:val="32"/>
        </w:rPr>
        <w:t>指所属事业单位开展专业业务活动及辅助活动所取得的收入。</w:t>
      </w:r>
      <w:r>
        <w:rPr>
          <w:rFonts w:cs="仿宋_GB2312"/>
          <w:color w:val="000000"/>
          <w:kern w:val="2"/>
          <w:sz w:val="32"/>
          <w:szCs w:val="32"/>
        </w:rPr>
        <w:br w:type="textWrapping"/>
      </w:r>
      <w:r>
        <w:rPr>
          <w:rFonts w:hint="eastAsia" w:ascii="方正楷体_GBK" w:eastAsia="方正楷体_GBK" w:cs="方正楷体_GBK"/>
          <w:b/>
          <w:bCs/>
          <w:color w:val="000000"/>
          <w:kern w:val="2"/>
          <w:sz w:val="32"/>
          <w:szCs w:val="32"/>
        </w:rPr>
        <w:t>　　（三）事业单位经营收入：</w:t>
      </w:r>
      <w:r>
        <w:rPr>
          <w:rFonts w:hint="eastAsia" w:cs="仿宋_GB2312"/>
          <w:color w:val="000000"/>
          <w:kern w:val="2"/>
          <w:sz w:val="32"/>
          <w:szCs w:val="32"/>
        </w:rPr>
        <w:t>指所属事业单位在专业业务活动及其辅助活动之外开展非独立核算经营活动取得的收入。</w:t>
      </w:r>
      <w:r>
        <w:rPr>
          <w:rFonts w:cs="仿宋_GB2312"/>
          <w:color w:val="000000"/>
          <w:kern w:val="2"/>
          <w:sz w:val="32"/>
          <w:szCs w:val="32"/>
        </w:rPr>
        <w:br w:type="textWrapping"/>
      </w:r>
      <w:r>
        <w:rPr>
          <w:rFonts w:hint="eastAsia" w:ascii="方正楷体_GBK" w:eastAsia="方正楷体_GBK" w:cs="方正楷体_GBK"/>
          <w:b/>
          <w:bCs/>
          <w:color w:val="000000"/>
          <w:kern w:val="2"/>
          <w:sz w:val="32"/>
          <w:szCs w:val="32"/>
        </w:rPr>
        <w:t>　　（四）其他收入：</w:t>
      </w:r>
      <w:r>
        <w:rPr>
          <w:rFonts w:hint="eastAsia" w:cs="仿宋_GB2312"/>
          <w:color w:val="000000"/>
          <w:kern w:val="2"/>
          <w:sz w:val="32"/>
          <w:szCs w:val="32"/>
        </w:rPr>
        <w:t>指除上述</w:t>
      </w:r>
      <w:r>
        <w:rPr>
          <w:rFonts w:cs="仿宋_GB2312"/>
          <w:color w:val="000000"/>
          <w:kern w:val="2"/>
          <w:sz w:val="32"/>
          <w:szCs w:val="32"/>
        </w:rPr>
        <w:t>“</w:t>
      </w:r>
      <w:r>
        <w:rPr>
          <w:rFonts w:hint="eastAsia" w:cs="仿宋_GB2312"/>
          <w:color w:val="000000"/>
          <w:kern w:val="2"/>
          <w:sz w:val="32"/>
          <w:szCs w:val="32"/>
        </w:rPr>
        <w:t>财政拨款收入</w:t>
      </w:r>
      <w:r>
        <w:rPr>
          <w:rFonts w:cs="仿宋_GB2312"/>
          <w:color w:val="000000"/>
          <w:kern w:val="2"/>
          <w:sz w:val="32"/>
          <w:szCs w:val="32"/>
        </w:rPr>
        <w:t>”</w:t>
      </w:r>
      <w:r>
        <w:rPr>
          <w:rFonts w:hint="eastAsia" w:cs="仿宋_GB2312"/>
          <w:color w:val="000000"/>
          <w:kern w:val="2"/>
          <w:sz w:val="32"/>
          <w:szCs w:val="32"/>
        </w:rPr>
        <w:t>、</w:t>
      </w:r>
      <w:r>
        <w:rPr>
          <w:rFonts w:cs="仿宋_GB2312"/>
          <w:color w:val="000000"/>
          <w:kern w:val="2"/>
          <w:sz w:val="32"/>
          <w:szCs w:val="32"/>
        </w:rPr>
        <w:t>“</w:t>
      </w:r>
      <w:r>
        <w:rPr>
          <w:rFonts w:hint="eastAsia" w:cs="仿宋_GB2312"/>
          <w:color w:val="000000"/>
          <w:kern w:val="2"/>
          <w:sz w:val="32"/>
          <w:szCs w:val="32"/>
        </w:rPr>
        <w:t>事业收入</w:t>
      </w:r>
      <w:r>
        <w:rPr>
          <w:rFonts w:cs="仿宋_GB2312"/>
          <w:color w:val="000000"/>
          <w:kern w:val="2"/>
          <w:sz w:val="32"/>
          <w:szCs w:val="32"/>
        </w:rPr>
        <w:t>”</w:t>
      </w:r>
      <w:r>
        <w:rPr>
          <w:rFonts w:hint="eastAsia" w:cs="仿宋_GB2312"/>
          <w:color w:val="000000"/>
          <w:kern w:val="2"/>
          <w:sz w:val="32"/>
          <w:szCs w:val="32"/>
        </w:rPr>
        <w:t>、</w:t>
      </w:r>
      <w:r>
        <w:rPr>
          <w:rFonts w:cs="仿宋_GB2312"/>
          <w:color w:val="000000"/>
          <w:kern w:val="2"/>
          <w:sz w:val="32"/>
          <w:szCs w:val="32"/>
        </w:rPr>
        <w:t>“</w:t>
      </w:r>
      <w:r>
        <w:rPr>
          <w:rFonts w:hint="eastAsia" w:cs="仿宋_GB2312"/>
          <w:color w:val="000000"/>
          <w:kern w:val="2"/>
          <w:sz w:val="32"/>
          <w:szCs w:val="32"/>
        </w:rPr>
        <w:t>事业单位经营收入</w:t>
      </w:r>
      <w:r>
        <w:rPr>
          <w:rFonts w:cs="仿宋_GB2312"/>
          <w:color w:val="000000"/>
          <w:kern w:val="2"/>
          <w:sz w:val="32"/>
          <w:szCs w:val="32"/>
        </w:rPr>
        <w:t>”</w:t>
      </w:r>
      <w:r>
        <w:rPr>
          <w:rFonts w:hint="eastAsia" w:cs="仿宋_GB2312"/>
          <w:color w:val="000000"/>
          <w:kern w:val="2"/>
          <w:sz w:val="32"/>
          <w:szCs w:val="32"/>
        </w:rPr>
        <w:t>等以外的收入，主要是所属行政事业单位按规定动用的售房收入、存款利息收入等。</w:t>
      </w:r>
      <w:r>
        <w:rPr>
          <w:rFonts w:cs="仿宋_GB2312"/>
          <w:color w:val="000000"/>
          <w:kern w:val="2"/>
          <w:sz w:val="32"/>
          <w:szCs w:val="32"/>
        </w:rPr>
        <w:br w:type="textWrapping"/>
      </w:r>
      <w:r>
        <w:rPr>
          <w:rFonts w:hint="eastAsia" w:cs="仿宋_GB2312"/>
          <w:color w:val="000000"/>
          <w:kern w:val="2"/>
          <w:sz w:val="32"/>
          <w:szCs w:val="32"/>
        </w:rPr>
        <w:t>　</w:t>
      </w:r>
      <w:r>
        <w:rPr>
          <w:rFonts w:hint="eastAsia" w:ascii="方正楷体_GBK" w:eastAsia="方正楷体_GBK" w:cs="方正楷体_GBK"/>
          <w:b/>
          <w:bCs/>
          <w:color w:val="000000"/>
          <w:kern w:val="2"/>
          <w:sz w:val="32"/>
          <w:szCs w:val="32"/>
        </w:rPr>
        <w:t>　（五）用事业基金弥补收支差额：</w:t>
      </w:r>
      <w:r>
        <w:rPr>
          <w:rFonts w:hint="eastAsia" w:cs="仿宋_GB2312"/>
          <w:color w:val="000000"/>
          <w:kern w:val="2"/>
          <w:sz w:val="32"/>
          <w:szCs w:val="32"/>
        </w:rPr>
        <w:t>指所属事业单位在预计用当年的</w:t>
      </w:r>
      <w:r>
        <w:rPr>
          <w:rFonts w:cs="仿宋_GB2312"/>
          <w:color w:val="000000"/>
          <w:kern w:val="2"/>
          <w:sz w:val="32"/>
          <w:szCs w:val="32"/>
        </w:rPr>
        <w:t>“</w:t>
      </w:r>
      <w:r>
        <w:rPr>
          <w:rFonts w:hint="eastAsia" w:cs="仿宋_GB2312"/>
          <w:color w:val="000000"/>
          <w:kern w:val="2"/>
          <w:sz w:val="32"/>
          <w:szCs w:val="32"/>
        </w:rPr>
        <w:t>财政拨款收入</w:t>
      </w:r>
      <w:r>
        <w:rPr>
          <w:rFonts w:cs="仿宋_GB2312"/>
          <w:color w:val="000000"/>
          <w:kern w:val="2"/>
          <w:sz w:val="32"/>
          <w:szCs w:val="32"/>
        </w:rPr>
        <w:t>”</w:t>
      </w:r>
      <w:r>
        <w:rPr>
          <w:rFonts w:hint="eastAsia" w:cs="仿宋_GB2312"/>
          <w:color w:val="000000"/>
          <w:kern w:val="2"/>
          <w:sz w:val="32"/>
          <w:szCs w:val="32"/>
        </w:rPr>
        <w:t>、</w:t>
      </w:r>
      <w:r>
        <w:rPr>
          <w:rFonts w:cs="仿宋_GB2312"/>
          <w:color w:val="000000"/>
          <w:kern w:val="2"/>
          <w:sz w:val="32"/>
          <w:szCs w:val="32"/>
        </w:rPr>
        <w:t>“</w:t>
      </w:r>
      <w:r>
        <w:rPr>
          <w:rFonts w:hint="eastAsia" w:cs="仿宋_GB2312"/>
          <w:color w:val="000000"/>
          <w:kern w:val="2"/>
          <w:sz w:val="32"/>
          <w:szCs w:val="32"/>
        </w:rPr>
        <w:t>事业收入</w:t>
      </w:r>
      <w:r>
        <w:rPr>
          <w:rFonts w:cs="仿宋_GB2312"/>
          <w:color w:val="000000"/>
          <w:kern w:val="2"/>
          <w:sz w:val="32"/>
          <w:szCs w:val="32"/>
        </w:rPr>
        <w:t>”</w:t>
      </w:r>
      <w:r>
        <w:rPr>
          <w:rFonts w:hint="eastAsia" w:cs="仿宋_GB2312"/>
          <w:color w:val="000000"/>
          <w:kern w:val="2"/>
          <w:sz w:val="32"/>
          <w:szCs w:val="32"/>
        </w:rPr>
        <w:t>、</w:t>
      </w:r>
      <w:r>
        <w:rPr>
          <w:rFonts w:cs="仿宋_GB2312"/>
          <w:color w:val="000000"/>
          <w:kern w:val="2"/>
          <w:sz w:val="32"/>
          <w:szCs w:val="32"/>
        </w:rPr>
        <w:t>“</w:t>
      </w:r>
      <w:r>
        <w:rPr>
          <w:rFonts w:hint="eastAsia" w:cs="仿宋_GB2312"/>
          <w:color w:val="000000"/>
          <w:kern w:val="2"/>
          <w:sz w:val="32"/>
          <w:szCs w:val="32"/>
        </w:rPr>
        <w:t>事业单位经营收入</w:t>
      </w:r>
      <w:r>
        <w:rPr>
          <w:rFonts w:cs="仿宋_GB2312"/>
          <w:color w:val="000000"/>
          <w:kern w:val="2"/>
          <w:sz w:val="32"/>
          <w:szCs w:val="32"/>
        </w:rPr>
        <w:t>”</w:t>
      </w:r>
      <w:r>
        <w:rPr>
          <w:rFonts w:hint="eastAsia" w:cs="仿宋_GB2312"/>
          <w:color w:val="000000"/>
          <w:kern w:val="2"/>
          <w:sz w:val="32"/>
          <w:szCs w:val="32"/>
        </w:rPr>
        <w:t>、</w:t>
      </w:r>
      <w:r>
        <w:rPr>
          <w:rFonts w:cs="仿宋_GB2312"/>
          <w:color w:val="000000"/>
          <w:kern w:val="2"/>
          <w:sz w:val="32"/>
          <w:szCs w:val="32"/>
        </w:rPr>
        <w:t>“</w:t>
      </w:r>
      <w:r>
        <w:rPr>
          <w:rFonts w:hint="eastAsia" w:cs="仿宋_GB2312"/>
          <w:color w:val="000000"/>
          <w:kern w:val="2"/>
          <w:sz w:val="32"/>
          <w:szCs w:val="32"/>
        </w:rPr>
        <w:t>其他收入</w:t>
      </w:r>
      <w:r>
        <w:rPr>
          <w:rFonts w:cs="仿宋_GB2312"/>
          <w:color w:val="000000"/>
          <w:kern w:val="2"/>
          <w:sz w:val="32"/>
          <w:szCs w:val="32"/>
        </w:rPr>
        <w:t>”</w:t>
      </w:r>
      <w:r>
        <w:rPr>
          <w:rFonts w:hint="eastAsia" w:cs="仿宋_GB2312"/>
          <w:color w:val="000000"/>
          <w:kern w:val="2"/>
          <w:sz w:val="32"/>
          <w:szCs w:val="32"/>
        </w:rPr>
        <w:t>不足以安排当年支出的情况下，使用以前年度积累的事业基金弥补本年度收支缺口的资金。</w:t>
      </w:r>
      <w:r>
        <w:rPr>
          <w:rFonts w:cs="仿宋_GB2312"/>
          <w:color w:val="000000"/>
          <w:kern w:val="2"/>
          <w:sz w:val="32"/>
          <w:szCs w:val="32"/>
        </w:rPr>
        <w:br w:type="textWrapping"/>
      </w:r>
      <w:r>
        <w:rPr>
          <w:rFonts w:hint="eastAsia" w:ascii="方正楷体_GBK" w:eastAsia="方正楷体_GBK" w:cs="方正楷体_GBK"/>
          <w:b/>
          <w:bCs/>
          <w:color w:val="000000"/>
          <w:kern w:val="2"/>
          <w:sz w:val="32"/>
          <w:szCs w:val="32"/>
        </w:rPr>
        <w:t>　　（六）上年结转：</w:t>
      </w:r>
      <w:r>
        <w:rPr>
          <w:rFonts w:hint="eastAsia" w:cs="仿宋_GB2312"/>
          <w:color w:val="000000"/>
          <w:kern w:val="2"/>
          <w:sz w:val="32"/>
          <w:szCs w:val="32"/>
        </w:rPr>
        <w:t>指所属行政事业单位以前年度尚未完成、结转至本年按原规定用途继续使用的资金和以前年度已完成项目剩余资金经批准用于新用途使用的资金。</w:t>
      </w:r>
    </w:p>
    <w:p>
      <w:pPr>
        <w:spacing w:line="500" w:lineRule="exact"/>
        <w:ind w:firstLine="640" w:firstLineChars="200"/>
        <w:rPr>
          <w:rFonts w:ascii="仿宋_GB2312" w:eastAsia="仿宋_GB2312" w:cs="仿宋_GB2312"/>
          <w:color w:val="000000"/>
          <w:sz w:val="32"/>
          <w:szCs w:val="32"/>
        </w:rPr>
      </w:pPr>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Lucida Sans">
    <w:altName w:val="Noto Naskh Arabic"/>
    <w:panose1 w:val="020B0602030504020204"/>
    <w:charset w:val="00"/>
    <w:family w:val="auto"/>
    <w:pitch w:val="default"/>
    <w:sig w:usb0="00000000" w:usb1="00000000" w:usb2="00000000" w:usb3="00000000" w:csb0="20000001" w:csb1="00000000"/>
  </w:font>
  <w:font w:name="Noto Naskh Arabic">
    <w:panose1 w:val="020B0502040504020204"/>
    <w:charset w:val="00"/>
    <w:family w:val="auto"/>
    <w:pitch w:val="default"/>
    <w:sig w:usb0="80002003" w:usb1="80002000" w:usb2="00000008" w:usb3="00000000" w:csb0="00000041" w:csb1="00080000"/>
  </w:font>
  <w:font w:name="仿宋_GB2312">
    <w:panose1 w:val="02010609030101010101"/>
    <w:charset w:val="86"/>
    <w:family w:val="modern"/>
    <w:pitch w:val="default"/>
    <w:sig w:usb0="00000001" w:usb1="080E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76200" cy="133350"/>
              <wp:effectExtent l="0" t="0" r="0" b="0"/>
              <wp:wrapNone/>
              <wp:docPr id="1" name="_x0000_s4097"/>
              <wp:cNvGraphicFramePr/>
              <a:graphic xmlns:a="http://schemas.openxmlformats.org/drawingml/2006/main">
                <a:graphicData uri="http://schemas.microsoft.com/office/word/2010/wordprocessingShape">
                  <wps:wsp>
                    <wps:cNvSpPr/>
                    <wps:spPr>
                      <a:xfrm>
                        <a:off x="0" y="0"/>
                        <a:ext cx="76200" cy="133052"/>
                      </a:xfrm>
                      <a:prstGeom prst="rect">
                        <a:avLst/>
                      </a:prstGeom>
                      <a:noFill/>
                      <a:ln w="9525" cap="flat" cmpd="sng">
                        <a:noFill/>
                        <a:prstDash val="solid"/>
                        <a:miter/>
                      </a:ln>
                    </wps:spPr>
                    <wps:txbx>
                      <w:txbxContent>
                        <w:p>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_x0000_s4097" o:spid="_x0000_s1026" o:spt="1" style="position:absolute;left:0pt;margin-top:0pt;height:10.5pt;width:6pt;mso-position-horizontal:center;mso-position-horizontal-relative:margin;mso-wrap-style:none;z-index:251659264;mso-width-relative:page;mso-height-relative:page;" filled="f" stroked="f" coordsize="21600,21600" o:gfxdata="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qgbDjdAAAAADAQAADwAAAAAAAAABACAAAAA4AAAAZHJz&#10;L2Rvd25yZXYueG1sUEsBAhQAFAAAAAgAh07iQNE31QD2AQAA9AMAAA4AAAAAAAAAAQAgAAAANQEA&#10;AGRycy9lMm9Eb2MueG1sUEsFBgAAAAAGAAYAWQEAAJ0FAAAAAA==&#10;">
              <v:fill on="f" focussize="0,0"/>
              <v:stroke on="f" joinstyle="miter"/>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55952A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0"/>
    <w:qFormat/>
    <w:uiPriority w:val="0"/>
    <w:pPr>
      <w:keepNext/>
      <w:keepLines/>
      <w:widowControl w:val="0"/>
      <w:spacing w:before="340" w:after="330" w:line="578" w:lineRule="auto"/>
      <w:outlineLvl w:val="0"/>
    </w:pPr>
    <w:rPr>
      <w:b/>
      <w:bCs/>
      <w:kern w:val="44"/>
      <w:sz w:val="44"/>
    </w:rPr>
  </w:style>
  <w:style w:type="paragraph" w:styleId="3">
    <w:name w:val="heading 2"/>
    <w:basedOn w:val="1"/>
    <w:next w:val="1"/>
    <w:link w:val="1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link w:val="12"/>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character" w:customStyle="1" w:styleId="10">
    <w:name w:val="heading 1 Char"/>
    <w:basedOn w:val="9"/>
    <w:link w:val="2"/>
    <w:qFormat/>
    <w:uiPriority w:val="0"/>
    <w:rPr>
      <w:rFonts w:ascii="Calibri" w:hAnsi="Calibri" w:eastAsia="宋体" w:cs="Times New Roman"/>
      <w:b/>
      <w:bCs/>
      <w:kern w:val="44"/>
      <w:sz w:val="44"/>
      <w:szCs w:val="22"/>
      <w:lang w:val="en-US" w:eastAsia="zh-CN" w:bidi="ar-SA"/>
    </w:rPr>
  </w:style>
  <w:style w:type="character" w:customStyle="1" w:styleId="11">
    <w:name w:val="heading 2 Char"/>
    <w:basedOn w:val="9"/>
    <w:link w:val="3"/>
    <w:qFormat/>
    <w:uiPriority w:val="0"/>
    <w:rPr>
      <w:rFonts w:ascii="Arial" w:hAnsi="Arial" w:eastAsia="黑体" w:cs="Times New Roman"/>
      <w:b/>
      <w:kern w:val="2"/>
      <w:sz w:val="32"/>
      <w:szCs w:val="22"/>
      <w:lang w:val="en-US" w:eastAsia="zh-CN" w:bidi="ar-SA"/>
    </w:rPr>
  </w:style>
  <w:style w:type="character" w:customStyle="1" w:styleId="12">
    <w:name w:val="heading 3 Char"/>
    <w:basedOn w:val="9"/>
    <w:link w:val="4"/>
    <w:qFormat/>
    <w:uiPriority w:val="0"/>
    <w:rPr>
      <w:rFonts w:ascii="Calibri" w:hAnsi="Calibri" w:eastAsia="宋体" w:cs="Times New Roman"/>
      <w:b/>
      <w:kern w:val="2"/>
      <w:sz w:val="32"/>
      <w:szCs w:val="22"/>
      <w:lang w:val="en-US" w:eastAsia="zh-CN" w:bidi="ar-SA"/>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 w:type="paragraph" w:customStyle="1" w:styleId="15">
    <w:name w:val="文档正文"/>
    <w:qFormat/>
    <w:uiPriority w:val="0"/>
    <w:pPr>
      <w:widowControl w:val="0"/>
      <w:adjustRightInd w:val="0"/>
      <w:spacing w:line="480" w:lineRule="atLeast"/>
      <w:jc w:val="both"/>
      <w:textAlignment w:val="baseline"/>
    </w:pPr>
    <w:rPr>
      <w:rFonts w:ascii="Arial" w:hAnsi="Arial" w:eastAsia="宋体" w:cs="Arial"/>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ustomData xmlns="http://www.yozosoft.com.cn/officeDocument/2016/customData">
  <customProps xmlns="http://www.yozosoft.com.cn/officeDocument/2016/customData">
    <docPr xmlns="http://www.yozosoft.com.cn/officeDocument/2016/customData" revisions="3 0 5 0 0 0 1 0 0 0 26650 1 1 1 1 1"/>
    <sectPr xmlns="http://www.yozosoft.com.cn/officeDocument/2016/customData"/>
    <sectPr xmlns="http://www.yozosoft.com.cn/officeDocument/2016/customData"/>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8C59E1-3EBA-4BCA-A287-5F214B277694}">
  <ds:schemaRefs/>
</ds:datastoreItem>
</file>

<file path=docProps/app.xml><?xml version="1.0" encoding="utf-8"?>
<Properties xmlns="http://schemas.openxmlformats.org/officeDocument/2006/extended-properties" xmlns:vt="http://schemas.openxmlformats.org/officeDocument/2006/docPropsVTypes">
  <Template>Normal.eit</Template>
  <Pages>9</Pages>
  <Words>0</Words>
  <Characters>3094</Characters>
  <Lines>0</Lines>
  <Paragraphs>98</Paragraphs>
  <TotalTime>193</TotalTime>
  <ScaleCrop>false</ScaleCrop>
  <LinksUpToDate>false</LinksUpToDate>
  <CharactersWithSpaces>4126</CharactersWithSpaces>
  <Application>WPS Office_11.8.2.1132_F1E327BC-269C-435d-A152-05C5408002CA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2025-02-12T23:25:00Z</dcterms:created>
  <dc:creator>疯丫头。。</dc:creator>
  <cp:lastModifiedBy>A。</cp:lastModifiedBy>
  <cp:lastPrinted>2026-01-29T09:58:00Z</cp:lastPrinted>
  <dcterms:modified xsi:type="dcterms:W3CDTF">2026-02-02T09:25:09Z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KSOTemplateDocerSaveRecord">
    <vt:lpwstr>eyJoZGlkIjoiNDVlMWExNWNhZmU5NmNhMDdmM2Y2MmFmMWJhOWM0ZDgiLCJ1c2VySWQiOiI3MjA4NzQyOTYifQ==</vt:lpwstr>
  </property>
  <property fmtid="{D5CDD505-2E9C-101B-9397-08002B2CF9AE}" pid="4" name="ICV">
    <vt:lpwstr>8506D960F6054917A8ECFF18AB142625_12</vt:lpwstr>
  </property>
</Properties>
</file>