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8"/>
        <w:spacing w:beforeLines="0" w:before="93" w:line="576" w:lineRule="exact"/>
        <w:rPr>
          <w:rFonts w:ascii="Times New Roman" w:eastAsia="方正小标宋简体" w:hAnsi="Times New Roman"/>
          <w:kern w:val="2"/>
          <w:sz w:val="72"/>
          <w:szCs w:val="72"/>
        </w:rPr>
      </w:pPr>
      <w:bookmarkStart w:id="0" w:name="_Toc15396475"/>
      <w:bookmarkStart w:id="1" w:name="_Toc15306267"/>
      <w:bookmarkStart w:id="2" w:name="_Toc15377193"/>
      <w:bookmarkStart w:id="3" w:name="_Toc15377425"/>
      <w:bookmarkStart w:id="4" w:name="_Toc15396597"/>
      <w:bookmarkStart w:id="5" w:name="_Toc15378441"/>
    </w:p>
    <w:p>
      <w:pPr>
        <w:pStyle w:val="18"/>
        <w:spacing w:beforeLines="0" w:before="93" w:line="576" w:lineRule="exact"/>
        <w:rPr>
          <w:rFonts w:ascii="Times New Roman" w:eastAsia="方正小标宋简体" w:hAnsi="Times New Roman"/>
          <w:kern w:val="2"/>
          <w:sz w:val="72"/>
          <w:szCs w:val="72"/>
        </w:rPr>
      </w:pPr>
    </w:p>
    <w:p>
      <w:pPr>
        <w:pStyle w:val="18"/>
        <w:spacing w:beforeLines="0" w:before="93" w:line="576" w:lineRule="exact"/>
        <w:rPr>
          <w:rFonts w:ascii="Times New Roman" w:eastAsia="方正小标宋简体" w:hAnsi="Times New Roman"/>
          <w:kern w:val="2"/>
          <w:sz w:val="72"/>
          <w:szCs w:val="72"/>
        </w:rPr>
      </w:pPr>
    </w:p>
    <w:p>
      <w:pPr>
        <w:pStyle w:val="18"/>
        <w:spacing w:beforeLines="0" w:before="93" w:line="576" w:lineRule="exact"/>
        <w:rPr>
          <w:rFonts w:ascii="Times New Roman" w:eastAsia="方正小标宋简体" w:hAnsi="Times New Roman"/>
          <w:kern w:val="2"/>
          <w:sz w:val="72"/>
          <w:szCs w:val="72"/>
        </w:rPr>
      </w:pPr>
    </w:p>
    <w:p>
      <w:pPr>
        <w:pStyle w:val="18"/>
        <w:spacing w:beforeLines="0" w:before="93" w:line="576" w:lineRule="exact"/>
        <w:rPr>
          <w:rFonts w:ascii="Times New Roman" w:eastAsia="方正小标宋简体" w:hAnsi="Times New Roman"/>
          <w:kern w:val="2"/>
          <w:sz w:val="72"/>
          <w:szCs w:val="72"/>
        </w:rPr>
      </w:pPr>
    </w:p>
    <w:p>
      <w:pPr>
        <w:pStyle w:val="18"/>
        <w:spacing w:beforeLines="0" w:before="93" w:line="576" w:lineRule="exact"/>
        <w:rPr>
          <w:rFonts w:ascii="Times New Roman" w:eastAsia="方正小标宋简体" w:hAnsi="Times New Roman"/>
          <w:kern w:val="2"/>
          <w:sz w:val="72"/>
          <w:szCs w:val="72"/>
        </w:rPr>
      </w:pPr>
    </w:p>
    <w:p>
      <w:pPr>
        <w:pStyle w:val="18"/>
        <w:spacing w:beforeLines="0" w:before="93" w:line="576" w:lineRule="exact"/>
        <w:rPr>
          <w:rFonts w:ascii="Times New Roman" w:eastAsia="方正小标宋简体" w:hAnsi="Times New Roman"/>
          <w:kern w:val="2"/>
          <w:sz w:val="72"/>
          <w:szCs w:val="72"/>
        </w:rPr>
      </w:pPr>
    </w:p>
    <w:p>
      <w:pPr>
        <w:pStyle w:val="18"/>
        <w:spacing w:beforeLines="0" w:before="93" w:line="576" w:lineRule="exact"/>
        <w:rPr>
          <w:rFonts w:ascii="Times New Roman" w:eastAsia="方正小标宋简体" w:hAnsi="Times New Roman"/>
          <w:kern w:val="2"/>
          <w:sz w:val="72"/>
          <w:szCs w:val="72"/>
        </w:rPr>
      </w:pPr>
    </w:p>
    <w:p>
      <w:pPr>
        <w:pStyle w:val="18"/>
        <w:spacing w:beforeLines="0" w:before="93" w:line="576" w:lineRule="exact"/>
        <w:rPr>
          <w:rFonts w:ascii="Times New Roman" w:eastAsia="方正小标宋简体" w:hAnsi="Times New Roman"/>
          <w:kern w:val="2"/>
          <w:sz w:val="72"/>
          <w:szCs w:val="72"/>
        </w:rPr>
      </w:pPr>
    </w:p>
    <w:p>
      <w:pPr>
        <w:pStyle w:val="18"/>
        <w:spacing w:beforeLines="0" w:before="93" w:line="576" w:lineRule="exact"/>
        <w:jc w:val="center"/>
        <w:rPr>
          <w:rFonts w:ascii="Times New Roman" w:eastAsia="方正小标宋简体" w:hAnsi="Times New Roman"/>
          <w:b/>
          <w:bCs/>
          <w:kern w:val="2"/>
          <w:sz w:val="44"/>
          <w:szCs w:val="44"/>
        </w:rPr>
      </w:pPr>
      <w:r>
        <w:rPr>
          <w:rFonts w:ascii="Times New Roman" w:eastAsia="方正小标宋简体" w:hAnsi="Times New Roman" w:hint="eastAsia"/>
          <w:b/>
          <w:bCs/>
          <w:kern w:val="2"/>
          <w:sz w:val="44"/>
          <w:szCs w:val="44"/>
        </w:rPr>
        <w:t>2024年度阿坝</w:t>
      </w:r>
      <w:r>
        <w:rPr>
          <w:rFonts w:ascii="Times New Roman" w:eastAsia="方正小标宋简体" w:hAnsi="Times New Roman"/>
          <w:b/>
          <w:bCs/>
          <w:kern w:val="2"/>
          <w:sz w:val="44"/>
          <w:szCs w:val="44"/>
        </w:rPr>
        <w:t>藏族羌族自治州</w:t>
      </w:r>
      <w:r>
        <w:rPr>
          <w:rFonts w:ascii="Times New Roman" w:eastAsia="方正小标宋简体" w:hAnsi="Times New Roman" w:hint="eastAsia"/>
          <w:b/>
          <w:bCs/>
          <w:kern w:val="2"/>
          <w:sz w:val="44"/>
          <w:szCs w:val="44"/>
        </w:rPr>
        <w:t>公安局</w:t>
      </w:r>
    </w:p>
    <w:p>
      <w:pPr>
        <w:pStyle w:val="18"/>
        <w:spacing w:beforeLines="0" w:before="93" w:line="576" w:lineRule="exact"/>
        <w:jc w:val="center"/>
        <w:rPr>
          <w:rFonts w:ascii="Times New Roman" w:eastAsia="方正小标宋简体" w:hAnsi="Times New Roman" w:hint="eastAsia"/>
          <w:b/>
          <w:bCs/>
          <w:kern w:val="2"/>
          <w:sz w:val="44"/>
          <w:szCs w:val="44"/>
          <w:lang w:eastAsia="zh-CN"/>
        </w:rPr>
      </w:pPr>
      <w:r>
        <w:rPr>
          <w:rFonts w:ascii="Times New Roman" w:eastAsia="方正小标宋简体" w:hAnsi="Times New Roman"/>
          <w:b/>
          <w:bCs/>
          <w:kern w:val="2"/>
          <w:sz w:val="44"/>
          <w:szCs w:val="44"/>
        </w:rPr>
        <w:t>部门</w:t>
      </w:r>
      <w:r>
        <w:rPr>
          <w:rFonts w:ascii="Times New Roman" w:eastAsia="方正小标宋简体" w:hAnsi="Times New Roman" w:hint="eastAsia"/>
          <w:b/>
          <w:bCs/>
          <w:kern w:val="2"/>
          <w:sz w:val="44"/>
          <w:szCs w:val="44"/>
        </w:rPr>
        <w:t>决算</w:t>
      </w:r>
      <w:r>
        <w:rPr>
          <w:rFonts w:ascii="Times New Roman" w:eastAsia="方正小标宋简体" w:hAnsi="Times New Roman" w:hint="eastAsia"/>
          <w:b/>
          <w:bCs/>
          <w:kern w:val="2"/>
          <w:sz w:val="44"/>
          <w:szCs w:val="44"/>
          <w:lang w:eastAsia="zh-CN"/>
        </w:rPr>
        <w:t>公开</w:t>
      </w:r>
    </w:p>
    <w:p>
      <w:pPr>
        <w:spacing w:line="576" w:lineRule="exact"/>
        <w:jc w:val="center"/>
        <w:outlineLvl w:val="0"/>
        <w:rPr>
          <w:rFonts w:eastAsia="方正小标宋简体"/>
          <w:sz w:val="72"/>
          <w:szCs w:val="72"/>
        </w:rPr>
      </w:pPr>
    </w:p>
    <w:p>
      <w:pPr>
        <w:pStyle w:val="15"/>
        <w:rPr>
          <w:rFonts w:eastAsia="方正小标宋简体"/>
          <w:sz w:val="72"/>
          <w:szCs w:val="72"/>
        </w:rPr>
      </w:pPr>
    </w:p>
    <w:p>
      <w:pPr>
        <w:pStyle w:val="17"/>
        <w:rPr>
          <w:rFonts w:eastAsia="方正小标宋简体"/>
          <w:sz w:val="72"/>
          <w:szCs w:val="72"/>
        </w:rPr>
      </w:pPr>
    </w:p>
    <w:p>
      <w:pPr>
        <w:pStyle w:val="17"/>
        <w:rPr>
          <w:rFonts w:eastAsia="方正小标宋简体"/>
          <w:sz w:val="72"/>
          <w:szCs w:val="72"/>
        </w:rPr>
      </w:pPr>
    </w:p>
    <w:p>
      <w:pPr>
        <w:pStyle w:val="17"/>
        <w:rPr>
          <w:rFonts w:eastAsia="方正小标宋简体"/>
          <w:sz w:val="72"/>
          <w:szCs w:val="72"/>
        </w:rPr>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pPr>
        <w:rPr>
          <w:rFonts w:ascii="Times New Roman" w:hAnsi="Times New Roman"/>
        </w:rPr>
        <w:sectPr>
          <w:headerReference w:type="default" r:id="rId2"/>
          <w:footerReference w:type="default" r:id="rId3"/>
          <w:pgSz w:w="11906" w:h="16838"/>
          <w:pgMar w:top="1440" w:right="1800" w:bottom="1440" w:left="1800" w:header="851" w:footer="992" w:gutter="0"/>
          <w:pgNumType w:fmt="numberInDash" w:start="1"/>
          <w:titlePg/>
          <w:docGrid w:type="lines" w:linePitch="312" w:charSpace="0"/>
        </w:sectPr>
      </w:pPr>
    </w:p>
    <w:p>
      <w:pPr>
        <w:widowControl/>
        <w:spacing w:line="576" w:lineRule="exact"/>
        <w:jc w:val="center"/>
        <w:rPr>
          <w:rFonts w:eastAsia="黑体"/>
          <w:sz w:val="48"/>
          <w:szCs w:val="48"/>
        </w:rPr>
      </w:pPr>
      <w:bookmarkEnd w:id="0"/>
      <w:bookmarkEnd w:id="1"/>
      <w:bookmarkEnd w:id="2"/>
      <w:bookmarkEnd w:id="3"/>
      <w:bookmarkEnd w:id="4"/>
      <w:bookmarkEnd w:id="5"/>
      <w:r>
        <w:rPr>
          <w:rFonts w:eastAsia="黑体" w:hint="eastAsia"/>
          <w:sz w:val="48"/>
          <w:szCs w:val="48"/>
        </w:rPr>
        <w:t>目录</w:t>
      </w:r>
    </w:p>
    <w:p>
      <w:pPr>
        <w:widowControl/>
        <w:spacing w:line="576" w:lineRule="exact"/>
        <w:jc w:val="center"/>
        <w:rPr>
          <w:rFonts w:eastAsia="黑体" w:cs="Arial"/>
          <w:sz w:val="28"/>
          <w:szCs w:val="28"/>
        </w:rPr>
      </w:pPr>
    </w:p>
    <w:p>
      <w:pPr>
        <w:pStyle w:val="23"/>
        <w:tabs>
          <w:tab w:val="right" w:leader="dot" w:pos="8296"/>
        </w:tabs>
        <w:spacing w:line="576" w:lineRule="exact"/>
        <w:rPr>
          <w:rFonts w:ascii="Times New Roman" w:eastAsia="仿宋_GB2312" w:cs="仿宋_GB2312" w:hAnsi="Times New Roman"/>
          <w:sz w:val="32"/>
          <w:szCs w:val="32"/>
        </w:rPr>
      </w:pPr>
      <w:r>
        <w:rPr>
          <w:rFonts w:ascii="Times New Roman" w:eastAsia="仿宋_GB2312" w:cs="仿宋_GB2312" w:hAnsi="Times New Roman" w:hint="eastAsia"/>
          <w:sz w:val="32"/>
          <w:szCs w:val="32"/>
        </w:rPr>
        <w:t>公开时间：202</w:t>
      </w:r>
      <w:r>
        <w:rPr>
          <w:rFonts w:ascii="Times New Roman" w:eastAsia="仿宋_GB2312" w:cs="仿宋_GB2312" w:hAnsi="Times New Roman"/>
          <w:sz w:val="32"/>
          <w:szCs w:val="32"/>
        </w:rPr>
        <w:t>5</w:t>
      </w:r>
      <w:r>
        <w:rPr>
          <w:rFonts w:ascii="Times New Roman" w:eastAsia="仿宋_GB2312" w:cs="仿宋_GB2312" w:hAnsi="Times New Roman" w:hint="eastAsia"/>
          <w:sz w:val="32"/>
          <w:szCs w:val="32"/>
        </w:rPr>
        <w:t>年</w:t>
      </w:r>
      <w:r>
        <w:rPr>
          <w:rFonts w:ascii="Times New Roman" w:eastAsia="仿宋_GB2312" w:cs="仿宋_GB2312" w:hAnsi="Times New Roman"/>
          <w:sz w:val="32"/>
          <w:szCs w:val="32"/>
        </w:rPr>
        <w:t>9</w:t>
      </w:r>
      <w:r>
        <w:rPr>
          <w:rFonts w:ascii="Times New Roman" w:eastAsia="仿宋_GB2312" w:cs="仿宋_GB2312" w:hAnsi="Times New Roman" w:hint="eastAsia"/>
          <w:sz w:val="32"/>
          <w:szCs w:val="32"/>
        </w:rPr>
        <w:t>月</w:t>
      </w:r>
      <w:r>
        <w:rPr>
          <w:rFonts w:ascii="Times New Roman" w:eastAsia="仿宋_GB2312" w:cs="仿宋_GB2312" w:hAnsi="Times New Roman"/>
          <w:sz w:val="32"/>
          <w:szCs w:val="32"/>
        </w:rPr>
        <w:t>18</w:t>
      </w:r>
      <w:r>
        <w:rPr>
          <w:rFonts w:ascii="Times New Roman" w:eastAsia="仿宋_GB2312" w:cs="仿宋_GB2312" w:hAnsi="Times New Roman" w:hint="eastAsia"/>
          <w:sz w:val="32"/>
          <w:szCs w:val="32"/>
        </w:rPr>
        <w:t>日</w:t>
      </w:r>
    </w:p>
    <w:p>
      <w:pPr>
        <w:spacing w:line="576" w:lineRule="exact"/>
      </w:pPr>
    </w:p>
    <w:p>
      <w:pPr>
        <w:pStyle w:val="23"/>
        <w:tabs>
          <w:tab w:val="right" w:leader="dot" w:pos="8296"/>
        </w:tabs>
        <w:adjustRightInd w:val="0"/>
        <w:snapToGrid w:val="0"/>
        <w:spacing w:before="0" w:line="560" w:lineRule="exact"/>
        <w:jc w:val="left"/>
        <w:rPr>
          <w:rFonts w:ascii="Times New Roman" w:eastAsia="黑体" w:cs="黑体" w:hAnsi="Times New Roman"/>
          <w:sz w:val="32"/>
          <w:szCs w:val="32"/>
        </w:rPr>
      </w:pPr>
      <w:r>
        <w:rPr>
          <w:rFonts w:ascii="Times New Roman" w:eastAsia="黑体" w:cs="黑体" w:hAnsi="Times New Roman" w:hint="eastAsia"/>
          <w:sz w:val="32"/>
          <w:szCs w:val="32"/>
        </w:rPr>
        <w:t>第一部分 部门概况</w:t>
      </w:r>
      <w:r>
        <w:tab/>
      </w:r>
      <w:r>
        <w:fldChar w:fldCharType="begin"/>
      </w:r>
      <w:r>
        <w:instrText xml:space="preserve"> PAGEREF _Toc2930 \h </w:instrText>
      </w:r>
      <w:r>
        <w:fldChar w:fldCharType="separate"/>
      </w:r>
      <w:r>
        <w:t>- 1 -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一、部门职责</w:t>
      </w:r>
      <w:r>
        <w:tab/>
      </w:r>
      <w:r>
        <w:fldChar w:fldCharType="begin"/>
      </w:r>
      <w:r>
        <w:instrText xml:space="preserve"> PAGEREF _Toc2930 \h </w:instrText>
      </w:r>
      <w:r>
        <w:fldChar w:fldCharType="separate"/>
      </w:r>
      <w:r>
        <w:t>- 1 -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二、机构设置</w:t>
      </w:r>
      <w:r>
        <w:tab/>
      </w:r>
      <w:r>
        <w:fldChar w:fldCharType="begin"/>
      </w:r>
      <w:r>
        <w:instrText xml:space="preserve"> PAGEREF _Toc2930 \h </w:instrText>
      </w:r>
      <w:r>
        <w:fldChar w:fldCharType="separate"/>
      </w:r>
      <w:r>
        <w:t>-</w:t>
      </w:r>
      <w:r>
        <w:rPr>
          <w:rFonts w:hint="eastAsia"/>
          <w:lang w:val="en-US" w:eastAsia="zh-CN"/>
        </w:rPr>
        <w:t>2</w:t>
      </w:r>
      <w:r>
        <w:t xml:space="preserve"> -</w:t>
      </w:r>
      <w:r>
        <w:fldChar w:fldCharType="end"/>
      </w:r>
    </w:p>
    <w:p>
      <w:pPr>
        <w:pStyle w:val="23"/>
        <w:tabs>
          <w:tab w:val="right" w:leader="dot" w:pos="8296"/>
        </w:tabs>
        <w:adjustRightInd w:val="0"/>
        <w:snapToGrid w:val="0"/>
        <w:spacing w:before="0" w:line="560" w:lineRule="exact"/>
        <w:jc w:val="left"/>
        <w:rPr>
          <w:rFonts w:ascii="Times New Roman" w:eastAsia="黑体" w:cs="黑体" w:hAnsi="Times New Roman"/>
          <w:sz w:val="32"/>
          <w:szCs w:val="32"/>
        </w:rPr>
      </w:pPr>
      <w:r>
        <w:rPr>
          <w:rFonts w:ascii="Times New Roman" w:eastAsia="黑体" w:cs="黑体" w:hAnsi="Times New Roman" w:hint="eastAsia"/>
          <w:sz w:val="32"/>
          <w:szCs w:val="32"/>
        </w:rPr>
        <w:t>第二部分 2024年度部门决算情况说明</w:t>
      </w:r>
      <w:r>
        <w:tab/>
      </w:r>
      <w:r>
        <w:fldChar w:fldCharType="begin"/>
      </w:r>
      <w:r>
        <w:instrText xml:space="preserve"> PAGEREF _Toc2930 \h </w:instrText>
      </w:r>
      <w:r>
        <w:fldChar w:fldCharType="separate"/>
      </w:r>
      <w:r>
        <w:t xml:space="preserve">- </w:t>
      </w:r>
      <w:r>
        <w:rPr>
          <w:rFonts w:hint="eastAsia"/>
          <w:lang w:val="en-US" w:eastAsia="zh-CN"/>
        </w:rPr>
        <w:t>3</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一、收入支出决算总体情况说明</w:t>
      </w:r>
      <w:r>
        <w:tab/>
      </w:r>
      <w:r>
        <w:fldChar w:fldCharType="begin"/>
      </w:r>
      <w:r>
        <w:instrText xml:space="preserve"> PAGEREF _Toc2930 \h </w:instrText>
      </w:r>
      <w:r>
        <w:fldChar w:fldCharType="separate"/>
      </w:r>
      <w:r>
        <w:t xml:space="preserve">- </w:t>
      </w:r>
      <w:r>
        <w:rPr>
          <w:rFonts w:hint="eastAsia"/>
          <w:lang w:val="en-US" w:eastAsia="zh-CN"/>
        </w:rPr>
        <w:t>3</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二、收入决算情况说明</w:t>
      </w:r>
      <w:r>
        <w:tab/>
      </w:r>
      <w:r>
        <w:fldChar w:fldCharType="begin"/>
      </w:r>
      <w:r>
        <w:instrText xml:space="preserve"> PAGEREF _Toc2930 \h </w:instrText>
      </w:r>
      <w:r>
        <w:fldChar w:fldCharType="separate"/>
      </w:r>
      <w:r>
        <w:t xml:space="preserve">- </w:t>
      </w:r>
      <w:r>
        <w:rPr>
          <w:rFonts w:hint="eastAsia"/>
          <w:lang w:val="en-US" w:eastAsia="zh-CN"/>
        </w:rPr>
        <w:t>4</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三、支出决算情况说明</w:t>
      </w:r>
      <w:r>
        <w:tab/>
      </w:r>
      <w:r>
        <w:fldChar w:fldCharType="begin"/>
      </w:r>
      <w:r>
        <w:instrText xml:space="preserve"> PAGEREF _Toc2930 \h </w:instrText>
      </w:r>
      <w:r>
        <w:fldChar w:fldCharType="separate"/>
      </w:r>
      <w:r>
        <w:t xml:space="preserve">- </w:t>
      </w:r>
      <w:r>
        <w:rPr>
          <w:rFonts w:hint="eastAsia"/>
          <w:lang w:val="en-US" w:eastAsia="zh-CN"/>
        </w:rPr>
        <w:t>4</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四、财政拨款收入支出决算总体情况说明</w:t>
      </w:r>
      <w:r>
        <w:tab/>
      </w:r>
      <w:r>
        <w:fldChar w:fldCharType="begin"/>
      </w:r>
      <w:r>
        <w:instrText xml:space="preserve"> PAGEREF _Toc2930 \h </w:instrText>
      </w:r>
      <w:r>
        <w:fldChar w:fldCharType="separate"/>
      </w:r>
      <w:r>
        <w:t xml:space="preserve">- </w:t>
      </w:r>
      <w:r>
        <w:rPr>
          <w:rFonts w:hint="eastAsia"/>
          <w:lang w:val="en-US" w:eastAsia="zh-CN"/>
        </w:rPr>
        <w:t>5</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五、一般公共预算财政拨款支出决算情况说明</w:t>
      </w:r>
      <w:r>
        <w:tab/>
      </w:r>
      <w:r>
        <w:fldChar w:fldCharType="begin"/>
      </w:r>
      <w:r>
        <w:instrText xml:space="preserve"> PAGEREF _Toc2930 \h </w:instrText>
      </w:r>
      <w:r>
        <w:fldChar w:fldCharType="separate"/>
      </w:r>
      <w:r>
        <w:t xml:space="preserve">- </w:t>
      </w:r>
      <w:r>
        <w:rPr>
          <w:rFonts w:hint="eastAsia"/>
          <w:lang w:val="en-US" w:eastAsia="zh-CN"/>
        </w:rPr>
        <w:t>5</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六、一般公共预算财政拨款基本支出决算情况说明</w:t>
      </w:r>
      <w:r>
        <w:tab/>
      </w:r>
      <w:r>
        <w:fldChar w:fldCharType="begin"/>
      </w:r>
      <w:r>
        <w:instrText xml:space="preserve"> PAGEREF _Toc2930 \h </w:instrText>
      </w:r>
      <w:r>
        <w:fldChar w:fldCharType="separate"/>
      </w:r>
      <w:r>
        <w:t xml:space="preserve">- </w:t>
      </w:r>
      <w:r>
        <w:rPr>
          <w:rFonts w:hint="eastAsia"/>
          <w:lang w:val="en-US" w:eastAsia="zh-CN"/>
        </w:rPr>
        <w:t>8</w:t>
      </w:r>
      <w:r>
        <w:t>-</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七、财政拨款“三公”经费支出决算情况说明</w:t>
      </w:r>
      <w:r>
        <w:tab/>
      </w:r>
      <w:r>
        <w:fldChar w:fldCharType="begin"/>
      </w:r>
      <w:r>
        <w:instrText xml:space="preserve"> PAGEREF _Toc2930 \h </w:instrText>
      </w:r>
      <w:r>
        <w:fldChar w:fldCharType="separate"/>
      </w:r>
      <w:r>
        <w:t xml:space="preserve">- </w:t>
      </w:r>
      <w:r>
        <w:rPr>
          <w:rFonts w:hint="eastAsia"/>
          <w:lang w:val="en-US" w:eastAsia="zh-CN"/>
        </w:rPr>
        <w:t>9</w:t>
      </w:r>
      <w:r>
        <w:t>-</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八、政府性基金预算支出决算情况说明</w:t>
      </w:r>
      <w:r>
        <w:tab/>
      </w:r>
      <w:r>
        <w:fldChar w:fldCharType="begin"/>
      </w:r>
      <w:r>
        <w:instrText xml:space="preserve"> PAGEREF _Toc2930 \h </w:instrText>
      </w:r>
      <w:r>
        <w:fldChar w:fldCharType="separate"/>
      </w:r>
      <w:r>
        <w:t xml:space="preserve">- </w:t>
      </w:r>
      <w:r>
        <w:rPr>
          <w:rFonts w:hint="eastAsia"/>
          <w:lang w:val="en-US" w:eastAsia="zh-CN"/>
        </w:rPr>
        <w:t>1</w:t>
      </w:r>
      <w:r>
        <w:t>1 -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九、国有资本经营预算支出决算情况说明</w:t>
      </w:r>
      <w:r>
        <w:tab/>
      </w:r>
      <w:r>
        <w:fldChar w:fldCharType="begin"/>
      </w:r>
      <w:r>
        <w:instrText xml:space="preserve"> PAGEREF _Toc2930 \h </w:instrText>
      </w:r>
      <w:r>
        <w:fldChar w:fldCharType="separate"/>
      </w:r>
      <w:r>
        <w:t>-</w:t>
      </w:r>
      <w:r>
        <w:rPr>
          <w:rFonts w:hint="eastAsia"/>
          <w:lang w:val="en-US" w:eastAsia="zh-CN"/>
        </w:rPr>
        <w:t>1</w:t>
      </w:r>
      <w:r>
        <w:t xml:space="preserve"> 1 -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十、其他重要事项的情况说明</w:t>
      </w:r>
      <w:r>
        <w:tab/>
      </w:r>
      <w:r>
        <w:fldChar w:fldCharType="begin"/>
      </w:r>
      <w:r>
        <w:instrText xml:space="preserve"> PAGEREF _Toc2930 \h </w:instrText>
      </w:r>
      <w:r>
        <w:fldChar w:fldCharType="separate"/>
      </w:r>
      <w:r>
        <w:t>- 1</w:t>
      </w:r>
      <w:r>
        <w:rPr>
          <w:rFonts w:hint="eastAsia"/>
          <w:lang w:val="en-US" w:eastAsia="zh-CN"/>
        </w:rPr>
        <w:t>2</w:t>
      </w:r>
      <w:r>
        <w:t xml:space="preserve"> -</w:t>
      </w:r>
      <w:r>
        <w:fldChar w:fldCharType="end"/>
      </w:r>
    </w:p>
    <w:p>
      <w:pPr>
        <w:pStyle w:val="23"/>
        <w:tabs>
          <w:tab w:val="right" w:leader="dot" w:pos="8296"/>
        </w:tabs>
        <w:adjustRightInd w:val="0"/>
        <w:snapToGrid w:val="0"/>
        <w:spacing w:before="0" w:line="560" w:lineRule="exact"/>
        <w:jc w:val="left"/>
        <w:rPr>
          <w:rFonts w:ascii="Times New Roman" w:eastAsia="黑体" w:cs="黑体" w:hAnsi="Times New Roman"/>
          <w:sz w:val="32"/>
          <w:szCs w:val="32"/>
        </w:rPr>
      </w:pPr>
      <w:r>
        <w:rPr>
          <w:rFonts w:ascii="Times New Roman" w:eastAsia="黑体" w:cs="黑体" w:hAnsi="Times New Roman" w:hint="eastAsia"/>
          <w:sz w:val="32"/>
          <w:szCs w:val="32"/>
        </w:rPr>
        <w:t>第三部分 名词解释</w:t>
      </w:r>
      <w:r>
        <w:tab/>
      </w:r>
      <w:r>
        <w:fldChar w:fldCharType="begin"/>
      </w:r>
      <w:r>
        <w:instrText xml:space="preserve"> PAGEREF _Toc2930 \h </w:instrText>
      </w:r>
      <w:r>
        <w:fldChar w:fldCharType="separate"/>
      </w:r>
      <w:r>
        <w:t>- 1</w:t>
      </w:r>
      <w:r>
        <w:rPr>
          <w:rFonts w:hint="eastAsia"/>
          <w:lang w:val="en-US" w:eastAsia="zh-CN"/>
        </w:rPr>
        <w:t>4</w:t>
      </w:r>
      <w:r>
        <w:t xml:space="preserve"> -</w:t>
      </w:r>
      <w:r>
        <w:fldChar w:fldCharType="end"/>
      </w:r>
    </w:p>
    <w:p>
      <w:pPr>
        <w:pStyle w:val="23"/>
        <w:tabs>
          <w:tab w:val="right" w:leader="dot" w:pos="8296"/>
        </w:tabs>
        <w:adjustRightInd w:val="0"/>
        <w:snapToGrid w:val="0"/>
        <w:spacing w:before="0" w:line="560" w:lineRule="exact"/>
        <w:jc w:val="left"/>
        <w:rPr>
          <w:rFonts w:ascii="Times New Roman" w:eastAsia="黑体" w:cs="黑体" w:hAnsi="Times New Roman"/>
          <w:sz w:val="32"/>
          <w:szCs w:val="32"/>
        </w:rPr>
      </w:pPr>
      <w:r>
        <w:rPr>
          <w:rFonts w:ascii="Times New Roman" w:eastAsia="黑体" w:cs="黑体" w:hAnsi="Times New Roman" w:hint="eastAsia"/>
          <w:sz w:val="32"/>
          <w:szCs w:val="32"/>
        </w:rPr>
        <w:t>第四部分 附件</w:t>
      </w:r>
      <w:r>
        <w:tab/>
      </w:r>
      <w:r>
        <w:fldChar w:fldCharType="begin"/>
      </w:r>
      <w:r>
        <w:instrText xml:space="preserve"> PAGEREF _Toc2930 \h </w:instrText>
      </w:r>
      <w:r>
        <w:fldChar w:fldCharType="separate"/>
      </w:r>
      <w:r>
        <w:t>- 1</w:t>
      </w:r>
      <w:r>
        <w:rPr>
          <w:rFonts w:hint="eastAsia"/>
          <w:lang w:val="en-US" w:eastAsia="zh-CN"/>
        </w:rPr>
        <w:t>7</w:t>
      </w:r>
      <w:r>
        <w:t xml:space="preserve"> -</w:t>
      </w:r>
      <w:r>
        <w:fldChar w:fldCharType="end"/>
      </w:r>
    </w:p>
    <w:p>
      <w:pPr>
        <w:pStyle w:val="23"/>
        <w:tabs>
          <w:tab w:val="right" w:leader="dot" w:pos="8296"/>
        </w:tabs>
        <w:adjustRightInd w:val="0"/>
        <w:snapToGrid w:val="0"/>
        <w:spacing w:before="0" w:line="560" w:lineRule="exact"/>
        <w:jc w:val="left"/>
        <w:rPr>
          <w:rFonts w:ascii="Times New Roman" w:eastAsia="黑体" w:cs="黑体" w:hAnsi="Times New Roman"/>
          <w:sz w:val="32"/>
          <w:szCs w:val="32"/>
        </w:rPr>
      </w:pPr>
      <w:r>
        <w:rPr>
          <w:rFonts w:ascii="Times New Roman" w:eastAsia="黑体" w:cs="黑体" w:hAnsi="Times New Roman" w:hint="eastAsia"/>
          <w:sz w:val="32"/>
          <w:szCs w:val="32"/>
        </w:rPr>
        <w:t>第五部分 附表</w:t>
      </w:r>
      <w:r>
        <w:tab/>
      </w:r>
      <w:r>
        <w:fldChar w:fldCharType="begin"/>
      </w:r>
      <w:r>
        <w:instrText xml:space="preserve"> PAGEREF _Toc2930 \h </w:instrText>
      </w:r>
      <w:r>
        <w:fldChar w:fldCharType="separate"/>
      </w:r>
      <w:r>
        <w:t xml:space="preserve">- </w:t>
      </w:r>
      <w:r>
        <w:rPr>
          <w:rFonts w:hint="eastAsia"/>
          <w:lang w:val="en-US" w:eastAsia="zh-CN"/>
        </w:rPr>
        <w:t>36</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一、收入支出决算总表</w:t>
      </w:r>
      <w:r>
        <w:tab/>
      </w:r>
      <w:r>
        <w:fldChar w:fldCharType="begin"/>
      </w:r>
      <w:r>
        <w:instrText xml:space="preserve"> PAGEREF _Toc2930 \h </w:instrText>
      </w:r>
      <w:r>
        <w:fldChar w:fldCharType="separate"/>
      </w:r>
      <w:r>
        <w:t xml:space="preserve">- </w:t>
      </w:r>
      <w:r>
        <w:rPr>
          <w:rFonts w:hint="eastAsia"/>
          <w:lang w:val="en-US" w:eastAsia="zh-CN"/>
        </w:rPr>
        <w:t>36</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pPr>
      <w:r>
        <w:rPr>
          <w:rFonts w:eastAsia="仿宋_GB2312" w:cs="仿宋_GB2312" w:hint="eastAsia"/>
          <w:sz w:val="32"/>
          <w:szCs w:val="32"/>
        </w:rPr>
        <w:t>二、收入决算表</w:t>
      </w:r>
      <w:r>
        <w:tab/>
      </w:r>
      <w:r>
        <w:fldChar w:fldCharType="begin"/>
      </w:r>
      <w:r>
        <w:instrText xml:space="preserve"> PAGEREF _Toc2930 \h </w:instrText>
      </w:r>
      <w:r>
        <w:fldChar w:fldCharType="separate"/>
      </w:r>
      <w:r>
        <w:t xml:space="preserve">- </w:t>
      </w:r>
      <w:r>
        <w:rPr>
          <w:rFonts w:hint="eastAsia"/>
          <w:lang w:val="en-US" w:eastAsia="zh-CN"/>
        </w:rPr>
        <w:t>36</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三、支出决算表</w:t>
      </w:r>
      <w:r>
        <w:tab/>
      </w:r>
      <w:r>
        <w:fldChar w:fldCharType="begin"/>
      </w:r>
      <w:r>
        <w:instrText xml:space="preserve"> PAGEREF _Toc2930 \h </w:instrText>
      </w:r>
      <w:r>
        <w:fldChar w:fldCharType="separate"/>
      </w:r>
      <w:r>
        <w:t xml:space="preserve">- </w:t>
      </w:r>
      <w:r>
        <w:rPr>
          <w:rFonts w:hint="eastAsia"/>
          <w:lang w:val="en-US" w:eastAsia="zh-CN"/>
        </w:rPr>
        <w:t>36</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hint="eastAsia"/>
          <w:sz w:val="32"/>
          <w:szCs w:val="32"/>
        </w:rPr>
        <w:sectPr>
          <w:headerReference w:type="default" r:id="rId4"/>
          <w:footerReference w:type="default" r:id="rId5"/>
          <w:footerReference w:type="first" r:id="rId6"/>
          <w:pgSz w:w="11906" w:h="16838"/>
          <w:pgMar w:top="1440" w:right="1800" w:bottom="1440" w:left="1800" w:header="851" w:footer="992" w:gutter="0"/>
          <w:pgNumType w:fmt="numberInDash" w:start="1"/>
          <w:titlePg/>
          <w:docGrid w:type="lines" w:linePitch="312" w:charSpace="0"/>
        </w:sectPr>
      </w:pP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四、财政拨款收入支出决算总表</w:t>
      </w:r>
      <w:r>
        <w:tab/>
      </w:r>
      <w:r>
        <w:fldChar w:fldCharType="begin"/>
      </w:r>
      <w:r>
        <w:instrText xml:space="preserve"> PAGEREF _Toc2930 \h </w:instrText>
      </w:r>
      <w:r>
        <w:fldChar w:fldCharType="separate"/>
      </w:r>
      <w:r>
        <w:t>-</w:t>
      </w:r>
      <w:r>
        <w:rPr>
          <w:rFonts w:hint="eastAsia"/>
          <w:lang w:val="en-US" w:eastAsia="zh-CN"/>
        </w:rPr>
        <w:t>36</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五、财政拨款支出决算明细表</w:t>
      </w:r>
      <w:r>
        <w:tab/>
      </w:r>
      <w:r>
        <w:fldChar w:fldCharType="begin"/>
      </w:r>
      <w:r>
        <w:instrText xml:space="preserve"> PAGEREF _Toc2930 \h </w:instrText>
      </w:r>
      <w:r>
        <w:fldChar w:fldCharType="separate"/>
      </w:r>
      <w:r>
        <w:t xml:space="preserve">- </w:t>
      </w:r>
      <w:r>
        <w:rPr>
          <w:rFonts w:hint="eastAsia"/>
          <w:lang w:val="en-US" w:eastAsia="zh-CN"/>
        </w:rPr>
        <w:t>36</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六、一般公共预算财政拨款支出决算表</w:t>
      </w:r>
      <w:r>
        <w:tab/>
      </w:r>
      <w:r>
        <w:fldChar w:fldCharType="begin"/>
      </w:r>
      <w:r>
        <w:instrText xml:space="preserve"> PAGEREF _Toc2930 \h </w:instrText>
      </w:r>
      <w:r>
        <w:fldChar w:fldCharType="separate"/>
      </w:r>
      <w:r>
        <w:t xml:space="preserve">- </w:t>
      </w:r>
      <w:r>
        <w:rPr>
          <w:rFonts w:hint="eastAsia"/>
          <w:lang w:val="en-US" w:eastAsia="zh-CN"/>
        </w:rPr>
        <w:t>36</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七、一般公共预算财政拨款支出决算明细表</w:t>
      </w:r>
      <w:r>
        <w:tab/>
      </w:r>
      <w:r>
        <w:fldChar w:fldCharType="begin"/>
      </w:r>
      <w:r>
        <w:instrText xml:space="preserve"> PAGEREF _Toc2930 \h </w:instrText>
      </w:r>
      <w:r>
        <w:fldChar w:fldCharType="separate"/>
      </w:r>
      <w:r>
        <w:t xml:space="preserve">- </w:t>
      </w:r>
      <w:r>
        <w:rPr>
          <w:rFonts w:hint="eastAsia"/>
          <w:lang w:val="en-US" w:eastAsia="zh-CN"/>
        </w:rPr>
        <w:t>36</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八、一般公共预算财政拨款基本支出决算明细表</w:t>
      </w:r>
      <w:r>
        <w:tab/>
      </w:r>
      <w:r>
        <w:fldChar w:fldCharType="begin"/>
      </w:r>
      <w:r>
        <w:instrText xml:space="preserve"> PAGEREF _Toc2930 \h </w:instrText>
      </w:r>
      <w:r>
        <w:fldChar w:fldCharType="separate"/>
      </w:r>
      <w:r>
        <w:t xml:space="preserve">- </w:t>
      </w:r>
      <w:r>
        <w:rPr>
          <w:rFonts w:hint="eastAsia"/>
          <w:lang w:val="en-US" w:eastAsia="zh-CN"/>
        </w:rPr>
        <w:t>36</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九、一般公共预算财政拨款项目支出决算表</w:t>
      </w:r>
      <w:r>
        <w:tab/>
      </w:r>
      <w:r>
        <w:fldChar w:fldCharType="begin"/>
      </w:r>
      <w:r>
        <w:instrText xml:space="preserve"> PAGEREF _Toc2930 \h </w:instrText>
      </w:r>
      <w:r>
        <w:fldChar w:fldCharType="separate"/>
      </w:r>
      <w:r>
        <w:t xml:space="preserve">- </w:t>
      </w:r>
      <w:r>
        <w:rPr>
          <w:rFonts w:hint="eastAsia"/>
          <w:lang w:val="en-US" w:eastAsia="zh-CN"/>
        </w:rPr>
        <w:t>36</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十、政府性基金预算财政拨款收入支出决算表</w:t>
      </w:r>
      <w:r>
        <w:tab/>
      </w:r>
      <w:r>
        <w:fldChar w:fldCharType="begin"/>
      </w:r>
      <w:r>
        <w:instrText xml:space="preserve"> PAGEREF _Toc2930 \h </w:instrText>
      </w:r>
      <w:r>
        <w:fldChar w:fldCharType="separate"/>
      </w:r>
      <w:r>
        <w:t xml:space="preserve">- </w:t>
      </w:r>
      <w:r>
        <w:rPr>
          <w:rFonts w:hint="eastAsia"/>
          <w:lang w:val="en-US" w:eastAsia="zh-CN"/>
        </w:rPr>
        <w:t>36</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十一、国有资本经营预算财政拨款收入支出决算表</w:t>
      </w:r>
      <w:r>
        <w:tab/>
      </w:r>
      <w:r>
        <w:fldChar w:fldCharType="begin"/>
      </w:r>
      <w:r>
        <w:instrText xml:space="preserve"> PAGEREF _Toc2930 \h </w:instrText>
      </w:r>
      <w:r>
        <w:fldChar w:fldCharType="separate"/>
      </w:r>
      <w:r>
        <w:t xml:space="preserve">- </w:t>
      </w:r>
      <w:r>
        <w:rPr>
          <w:rFonts w:hint="eastAsia"/>
          <w:lang w:val="en-US" w:eastAsia="zh-CN"/>
        </w:rPr>
        <w:t>36</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十二、国有资本经营预算财政拨款支出决算表</w:t>
      </w:r>
      <w:r>
        <w:tab/>
      </w:r>
      <w:r>
        <w:fldChar w:fldCharType="begin"/>
      </w:r>
      <w:r>
        <w:instrText xml:space="preserve"> PAGEREF _Toc2930 \h </w:instrText>
      </w:r>
      <w:r>
        <w:fldChar w:fldCharType="separate"/>
      </w:r>
      <w:r>
        <w:t xml:space="preserve">- </w:t>
      </w:r>
      <w:r>
        <w:rPr>
          <w:rFonts w:hint="eastAsia"/>
          <w:lang w:val="en-US" w:eastAsia="zh-CN"/>
        </w:rPr>
        <w:t>36</w:t>
      </w:r>
      <w:r>
        <w:t xml:space="preserve"> -</w:t>
      </w:r>
      <w:r>
        <w:fldChar w:fldCharType="end"/>
      </w:r>
    </w:p>
    <w:p>
      <w:pPr>
        <w:pStyle w:val="24"/>
        <w:tabs>
          <w:tab w:val="right" w:leader="dot" w:pos="8296"/>
        </w:tabs>
        <w:adjustRightInd w:val="0"/>
        <w:snapToGrid w:val="0"/>
        <w:spacing w:line="560" w:lineRule="exact"/>
        <w:ind w:leftChars="0" w:left="0" w:firstLineChars="200" w:firstLine="640"/>
        <w:jc w:val="left"/>
        <w:rPr>
          <w:rFonts w:eastAsia="仿宋_GB2312" w:cs="仿宋_GB2312"/>
          <w:sz w:val="32"/>
          <w:szCs w:val="32"/>
        </w:rPr>
      </w:pPr>
      <w:r>
        <w:rPr>
          <w:rFonts w:eastAsia="仿宋_GB2312" w:cs="仿宋_GB2312" w:hint="eastAsia"/>
          <w:sz w:val="32"/>
          <w:szCs w:val="32"/>
        </w:rPr>
        <w:t>十三、财政拨款“三公”经费支出决算表</w:t>
      </w:r>
      <w:r>
        <w:tab/>
      </w:r>
      <w:r>
        <w:fldChar w:fldCharType="begin"/>
      </w:r>
      <w:r>
        <w:instrText xml:space="preserve"> PAGEREF _Toc2930 \h </w:instrText>
      </w:r>
      <w:r>
        <w:fldChar w:fldCharType="separate"/>
      </w:r>
      <w:r>
        <w:t xml:space="preserve">- </w:t>
      </w:r>
      <w:r>
        <w:rPr>
          <w:rFonts w:hint="eastAsia"/>
          <w:lang w:val="en-US" w:eastAsia="zh-CN"/>
        </w:rPr>
        <w:t>36</w:t>
      </w:r>
      <w:r>
        <w:t xml:space="preserve"> -</w:t>
      </w:r>
      <w:r>
        <w:fldChar w:fldCharType="end"/>
      </w:r>
    </w:p>
    <w:p>
      <w:pPr>
        <w:widowControl/>
        <w:spacing w:line="576" w:lineRule="exact"/>
        <w:jc w:val="center"/>
        <w:rPr>
          <w:rStyle w:val="1Char"/>
          <w:rFonts w:eastAsia="方正小标宋简体" w:cs="方正小标宋简体" w:hint="eastAsia"/>
        </w:rPr>
      </w:pPr>
      <w:bookmarkStart w:id="6" w:name="_Toc15377196"/>
      <w:bookmarkStart w:id="7" w:name="_Toc15396599"/>
    </w:p>
    <w:p>
      <w:pPr>
        <w:widowControl/>
        <w:spacing w:line="576" w:lineRule="exact"/>
        <w:jc w:val="center"/>
        <w:rPr>
          <w:rStyle w:val="1Char"/>
          <w:rFonts w:eastAsia="方正小标宋简体" w:cs="方正小标宋简体" w:hint="eastAsia"/>
        </w:rPr>
      </w:pPr>
    </w:p>
    <w:p>
      <w:pPr>
        <w:widowControl/>
        <w:spacing w:line="576" w:lineRule="exact"/>
        <w:jc w:val="center"/>
        <w:rPr>
          <w:rStyle w:val="1Char"/>
          <w:rFonts w:eastAsia="方正小标宋简体" w:cs="方正小标宋简体" w:hint="eastAsia"/>
        </w:rPr>
      </w:pPr>
    </w:p>
    <w:p>
      <w:pPr>
        <w:widowControl/>
        <w:spacing w:line="576" w:lineRule="exact"/>
        <w:jc w:val="center"/>
        <w:rPr>
          <w:rStyle w:val="1Char"/>
          <w:rFonts w:eastAsia="方正小标宋简体" w:cs="方正小标宋简体" w:hint="eastAsia"/>
        </w:rPr>
      </w:pPr>
    </w:p>
    <w:p>
      <w:pPr>
        <w:widowControl/>
        <w:spacing w:line="576" w:lineRule="exact"/>
        <w:jc w:val="center"/>
        <w:rPr>
          <w:rStyle w:val="1Char"/>
          <w:rFonts w:eastAsia="方正小标宋简体" w:cs="方正小标宋简体" w:hint="eastAsia"/>
        </w:rPr>
      </w:pPr>
    </w:p>
    <w:p>
      <w:pPr>
        <w:widowControl/>
        <w:spacing w:line="576" w:lineRule="exact"/>
        <w:jc w:val="center"/>
        <w:rPr>
          <w:rStyle w:val="1Char"/>
          <w:rFonts w:eastAsia="方正小标宋简体" w:cs="方正小标宋简体" w:hint="eastAsia"/>
        </w:rPr>
      </w:pPr>
    </w:p>
    <w:p>
      <w:pPr>
        <w:widowControl/>
        <w:spacing w:line="576" w:lineRule="exact"/>
        <w:jc w:val="center"/>
        <w:rPr>
          <w:rStyle w:val="1Char"/>
          <w:rFonts w:eastAsia="方正小标宋简体" w:cs="方正小标宋简体" w:hint="eastAsia"/>
        </w:rPr>
      </w:pPr>
    </w:p>
    <w:p>
      <w:pPr>
        <w:widowControl/>
        <w:spacing w:line="576" w:lineRule="exact"/>
        <w:jc w:val="center"/>
        <w:rPr>
          <w:rStyle w:val="1Char"/>
          <w:rFonts w:eastAsia="方正小标宋简体" w:cs="方正小标宋简体" w:hint="eastAsia"/>
        </w:rPr>
      </w:pPr>
    </w:p>
    <w:p>
      <w:pPr>
        <w:widowControl/>
        <w:spacing w:line="576" w:lineRule="exact"/>
        <w:jc w:val="center"/>
        <w:rPr>
          <w:rStyle w:val="1Char"/>
          <w:rFonts w:eastAsia="方正小标宋简体" w:cs="方正小标宋简体" w:hint="eastAsia"/>
        </w:rPr>
      </w:pPr>
    </w:p>
    <w:p>
      <w:pPr>
        <w:widowControl/>
        <w:spacing w:line="576" w:lineRule="exact"/>
        <w:jc w:val="center"/>
        <w:rPr>
          <w:rStyle w:val="1Char"/>
          <w:rFonts w:eastAsia="方正小标宋简体" w:cs="方正小标宋简体" w:hint="eastAsia"/>
        </w:rPr>
      </w:pPr>
    </w:p>
    <w:p>
      <w:pPr>
        <w:widowControl/>
        <w:spacing w:line="576" w:lineRule="exact"/>
        <w:jc w:val="center"/>
        <w:rPr>
          <w:rStyle w:val="1Char"/>
          <w:rFonts w:eastAsia="方正小标宋简体" w:cs="方正小标宋简体" w:hint="eastAsia"/>
        </w:rPr>
      </w:pPr>
    </w:p>
    <w:p>
      <w:pPr>
        <w:widowControl/>
        <w:spacing w:line="576" w:lineRule="exact"/>
        <w:jc w:val="center"/>
        <w:rPr>
          <w:rStyle w:val="1Char"/>
          <w:rFonts w:eastAsia="方正小标宋简体" w:cs="方正小标宋简体" w:hint="eastAsia"/>
        </w:rPr>
      </w:pPr>
    </w:p>
    <w:p>
      <w:pPr>
        <w:widowControl/>
        <w:spacing w:line="576" w:lineRule="exact"/>
        <w:jc w:val="center"/>
        <w:rPr>
          <w:rStyle w:val="1Char"/>
          <w:rFonts w:eastAsia="方正小标宋简体" w:cs="方正小标宋简体" w:hint="eastAsia"/>
        </w:rPr>
      </w:pPr>
    </w:p>
    <w:p>
      <w:pPr>
        <w:widowControl/>
        <w:spacing w:line="576" w:lineRule="exact"/>
        <w:jc w:val="center"/>
        <w:rPr>
          <w:rStyle w:val="1Char"/>
          <w:rFonts w:eastAsia="方正小标宋简体" w:cs="方正小标宋简体" w:hint="eastAsia"/>
        </w:rPr>
      </w:pPr>
    </w:p>
    <w:p>
      <w:pPr>
        <w:widowControl/>
        <w:spacing w:line="576" w:lineRule="exact"/>
        <w:jc w:val="center"/>
        <w:rPr>
          <w:rStyle w:val="1Char"/>
          <w:rFonts w:eastAsia="方正小标宋简体" w:cs="方正小标宋简体" w:hint="eastAsia"/>
        </w:rPr>
        <w:sectPr>
          <w:footerReference w:type="default" r:id="rId7"/>
          <w:footerReference w:type="first" r:id="rId8"/>
          <w:pgSz w:w="11906" w:h="16838"/>
          <w:pgMar w:top="1440" w:right="1800" w:bottom="1440" w:left="1800" w:header="851" w:footer="992" w:gutter="0"/>
          <w:pgNumType w:fmt="numberInDash" w:start="1"/>
          <w:docGrid w:type="lines" w:linePitch="312" w:charSpace="0"/>
        </w:sectPr>
      </w:pPr>
    </w:p>
    <w:p>
      <w:pPr>
        <w:widowControl/>
        <w:spacing w:line="576" w:lineRule="exact"/>
        <w:jc w:val="center"/>
        <w:rPr>
          <w:rStyle w:val="1Char"/>
          <w:rFonts w:eastAsia="仿宋_GB2312" w:cs="仿宋_GB2312"/>
          <w:b w:val="0"/>
          <w:sz w:val="32"/>
          <w:szCs w:val="32"/>
        </w:rPr>
      </w:pPr>
      <w:r>
        <w:rPr>
          <w:rStyle w:val="1Char"/>
          <w:rFonts w:eastAsia="方正小标宋简体" w:cs="方正小标宋简体" w:hint="eastAsia"/>
        </w:rPr>
        <w:t>第一部分</w:t>
      </w:r>
      <w:r>
        <w:rPr>
          <w:rFonts w:eastAsia="方正小标宋简体" w:cs="方正小标宋简体" w:hint="eastAsia"/>
        </w:rPr>
        <w:t xml:space="preserve">  </w:t>
      </w:r>
      <w:r>
        <w:rPr>
          <w:rStyle w:val="1Char"/>
          <w:rFonts w:eastAsia="方正小标宋简体" w:cs="方正小标宋简体" w:hint="eastAsia"/>
        </w:rPr>
        <w:t>部门概况</w:t>
      </w:r>
    </w:p>
    <w:p>
      <w:pPr>
        <w:pStyle w:val="15"/>
        <w:spacing w:line="576" w:lineRule="exact"/>
        <w:jc w:val="both"/>
        <w:rPr>
          <w:rFonts w:ascii="仿宋_GB2312" w:eastAsia="仿宋_GB2312"/>
          <w:sz w:val="32"/>
          <w:szCs w:val="32"/>
        </w:rPr>
      </w:pPr>
    </w:p>
    <w:p>
      <w:pPr>
        <w:pStyle w:val="15"/>
        <w:spacing w:line="576" w:lineRule="exact"/>
        <w:jc w:val="both"/>
        <w:rPr>
          <w:rFonts w:ascii="黑体" w:eastAsia="黑体" w:hint="eastAsia"/>
          <w:sz w:val="32"/>
          <w:szCs w:val="32"/>
        </w:rPr>
      </w:pPr>
      <w:r>
        <w:rPr>
          <w:rFonts w:ascii="仿宋_GB2312" w:eastAsia="仿宋_GB2312"/>
          <w:sz w:val="32"/>
          <w:szCs w:val="32"/>
        </w:rPr>
        <w:t xml:space="preserve">    </w:t>
      </w:r>
      <w:r>
        <w:rPr>
          <w:rFonts w:ascii="黑体" w:eastAsia="黑体"/>
          <w:sz w:val="32"/>
          <w:szCs w:val="32"/>
        </w:rPr>
        <w:t>一、部门职责</w:t>
      </w:r>
    </w:p>
    <w:p>
      <w:pPr>
        <w:spacing w:line="576" w:lineRule="exact"/>
        <w:ind w:firstLine="660"/>
        <w:rPr>
          <w:rFonts w:ascii="楷体" w:eastAsia="楷体" w:cs="楷体"/>
          <w:b/>
          <w:bCs/>
          <w:sz w:val="32"/>
          <w:szCs w:val="32"/>
        </w:rPr>
      </w:pPr>
      <w:r>
        <w:rPr>
          <w:rFonts w:ascii="楷体" w:eastAsia="楷体" w:cs="楷体" w:hint="eastAsia"/>
          <w:b/>
          <w:bCs/>
          <w:sz w:val="32"/>
          <w:szCs w:val="32"/>
        </w:rPr>
        <w:t>（一）主要职能</w:t>
      </w:r>
    </w:p>
    <w:p>
      <w:pPr>
        <w:spacing w:line="576" w:lineRule="exact"/>
        <w:ind w:firstLine="660"/>
        <w:rPr>
          <w:rFonts w:ascii="仿宋_GB2312" w:eastAsia="仿宋_GB2312"/>
          <w:sz w:val="32"/>
          <w:szCs w:val="32"/>
        </w:rPr>
      </w:pPr>
      <w:r>
        <w:rPr>
          <w:rFonts w:ascii="仿宋_GB2312" w:eastAsia="仿宋_GB2312" w:hint="eastAsia"/>
          <w:sz w:val="32"/>
          <w:szCs w:val="32"/>
        </w:rPr>
        <w:t>根据《中华人民共和国</w:t>
      </w:r>
      <w:r>
        <w:rPr>
          <w:rFonts w:ascii="仿宋_GB2312" w:eastAsia="仿宋_GB2312"/>
          <w:sz w:val="32"/>
          <w:szCs w:val="32"/>
        </w:rPr>
        <w:t>人民</w:t>
      </w:r>
      <w:r>
        <w:rPr>
          <w:rFonts w:ascii="仿宋_GB2312" w:eastAsia="仿宋_GB2312" w:hint="eastAsia"/>
          <w:sz w:val="32"/>
          <w:szCs w:val="32"/>
        </w:rPr>
        <w:t>警察法》规定，公安机关的主要职责为：</w:t>
      </w:r>
    </w:p>
    <w:p>
      <w:pPr>
        <w:spacing w:line="576" w:lineRule="exact"/>
        <w:ind w:firstLine="660"/>
        <w:rPr>
          <w:rFonts w:ascii="仿宋_GB2312" w:eastAsia="仿宋_GB2312"/>
          <w:sz w:val="32"/>
          <w:szCs w:val="32"/>
        </w:rPr>
      </w:pPr>
      <w:r>
        <w:rPr>
          <w:rFonts w:ascii="仿宋_GB2312" w:eastAsia="仿宋_GB2312" w:hint="eastAsia"/>
          <w:sz w:val="32"/>
          <w:szCs w:val="32"/>
        </w:rPr>
        <w:t xml:space="preserve">1.预防、制止和侦查违法犯罪活动。 </w:t>
      </w:r>
    </w:p>
    <w:p>
      <w:pPr>
        <w:spacing w:line="576" w:lineRule="exact"/>
        <w:ind w:firstLine="660"/>
        <w:rPr>
          <w:rFonts w:ascii="仿宋_GB2312" w:eastAsia="仿宋_GB2312"/>
          <w:sz w:val="32"/>
          <w:szCs w:val="32"/>
        </w:rPr>
      </w:pPr>
      <w:r>
        <w:rPr>
          <w:rFonts w:ascii="仿宋_GB2312" w:eastAsia="仿宋_GB2312" w:hint="eastAsia"/>
          <w:sz w:val="32"/>
          <w:szCs w:val="32"/>
        </w:rPr>
        <w:t xml:space="preserve">2.维护社会治安秩序，制止危害社会治安秩序的行为。 </w:t>
      </w:r>
    </w:p>
    <w:p>
      <w:pPr>
        <w:spacing w:line="576" w:lineRule="exact"/>
        <w:ind w:firstLine="660"/>
        <w:rPr>
          <w:rFonts w:ascii="仿宋_GB2312" w:eastAsia="仿宋_GB2312"/>
          <w:sz w:val="32"/>
          <w:szCs w:val="32"/>
        </w:rPr>
      </w:pPr>
      <w:r>
        <w:rPr>
          <w:rFonts w:ascii="仿宋_GB2312" w:eastAsia="仿宋_GB2312" w:hint="eastAsia"/>
          <w:sz w:val="32"/>
          <w:szCs w:val="32"/>
        </w:rPr>
        <w:t xml:space="preserve">3.管理枪支弹药、管制刀具和易燃易爆、剧毒、放射性等危险物品。 </w:t>
      </w:r>
    </w:p>
    <w:p>
      <w:pPr>
        <w:spacing w:line="576" w:lineRule="exact"/>
        <w:ind w:firstLine="660"/>
        <w:rPr>
          <w:rFonts w:ascii="仿宋_GB2312" w:eastAsia="仿宋_GB2312"/>
          <w:sz w:val="32"/>
          <w:szCs w:val="32"/>
        </w:rPr>
      </w:pPr>
      <w:r>
        <w:rPr>
          <w:rFonts w:ascii="仿宋_GB2312" w:eastAsia="仿宋_GB2312" w:hint="eastAsia"/>
          <w:sz w:val="32"/>
          <w:szCs w:val="32"/>
        </w:rPr>
        <w:t xml:space="preserve">4.对法律、法规规定的特种行业进行管理。 </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5.警卫国家规定的特定人员，守卫重要的场所和设施。</w:t>
      </w:r>
    </w:p>
    <w:p>
      <w:pPr>
        <w:spacing w:line="576" w:lineRule="exact"/>
        <w:ind w:firstLine="660"/>
        <w:rPr>
          <w:rFonts w:ascii="仿宋_GB2312" w:eastAsia="仿宋_GB2312"/>
          <w:sz w:val="32"/>
          <w:szCs w:val="32"/>
        </w:rPr>
      </w:pPr>
      <w:r>
        <w:rPr>
          <w:rFonts w:ascii="仿宋_GB2312" w:eastAsia="仿宋_GB2312" w:hint="eastAsia"/>
          <w:sz w:val="32"/>
          <w:szCs w:val="32"/>
        </w:rPr>
        <w:t xml:space="preserve">6.管理集会、游行、示威活动。 </w:t>
      </w:r>
    </w:p>
    <w:p>
      <w:pPr>
        <w:spacing w:line="576" w:lineRule="exact"/>
        <w:ind w:firstLine="660"/>
        <w:rPr>
          <w:rFonts w:ascii="仿宋_GB2312" w:eastAsia="仿宋_GB2312"/>
          <w:sz w:val="32"/>
          <w:szCs w:val="32"/>
        </w:rPr>
      </w:pPr>
      <w:r>
        <w:rPr>
          <w:rFonts w:ascii="仿宋_GB2312" w:eastAsia="仿宋_GB2312" w:hint="eastAsia"/>
          <w:sz w:val="32"/>
          <w:szCs w:val="32"/>
        </w:rPr>
        <w:t>7.管理户政、国籍、入境出境事务和外国人在中国境内居留、旅行的有关事务。</w:t>
      </w:r>
    </w:p>
    <w:p>
      <w:pPr>
        <w:spacing w:line="576" w:lineRule="exact"/>
        <w:ind w:firstLine="660"/>
        <w:rPr>
          <w:rFonts w:ascii="仿宋_GB2312" w:eastAsia="仿宋_GB2312"/>
          <w:sz w:val="32"/>
          <w:szCs w:val="32"/>
        </w:rPr>
      </w:pPr>
      <w:r>
        <w:rPr>
          <w:rFonts w:ascii="仿宋_GB2312" w:eastAsia="仿宋_GB2312" w:hint="eastAsia"/>
          <w:sz w:val="32"/>
          <w:szCs w:val="32"/>
        </w:rPr>
        <w:t>8.维护国（边）境地区的治安秩序。</w:t>
      </w:r>
    </w:p>
    <w:p>
      <w:pPr>
        <w:spacing w:line="576" w:lineRule="exact"/>
        <w:ind w:firstLine="660"/>
        <w:rPr>
          <w:rFonts w:ascii="仿宋_GB2312" w:eastAsia="仿宋_GB2312"/>
          <w:sz w:val="32"/>
          <w:szCs w:val="32"/>
        </w:rPr>
      </w:pPr>
      <w:r>
        <w:rPr>
          <w:rFonts w:ascii="仿宋_GB2312" w:eastAsia="仿宋_GB2312" w:hint="eastAsia"/>
          <w:sz w:val="32"/>
          <w:szCs w:val="32"/>
        </w:rPr>
        <w:t xml:space="preserve">9.对被判处管制、拘役、剥夺政治权利的罪犯和监外执行的罪犯执行刑罚，对被宣告缓刑、假释的罪犯实行监督、考察。 </w:t>
      </w:r>
    </w:p>
    <w:p>
      <w:pPr>
        <w:spacing w:line="576" w:lineRule="exact"/>
        <w:ind w:firstLine="660"/>
        <w:rPr>
          <w:rFonts w:ascii="仿宋_GB2312" w:eastAsia="仿宋_GB2312"/>
          <w:sz w:val="32"/>
          <w:szCs w:val="32"/>
        </w:rPr>
      </w:pPr>
      <w:r>
        <w:rPr>
          <w:rFonts w:ascii="仿宋_GB2312" w:eastAsia="仿宋_GB2312" w:hint="eastAsia"/>
          <w:sz w:val="32"/>
          <w:szCs w:val="32"/>
        </w:rPr>
        <w:t xml:space="preserve">10.监督管理计算机信息系统的安全保护工作。 </w:t>
      </w:r>
    </w:p>
    <w:p>
      <w:pPr>
        <w:spacing w:line="576" w:lineRule="exact"/>
        <w:ind w:firstLine="660"/>
        <w:rPr>
          <w:rFonts w:ascii="仿宋_GB2312" w:eastAsia="仿宋_GB2312"/>
          <w:sz w:val="32"/>
          <w:szCs w:val="32"/>
        </w:rPr>
      </w:pPr>
      <w:r>
        <w:rPr>
          <w:rFonts w:ascii="仿宋_GB2312" w:eastAsia="仿宋_GB2312" w:hint="eastAsia"/>
          <w:sz w:val="32"/>
          <w:szCs w:val="32"/>
        </w:rPr>
        <w:t xml:space="preserve">11.指导和监督国家机关、社会团体、企业事业组织和重点建设工程的治安保卫工作，指导治安保卫委员会等群众性组织的治安防范工作。 </w:t>
      </w:r>
    </w:p>
    <w:p>
      <w:pPr>
        <w:spacing w:line="576" w:lineRule="exact"/>
        <w:ind w:firstLine="660"/>
        <w:rPr>
          <w:rFonts w:ascii="仿宋_GB2312" w:eastAsia="仿宋_GB2312" w:cs="仿宋"/>
          <w:sz w:val="32"/>
          <w:szCs w:val="32"/>
        </w:rPr>
      </w:pPr>
      <w:r>
        <w:rPr>
          <w:rFonts w:ascii="仿宋_GB2312" w:eastAsia="仿宋_GB2312" w:hint="eastAsia"/>
          <w:sz w:val="32"/>
          <w:szCs w:val="32"/>
        </w:rPr>
        <w:t>12.</w:t>
      </w:r>
      <w:r>
        <w:rPr>
          <w:rFonts w:ascii="仿宋_GB2312" w:eastAsia="仿宋_GB2312" w:cs="仿宋" w:hint="eastAsia"/>
          <w:sz w:val="32"/>
          <w:szCs w:val="32"/>
        </w:rPr>
        <w:t>负责全州国、省、县、乡道路交通安全，负责车辆入户及驾驶人考核，组织全州公安交通管理部门开展交通安全宣传教育、维护交通秩序、处理交通事故、打击涉路违法犯罪及协商相关职能部门开展道路交通安全隐患排查、治理工作。</w:t>
      </w:r>
    </w:p>
    <w:p>
      <w:pPr>
        <w:spacing w:line="576" w:lineRule="exact"/>
        <w:ind w:firstLine="660"/>
        <w:rPr>
          <w:rFonts w:ascii="仿宋_GB2312" w:eastAsia="仿宋_GB2312" w:cs="宋体"/>
          <w:sz w:val="32"/>
          <w:szCs w:val="32"/>
        </w:rPr>
      </w:pPr>
      <w:r>
        <w:rPr>
          <w:rFonts w:ascii="仿宋_GB2312" w:eastAsia="仿宋_GB2312" w:cs="仿宋" w:hint="eastAsia"/>
          <w:sz w:val="32"/>
          <w:szCs w:val="32"/>
        </w:rPr>
        <w:t>13.</w:t>
      </w:r>
      <w:r>
        <w:rPr>
          <w:rFonts w:ascii="仿宋_GB2312" w:eastAsia="仿宋_GB2312" w:cs="宋体" w:hint="eastAsia"/>
          <w:color w:val="000000"/>
          <w:sz w:val="32"/>
          <w:szCs w:val="32"/>
        </w:rPr>
        <w:t>紧紧围绕贯彻全国公安交通管理工作会议精神，</w:t>
      </w:r>
      <w:r>
        <w:rPr>
          <w:rFonts w:ascii="仿宋_GB2312" w:eastAsia="仿宋_GB2312" w:cs="宋体" w:hint="eastAsia"/>
          <w:sz w:val="32"/>
          <w:szCs w:val="32"/>
        </w:rPr>
        <w:t>以预防重特大道路交通事故为核心，以科技信息化建设为突破口，全力推进各项交通管理工作，全力提升依法管理和服务群众能力水平。</w:t>
      </w:r>
    </w:p>
    <w:p>
      <w:pPr>
        <w:spacing w:line="576" w:lineRule="exact"/>
        <w:ind w:firstLine="660"/>
        <w:rPr>
          <w:rFonts w:ascii="仿宋_GB2312" w:eastAsia="仿宋_GB2312"/>
          <w:sz w:val="32"/>
          <w:szCs w:val="32"/>
        </w:rPr>
      </w:pPr>
      <w:r>
        <w:rPr>
          <w:rFonts w:ascii="仿宋_GB2312" w:eastAsia="仿宋_GB2312" w:cs="宋体" w:hint="eastAsia"/>
          <w:sz w:val="32"/>
          <w:szCs w:val="32"/>
        </w:rPr>
        <w:t>14.</w:t>
      </w:r>
      <w:r>
        <w:rPr>
          <w:rFonts w:ascii="仿宋_GB2312" w:eastAsia="仿宋_GB2312" w:hint="eastAsia"/>
          <w:sz w:val="32"/>
          <w:szCs w:val="32"/>
        </w:rPr>
        <w:t>统一管理全州城乡道路交通，维护道路交通秩序，负责交通标志、标线等安全设施设置情况的督查。</w:t>
      </w:r>
    </w:p>
    <w:p>
      <w:pPr>
        <w:spacing w:line="576" w:lineRule="exact"/>
        <w:ind w:firstLine="660"/>
        <w:rPr>
          <w:rFonts w:ascii="仿宋_GB2312" w:eastAsia="仿宋_GB2312"/>
          <w:sz w:val="32"/>
          <w:szCs w:val="32"/>
        </w:rPr>
      </w:pPr>
      <w:r>
        <w:rPr>
          <w:rFonts w:ascii="仿宋_GB2312" w:eastAsia="仿宋_GB2312" w:hint="eastAsia"/>
          <w:sz w:val="32"/>
          <w:szCs w:val="32"/>
        </w:rPr>
        <w:t>15.负责全州交通警察队伍建设和管理。</w:t>
      </w:r>
    </w:p>
    <w:p>
      <w:pPr>
        <w:spacing w:line="576" w:lineRule="exact"/>
        <w:ind w:firstLine="660"/>
        <w:rPr>
          <w:rFonts w:ascii="仿宋_GB2312" w:eastAsia="仿宋_GB2312"/>
          <w:sz w:val="32"/>
          <w:szCs w:val="32"/>
        </w:rPr>
      </w:pPr>
      <w:r>
        <w:rPr>
          <w:rFonts w:ascii="仿宋_GB2312" w:eastAsia="仿宋_GB2312" w:hint="eastAsia"/>
          <w:sz w:val="32"/>
          <w:szCs w:val="32"/>
        </w:rPr>
        <w:t>16.处理特大道路交通事故、群众信访案件的复查、复核；负责全州交通安全宣传教育及交通民警的教育培训；起草全州道路交通法规、承办交通</w:t>
      </w:r>
      <w:r>
        <w:rPr>
          <w:rFonts w:ascii="仿宋_GB2312" w:eastAsia="仿宋_GB2312"/>
          <w:sz w:val="32"/>
          <w:szCs w:val="32"/>
        </w:rPr>
        <w:t>法治</w:t>
      </w:r>
      <w:r>
        <w:rPr>
          <w:rFonts w:ascii="仿宋_GB2312" w:eastAsia="仿宋_GB2312" w:hint="eastAsia"/>
          <w:sz w:val="32"/>
          <w:szCs w:val="32"/>
        </w:rPr>
        <w:t>宣传、交通安全信息统计报送工作；负责车辆入户及检验，驾驶员考核与发牌发证等工作。</w:t>
      </w:r>
    </w:p>
    <w:p>
      <w:pPr>
        <w:spacing w:line="576" w:lineRule="exact"/>
        <w:ind w:firstLineChars="200" w:firstLine="640"/>
      </w:pPr>
      <w:r>
        <w:rPr>
          <w:rFonts w:ascii="仿宋_GB2312" w:eastAsia="仿宋_GB2312" w:hint="eastAsia"/>
          <w:sz w:val="32"/>
          <w:szCs w:val="32"/>
        </w:rPr>
        <w:t>1</w:t>
      </w:r>
      <w:r>
        <w:rPr>
          <w:rFonts w:ascii="仿宋_GB2312" w:eastAsia="仿宋_GB2312"/>
          <w:sz w:val="32"/>
          <w:szCs w:val="32"/>
        </w:rPr>
        <w:t>7</w:t>
      </w:r>
      <w:r>
        <w:rPr>
          <w:rFonts w:ascii="仿宋_GB2312" w:eastAsia="仿宋_GB2312" w:hint="eastAsia"/>
          <w:sz w:val="32"/>
          <w:szCs w:val="32"/>
        </w:rPr>
        <w:t>.法律、法规规定的其他职责。</w:t>
      </w:r>
    </w:p>
    <w:p>
      <w:pPr>
        <w:pStyle w:val="15"/>
        <w:spacing w:line="576" w:lineRule="exact"/>
        <w:ind w:firstLine="645"/>
        <w:jc w:val="both"/>
        <w:rPr>
          <w:rFonts w:ascii="黑体" w:eastAsia="黑体"/>
          <w:sz w:val="32"/>
          <w:szCs w:val="32"/>
        </w:rPr>
      </w:pPr>
      <w:r>
        <w:rPr>
          <w:rFonts w:ascii="黑体" w:eastAsia="黑体" w:hint="eastAsia"/>
          <w:sz w:val="32"/>
          <w:szCs w:val="32"/>
        </w:rPr>
        <w:t>二</w:t>
      </w:r>
      <w:r>
        <w:rPr>
          <w:rFonts w:ascii="黑体" w:eastAsia="黑体"/>
          <w:sz w:val="32"/>
          <w:szCs w:val="32"/>
        </w:rPr>
        <w:t>、机构设置</w:t>
      </w:r>
    </w:p>
    <w:p>
      <w:pPr>
        <w:pStyle w:val="15"/>
        <w:spacing w:line="576" w:lineRule="exact"/>
        <w:ind w:firstLineChars="100" w:firstLine="320"/>
        <w:rPr>
          <w:rFonts w:ascii="楷体" w:eastAsia="楷体" w:cs="楷体"/>
          <w:b/>
          <w:bCs/>
          <w:sz w:val="32"/>
          <w:szCs w:val="32"/>
        </w:rPr>
      </w:pPr>
      <w:r>
        <w:rPr>
          <w:rFonts w:ascii="楷体" w:eastAsia="楷体" w:cs="楷体" w:hint="eastAsia"/>
          <w:b/>
          <w:bCs/>
          <w:sz w:val="32"/>
          <w:szCs w:val="32"/>
        </w:rPr>
        <w:t>（一）内设机构情况</w:t>
      </w:r>
    </w:p>
    <w:p>
      <w:pPr>
        <w:spacing w:line="576" w:lineRule="exact"/>
        <w:ind w:firstLineChars="100" w:firstLine="320"/>
        <w:rPr>
          <w:rFonts w:ascii="仿宋_GB2312" w:eastAsia="仿宋_GB2312"/>
          <w:sz w:val="32"/>
          <w:szCs w:val="32"/>
        </w:rPr>
      </w:pPr>
      <w:r>
        <w:rPr>
          <w:rFonts w:ascii="仿宋_GB2312" w:eastAsia="仿宋_GB2312" w:hint="eastAsia"/>
          <w:sz w:val="32"/>
          <w:szCs w:val="32"/>
        </w:rPr>
        <w:t>阿坝州</w:t>
      </w:r>
      <w:r>
        <w:rPr>
          <w:rFonts w:ascii="仿宋_GB2312" w:eastAsia="仿宋_GB2312"/>
          <w:sz w:val="32"/>
          <w:szCs w:val="32"/>
        </w:rPr>
        <w:t>公安局</w:t>
      </w:r>
      <w:r>
        <w:rPr>
          <w:rFonts w:ascii="仿宋_GB2312" w:eastAsia="仿宋_GB2312" w:hint="eastAsia"/>
          <w:sz w:val="32"/>
          <w:szCs w:val="32"/>
        </w:rPr>
        <w:t>是</w:t>
      </w:r>
      <w:r>
        <w:rPr>
          <w:rFonts w:ascii="仿宋_GB2312" w:eastAsia="仿宋_GB2312"/>
          <w:sz w:val="32"/>
          <w:szCs w:val="32"/>
        </w:rPr>
        <w:t>州政府主管全州公安工作的职能</w:t>
      </w:r>
      <w:r>
        <w:rPr>
          <w:rFonts w:ascii="仿宋_GB2312" w:eastAsia="仿宋_GB2312" w:hint="eastAsia"/>
          <w:sz w:val="32"/>
          <w:szCs w:val="32"/>
        </w:rPr>
        <w:t>部门，</w:t>
      </w:r>
      <w:r>
        <w:rPr>
          <w:rFonts w:ascii="仿宋_GB2312" w:eastAsia="仿宋_GB2312"/>
          <w:sz w:val="32"/>
          <w:szCs w:val="32"/>
        </w:rPr>
        <w:t>属</w:t>
      </w:r>
      <w:r>
        <w:rPr>
          <w:rFonts w:ascii="仿宋_GB2312" w:eastAsia="仿宋_GB2312" w:hint="eastAsia"/>
          <w:sz w:val="32"/>
          <w:szCs w:val="32"/>
        </w:rPr>
        <w:t>一</w:t>
      </w:r>
      <w:r>
        <w:rPr>
          <w:rFonts w:ascii="仿宋_GB2312" w:eastAsia="仿宋_GB2312"/>
          <w:sz w:val="32"/>
          <w:szCs w:val="32"/>
        </w:rPr>
        <w:t>级预算单位</w:t>
      </w:r>
      <w:r>
        <w:rPr>
          <w:rFonts w:ascii="仿宋_GB2312" w:eastAsia="仿宋_GB2312" w:hint="eastAsia"/>
          <w:sz w:val="32"/>
          <w:szCs w:val="32"/>
        </w:rPr>
        <w:t>。四川省阿坝州公安局（部门）下属二级单位3个，其中行政单位2个，其他事业单位1个。</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纳入四川省阿坝州公安局（部门）202</w:t>
      </w:r>
      <w:r>
        <w:rPr>
          <w:rFonts w:ascii="仿宋_GB2312" w:eastAsia="仿宋_GB2312"/>
          <w:sz w:val="32"/>
          <w:szCs w:val="32"/>
        </w:rPr>
        <w:t>4</w:t>
      </w:r>
      <w:r>
        <w:rPr>
          <w:rFonts w:ascii="仿宋_GB2312" w:eastAsia="仿宋_GB2312" w:hint="eastAsia"/>
          <w:sz w:val="32"/>
          <w:szCs w:val="32"/>
        </w:rPr>
        <w:t>年度部门决算编制范围的二级预算单位包括：</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1.四川省阿坝州公安局（本级）</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2.四川省阿坝州强制隔离戒毒所（戒毒人员康复中心）</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3.四川省阿坝州公安局交通警察支队。</w:t>
      </w:r>
    </w:p>
    <w:p>
      <w:pPr>
        <w:pStyle w:val="36"/>
        <w:wordWrap/>
        <w:spacing w:line="576" w:lineRule="exact"/>
        <w:rPr>
          <w:rFonts w:ascii="楷体" w:eastAsia="楷体" w:cs="楷体"/>
          <w:b/>
          <w:bCs/>
        </w:rPr>
      </w:pPr>
      <w:r>
        <w:rPr>
          <w:rFonts w:ascii="楷体" w:eastAsia="楷体" w:cs="楷体" w:hint="eastAsia"/>
          <w:b/>
          <w:bCs/>
          <w:sz w:val="32"/>
          <w:szCs w:val="32"/>
        </w:rPr>
        <w:t xml:space="preserve">    （二）人员配备情况</w:t>
      </w:r>
    </w:p>
    <w:p>
      <w:pPr>
        <w:pStyle w:val="17"/>
        <w:spacing w:line="576" w:lineRule="exact"/>
        <w:ind w:firstLineChars="100" w:firstLine="320"/>
        <w:rPr>
          <w:rFonts w:eastAsia="仿宋_GB2312"/>
          <w:sz w:val="32"/>
        </w:rPr>
      </w:pPr>
      <w:r>
        <w:rPr>
          <w:rFonts w:eastAsia="仿宋_GB2312" w:hint="eastAsia"/>
          <w:sz w:val="32"/>
        </w:rPr>
        <w:t>本部门本年度年末实有人数为XXX人，比上年增加XX人；年末实有离退休人数为X人，年末实有其他人数为XX人，比上年减少XX人。（单位人员情况</w:t>
      </w:r>
      <w:r>
        <w:rPr>
          <w:rFonts w:eastAsia="仿宋_GB2312"/>
          <w:sz w:val="32"/>
        </w:rPr>
        <w:t>不宜公开</w:t>
      </w:r>
      <w:r>
        <w:rPr>
          <w:rFonts w:eastAsia="仿宋_GB2312" w:hint="eastAsia"/>
          <w:sz w:val="32"/>
        </w:rPr>
        <w:t>）</w:t>
      </w:r>
      <w:bookmarkStart w:id="8" w:name="_Toc15396602"/>
      <w:bookmarkStart w:id="9" w:name="_Toc15377204"/>
      <w:bookmarkEnd w:id="6"/>
      <w:bookmarkEnd w:id="7"/>
    </w:p>
    <w:p>
      <w:pPr>
        <w:widowControl/>
        <w:spacing w:line="576" w:lineRule="exact"/>
        <w:jc w:val="center"/>
        <w:rPr>
          <w:rStyle w:val="1Char"/>
          <w:rFonts w:eastAsia="方正小标宋简体" w:cs="方正小标宋简体"/>
        </w:rPr>
      </w:pPr>
      <w:r>
        <w:rPr>
          <w:rStyle w:val="1Char"/>
          <w:rFonts w:hint="eastAsia"/>
        </w:rPr>
        <w:t>第二部分  2024年度部门决算情况说明</w:t>
      </w:r>
      <w:bookmarkEnd w:id="8"/>
      <w:bookmarkEnd w:id="9"/>
    </w:p>
    <w:p>
      <w:pPr>
        <w:spacing w:line="576" w:lineRule="exact"/>
      </w:pPr>
    </w:p>
    <w:p>
      <w:pPr>
        <w:pStyle w:val="32"/>
        <w:spacing w:line="576" w:lineRule="exact"/>
        <w:outlineLvl w:val="1"/>
        <w:rPr>
          <w:rStyle w:val="2Char"/>
          <w:rFonts w:ascii="Times New Roman" w:eastAsia="黑体" w:hAnsi="Times New Roman"/>
          <w:b w:val="0"/>
        </w:rPr>
      </w:pPr>
      <w:bookmarkStart w:id="10" w:name="_Toc15377205"/>
      <w:bookmarkStart w:id="11" w:name="_Toc15396603"/>
      <w:r>
        <w:rPr>
          <w:rFonts w:eastAsia="黑体" w:hint="eastAsia"/>
          <w:sz w:val="32"/>
          <w:szCs w:val="32"/>
        </w:rPr>
        <w:t>一、收</w:t>
      </w:r>
      <w:r>
        <w:rPr>
          <w:rStyle w:val="2Char"/>
          <w:rFonts w:ascii="Times New Roman" w:eastAsia="黑体" w:hAnsi="Times New Roman" w:hint="eastAsia"/>
          <w:b w:val="0"/>
        </w:rPr>
        <w:t>入支出决算总体情况说明</w:t>
      </w:r>
      <w:bookmarkEnd w:id="10"/>
      <w:bookmarkEnd w:id="11"/>
    </w:p>
    <w:p>
      <w:pPr>
        <w:pStyle w:val="32"/>
        <w:spacing w:line="600" w:lineRule="exact"/>
        <w:outlineLvl w:val="1"/>
        <w:rPr>
          <w:rFonts w:eastAsia="仿宋_GB2312" w:cs="仿宋_GB2312"/>
          <w:sz w:val="32"/>
          <w:szCs w:val="32"/>
        </w:rPr>
      </w:pPr>
      <w:r>
        <w:rPr>
          <w:rFonts w:eastAsia="仿宋_GB2312" w:cs="仿宋_GB2312" w:hint="eastAsia"/>
          <w:sz w:val="32"/>
          <w:szCs w:val="32"/>
        </w:rPr>
        <w:t>2024年度收入、支出总计均为</w:t>
      </w:r>
      <w:r>
        <w:rPr>
          <w:rFonts w:ascii="仿宋_GB2312" w:eastAsia="仿宋_GB2312" w:cs="仿宋_GB2312" w:hint="eastAsia"/>
          <w:sz w:val="32"/>
          <w:szCs w:val="32"/>
        </w:rPr>
        <w:t>33</w:t>
      </w:r>
      <w:r>
        <w:rPr>
          <w:rFonts w:ascii="仿宋_GB2312" w:eastAsia="仿宋_GB2312" w:cs="仿宋_GB2312"/>
          <w:sz w:val="32"/>
          <w:szCs w:val="32"/>
        </w:rPr>
        <w:t>,</w:t>
      </w:r>
      <w:r>
        <w:rPr>
          <w:rFonts w:ascii="仿宋_GB2312" w:eastAsia="仿宋_GB2312" w:cs="仿宋_GB2312" w:hint="eastAsia"/>
          <w:sz w:val="32"/>
          <w:szCs w:val="32"/>
        </w:rPr>
        <w:t>561.04</w:t>
      </w:r>
      <w:r>
        <w:rPr>
          <w:rFonts w:eastAsia="仿宋_GB2312" w:cs="仿宋_GB2312" w:hint="eastAsia"/>
          <w:sz w:val="32"/>
          <w:szCs w:val="32"/>
        </w:rPr>
        <w:t>万元。与2023年度相比，收入、支出总计均增加</w:t>
      </w:r>
      <w:r>
        <w:rPr>
          <w:rFonts w:eastAsia="仿宋_GB2312" w:cs="仿宋_GB2312"/>
          <w:sz w:val="32"/>
          <w:szCs w:val="32"/>
        </w:rPr>
        <w:t>2,281.24</w:t>
      </w:r>
      <w:r>
        <w:rPr>
          <w:rFonts w:eastAsia="仿宋_GB2312" w:cs="仿宋_GB2312" w:hint="eastAsia"/>
          <w:sz w:val="32"/>
          <w:szCs w:val="32"/>
        </w:rPr>
        <w:t>万元，增长</w:t>
      </w:r>
      <w:r>
        <w:rPr>
          <w:rFonts w:eastAsia="仿宋_GB2312" w:cs="仿宋_GB2312"/>
          <w:sz w:val="32"/>
          <w:szCs w:val="32"/>
        </w:rPr>
        <w:t>7.29</w:t>
      </w:r>
      <w:r>
        <w:rPr>
          <w:rFonts w:eastAsia="仿宋_GB2312" w:cs="仿宋_GB2312" w:hint="eastAsia"/>
          <w:sz w:val="32"/>
          <w:szCs w:val="32"/>
        </w:rPr>
        <w:t>%。主要变动原因:</w:t>
      </w:r>
      <w:r>
        <w:rPr>
          <w:rFonts w:eastAsia="仿宋_GB2312" w:cs="仿宋_GB2312" w:hint="eastAsia"/>
          <w:b/>
          <w:sz w:val="32"/>
          <w:szCs w:val="32"/>
        </w:rPr>
        <w:t xml:space="preserve"> 一是</w:t>
      </w:r>
      <w:r>
        <w:rPr>
          <w:rFonts w:eastAsia="仿宋_GB2312" w:cs="仿宋_GB2312"/>
          <w:sz w:val="32"/>
          <w:szCs w:val="32"/>
        </w:rPr>
        <w:t>人员</w:t>
      </w:r>
      <w:r>
        <w:rPr>
          <w:rFonts w:eastAsia="仿宋_GB2312" w:cs="仿宋_GB2312" w:hint="eastAsia"/>
          <w:sz w:val="32"/>
          <w:szCs w:val="32"/>
        </w:rPr>
        <w:t>职级调整</w:t>
      </w:r>
      <w:r>
        <w:rPr>
          <w:rFonts w:eastAsia="仿宋_GB2312" w:cs="仿宋_GB2312"/>
          <w:sz w:val="32"/>
          <w:szCs w:val="32"/>
        </w:rPr>
        <w:t>，导致工资、保险增加</w:t>
      </w:r>
      <w:r>
        <w:rPr>
          <w:rFonts w:eastAsia="仿宋_GB2312" w:cs="仿宋_GB2312" w:hint="eastAsia"/>
          <w:sz w:val="32"/>
          <w:szCs w:val="32"/>
        </w:rPr>
        <w:t>；</w:t>
      </w:r>
      <w:r>
        <w:rPr>
          <w:rFonts w:eastAsia="仿宋_GB2312" w:cs="仿宋_GB2312" w:hint="eastAsia"/>
          <w:b/>
          <w:sz w:val="32"/>
          <w:szCs w:val="32"/>
        </w:rPr>
        <w:t>二是</w:t>
      </w:r>
      <w:r>
        <w:rPr>
          <w:rFonts w:eastAsia="仿宋_GB2312" w:cs="仿宋_GB2312"/>
          <w:sz w:val="32"/>
          <w:szCs w:val="32"/>
        </w:rPr>
        <w:t>阿坝州WW力量联合训练基地建设用地相关保障费用</w:t>
      </w:r>
      <w:r>
        <w:rPr>
          <w:rFonts w:eastAsia="仿宋_GB2312" w:cs="仿宋_GB2312" w:hint="eastAsia"/>
          <w:sz w:val="32"/>
          <w:szCs w:val="32"/>
        </w:rPr>
        <w:t>下达1</w:t>
      </w:r>
      <w:r>
        <w:rPr>
          <w:rFonts w:eastAsia="仿宋_GB2312" w:cs="仿宋_GB2312"/>
          <w:sz w:val="32"/>
          <w:szCs w:val="32"/>
        </w:rPr>
        <w:t>,</w:t>
      </w:r>
      <w:r>
        <w:rPr>
          <w:rFonts w:eastAsia="仿宋_GB2312" w:cs="仿宋_GB2312" w:hint="eastAsia"/>
          <w:sz w:val="32"/>
          <w:szCs w:val="32"/>
        </w:rPr>
        <w:t>067.11万元</w:t>
      </w:r>
      <w:r>
        <w:rPr>
          <w:rFonts w:eastAsia="仿宋_GB2312" w:cs="仿宋_GB2312"/>
          <w:sz w:val="32"/>
          <w:szCs w:val="32"/>
        </w:rPr>
        <w:t>，</w:t>
      </w:r>
      <w:r>
        <w:rPr>
          <w:rFonts w:eastAsia="仿宋_GB2312" w:cs="仿宋_GB2312" w:hint="eastAsia"/>
          <w:sz w:val="32"/>
          <w:szCs w:val="32"/>
        </w:rPr>
        <w:t>用于</w:t>
      </w:r>
      <w:r>
        <w:rPr>
          <w:rFonts w:eastAsia="仿宋_GB2312" w:cs="仿宋_GB2312"/>
          <w:sz w:val="32"/>
          <w:szCs w:val="32"/>
        </w:rPr>
        <w:t>违法用地占地罚没款</w:t>
      </w:r>
      <w:r>
        <w:rPr>
          <w:rFonts w:eastAsia="仿宋_GB2312" w:cs="仿宋_GB2312" w:hint="eastAsia"/>
          <w:sz w:val="32"/>
          <w:szCs w:val="32"/>
        </w:rPr>
        <w:t>、</w:t>
      </w:r>
      <w:r>
        <w:rPr>
          <w:rFonts w:eastAsia="仿宋_GB2312" w:cs="仿宋_GB2312"/>
          <w:sz w:val="32"/>
          <w:szCs w:val="32"/>
        </w:rPr>
        <w:t>社保预存费</w:t>
      </w:r>
      <w:r>
        <w:rPr>
          <w:rFonts w:eastAsia="仿宋_GB2312" w:cs="仿宋_GB2312" w:hint="eastAsia"/>
          <w:sz w:val="32"/>
          <w:szCs w:val="32"/>
        </w:rPr>
        <w:t>，</w:t>
      </w:r>
      <w:r>
        <w:rPr>
          <w:rFonts w:eastAsia="仿宋_GB2312" w:cs="仿宋_GB2312"/>
          <w:sz w:val="32"/>
          <w:szCs w:val="32"/>
        </w:rPr>
        <w:t>导致</w:t>
      </w:r>
      <w:r>
        <w:rPr>
          <w:rFonts w:eastAsia="仿宋_GB2312" w:cs="仿宋_GB2312" w:hint="eastAsia"/>
          <w:sz w:val="32"/>
          <w:szCs w:val="32"/>
        </w:rPr>
        <w:t>商品</w:t>
      </w:r>
      <w:r>
        <w:rPr>
          <w:rFonts w:eastAsia="仿宋_GB2312" w:cs="仿宋_GB2312"/>
          <w:sz w:val="32"/>
          <w:szCs w:val="32"/>
        </w:rPr>
        <w:t>和服务支出增加。</w:t>
      </w:r>
      <w:r>
        <w:rPr>
          <w:rFonts w:eastAsia="仿宋_GB2312" w:cs="仿宋_GB2312" w:hint="eastAsia"/>
          <w:b/>
          <w:sz w:val="32"/>
          <w:szCs w:val="32"/>
        </w:rPr>
        <w:t>三是</w:t>
      </w:r>
      <w:r>
        <w:rPr>
          <w:rFonts w:eastAsia="仿宋_GB2312" w:cs="仿宋_GB2312" w:hint="eastAsia"/>
          <w:sz w:val="32"/>
          <w:szCs w:val="32"/>
        </w:rPr>
        <w:t>Z</w:t>
      </w:r>
      <w:r>
        <w:rPr>
          <w:rFonts w:eastAsia="仿宋_GB2312" w:cs="仿宋_GB2312"/>
          <w:sz w:val="32"/>
          <w:szCs w:val="32"/>
        </w:rPr>
        <w:t>Y支付资金增加</w:t>
      </w:r>
      <w:r>
        <w:rPr>
          <w:rFonts w:eastAsia="仿宋_GB2312" w:cs="仿宋_GB2312" w:hint="eastAsia"/>
          <w:sz w:val="32"/>
          <w:szCs w:val="32"/>
        </w:rPr>
        <w:t>，</w:t>
      </w:r>
      <w:r>
        <w:rPr>
          <w:rFonts w:eastAsia="仿宋_GB2312" w:cs="仿宋_GB2312"/>
          <w:sz w:val="32"/>
          <w:szCs w:val="32"/>
        </w:rPr>
        <w:t>导致项目资金增加。</w:t>
      </w:r>
    </w:p>
    <w:p>
      <w:pPr>
        <w:pStyle w:val="32"/>
        <w:spacing w:line="576" w:lineRule="exact"/>
        <w:outlineLvl w:val="1"/>
        <w:rPr>
          <w:rFonts w:eastAsia="仿宋_GB2312" w:cs="仿宋_GB2312"/>
          <w:sz w:val="32"/>
          <w:szCs w:val="32"/>
        </w:rPr>
      </w:pPr>
      <w:r>
        <w:rPr>
          <w:rFonts w:eastAsia="仿宋_GB2312" w:cs="仿宋_GB2312"/>
          <w:sz w:val="32"/>
          <w:szCs w:val="32"/>
        </w:rPr>
        <w:drawing>
          <wp:anchor distT="0" distB="0" distL="114300" distR="114300" simplePos="0" relativeHeight="24" behindDoc="0" locked="0" layoutInCell="1" hidden="0" allowOverlap="1">
            <wp:simplePos x="0" y="0"/>
            <wp:positionH relativeFrom="column">
              <wp:posOffset>185420</wp:posOffset>
            </wp:positionH>
            <wp:positionV relativeFrom="paragraph">
              <wp:posOffset>8255</wp:posOffset>
            </wp:positionV>
            <wp:extent cx="5141595" cy="3002280"/>
            <wp:effectExtent l="0" t="0" r="0" b="0"/>
            <wp:wrapNone/>
            <wp:docPr id="7" name="图表 1"/>
            <wp:cNvGraphicFramePr>
              <a:graphicFrameLocks noChangeAspect="0"/>
            </wp:cNvGraphicFramePr>
            <a:graphic>
              <a:graphicData uri="http://schemas.openxmlformats.org/drawingml/2006/chart">
                <c:chart xmlns:c="http://schemas.openxmlformats.org/drawingml/2006/chart" r:id="rId10"/>
              </a:graphicData>
            </a:graphic>
          </wp:anchor>
        </w:drawing>
      </w:r>
    </w:p>
    <w:p>
      <w:pPr>
        <w:pStyle w:val="32"/>
        <w:spacing w:line="576" w:lineRule="exact"/>
        <w:outlineLvl w:val="1"/>
        <w:rPr>
          <w:rFonts w:eastAsia="仿宋_GB2312" w:cs="仿宋_GB2312"/>
          <w:sz w:val="32"/>
          <w:szCs w:val="32"/>
        </w:rPr>
      </w:pPr>
    </w:p>
    <w:p>
      <w:pPr>
        <w:pStyle w:val="32"/>
        <w:spacing w:line="576" w:lineRule="exact"/>
        <w:outlineLvl w:val="1"/>
        <w:rPr>
          <w:rFonts w:eastAsia="仿宋_GB2312" w:cs="仿宋_GB2312"/>
          <w:sz w:val="32"/>
          <w:szCs w:val="32"/>
        </w:rPr>
      </w:pPr>
    </w:p>
    <w:p>
      <w:pPr>
        <w:pStyle w:val="32"/>
        <w:spacing w:line="576" w:lineRule="exact"/>
        <w:outlineLvl w:val="1"/>
        <w:rPr>
          <w:rFonts w:eastAsia="仿宋_GB2312" w:cs="仿宋_GB2312"/>
          <w:sz w:val="32"/>
          <w:szCs w:val="32"/>
        </w:rPr>
      </w:pPr>
    </w:p>
    <w:p>
      <w:pPr>
        <w:pStyle w:val="32"/>
        <w:spacing w:line="576" w:lineRule="exact"/>
        <w:outlineLvl w:val="1"/>
        <w:rPr>
          <w:rFonts w:eastAsia="仿宋_GB2312" w:cs="仿宋_GB2312"/>
          <w:sz w:val="32"/>
          <w:szCs w:val="32"/>
        </w:rPr>
      </w:pPr>
    </w:p>
    <w:p>
      <w:pPr>
        <w:pStyle w:val="32"/>
        <w:spacing w:line="576" w:lineRule="exact"/>
        <w:outlineLvl w:val="1"/>
        <w:rPr>
          <w:rFonts w:eastAsia="仿宋_GB2312" w:cs="仿宋_GB2312"/>
          <w:sz w:val="32"/>
          <w:szCs w:val="32"/>
        </w:rPr>
      </w:pPr>
    </w:p>
    <w:p>
      <w:pPr>
        <w:spacing w:line="576" w:lineRule="exact"/>
        <w:ind w:firstLineChars="200" w:firstLine="640"/>
        <w:rPr>
          <w:rFonts w:eastAsia="仿宋_GB2312" w:cs="仿宋_GB2312"/>
          <w:sz w:val="32"/>
          <w:szCs w:val="32"/>
        </w:rPr>
      </w:pPr>
      <w:r>
        <w:rPr>
          <w:rFonts w:eastAsia="仿宋_GB2312" w:cs="仿宋_GB2312" w:hint="eastAsia"/>
          <w:sz w:val="32"/>
          <w:szCs w:val="32"/>
        </w:rPr>
        <w:t>（图1：收入、支出决算总计变动情况图）（柱状图）</w:t>
      </w:r>
    </w:p>
    <w:p>
      <w:pPr>
        <w:pStyle w:val="32"/>
        <w:spacing w:line="576" w:lineRule="exact"/>
        <w:outlineLvl w:val="1"/>
        <w:rPr>
          <w:rFonts w:eastAsia="黑体"/>
          <w:sz w:val="32"/>
          <w:szCs w:val="32"/>
        </w:rPr>
      </w:pPr>
      <w:bookmarkStart w:id="12" w:name="_Toc15377206"/>
      <w:bookmarkStart w:id="13" w:name="_Toc15396604"/>
      <w:r>
        <w:rPr>
          <w:rFonts w:eastAsia="黑体" w:hint="eastAsia"/>
          <w:sz w:val="32"/>
          <w:szCs w:val="32"/>
        </w:rPr>
        <w:t>二、收入决算情况说明</w:t>
      </w:r>
      <w:bookmarkEnd w:id="12"/>
      <w:bookmarkEnd w:id="13"/>
    </w:p>
    <w:p>
      <w:pPr>
        <w:pStyle w:val="32"/>
        <w:spacing w:line="576" w:lineRule="exact"/>
        <w:jc w:val="left"/>
        <w:outlineLvl w:val="1"/>
        <w:rPr>
          <w:rFonts w:ascii="仿宋_GB2312" w:eastAsia="仿宋_GB2312" w:cs="仿宋_GB2312"/>
          <w:sz w:val="32"/>
          <w:szCs w:val="32"/>
        </w:rPr>
      </w:pPr>
      <w:r>
        <w:rPr>
          <w:rFonts w:ascii="仿宋_GB2312" w:eastAsia="仿宋_GB2312" w:cs="仿宋_GB2312" w:hint="eastAsia"/>
          <w:sz w:val="32"/>
          <w:szCs w:val="32"/>
        </w:rPr>
        <w:t>2024年度本年收入合计33</w:t>
      </w:r>
      <w:r>
        <w:rPr>
          <w:rFonts w:ascii="仿宋_GB2312" w:eastAsia="仿宋_GB2312" w:cs="仿宋_GB2312"/>
          <w:sz w:val="32"/>
          <w:szCs w:val="32"/>
        </w:rPr>
        <w:t>,</w:t>
      </w:r>
      <w:r>
        <w:rPr>
          <w:rFonts w:ascii="仿宋_GB2312" w:eastAsia="仿宋_GB2312" w:cs="仿宋_GB2312" w:hint="eastAsia"/>
          <w:sz w:val="32"/>
          <w:szCs w:val="32"/>
        </w:rPr>
        <w:t>270.26万元，其中：一般公共预算财政拨款收入33</w:t>
      </w:r>
      <w:r>
        <w:rPr>
          <w:rFonts w:ascii="仿宋_GB2312" w:eastAsia="仿宋_GB2312" w:cs="仿宋_GB2312"/>
          <w:sz w:val="32"/>
          <w:szCs w:val="32"/>
        </w:rPr>
        <w:t>,</w:t>
      </w:r>
      <w:r>
        <w:rPr>
          <w:rFonts w:ascii="仿宋_GB2312" w:eastAsia="仿宋_GB2312" w:cs="仿宋_GB2312" w:hint="eastAsia"/>
          <w:sz w:val="32"/>
          <w:szCs w:val="32"/>
        </w:rPr>
        <w:t>256.31万元，占99.95%；其他收入13.95万元，占0.04%。</w:t>
      </w:r>
    </w:p>
    <w:p>
      <w:pPr>
        <w:pStyle w:val="32"/>
        <w:spacing w:line="576" w:lineRule="exact"/>
        <w:jc w:val="left"/>
        <w:outlineLvl w:val="1"/>
        <w:rPr>
          <w:rFonts w:ascii="仿宋_GB2312" w:eastAsia="仿宋_GB2312" w:cs="仿宋_GB2312"/>
          <w:sz w:val="32"/>
          <w:szCs w:val="32"/>
        </w:rPr>
      </w:pPr>
      <w:r>
        <w:rPr>
          <w:rFonts w:ascii="仿宋_GB2312" w:eastAsia="仿宋_GB2312" w:cs="仿宋_GB2312" w:hint="eastAsia"/>
          <w:sz w:val="32"/>
          <w:szCs w:val="32"/>
        </w:rPr>
        <w:drawing>
          <wp:anchor distT="0" distB="0" distL="114300" distR="114300" simplePos="0" relativeHeight="22" behindDoc="0" locked="0" layoutInCell="1" hidden="0" allowOverlap="1">
            <wp:simplePos x="0" y="0"/>
            <wp:positionH relativeFrom="column">
              <wp:posOffset>124460</wp:posOffset>
            </wp:positionH>
            <wp:positionV relativeFrom="paragraph">
              <wp:posOffset>137795</wp:posOffset>
            </wp:positionV>
            <wp:extent cx="5274310" cy="3076575"/>
            <wp:effectExtent l="0" t="0" r="0" b="0"/>
            <wp:wrapNone/>
            <wp:docPr id="8" name="图表 2"/>
            <wp:cNvGraphicFramePr>
              <a:graphicFrameLocks noChangeAspect="0"/>
            </wp:cNvGraphicFramePr>
            <a:graphic>
              <a:graphicData uri="http://schemas.openxmlformats.org/drawingml/2006/chart">
                <c:chart xmlns:c="http://schemas.openxmlformats.org/drawingml/2006/chart" r:id="rId11"/>
              </a:graphicData>
            </a:graphic>
          </wp:anchor>
        </w:drawing>
      </w:r>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ascii="仿宋_GB2312" w:eastAsia="仿宋_GB2312" w:cs="仿宋_GB2312" w:hint="eastAsia"/>
          <w:sz w:val="32"/>
          <w:szCs w:val="32"/>
        </w:rPr>
      </w:pPr>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eastAsia="仿宋_GB2312" w:cs="仿宋_GB2312"/>
          <w:b/>
          <w:bCs/>
          <w:sz w:val="32"/>
          <w:szCs w:val="32"/>
        </w:rPr>
      </w:pPr>
    </w:p>
    <w:p>
      <w:pPr>
        <w:pStyle w:val="32"/>
        <w:spacing w:line="576" w:lineRule="exact"/>
        <w:jc w:val="left"/>
        <w:outlineLvl w:val="1"/>
        <w:rPr>
          <w:rFonts w:eastAsia="仿宋_GB2312" w:cs="仿宋_GB2312"/>
          <w:b/>
          <w:bCs/>
          <w:sz w:val="32"/>
          <w:szCs w:val="32"/>
        </w:rPr>
      </w:pPr>
    </w:p>
    <w:p>
      <w:pPr>
        <w:spacing w:line="576" w:lineRule="exact"/>
        <w:ind w:firstLineChars="250" w:firstLine="800"/>
        <w:jc w:val="center"/>
        <w:rPr>
          <w:rFonts w:eastAsia="仿宋_GB2312" w:cs="仿宋_GB2312"/>
          <w:sz w:val="32"/>
          <w:szCs w:val="32"/>
        </w:rPr>
      </w:pPr>
      <w:r>
        <w:rPr>
          <w:rFonts w:eastAsia="仿宋_GB2312" w:cs="仿宋_GB2312" w:hint="eastAsia"/>
          <w:sz w:val="32"/>
          <w:szCs w:val="32"/>
        </w:rPr>
        <w:t>（图2：收入决算结构图）（饼状图）</w:t>
      </w:r>
    </w:p>
    <w:p>
      <w:pPr>
        <w:pStyle w:val="32"/>
        <w:spacing w:line="576" w:lineRule="exact"/>
        <w:outlineLvl w:val="1"/>
        <w:rPr>
          <w:rStyle w:val="2Char"/>
          <w:rFonts w:ascii="Times New Roman" w:eastAsia="黑体" w:hAnsi="Times New Roman"/>
          <w:b w:val="0"/>
        </w:rPr>
      </w:pPr>
      <w:bookmarkStart w:id="14" w:name="_Toc15396605"/>
      <w:bookmarkStart w:id="15" w:name="_Toc15377207"/>
      <w:r>
        <w:rPr>
          <w:rFonts w:eastAsia="黑体" w:hint="eastAsia"/>
          <w:sz w:val="32"/>
          <w:szCs w:val="32"/>
        </w:rPr>
        <w:t>三、支</w:t>
      </w:r>
      <w:r>
        <w:rPr>
          <w:rStyle w:val="2Char"/>
          <w:rFonts w:ascii="Times New Roman" w:eastAsia="黑体" w:hAnsi="Times New Roman" w:hint="eastAsia"/>
          <w:b w:val="0"/>
        </w:rPr>
        <w:t>出决算情况说明</w:t>
      </w:r>
      <w:bookmarkEnd w:id="14"/>
      <w:bookmarkEnd w:id="15"/>
    </w:p>
    <w:p>
      <w:pPr>
        <w:pStyle w:val="32"/>
        <w:spacing w:line="576" w:lineRule="exact"/>
        <w:jc w:val="left"/>
        <w:outlineLvl w:val="1"/>
        <w:rPr>
          <w:rFonts w:ascii="仿宋_GB2312" w:eastAsia="仿宋_GB2312" w:cs="仿宋_GB2312"/>
          <w:sz w:val="32"/>
          <w:szCs w:val="32"/>
        </w:rPr>
      </w:pPr>
      <w:r>
        <w:rPr>
          <w:rFonts w:ascii="仿宋_GB2312" w:eastAsia="仿宋_GB2312" w:cs="仿宋_GB2312"/>
          <w:sz w:val="32"/>
          <w:szCs w:val="32"/>
        </w:rPr>
        <w:drawing>
          <wp:anchor distT="0" distB="0" distL="114300" distR="114300" simplePos="0" relativeHeight="26" behindDoc="0" locked="0" layoutInCell="1" hidden="0" allowOverlap="1">
            <wp:simplePos x="0" y="0"/>
            <wp:positionH relativeFrom="column">
              <wp:posOffset>763270</wp:posOffset>
            </wp:positionH>
            <wp:positionV relativeFrom="paragraph">
              <wp:posOffset>910589</wp:posOffset>
            </wp:positionV>
            <wp:extent cx="4873625" cy="2690495"/>
            <wp:effectExtent l="0" t="0" r="0" b="0"/>
            <wp:wrapNone/>
            <wp:docPr id="9" name="图表 3"/>
            <wp:cNvGraphicFramePr>
              <a:graphicFrameLocks noChangeAspect="0"/>
            </wp:cNvGraphicFramePr>
            <a:graphic>
              <a:graphicData uri="http://schemas.openxmlformats.org/drawingml/2006/chart">
                <c:chart xmlns:c="http://schemas.openxmlformats.org/drawingml/2006/chart" r:id="rId12"/>
              </a:graphicData>
            </a:graphic>
          </wp:anchor>
        </w:drawing>
      </w:r>
      <w:r>
        <w:rPr>
          <w:rFonts w:ascii="仿宋_GB2312" w:eastAsia="仿宋_GB2312" w:cs="仿宋_GB2312" w:hint="eastAsia"/>
          <w:sz w:val="32"/>
          <w:szCs w:val="32"/>
        </w:rPr>
        <w:t>2024年度本年支出合计33</w:t>
      </w:r>
      <w:r>
        <w:rPr>
          <w:rFonts w:ascii="仿宋_GB2312" w:eastAsia="仿宋_GB2312" w:cs="仿宋_GB2312"/>
          <w:sz w:val="32"/>
          <w:szCs w:val="32"/>
        </w:rPr>
        <w:t>,</w:t>
      </w:r>
      <w:r>
        <w:rPr>
          <w:rFonts w:ascii="仿宋_GB2312" w:eastAsia="仿宋_GB2312" w:cs="仿宋_GB2312" w:hint="eastAsia"/>
          <w:sz w:val="32"/>
          <w:szCs w:val="32"/>
        </w:rPr>
        <w:t>264.65万元，其中：基本支出23</w:t>
      </w:r>
      <w:r>
        <w:rPr>
          <w:rFonts w:ascii="仿宋_GB2312" w:eastAsia="仿宋_GB2312" w:cs="仿宋_GB2312"/>
          <w:sz w:val="32"/>
          <w:szCs w:val="32"/>
        </w:rPr>
        <w:t>,</w:t>
      </w:r>
      <w:r>
        <w:rPr>
          <w:rFonts w:ascii="仿宋_GB2312" w:eastAsia="仿宋_GB2312" w:cs="仿宋_GB2312" w:hint="eastAsia"/>
          <w:sz w:val="32"/>
          <w:szCs w:val="32"/>
        </w:rPr>
        <w:t>168.27万元，占69.6</w:t>
      </w:r>
      <w:r>
        <w:rPr>
          <w:rFonts w:ascii="仿宋_GB2312" w:eastAsia="仿宋_GB2312" w:cs="仿宋_GB2312"/>
          <w:sz w:val="32"/>
          <w:szCs w:val="32"/>
        </w:rPr>
        <w:t>5</w:t>
      </w:r>
      <w:r>
        <w:rPr>
          <w:rFonts w:ascii="仿宋_GB2312" w:eastAsia="仿宋_GB2312" w:cs="仿宋_GB2312" w:hint="eastAsia"/>
          <w:sz w:val="32"/>
          <w:szCs w:val="32"/>
        </w:rPr>
        <w:t>%；项目支出10,096.38万元，占30.35%。</w:t>
      </w:r>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ascii="仿宋_GB2312" w:eastAsia="仿宋_GB2312" w:cs="仿宋_GB2312"/>
          <w:sz w:val="32"/>
          <w:szCs w:val="32"/>
        </w:rPr>
      </w:pPr>
    </w:p>
    <w:p>
      <w:pPr>
        <w:pStyle w:val="32"/>
        <w:spacing w:line="576" w:lineRule="exact"/>
        <w:jc w:val="left"/>
        <w:outlineLvl w:val="1"/>
        <w:rPr>
          <w:rFonts w:eastAsia="仿宋_GB2312" w:cs="仿宋_GB2312" w:hint="eastAsia"/>
          <w:sz w:val="32"/>
          <w:szCs w:val="32"/>
        </w:rPr>
      </w:pPr>
    </w:p>
    <w:p>
      <w:pPr>
        <w:spacing w:line="576" w:lineRule="exact"/>
        <w:ind w:firstLineChars="600" w:firstLine="1920"/>
        <w:rPr>
          <w:rFonts w:eastAsia="仿宋_GB2312" w:cs="仿宋_GB2312"/>
          <w:sz w:val="32"/>
          <w:szCs w:val="32"/>
        </w:rPr>
      </w:pPr>
      <w:r>
        <w:rPr>
          <w:rFonts w:eastAsia="仿宋_GB2312" w:cs="仿宋_GB2312" w:hint="eastAsia"/>
          <w:sz w:val="32"/>
          <w:szCs w:val="32"/>
        </w:rPr>
        <w:t>（图3：支出决算结构图）（饼状图）</w:t>
      </w:r>
    </w:p>
    <w:p>
      <w:pPr>
        <w:spacing w:line="576" w:lineRule="exact"/>
        <w:ind w:firstLineChars="200" w:firstLine="640"/>
        <w:outlineLvl w:val="1"/>
        <w:rPr>
          <w:rStyle w:val="2Char"/>
          <w:rFonts w:ascii="Times New Roman" w:eastAsia="黑体" w:hAnsi="Times New Roman"/>
          <w:b w:val="0"/>
        </w:rPr>
      </w:pPr>
      <w:bookmarkStart w:id="16" w:name="_Toc15377208"/>
      <w:bookmarkStart w:id="17" w:name="_Toc15396606"/>
      <w:r>
        <w:rPr>
          <w:rFonts w:eastAsia="黑体" w:hint="eastAsia"/>
          <w:sz w:val="32"/>
          <w:szCs w:val="32"/>
        </w:rPr>
        <w:t>四、财</w:t>
      </w:r>
      <w:r>
        <w:rPr>
          <w:rStyle w:val="2Char"/>
          <w:rFonts w:ascii="Times New Roman" w:eastAsia="黑体" w:hAnsi="Times New Roman" w:hint="eastAsia"/>
          <w:b w:val="0"/>
        </w:rPr>
        <w:t>政拨款收入支出决算总体情况说明</w:t>
      </w:r>
      <w:bookmarkEnd w:id="16"/>
      <w:bookmarkEnd w:id="17"/>
    </w:p>
    <w:p>
      <w:pPr>
        <w:spacing w:line="576" w:lineRule="exact"/>
        <w:ind w:firstLine="640"/>
        <w:rPr>
          <w:rFonts w:eastAsia="仿宋_GB2312" w:cs="仿宋_GB2312"/>
          <w:sz w:val="32"/>
          <w:szCs w:val="32"/>
        </w:rPr>
      </w:pPr>
      <w:r>
        <w:rPr>
          <w:rFonts w:eastAsia="仿宋_GB2312" w:cs="仿宋_GB2312" w:hint="eastAsia"/>
          <w:sz w:val="32"/>
          <w:szCs w:val="32"/>
        </w:rPr>
        <w:t>2024年度财政拨款收入、支出总计均为</w:t>
      </w:r>
      <w:r>
        <w:rPr>
          <w:rFonts w:ascii="仿宋_GB2312" w:eastAsia="仿宋_GB2312" w:cs="仿宋_GB2312" w:hint="eastAsia"/>
          <w:sz w:val="32"/>
          <w:szCs w:val="32"/>
        </w:rPr>
        <w:t>33</w:t>
      </w:r>
      <w:r>
        <w:rPr>
          <w:rFonts w:ascii="仿宋_GB2312" w:eastAsia="仿宋_GB2312" w:cs="仿宋_GB2312"/>
          <w:sz w:val="32"/>
          <w:szCs w:val="32"/>
        </w:rPr>
        <w:t>,</w:t>
      </w:r>
      <w:r>
        <w:rPr>
          <w:rFonts w:ascii="仿宋_GB2312" w:eastAsia="仿宋_GB2312" w:cs="仿宋_GB2312" w:hint="eastAsia"/>
          <w:sz w:val="32"/>
          <w:szCs w:val="32"/>
        </w:rPr>
        <w:t>256.31</w:t>
      </w:r>
      <w:r>
        <w:rPr>
          <w:rFonts w:eastAsia="仿宋_GB2312" w:cs="仿宋_GB2312" w:hint="eastAsia"/>
          <w:sz w:val="32"/>
          <w:szCs w:val="32"/>
        </w:rPr>
        <w:t>万元。与2023年度相比，财政拨款收入总计、支出总计均增加</w:t>
      </w:r>
      <w:r>
        <w:rPr>
          <w:rFonts w:eastAsia="仿宋_GB2312" w:cs="仿宋_GB2312"/>
          <w:sz w:val="32"/>
          <w:szCs w:val="32"/>
        </w:rPr>
        <w:t>2,316.68</w:t>
      </w:r>
      <w:r>
        <w:rPr>
          <w:rFonts w:eastAsia="仿宋_GB2312" w:cs="仿宋_GB2312" w:hint="eastAsia"/>
          <w:sz w:val="32"/>
          <w:szCs w:val="32"/>
        </w:rPr>
        <w:t>万元，增长</w:t>
      </w:r>
      <w:r>
        <w:rPr>
          <w:rFonts w:eastAsia="仿宋_GB2312" w:cs="仿宋_GB2312"/>
          <w:sz w:val="32"/>
          <w:szCs w:val="32"/>
        </w:rPr>
        <w:t>7.48</w:t>
      </w:r>
      <w:r>
        <w:rPr>
          <w:rFonts w:eastAsia="仿宋_GB2312" w:cs="仿宋_GB2312" w:hint="eastAsia"/>
          <w:sz w:val="32"/>
          <w:szCs w:val="32"/>
        </w:rPr>
        <w:t>%。主要变动原因：</w:t>
      </w:r>
      <w:r>
        <w:rPr>
          <w:rFonts w:eastAsia="仿宋_GB2312" w:cs="仿宋_GB2312" w:hint="eastAsia"/>
          <w:b/>
          <w:sz w:val="32"/>
          <w:szCs w:val="32"/>
        </w:rPr>
        <w:t>一是</w:t>
      </w:r>
      <w:r>
        <w:rPr>
          <w:rFonts w:eastAsia="仿宋_GB2312" w:cs="仿宋_GB2312"/>
          <w:sz w:val="32"/>
          <w:szCs w:val="32"/>
        </w:rPr>
        <w:t>人员</w:t>
      </w:r>
      <w:r>
        <w:rPr>
          <w:rFonts w:eastAsia="仿宋_GB2312" w:cs="仿宋_GB2312" w:hint="eastAsia"/>
          <w:sz w:val="32"/>
          <w:szCs w:val="32"/>
        </w:rPr>
        <w:t>职级调整</w:t>
      </w:r>
      <w:r>
        <w:rPr>
          <w:rFonts w:eastAsia="仿宋_GB2312" w:cs="仿宋_GB2312"/>
          <w:sz w:val="32"/>
          <w:szCs w:val="32"/>
        </w:rPr>
        <w:t>，导致工资、保险增加</w:t>
      </w:r>
      <w:r>
        <w:rPr>
          <w:rFonts w:eastAsia="仿宋_GB2312" w:cs="仿宋_GB2312" w:hint="eastAsia"/>
          <w:sz w:val="32"/>
          <w:szCs w:val="32"/>
        </w:rPr>
        <w:t>；</w:t>
      </w:r>
      <w:r>
        <w:rPr>
          <w:rFonts w:eastAsia="仿宋_GB2312" w:cs="仿宋_GB2312" w:hint="eastAsia"/>
          <w:b/>
          <w:sz w:val="32"/>
          <w:szCs w:val="32"/>
        </w:rPr>
        <w:t>二是</w:t>
      </w:r>
      <w:r>
        <w:rPr>
          <w:rFonts w:eastAsia="仿宋_GB2312" w:cs="仿宋_GB2312"/>
          <w:sz w:val="32"/>
          <w:szCs w:val="32"/>
        </w:rPr>
        <w:t>阿坝州WW力量联合训练基地建设用地相关保障费用</w:t>
      </w:r>
      <w:r>
        <w:rPr>
          <w:rFonts w:eastAsia="仿宋_GB2312" w:cs="仿宋_GB2312" w:hint="eastAsia"/>
          <w:sz w:val="32"/>
          <w:szCs w:val="32"/>
        </w:rPr>
        <w:t>下达1</w:t>
      </w:r>
      <w:r>
        <w:rPr>
          <w:rFonts w:eastAsia="仿宋_GB2312" w:cs="仿宋_GB2312"/>
          <w:sz w:val="32"/>
          <w:szCs w:val="32"/>
        </w:rPr>
        <w:t>,</w:t>
      </w:r>
      <w:r>
        <w:rPr>
          <w:rFonts w:eastAsia="仿宋_GB2312" w:cs="仿宋_GB2312" w:hint="eastAsia"/>
          <w:sz w:val="32"/>
          <w:szCs w:val="32"/>
        </w:rPr>
        <w:t>067.11万元</w:t>
      </w:r>
      <w:r>
        <w:rPr>
          <w:rFonts w:eastAsia="仿宋_GB2312" w:cs="仿宋_GB2312"/>
          <w:sz w:val="32"/>
          <w:szCs w:val="32"/>
        </w:rPr>
        <w:t>，</w:t>
      </w:r>
      <w:r>
        <w:rPr>
          <w:rFonts w:eastAsia="仿宋_GB2312" w:cs="仿宋_GB2312" w:hint="eastAsia"/>
          <w:sz w:val="32"/>
          <w:szCs w:val="32"/>
        </w:rPr>
        <w:t>用于</w:t>
      </w:r>
      <w:r>
        <w:rPr>
          <w:rFonts w:eastAsia="仿宋_GB2312" w:cs="仿宋_GB2312"/>
          <w:sz w:val="32"/>
          <w:szCs w:val="32"/>
        </w:rPr>
        <w:t>违法用地占地罚没款</w:t>
      </w:r>
      <w:r>
        <w:rPr>
          <w:rFonts w:eastAsia="仿宋_GB2312" w:cs="仿宋_GB2312" w:hint="eastAsia"/>
          <w:sz w:val="32"/>
          <w:szCs w:val="32"/>
        </w:rPr>
        <w:t>、</w:t>
      </w:r>
      <w:r>
        <w:rPr>
          <w:rFonts w:eastAsia="仿宋_GB2312" w:cs="仿宋_GB2312"/>
          <w:sz w:val="32"/>
          <w:szCs w:val="32"/>
        </w:rPr>
        <w:t>社保预存费</w:t>
      </w:r>
      <w:r>
        <w:rPr>
          <w:rFonts w:eastAsia="仿宋_GB2312" w:cs="仿宋_GB2312" w:hint="eastAsia"/>
          <w:sz w:val="32"/>
          <w:szCs w:val="32"/>
        </w:rPr>
        <w:t>，</w:t>
      </w:r>
      <w:r>
        <w:rPr>
          <w:rFonts w:eastAsia="仿宋_GB2312" w:cs="仿宋_GB2312"/>
          <w:sz w:val="32"/>
          <w:szCs w:val="32"/>
        </w:rPr>
        <w:t>导致</w:t>
      </w:r>
      <w:r>
        <w:rPr>
          <w:rFonts w:eastAsia="仿宋_GB2312" w:cs="仿宋_GB2312" w:hint="eastAsia"/>
          <w:sz w:val="32"/>
          <w:szCs w:val="32"/>
        </w:rPr>
        <w:t>商品</w:t>
      </w:r>
      <w:r>
        <w:rPr>
          <w:rFonts w:eastAsia="仿宋_GB2312" w:cs="仿宋_GB2312"/>
          <w:sz w:val="32"/>
          <w:szCs w:val="32"/>
        </w:rPr>
        <w:t>和服务支出增加。</w:t>
      </w:r>
      <w:r>
        <w:rPr>
          <w:rFonts w:eastAsia="仿宋_GB2312" w:cs="仿宋_GB2312" w:hint="eastAsia"/>
          <w:b/>
          <w:sz w:val="32"/>
          <w:szCs w:val="32"/>
        </w:rPr>
        <w:t>三是</w:t>
      </w:r>
      <w:r>
        <w:rPr>
          <w:rFonts w:eastAsia="仿宋_GB2312" w:cs="仿宋_GB2312" w:hint="eastAsia"/>
          <w:sz w:val="32"/>
          <w:szCs w:val="32"/>
        </w:rPr>
        <w:t>Z</w:t>
      </w:r>
      <w:r>
        <w:rPr>
          <w:rFonts w:eastAsia="仿宋_GB2312" w:cs="仿宋_GB2312"/>
          <w:sz w:val="32"/>
          <w:szCs w:val="32"/>
        </w:rPr>
        <w:t>Y支付资金增加</w:t>
      </w:r>
      <w:r>
        <w:rPr>
          <w:rFonts w:eastAsia="仿宋_GB2312" w:cs="仿宋_GB2312" w:hint="eastAsia"/>
          <w:sz w:val="32"/>
          <w:szCs w:val="32"/>
        </w:rPr>
        <w:t>，</w:t>
      </w:r>
      <w:r>
        <w:rPr>
          <w:rFonts w:eastAsia="仿宋_GB2312" w:cs="仿宋_GB2312"/>
          <w:sz w:val="32"/>
          <w:szCs w:val="32"/>
        </w:rPr>
        <w:t>导致项目资金增加。</w:t>
      </w:r>
    </w:p>
    <w:p>
      <w:pPr>
        <w:pStyle w:val="15"/>
      </w:pPr>
      <w:r>
        <w:drawing>
          <wp:anchor distT="0" distB="0" distL="114300" distR="114300" simplePos="0" relativeHeight="30" behindDoc="0" locked="0" layoutInCell="1" hidden="0" allowOverlap="1">
            <wp:simplePos x="0" y="0"/>
            <wp:positionH relativeFrom="column">
              <wp:posOffset>3810</wp:posOffset>
            </wp:positionH>
            <wp:positionV relativeFrom="paragraph">
              <wp:posOffset>3175</wp:posOffset>
            </wp:positionV>
            <wp:extent cx="5274310" cy="3076575"/>
            <wp:effectExtent l="0" t="0" r="0" b="0"/>
            <wp:wrapNone/>
            <wp:docPr id="10" name="图表 4"/>
            <wp:cNvGraphicFramePr>
              <a:graphicFrameLocks noChangeAspect="0"/>
            </wp:cNvGraphicFramePr>
            <a:graphic>
              <a:graphicData uri="http://schemas.openxmlformats.org/drawingml/2006/chart">
                <c:chart xmlns:c="http://schemas.openxmlformats.org/drawingml/2006/chart" r:id="rId13"/>
              </a:graphicData>
            </a:graphic>
          </wp:anchor>
        </w:drawing>
      </w: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pStyle w:val="17"/>
        <w:rPr>
          <w:rFonts w:hint="eastAsia"/>
        </w:rPr>
      </w:pPr>
    </w:p>
    <w:p>
      <w:pPr>
        <w:pStyle w:val="17"/>
        <w:rPr>
          <w:rFonts w:hint="eastAsia"/>
        </w:rPr>
      </w:pPr>
    </w:p>
    <w:p>
      <w:pPr>
        <w:spacing w:line="576" w:lineRule="exact"/>
        <w:ind w:firstLineChars="200" w:firstLine="640"/>
        <w:rPr>
          <w:rFonts w:eastAsia="仿宋_GB2312" w:cs="仿宋_GB2312"/>
          <w:sz w:val="32"/>
          <w:szCs w:val="32"/>
        </w:rPr>
      </w:pPr>
      <w:r>
        <w:rPr>
          <w:rFonts w:eastAsia="仿宋_GB2312" w:cs="仿宋_GB2312" w:hint="eastAsia"/>
          <w:sz w:val="32"/>
          <w:szCs w:val="32"/>
        </w:rPr>
        <w:t>（图4：财政拨款收、支决算总计变动情况）（柱状图）</w:t>
      </w:r>
    </w:p>
    <w:p>
      <w:pPr>
        <w:spacing w:line="576" w:lineRule="exact"/>
        <w:ind w:firstLineChars="200" w:firstLine="640"/>
        <w:outlineLvl w:val="1"/>
        <w:rPr>
          <w:rStyle w:val="2Char"/>
          <w:rFonts w:ascii="Times New Roman" w:eastAsia="黑体" w:hAnsi="Times New Roman"/>
          <w:b w:val="0"/>
        </w:rPr>
      </w:pPr>
      <w:bookmarkStart w:id="18" w:name="_Toc15377209"/>
      <w:bookmarkStart w:id="19" w:name="_Toc15396607"/>
      <w:r>
        <w:rPr>
          <w:rFonts w:eastAsia="黑体" w:hint="eastAsia"/>
          <w:sz w:val="32"/>
          <w:szCs w:val="32"/>
        </w:rPr>
        <w:t>五、</w:t>
      </w:r>
      <w:r>
        <w:rPr>
          <w:rFonts w:eastAsia="黑体" w:hint="eastAsia"/>
          <w:b/>
          <w:sz w:val="32"/>
          <w:szCs w:val="32"/>
        </w:rPr>
        <w:t>一</w:t>
      </w:r>
      <w:r>
        <w:rPr>
          <w:rStyle w:val="2Char"/>
          <w:rFonts w:ascii="Times New Roman" w:eastAsia="黑体" w:hAnsi="Times New Roman" w:hint="eastAsia"/>
          <w:b w:val="0"/>
        </w:rPr>
        <w:t>般公共预算财政拨款支出决算情况说明</w:t>
      </w:r>
      <w:bookmarkEnd w:id="18"/>
      <w:bookmarkEnd w:id="19"/>
    </w:p>
    <w:p>
      <w:pPr>
        <w:spacing w:line="576" w:lineRule="exact"/>
        <w:ind w:firstLineChars="200" w:firstLine="640"/>
        <w:outlineLvl w:val="2"/>
        <w:rPr>
          <w:rFonts w:eastAsia="楷体_GB2312" w:cs="楷体_GB2312"/>
          <w:b/>
          <w:sz w:val="32"/>
          <w:szCs w:val="32"/>
        </w:rPr>
      </w:pPr>
      <w:bookmarkStart w:id="20" w:name="_Toc15377210"/>
      <w:r>
        <w:rPr>
          <w:rFonts w:eastAsia="楷体_GB2312" w:cs="楷体_GB2312" w:hint="eastAsia"/>
          <w:b/>
          <w:sz w:val="32"/>
          <w:szCs w:val="32"/>
        </w:rPr>
        <w:t>（一）一般公共预算财政拨款支出决算总体情况</w:t>
      </w:r>
      <w:bookmarkEnd w:id="20"/>
    </w:p>
    <w:p>
      <w:pPr>
        <w:spacing w:line="576" w:lineRule="exact"/>
        <w:ind w:firstLine="640"/>
        <w:rPr>
          <w:rFonts w:eastAsia="仿宋_GB2312" w:cs="仿宋_GB2312"/>
          <w:sz w:val="32"/>
          <w:szCs w:val="32"/>
        </w:rPr>
      </w:pPr>
      <w:r>
        <w:rPr>
          <w:rFonts w:ascii="仿宋_GB2312" w:eastAsia="仿宋_GB2312" w:cs="仿宋_GB2312" w:hint="eastAsia"/>
          <w:sz w:val="32"/>
          <w:szCs w:val="32"/>
        </w:rPr>
        <w:t>2024年度一般公共预算财政拨款支出33</w:t>
      </w:r>
      <w:r>
        <w:rPr>
          <w:rFonts w:ascii="仿宋_GB2312" w:eastAsia="仿宋_GB2312" w:cs="仿宋_GB2312"/>
          <w:sz w:val="32"/>
          <w:szCs w:val="32"/>
        </w:rPr>
        <w:t>,</w:t>
      </w:r>
      <w:r>
        <w:rPr>
          <w:rFonts w:ascii="仿宋_GB2312" w:eastAsia="仿宋_GB2312" w:cs="仿宋_GB2312" w:hint="eastAsia"/>
          <w:sz w:val="32"/>
          <w:szCs w:val="32"/>
        </w:rPr>
        <w:t>256.31万元，占本年支出合计的99.97%。与2023年度相比，一般公共预算财政拨款支出增加</w:t>
      </w:r>
      <w:r>
        <w:rPr>
          <w:rFonts w:eastAsia="仿宋_GB2312" w:cs="仿宋_GB2312"/>
          <w:sz w:val="32"/>
          <w:szCs w:val="32"/>
        </w:rPr>
        <w:t>2,316.68</w:t>
      </w:r>
      <w:r>
        <w:rPr>
          <w:rFonts w:ascii="仿宋_GB2312" w:eastAsia="仿宋_GB2312" w:cs="仿宋_GB2312" w:hint="eastAsia"/>
          <w:sz w:val="32"/>
          <w:szCs w:val="32"/>
        </w:rPr>
        <w:t>万元，增长</w:t>
      </w:r>
      <w:r>
        <w:rPr>
          <w:rFonts w:eastAsia="仿宋_GB2312" w:cs="仿宋_GB2312"/>
          <w:sz w:val="32"/>
          <w:szCs w:val="32"/>
        </w:rPr>
        <w:t>7.48</w:t>
      </w:r>
      <w:r>
        <w:rPr>
          <w:rFonts w:eastAsia="仿宋_GB2312" w:cs="仿宋_GB2312" w:hint="eastAsia"/>
          <w:sz w:val="32"/>
          <w:szCs w:val="32"/>
        </w:rPr>
        <w:t>%</w:t>
      </w:r>
      <w:r>
        <w:rPr>
          <w:rFonts w:ascii="仿宋_GB2312" w:eastAsia="仿宋_GB2312" w:cs="仿宋_GB2312" w:hint="eastAsia"/>
          <w:sz w:val="32"/>
          <w:szCs w:val="32"/>
        </w:rPr>
        <w:t>。主要变动原因：</w:t>
      </w:r>
      <w:r>
        <w:rPr>
          <w:rFonts w:eastAsia="仿宋_GB2312" w:cs="仿宋_GB2312" w:hint="eastAsia"/>
          <w:b/>
          <w:sz w:val="32"/>
          <w:szCs w:val="32"/>
        </w:rPr>
        <w:t>一是</w:t>
      </w:r>
      <w:r>
        <w:rPr>
          <w:rFonts w:eastAsia="仿宋_GB2312" w:cs="仿宋_GB2312"/>
          <w:sz w:val="32"/>
          <w:szCs w:val="32"/>
        </w:rPr>
        <w:t>人员</w:t>
      </w:r>
      <w:r>
        <w:rPr>
          <w:rFonts w:eastAsia="仿宋_GB2312" w:cs="仿宋_GB2312" w:hint="eastAsia"/>
          <w:sz w:val="32"/>
          <w:szCs w:val="32"/>
        </w:rPr>
        <w:t>职级调整</w:t>
      </w:r>
      <w:r>
        <w:rPr>
          <w:rFonts w:eastAsia="仿宋_GB2312" w:cs="仿宋_GB2312"/>
          <w:sz w:val="32"/>
          <w:szCs w:val="32"/>
        </w:rPr>
        <w:t>，导致工资、保险增加</w:t>
      </w:r>
      <w:r>
        <w:rPr>
          <w:rFonts w:eastAsia="仿宋_GB2312" w:cs="仿宋_GB2312" w:hint="eastAsia"/>
          <w:sz w:val="32"/>
          <w:szCs w:val="32"/>
        </w:rPr>
        <w:t>；</w:t>
      </w:r>
      <w:r>
        <w:rPr>
          <w:rFonts w:eastAsia="仿宋_GB2312" w:cs="仿宋_GB2312" w:hint="eastAsia"/>
          <w:b/>
          <w:sz w:val="32"/>
          <w:szCs w:val="32"/>
        </w:rPr>
        <w:t>二是</w:t>
      </w:r>
      <w:r>
        <w:rPr>
          <w:rFonts w:eastAsia="仿宋_GB2312" w:cs="仿宋_GB2312"/>
          <w:sz w:val="32"/>
          <w:szCs w:val="32"/>
        </w:rPr>
        <w:t>阿坝州WW力量联合训练基地建设用地相关保障费用</w:t>
      </w:r>
      <w:r>
        <w:rPr>
          <w:rFonts w:eastAsia="仿宋_GB2312" w:cs="仿宋_GB2312" w:hint="eastAsia"/>
          <w:sz w:val="32"/>
          <w:szCs w:val="32"/>
        </w:rPr>
        <w:t>下达1</w:t>
      </w:r>
      <w:r>
        <w:rPr>
          <w:rFonts w:eastAsia="仿宋_GB2312" w:cs="仿宋_GB2312"/>
          <w:sz w:val="32"/>
          <w:szCs w:val="32"/>
        </w:rPr>
        <w:t>,</w:t>
      </w:r>
      <w:r>
        <w:rPr>
          <w:rFonts w:eastAsia="仿宋_GB2312" w:cs="仿宋_GB2312" w:hint="eastAsia"/>
          <w:sz w:val="32"/>
          <w:szCs w:val="32"/>
        </w:rPr>
        <w:t>067.11万元</w:t>
      </w:r>
      <w:r>
        <w:rPr>
          <w:rFonts w:eastAsia="仿宋_GB2312" w:cs="仿宋_GB2312"/>
          <w:sz w:val="32"/>
          <w:szCs w:val="32"/>
        </w:rPr>
        <w:t>，</w:t>
      </w:r>
      <w:r>
        <w:rPr>
          <w:rFonts w:eastAsia="仿宋_GB2312" w:cs="仿宋_GB2312" w:hint="eastAsia"/>
          <w:sz w:val="32"/>
          <w:szCs w:val="32"/>
        </w:rPr>
        <w:t>用于</w:t>
      </w:r>
      <w:r>
        <w:rPr>
          <w:rFonts w:eastAsia="仿宋_GB2312" w:cs="仿宋_GB2312"/>
          <w:sz w:val="32"/>
          <w:szCs w:val="32"/>
        </w:rPr>
        <w:t>违法用地占地罚没款</w:t>
      </w:r>
      <w:r>
        <w:rPr>
          <w:rFonts w:eastAsia="仿宋_GB2312" w:cs="仿宋_GB2312" w:hint="eastAsia"/>
          <w:sz w:val="32"/>
          <w:szCs w:val="32"/>
        </w:rPr>
        <w:t>、</w:t>
      </w:r>
      <w:r>
        <w:rPr>
          <w:rFonts w:eastAsia="仿宋_GB2312" w:cs="仿宋_GB2312"/>
          <w:sz w:val="32"/>
          <w:szCs w:val="32"/>
        </w:rPr>
        <w:t>社保预存费</w:t>
      </w:r>
      <w:r>
        <w:rPr>
          <w:rFonts w:eastAsia="仿宋_GB2312" w:cs="仿宋_GB2312" w:hint="eastAsia"/>
          <w:sz w:val="32"/>
          <w:szCs w:val="32"/>
        </w:rPr>
        <w:t>，</w:t>
      </w:r>
      <w:r>
        <w:rPr>
          <w:rFonts w:eastAsia="仿宋_GB2312" w:cs="仿宋_GB2312"/>
          <w:sz w:val="32"/>
          <w:szCs w:val="32"/>
        </w:rPr>
        <w:t>导致</w:t>
      </w:r>
      <w:r>
        <w:rPr>
          <w:rFonts w:eastAsia="仿宋_GB2312" w:cs="仿宋_GB2312" w:hint="eastAsia"/>
          <w:sz w:val="32"/>
          <w:szCs w:val="32"/>
        </w:rPr>
        <w:t>商品</w:t>
      </w:r>
      <w:r>
        <w:rPr>
          <w:rFonts w:eastAsia="仿宋_GB2312" w:cs="仿宋_GB2312"/>
          <w:sz w:val="32"/>
          <w:szCs w:val="32"/>
        </w:rPr>
        <w:t>和服务支出增加。</w:t>
      </w:r>
      <w:r>
        <w:rPr>
          <w:rFonts w:eastAsia="仿宋_GB2312" w:cs="仿宋_GB2312" w:hint="eastAsia"/>
          <w:b/>
          <w:sz w:val="32"/>
          <w:szCs w:val="32"/>
        </w:rPr>
        <w:t>三是</w:t>
      </w:r>
      <w:r>
        <w:rPr>
          <w:rFonts w:eastAsia="仿宋_GB2312" w:cs="仿宋_GB2312" w:hint="eastAsia"/>
          <w:sz w:val="32"/>
          <w:szCs w:val="32"/>
        </w:rPr>
        <w:t>Z</w:t>
      </w:r>
      <w:r>
        <w:rPr>
          <w:rFonts w:eastAsia="仿宋_GB2312" w:cs="仿宋_GB2312"/>
          <w:sz w:val="32"/>
          <w:szCs w:val="32"/>
        </w:rPr>
        <w:t>Y支付资金增加</w:t>
      </w:r>
      <w:r>
        <w:rPr>
          <w:rFonts w:eastAsia="仿宋_GB2312" w:cs="仿宋_GB2312" w:hint="eastAsia"/>
          <w:sz w:val="32"/>
          <w:szCs w:val="32"/>
        </w:rPr>
        <w:t>，</w:t>
      </w:r>
      <w:r>
        <w:rPr>
          <w:rFonts w:eastAsia="仿宋_GB2312" w:cs="仿宋_GB2312"/>
          <w:sz w:val="32"/>
          <w:szCs w:val="32"/>
        </w:rPr>
        <w:t>导致项目资金增加。</w:t>
      </w:r>
    </w:p>
    <w:p>
      <w:pPr>
        <w:pStyle w:val="15"/>
        <w:rPr>
          <w:rFonts w:hint="eastAsia"/>
        </w:rPr>
      </w:pPr>
    </w:p>
    <w:p>
      <w:pPr>
        <w:pStyle w:val="15"/>
      </w:pPr>
      <w:r>
        <w:drawing>
          <wp:inline distT="0" distB="0" distL="0" distR="0">
            <wp:extent cx="5274310" cy="3076575"/>
            <wp:effectExtent l="0" t="0" r="0" b="0"/>
            <wp:docPr id="11" name="图表 5"/>
            <wp:cNvGraphicFramePr>
              <a:graphicFrameLocks noChangeAspect="0"/>
            </wp:cNvGraphicFramePr>
            <a:graphic>
              <a:graphicData uri="http://schemas.openxmlformats.org/drawingml/2006/chart">
                <c:chart xmlns:c="http://schemas.openxmlformats.org/drawingml/2006/chart" r:id="rId14"/>
              </a:graphicData>
            </a:graphic>
          </wp:inline>
        </w:drawing>
      </w:r>
    </w:p>
    <w:p>
      <w:pPr>
        <w:spacing w:line="576" w:lineRule="exact"/>
        <w:rPr>
          <w:rFonts w:eastAsia="仿宋_GB2312" w:cs="仿宋_GB2312"/>
          <w:sz w:val="32"/>
          <w:szCs w:val="32"/>
        </w:rPr>
      </w:pPr>
      <w:r>
        <w:rPr>
          <w:rFonts w:eastAsia="仿宋_GB2312" w:cs="仿宋_GB2312" w:hint="eastAsia"/>
          <w:sz w:val="32"/>
          <w:szCs w:val="32"/>
        </w:rPr>
        <w:t>（图5：一般公共预算财政拨款支出决算变动情况）（柱状图）</w:t>
      </w:r>
    </w:p>
    <w:p>
      <w:pPr>
        <w:pStyle w:val="15"/>
        <w:rPr>
          <w:rFonts w:hint="eastAsia"/>
        </w:rPr>
      </w:pPr>
    </w:p>
    <w:p>
      <w:pPr>
        <w:spacing w:line="576" w:lineRule="exact"/>
        <w:ind w:firstLineChars="200" w:firstLine="640"/>
        <w:outlineLvl w:val="2"/>
        <w:rPr>
          <w:rFonts w:eastAsia="楷体_GB2312" w:cs="楷体_GB2312"/>
          <w:b/>
          <w:sz w:val="32"/>
          <w:szCs w:val="32"/>
        </w:rPr>
      </w:pPr>
      <w:bookmarkStart w:id="21" w:name="_Toc15377211"/>
      <w:r>
        <w:rPr>
          <w:rFonts w:eastAsia="楷体_GB2312" w:cs="楷体_GB2312" w:hint="eastAsia"/>
          <w:b/>
          <w:sz w:val="32"/>
          <w:szCs w:val="32"/>
        </w:rPr>
        <w:t>（二）一般公共预算财政拨款支出决算结构情况</w:t>
      </w:r>
      <w:bookmarkEnd w:id="21"/>
    </w:p>
    <w:p>
      <w:pPr>
        <w:spacing w:line="600" w:lineRule="exact"/>
        <w:ind w:firstLine="640"/>
        <w:rPr>
          <w:rFonts w:eastAsia="仿宋_GB2312" w:cs="仿宋_GB2312"/>
          <w:sz w:val="32"/>
          <w:szCs w:val="32"/>
        </w:rPr>
      </w:pPr>
      <w:r>
        <w:rPr>
          <w:rFonts w:eastAsia="仿宋_GB2312" w:cs="仿宋_GB2312" w:hint="eastAsia"/>
          <w:sz w:val="32"/>
          <w:szCs w:val="32"/>
        </w:rPr>
        <w:t>2024年度一般公共预算财政拨款支出</w:t>
      </w:r>
      <w:r>
        <w:rPr>
          <w:rFonts w:ascii="仿宋_GB2312" w:eastAsia="仿宋_GB2312" w:cs="仿宋_GB2312" w:hint="eastAsia"/>
          <w:sz w:val="32"/>
          <w:szCs w:val="32"/>
        </w:rPr>
        <w:t>33</w:t>
      </w:r>
      <w:r>
        <w:rPr>
          <w:rFonts w:ascii="仿宋_GB2312" w:eastAsia="仿宋_GB2312" w:cs="仿宋_GB2312"/>
          <w:sz w:val="32"/>
          <w:szCs w:val="32"/>
        </w:rPr>
        <w:t>,</w:t>
      </w:r>
      <w:r>
        <w:rPr>
          <w:rFonts w:ascii="仿宋_GB2312" w:eastAsia="仿宋_GB2312" w:cs="仿宋_GB2312" w:hint="eastAsia"/>
          <w:sz w:val="32"/>
          <w:szCs w:val="32"/>
        </w:rPr>
        <w:t>256.31万元</w:t>
      </w:r>
      <w:r>
        <w:rPr>
          <w:rFonts w:eastAsia="仿宋_GB2312" w:cs="仿宋_GB2312" w:hint="eastAsia"/>
          <w:sz w:val="32"/>
          <w:szCs w:val="32"/>
        </w:rPr>
        <w:t>，主要用于以下方面：公共安全支出2</w:t>
      </w:r>
      <w:r>
        <w:rPr>
          <w:rFonts w:eastAsia="仿宋_GB2312" w:cs="仿宋_GB2312"/>
          <w:sz w:val="32"/>
          <w:szCs w:val="32"/>
        </w:rPr>
        <w:t>8,248.68</w:t>
      </w:r>
      <w:r>
        <w:rPr>
          <w:rFonts w:eastAsia="仿宋_GB2312" w:cs="仿宋_GB2312" w:hint="eastAsia"/>
          <w:sz w:val="32"/>
          <w:szCs w:val="32"/>
        </w:rPr>
        <w:t>万元，</w:t>
      </w:r>
      <w:r>
        <w:rPr>
          <w:rFonts w:eastAsia="仿宋_GB2312" w:cs="仿宋_GB2312"/>
          <w:sz w:val="32"/>
          <w:szCs w:val="32"/>
        </w:rPr>
        <w:t>占84.94</w:t>
      </w:r>
      <w:r>
        <w:rPr>
          <w:rFonts w:eastAsia="仿宋_GB2312" w:cs="仿宋_GB2312" w:hint="eastAsia"/>
          <w:sz w:val="32"/>
          <w:szCs w:val="32"/>
        </w:rPr>
        <w:t>%；社会保障和就业支出</w:t>
      </w:r>
      <w:r>
        <w:rPr>
          <w:rFonts w:eastAsia="仿宋_GB2312" w:cs="仿宋_GB2312"/>
          <w:sz w:val="32"/>
          <w:szCs w:val="32"/>
        </w:rPr>
        <w:t>2,454.63</w:t>
      </w:r>
      <w:r>
        <w:rPr>
          <w:rFonts w:eastAsia="仿宋_GB2312" w:cs="仿宋_GB2312" w:hint="eastAsia"/>
          <w:sz w:val="32"/>
          <w:szCs w:val="32"/>
        </w:rPr>
        <w:t>万元，占</w:t>
      </w:r>
      <w:r>
        <w:rPr>
          <w:rFonts w:eastAsia="仿宋_GB2312" w:cs="仿宋_GB2312"/>
          <w:sz w:val="32"/>
          <w:szCs w:val="32"/>
        </w:rPr>
        <w:t>7.38</w:t>
      </w:r>
      <w:r>
        <w:rPr>
          <w:rFonts w:eastAsia="仿宋_GB2312" w:cs="仿宋_GB2312" w:hint="eastAsia"/>
          <w:sz w:val="32"/>
          <w:szCs w:val="32"/>
        </w:rPr>
        <w:t>%；卫生健康支出</w:t>
      </w:r>
      <w:r>
        <w:rPr>
          <w:rFonts w:eastAsia="仿宋_GB2312" w:cs="仿宋_GB2312"/>
          <w:sz w:val="32"/>
          <w:szCs w:val="32"/>
        </w:rPr>
        <w:t>1,077.04</w:t>
      </w:r>
      <w:r>
        <w:rPr>
          <w:rFonts w:eastAsia="仿宋_GB2312" w:cs="仿宋_GB2312" w:hint="eastAsia"/>
          <w:sz w:val="32"/>
          <w:szCs w:val="32"/>
        </w:rPr>
        <w:t>万元，占</w:t>
      </w:r>
      <w:r>
        <w:rPr>
          <w:rFonts w:eastAsia="仿宋_GB2312" w:cs="仿宋_GB2312"/>
          <w:sz w:val="32"/>
          <w:szCs w:val="32"/>
        </w:rPr>
        <w:t>3.24</w:t>
      </w:r>
      <w:r>
        <w:rPr>
          <w:rFonts w:eastAsia="仿宋_GB2312" w:cs="仿宋_GB2312" w:hint="eastAsia"/>
          <w:sz w:val="32"/>
          <w:szCs w:val="32"/>
        </w:rPr>
        <w:t>%；住房保障支出</w:t>
      </w:r>
      <w:r>
        <w:rPr>
          <w:rFonts w:eastAsia="仿宋_GB2312" w:cs="仿宋_GB2312"/>
          <w:sz w:val="32"/>
          <w:szCs w:val="32"/>
        </w:rPr>
        <w:t>1,475.95</w:t>
      </w:r>
      <w:r>
        <w:rPr>
          <w:rFonts w:eastAsia="仿宋_GB2312" w:cs="仿宋_GB2312" w:hint="eastAsia"/>
          <w:sz w:val="32"/>
          <w:szCs w:val="32"/>
        </w:rPr>
        <w:t>万元，占</w:t>
      </w:r>
      <w:r>
        <w:rPr>
          <w:rFonts w:eastAsia="仿宋_GB2312" w:cs="仿宋_GB2312"/>
          <w:sz w:val="32"/>
          <w:szCs w:val="32"/>
        </w:rPr>
        <w:t>4.43</w:t>
      </w:r>
      <w:r>
        <w:rPr>
          <w:rFonts w:eastAsia="仿宋_GB2312" w:cs="仿宋_GB2312" w:hint="eastAsia"/>
          <w:sz w:val="32"/>
          <w:szCs w:val="32"/>
        </w:rPr>
        <w:t>%。</w:t>
      </w:r>
    </w:p>
    <w:p>
      <w:pPr>
        <w:spacing w:line="576" w:lineRule="exact"/>
        <w:ind w:firstLine="640"/>
        <w:rPr>
          <w:rFonts w:eastAsia="仿宋_GB2312" w:cs="仿宋_GB2312"/>
          <w:b/>
          <w:bCs/>
          <w:sz w:val="32"/>
          <w:szCs w:val="32"/>
        </w:rPr>
      </w:pPr>
    </w:p>
    <w:p>
      <w:pPr>
        <w:pStyle w:val="15"/>
      </w:pPr>
    </w:p>
    <w:p>
      <w:pPr>
        <w:pStyle w:val="17"/>
      </w:pPr>
    </w:p>
    <w:p>
      <w:pPr>
        <w:pStyle w:val="17"/>
      </w:pPr>
    </w:p>
    <w:p>
      <w:pPr>
        <w:pStyle w:val="17"/>
      </w:pPr>
      <w:r>
        <w:drawing>
          <wp:anchor distT="0" distB="0" distL="114300" distR="114300" simplePos="0" relativeHeight="28" behindDoc="0" locked="0" layoutInCell="1" hidden="0" allowOverlap="1">
            <wp:simplePos x="0" y="0"/>
            <wp:positionH relativeFrom="column">
              <wp:posOffset>-12700</wp:posOffset>
            </wp:positionH>
            <wp:positionV relativeFrom="paragraph">
              <wp:posOffset>173355</wp:posOffset>
            </wp:positionV>
            <wp:extent cx="5274310" cy="3076575"/>
            <wp:effectExtent l="0" t="0" r="0" b="0"/>
            <wp:wrapNone/>
            <wp:docPr id="12" name="图表 6"/>
            <wp:cNvGraphicFramePr>
              <a:graphicFrameLocks noChangeAspect="0"/>
            </wp:cNvGraphicFramePr>
            <a:graphic>
              <a:graphicData uri="http://schemas.openxmlformats.org/drawingml/2006/chart">
                <c:chart xmlns:c="http://schemas.openxmlformats.org/drawingml/2006/chart" r:id="rId15"/>
              </a:graphicData>
            </a:graphic>
          </wp:anchor>
        </w:drawing>
      </w:r>
    </w:p>
    <w:p>
      <w:pPr>
        <w:pStyle w:val="17"/>
      </w:pPr>
    </w:p>
    <w:p>
      <w:pPr>
        <w:pStyle w:val="17"/>
      </w:pPr>
    </w:p>
    <w:p>
      <w:pPr>
        <w:pStyle w:val="17"/>
      </w:pPr>
    </w:p>
    <w:p>
      <w:pPr>
        <w:pStyle w:val="17"/>
      </w:pPr>
    </w:p>
    <w:p>
      <w:pPr>
        <w:pStyle w:val="17"/>
      </w:pPr>
    </w:p>
    <w:p>
      <w:pPr>
        <w:pStyle w:val="17"/>
      </w:pPr>
    </w:p>
    <w:p>
      <w:pPr>
        <w:pStyle w:val="17"/>
      </w:pPr>
    </w:p>
    <w:p>
      <w:pPr>
        <w:pStyle w:val="17"/>
      </w:pPr>
    </w:p>
    <w:p>
      <w:pPr>
        <w:pStyle w:val="17"/>
      </w:pPr>
    </w:p>
    <w:p>
      <w:pPr>
        <w:spacing w:line="576" w:lineRule="exact"/>
        <w:ind w:firstLine="640"/>
        <w:rPr>
          <w:rFonts w:eastAsia="仿宋_GB2312" w:cs="仿宋_GB2312"/>
          <w:sz w:val="32"/>
          <w:szCs w:val="32"/>
        </w:rPr>
      </w:pPr>
      <w:r>
        <w:rPr>
          <w:rFonts w:eastAsia="仿宋_GB2312" w:cs="仿宋_GB2312" w:hint="eastAsia"/>
          <w:sz w:val="32"/>
          <w:szCs w:val="32"/>
        </w:rPr>
        <w:t>（图6：一般公共预算财政拨款支出决算结构）（饼状图）</w:t>
      </w:r>
    </w:p>
    <w:p>
      <w:pPr>
        <w:spacing w:line="576" w:lineRule="exact"/>
        <w:ind w:firstLine="640"/>
        <w:rPr>
          <w:rFonts w:eastAsia="仿宋_GB2312" w:cs="仿宋_GB2312"/>
          <w:sz w:val="32"/>
          <w:szCs w:val="32"/>
        </w:rPr>
      </w:pPr>
    </w:p>
    <w:p>
      <w:pPr>
        <w:spacing w:line="576" w:lineRule="exact"/>
        <w:ind w:firstLineChars="200" w:firstLine="640"/>
        <w:outlineLvl w:val="2"/>
        <w:rPr>
          <w:rFonts w:eastAsia="楷体_GB2312" w:cs="楷体_GB2312"/>
          <w:b/>
          <w:sz w:val="32"/>
          <w:szCs w:val="32"/>
        </w:rPr>
      </w:pPr>
      <w:bookmarkStart w:id="22" w:name="_Toc15377212"/>
      <w:r>
        <w:rPr>
          <w:rFonts w:eastAsia="楷体_GB2312" w:cs="楷体_GB2312" w:hint="eastAsia"/>
          <w:b/>
          <w:sz w:val="32"/>
          <w:szCs w:val="32"/>
        </w:rPr>
        <w:t>（三）一般公共预算财政拨款支出决算具体情况</w:t>
      </w:r>
      <w:bookmarkEnd w:id="22"/>
    </w:p>
    <w:p>
      <w:pPr>
        <w:spacing w:line="576" w:lineRule="exact"/>
        <w:ind w:firstLine="640"/>
        <w:rPr>
          <w:rFonts w:eastAsia="仿宋_GB2312" w:cs="仿宋_GB2312"/>
          <w:sz w:val="32"/>
          <w:szCs w:val="32"/>
        </w:rPr>
      </w:pPr>
      <w:bookmarkStart w:id="23" w:name="_Toc15377444"/>
      <w:bookmarkStart w:id="24" w:name="_Toc15378460"/>
      <w:bookmarkStart w:id="25" w:name="_Toc15377213"/>
      <w:r>
        <w:rPr>
          <w:rFonts w:eastAsia="仿宋_GB2312" w:cs="仿宋_GB2312" w:hint="eastAsia"/>
          <w:sz w:val="32"/>
          <w:szCs w:val="32"/>
        </w:rPr>
        <w:t>2024年度一般公共预算财政拨款支出决算数为</w:t>
      </w:r>
      <w:r>
        <w:rPr>
          <w:rFonts w:ascii="仿宋_GB2312" w:eastAsia="仿宋_GB2312" w:cs="仿宋_GB2312" w:hint="eastAsia"/>
          <w:sz w:val="32"/>
          <w:szCs w:val="32"/>
        </w:rPr>
        <w:t>33，256.31，</w:t>
      </w:r>
      <w:r>
        <w:rPr>
          <w:rFonts w:eastAsia="仿宋_GB2312" w:cs="仿宋_GB2312" w:hint="eastAsia"/>
          <w:sz w:val="32"/>
          <w:szCs w:val="32"/>
        </w:rPr>
        <w:t>完成预算</w:t>
      </w:r>
      <w:r>
        <w:rPr>
          <w:rFonts w:eastAsia="仿宋_GB2312" w:cs="仿宋_GB2312"/>
          <w:sz w:val="32"/>
          <w:szCs w:val="32"/>
        </w:rPr>
        <w:t>100</w:t>
      </w:r>
      <w:r>
        <w:rPr>
          <w:rFonts w:eastAsia="仿宋_GB2312" w:cs="仿宋_GB2312" w:hint="eastAsia"/>
          <w:sz w:val="32"/>
          <w:szCs w:val="32"/>
        </w:rPr>
        <w:t>%。其中：</w:t>
      </w:r>
      <w:bookmarkEnd w:id="23"/>
      <w:bookmarkEnd w:id="24"/>
      <w:bookmarkEnd w:id="25"/>
    </w:p>
    <w:p>
      <w:pPr>
        <w:spacing w:line="576" w:lineRule="exact"/>
        <w:ind w:firstLineChars="200" w:firstLine="640"/>
        <w:rPr>
          <w:rStyle w:val="25"/>
          <w:rFonts w:ascii="仿宋" w:eastAsia="仿宋"/>
          <w:b w:val="0"/>
          <w:bCs/>
          <w:sz w:val="32"/>
          <w:szCs w:val="32"/>
        </w:rPr>
      </w:pPr>
      <w:bookmarkStart w:id="26" w:name="_Toc15396608"/>
      <w:bookmarkStart w:id="27" w:name="_Toc15377214"/>
      <w:r>
        <w:rPr>
          <w:rFonts w:eastAsia="仿宋_GB2312" w:cs="仿宋_GB2312" w:hint="eastAsia"/>
          <w:sz w:val="32"/>
          <w:szCs w:val="32"/>
        </w:rPr>
        <w:t>1.</w:t>
      </w:r>
      <w:r>
        <w:rPr>
          <w:rStyle w:val="25"/>
          <w:rFonts w:ascii="仿宋" w:eastAsia="仿宋" w:hint="eastAsia"/>
          <w:bCs/>
          <w:sz w:val="32"/>
          <w:szCs w:val="32"/>
        </w:rPr>
        <w:t>公共安全（204）公安（02）行政运行（01）</w:t>
      </w:r>
      <w:r>
        <w:rPr>
          <w:rStyle w:val="25"/>
          <w:rFonts w:ascii="仿宋" w:eastAsia="仿宋"/>
          <w:bCs/>
          <w:sz w:val="32"/>
          <w:szCs w:val="32"/>
        </w:rPr>
        <w:t>:</w:t>
      </w:r>
      <w:r>
        <w:rPr>
          <w:rStyle w:val="25"/>
          <w:rFonts w:ascii="仿宋" w:eastAsia="仿宋"/>
          <w:b w:val="0"/>
          <w:bCs/>
          <w:sz w:val="32"/>
          <w:szCs w:val="32"/>
        </w:rPr>
        <w:t xml:space="preserve"> </w:t>
      </w:r>
      <w:r>
        <w:rPr>
          <w:rStyle w:val="25"/>
          <w:rFonts w:ascii="仿宋" w:eastAsia="仿宋" w:hint="eastAsia"/>
          <w:b w:val="0"/>
          <w:bCs/>
          <w:sz w:val="32"/>
          <w:szCs w:val="32"/>
        </w:rPr>
        <w:t>支出决算为</w:t>
      </w:r>
      <w:r>
        <w:rPr>
          <w:rFonts w:eastAsia="仿宋_GB2312" w:cs="仿宋_GB2312"/>
          <w:sz w:val="32"/>
          <w:szCs w:val="32"/>
        </w:rPr>
        <w:t>18,080.13</w:t>
      </w:r>
      <w:r>
        <w:rPr>
          <w:rStyle w:val="25"/>
          <w:rFonts w:ascii="仿宋" w:eastAsia="仿宋" w:hint="eastAsia"/>
          <w:b w:val="0"/>
          <w:bCs/>
          <w:sz w:val="32"/>
          <w:szCs w:val="32"/>
        </w:rPr>
        <w:t>万元，完成预算100</w:t>
      </w:r>
      <w:r>
        <w:rPr>
          <w:rStyle w:val="25"/>
          <w:rFonts w:ascii="仿宋" w:eastAsia="仿宋"/>
          <w:b w:val="0"/>
          <w:bCs/>
          <w:sz w:val="32"/>
          <w:szCs w:val="32"/>
        </w:rPr>
        <w:t>%</w:t>
      </w:r>
      <w:r>
        <w:rPr>
          <w:rStyle w:val="25"/>
          <w:rFonts w:ascii="仿宋" w:eastAsia="仿宋" w:hint="eastAsia"/>
          <w:b w:val="0"/>
          <w:bCs/>
          <w:sz w:val="32"/>
          <w:szCs w:val="32"/>
        </w:rPr>
        <w:t>，决算数等于预算数。</w:t>
      </w:r>
    </w:p>
    <w:p>
      <w:pPr>
        <w:spacing w:line="576" w:lineRule="exact"/>
        <w:ind w:firstLineChars="200" w:firstLine="640"/>
        <w:rPr>
          <w:rStyle w:val="25"/>
          <w:rFonts w:ascii="仿宋" w:eastAsia="仿宋"/>
          <w:b w:val="0"/>
          <w:bCs/>
          <w:sz w:val="32"/>
          <w:szCs w:val="32"/>
        </w:rPr>
      </w:pPr>
      <w:r>
        <w:rPr>
          <w:rStyle w:val="25"/>
          <w:rFonts w:ascii="仿宋" w:eastAsia="仿宋"/>
          <w:bCs/>
          <w:sz w:val="32"/>
          <w:szCs w:val="32"/>
        </w:rPr>
        <w:t>2</w:t>
      </w:r>
      <w:r>
        <w:rPr>
          <w:rStyle w:val="25"/>
          <w:rFonts w:ascii="仿宋" w:eastAsia="仿宋" w:hint="eastAsia"/>
          <w:bCs/>
          <w:sz w:val="32"/>
          <w:szCs w:val="32"/>
        </w:rPr>
        <w:t>.公共安全（204）公安（02）一般行政管理事务（02）</w:t>
      </w:r>
      <w:r>
        <w:rPr>
          <w:rStyle w:val="25"/>
          <w:rFonts w:ascii="仿宋" w:eastAsia="仿宋"/>
          <w:bCs/>
          <w:sz w:val="32"/>
          <w:szCs w:val="32"/>
        </w:rPr>
        <w:t>:</w:t>
      </w:r>
      <w:r>
        <w:rPr>
          <w:rStyle w:val="25"/>
          <w:rFonts w:ascii="仿宋" w:eastAsia="仿宋"/>
          <w:b w:val="0"/>
          <w:bCs/>
          <w:sz w:val="32"/>
          <w:szCs w:val="32"/>
        </w:rPr>
        <w:t xml:space="preserve"> </w:t>
      </w:r>
      <w:r>
        <w:rPr>
          <w:rStyle w:val="25"/>
          <w:rFonts w:ascii="仿宋" w:eastAsia="仿宋" w:hint="eastAsia"/>
          <w:b w:val="0"/>
          <w:bCs/>
          <w:sz w:val="32"/>
          <w:szCs w:val="32"/>
        </w:rPr>
        <w:t>支出决算为</w:t>
      </w:r>
      <w:r>
        <w:rPr>
          <w:rStyle w:val="25"/>
          <w:rFonts w:ascii="仿宋" w:eastAsia="仿宋"/>
          <w:b w:val="0"/>
          <w:bCs/>
          <w:sz w:val="32"/>
          <w:szCs w:val="32"/>
        </w:rPr>
        <w:t>9,945.53</w:t>
      </w:r>
      <w:r>
        <w:rPr>
          <w:rStyle w:val="25"/>
          <w:rFonts w:ascii="仿宋" w:eastAsia="仿宋" w:hint="eastAsia"/>
          <w:b w:val="0"/>
          <w:bCs/>
          <w:sz w:val="32"/>
          <w:szCs w:val="32"/>
        </w:rPr>
        <w:t>万元，完成预算100</w:t>
      </w:r>
      <w:r>
        <w:rPr>
          <w:rStyle w:val="25"/>
          <w:rFonts w:ascii="仿宋" w:eastAsia="仿宋"/>
          <w:b w:val="0"/>
          <w:bCs/>
          <w:sz w:val="32"/>
          <w:szCs w:val="32"/>
        </w:rPr>
        <w:t>%</w:t>
      </w:r>
      <w:r>
        <w:rPr>
          <w:rStyle w:val="25"/>
          <w:rFonts w:ascii="仿宋" w:eastAsia="仿宋" w:hint="eastAsia"/>
          <w:b w:val="0"/>
          <w:bCs/>
          <w:sz w:val="32"/>
          <w:szCs w:val="32"/>
        </w:rPr>
        <w:t>，决算数等于预算数。</w:t>
      </w:r>
    </w:p>
    <w:p>
      <w:pPr>
        <w:spacing w:line="576" w:lineRule="exact"/>
        <w:ind w:firstLineChars="200" w:firstLine="640"/>
        <w:rPr>
          <w:rStyle w:val="25"/>
          <w:rFonts w:ascii="仿宋" w:eastAsia="仿宋"/>
          <w:b w:val="0"/>
          <w:bCs/>
          <w:sz w:val="32"/>
          <w:szCs w:val="32"/>
        </w:rPr>
      </w:pPr>
      <w:r>
        <w:rPr>
          <w:rStyle w:val="25"/>
          <w:rFonts w:ascii="仿宋" w:eastAsia="仿宋"/>
          <w:bCs/>
          <w:sz w:val="32"/>
          <w:szCs w:val="32"/>
        </w:rPr>
        <w:t>3</w:t>
      </w:r>
      <w:r>
        <w:rPr>
          <w:rStyle w:val="25"/>
          <w:rFonts w:ascii="仿宋" w:eastAsia="仿宋" w:hint="eastAsia"/>
          <w:bCs/>
          <w:sz w:val="32"/>
          <w:szCs w:val="32"/>
        </w:rPr>
        <w:t>.公共安全（204）公安（02）信息化建设（19）</w:t>
      </w:r>
      <w:r>
        <w:rPr>
          <w:rStyle w:val="25"/>
          <w:rFonts w:ascii="仿宋" w:eastAsia="仿宋"/>
          <w:bCs/>
          <w:sz w:val="32"/>
          <w:szCs w:val="32"/>
        </w:rPr>
        <w:t>:</w:t>
      </w:r>
      <w:r>
        <w:rPr>
          <w:rStyle w:val="25"/>
          <w:rFonts w:ascii="仿宋" w:eastAsia="仿宋"/>
          <w:b w:val="0"/>
          <w:bCs/>
          <w:sz w:val="32"/>
          <w:szCs w:val="32"/>
        </w:rPr>
        <w:t xml:space="preserve"> </w:t>
      </w:r>
      <w:r>
        <w:rPr>
          <w:rStyle w:val="25"/>
          <w:rFonts w:ascii="仿宋" w:eastAsia="仿宋" w:hint="eastAsia"/>
          <w:b w:val="0"/>
          <w:bCs/>
          <w:sz w:val="32"/>
          <w:szCs w:val="32"/>
        </w:rPr>
        <w:t>支出决算为</w:t>
      </w:r>
      <w:r>
        <w:rPr>
          <w:rStyle w:val="25"/>
          <w:rFonts w:ascii="仿宋" w:eastAsia="仿宋"/>
          <w:b w:val="0"/>
          <w:bCs/>
          <w:sz w:val="32"/>
          <w:szCs w:val="32"/>
        </w:rPr>
        <w:t>150.85</w:t>
      </w:r>
      <w:r>
        <w:rPr>
          <w:rStyle w:val="25"/>
          <w:rFonts w:ascii="仿宋" w:eastAsia="仿宋" w:hint="eastAsia"/>
          <w:b w:val="0"/>
          <w:bCs/>
          <w:sz w:val="32"/>
          <w:szCs w:val="32"/>
        </w:rPr>
        <w:t>万元，完成预算100</w:t>
      </w:r>
      <w:r>
        <w:rPr>
          <w:rStyle w:val="25"/>
          <w:rFonts w:ascii="仿宋" w:eastAsia="仿宋"/>
          <w:b w:val="0"/>
          <w:bCs/>
          <w:sz w:val="32"/>
          <w:szCs w:val="32"/>
        </w:rPr>
        <w:t>%</w:t>
      </w:r>
      <w:r>
        <w:rPr>
          <w:rStyle w:val="25"/>
          <w:rFonts w:ascii="仿宋" w:eastAsia="仿宋" w:hint="eastAsia"/>
          <w:b w:val="0"/>
          <w:bCs/>
          <w:sz w:val="32"/>
          <w:szCs w:val="32"/>
        </w:rPr>
        <w:t>，决算数等于预算数。</w:t>
      </w:r>
    </w:p>
    <w:p>
      <w:pPr>
        <w:spacing w:line="576" w:lineRule="exact"/>
        <w:ind w:firstLineChars="200" w:firstLine="640"/>
        <w:rPr>
          <w:rStyle w:val="25"/>
          <w:rFonts w:ascii="仿宋" w:eastAsia="仿宋" w:hint="eastAsia"/>
          <w:bCs/>
          <w:sz w:val="32"/>
          <w:szCs w:val="32"/>
        </w:rPr>
      </w:pPr>
      <w:r>
        <w:rPr>
          <w:rStyle w:val="25"/>
          <w:rFonts w:ascii="仿宋" w:eastAsia="仿宋"/>
          <w:bCs/>
          <w:sz w:val="32"/>
          <w:szCs w:val="32"/>
        </w:rPr>
        <w:t>4</w:t>
      </w:r>
      <w:r>
        <w:rPr>
          <w:rStyle w:val="25"/>
          <w:rFonts w:ascii="仿宋" w:eastAsia="仿宋" w:hint="eastAsia"/>
          <w:bCs/>
          <w:sz w:val="32"/>
          <w:szCs w:val="32"/>
        </w:rPr>
        <w:t>. 公共安全（204）公安（02）事业</w:t>
      </w:r>
      <w:r>
        <w:rPr>
          <w:rStyle w:val="25"/>
          <w:rFonts w:ascii="仿宋" w:eastAsia="仿宋"/>
          <w:bCs/>
          <w:sz w:val="32"/>
          <w:szCs w:val="32"/>
        </w:rPr>
        <w:t>运行</w:t>
      </w:r>
      <w:r>
        <w:rPr>
          <w:rStyle w:val="25"/>
          <w:rFonts w:ascii="仿宋" w:eastAsia="仿宋" w:hint="eastAsia"/>
          <w:bCs/>
          <w:sz w:val="32"/>
          <w:szCs w:val="32"/>
        </w:rPr>
        <w:t>（</w:t>
      </w:r>
      <w:r>
        <w:rPr>
          <w:rStyle w:val="25"/>
          <w:rFonts w:ascii="仿宋" w:eastAsia="仿宋"/>
          <w:bCs/>
          <w:sz w:val="32"/>
          <w:szCs w:val="32"/>
        </w:rPr>
        <w:t>50</w:t>
      </w:r>
      <w:r>
        <w:rPr>
          <w:rStyle w:val="25"/>
          <w:rFonts w:ascii="仿宋" w:eastAsia="仿宋" w:hint="eastAsia"/>
          <w:bCs/>
          <w:sz w:val="32"/>
          <w:szCs w:val="32"/>
        </w:rPr>
        <w:t>）：</w:t>
      </w:r>
      <w:r>
        <w:rPr>
          <w:rStyle w:val="25"/>
          <w:rFonts w:ascii="仿宋" w:eastAsia="仿宋" w:hint="eastAsia"/>
          <w:b w:val="0"/>
          <w:bCs/>
          <w:sz w:val="32"/>
          <w:szCs w:val="32"/>
        </w:rPr>
        <w:t>支出决算为</w:t>
      </w:r>
      <w:r>
        <w:rPr>
          <w:rStyle w:val="25"/>
          <w:rFonts w:ascii="仿宋" w:eastAsia="仿宋"/>
          <w:b w:val="0"/>
          <w:bCs/>
          <w:sz w:val="32"/>
          <w:szCs w:val="32"/>
        </w:rPr>
        <w:t>72.18</w:t>
      </w:r>
      <w:r>
        <w:rPr>
          <w:rStyle w:val="25"/>
          <w:rFonts w:ascii="仿宋" w:eastAsia="仿宋" w:hint="eastAsia"/>
          <w:b w:val="0"/>
          <w:bCs/>
          <w:sz w:val="32"/>
          <w:szCs w:val="32"/>
        </w:rPr>
        <w:t>万元，完成预算100</w:t>
      </w:r>
      <w:r>
        <w:rPr>
          <w:rStyle w:val="25"/>
          <w:rFonts w:ascii="仿宋" w:eastAsia="仿宋"/>
          <w:b w:val="0"/>
          <w:bCs/>
          <w:sz w:val="32"/>
          <w:szCs w:val="32"/>
        </w:rPr>
        <w:t>%</w:t>
      </w:r>
      <w:r>
        <w:rPr>
          <w:rStyle w:val="25"/>
          <w:rFonts w:ascii="仿宋" w:eastAsia="仿宋" w:hint="eastAsia"/>
          <w:b w:val="0"/>
          <w:bCs/>
          <w:sz w:val="32"/>
          <w:szCs w:val="32"/>
        </w:rPr>
        <w:t>，决算数等于预算数。</w:t>
      </w:r>
    </w:p>
    <w:p>
      <w:pPr>
        <w:spacing w:line="576" w:lineRule="exact"/>
        <w:ind w:firstLineChars="200" w:firstLine="640"/>
        <w:rPr>
          <w:rStyle w:val="25"/>
          <w:rFonts w:ascii="仿宋" w:eastAsia="仿宋"/>
          <w:bCs/>
          <w:sz w:val="32"/>
          <w:szCs w:val="32"/>
        </w:rPr>
      </w:pPr>
      <w:r>
        <w:rPr>
          <w:rStyle w:val="25"/>
          <w:rFonts w:ascii="仿宋" w:eastAsia="仿宋" w:hint="eastAsia"/>
          <w:bCs/>
          <w:sz w:val="32"/>
          <w:szCs w:val="32"/>
        </w:rPr>
        <w:t>5.社会保障和就业（204）行政事业单位养老支出（08）机关事业单位基本养老保险缴费支出（05）</w:t>
      </w:r>
      <w:r>
        <w:rPr>
          <w:rStyle w:val="25"/>
          <w:rFonts w:ascii="仿宋" w:eastAsia="仿宋"/>
          <w:bCs/>
          <w:sz w:val="32"/>
          <w:szCs w:val="32"/>
        </w:rPr>
        <w:t>:</w:t>
      </w:r>
      <w:r>
        <w:rPr>
          <w:rStyle w:val="25"/>
          <w:rFonts w:ascii="仿宋" w:eastAsia="仿宋"/>
          <w:b w:val="0"/>
          <w:bCs/>
          <w:sz w:val="32"/>
          <w:szCs w:val="32"/>
        </w:rPr>
        <w:t xml:space="preserve"> </w:t>
      </w:r>
      <w:r>
        <w:rPr>
          <w:rStyle w:val="25"/>
          <w:rFonts w:ascii="仿宋" w:eastAsia="仿宋" w:hint="eastAsia"/>
          <w:b w:val="0"/>
          <w:bCs/>
          <w:sz w:val="32"/>
          <w:szCs w:val="32"/>
        </w:rPr>
        <w:t>支出决算为</w:t>
      </w:r>
      <w:r>
        <w:rPr>
          <w:rStyle w:val="25"/>
          <w:rFonts w:ascii="仿宋" w:eastAsia="仿宋"/>
          <w:b w:val="0"/>
          <w:bCs/>
          <w:sz w:val="32"/>
          <w:szCs w:val="32"/>
        </w:rPr>
        <w:t>1, 639.96</w:t>
      </w:r>
      <w:r>
        <w:rPr>
          <w:rStyle w:val="25"/>
          <w:rFonts w:ascii="仿宋" w:eastAsia="仿宋" w:hint="eastAsia"/>
          <w:b w:val="0"/>
          <w:bCs/>
          <w:sz w:val="32"/>
          <w:szCs w:val="32"/>
        </w:rPr>
        <w:t>万元，完成预算100</w:t>
      </w:r>
      <w:r>
        <w:rPr>
          <w:rStyle w:val="25"/>
          <w:rFonts w:ascii="仿宋" w:eastAsia="仿宋"/>
          <w:b w:val="0"/>
          <w:bCs/>
          <w:sz w:val="32"/>
          <w:szCs w:val="32"/>
        </w:rPr>
        <w:t>%</w:t>
      </w:r>
      <w:r>
        <w:rPr>
          <w:rStyle w:val="25"/>
          <w:rFonts w:ascii="仿宋" w:eastAsia="仿宋" w:hint="eastAsia"/>
          <w:b w:val="0"/>
          <w:bCs/>
          <w:sz w:val="32"/>
          <w:szCs w:val="32"/>
        </w:rPr>
        <w:t>，决算数等于预算数。</w:t>
      </w:r>
    </w:p>
    <w:p>
      <w:pPr>
        <w:spacing w:line="576" w:lineRule="exact"/>
        <w:ind w:firstLineChars="200" w:firstLine="640"/>
        <w:rPr>
          <w:rStyle w:val="25"/>
          <w:rFonts w:ascii="仿宋" w:eastAsia="仿宋"/>
          <w:b w:val="0"/>
          <w:bCs/>
          <w:sz w:val="32"/>
          <w:szCs w:val="32"/>
        </w:rPr>
      </w:pPr>
      <w:r>
        <w:rPr>
          <w:rStyle w:val="25"/>
          <w:rFonts w:ascii="仿宋" w:eastAsia="仿宋"/>
          <w:bCs/>
          <w:sz w:val="32"/>
          <w:szCs w:val="32"/>
        </w:rPr>
        <w:t>6</w:t>
      </w:r>
      <w:r>
        <w:rPr>
          <w:rStyle w:val="25"/>
          <w:rFonts w:ascii="仿宋" w:eastAsia="仿宋" w:hint="eastAsia"/>
          <w:bCs/>
          <w:sz w:val="32"/>
          <w:szCs w:val="32"/>
        </w:rPr>
        <w:t>.社会保障和就业（204）行政事业单位养老支出（08）机关事业单位职业年金缴费支出（06）</w:t>
      </w:r>
      <w:r>
        <w:rPr>
          <w:rStyle w:val="25"/>
          <w:rFonts w:ascii="仿宋" w:eastAsia="仿宋"/>
          <w:bCs/>
          <w:sz w:val="32"/>
          <w:szCs w:val="32"/>
        </w:rPr>
        <w:t>:</w:t>
      </w:r>
      <w:r>
        <w:rPr>
          <w:rStyle w:val="25"/>
          <w:rFonts w:ascii="仿宋" w:eastAsia="仿宋"/>
          <w:b w:val="0"/>
          <w:bCs/>
          <w:sz w:val="32"/>
          <w:szCs w:val="32"/>
        </w:rPr>
        <w:t xml:space="preserve"> </w:t>
      </w:r>
      <w:r>
        <w:rPr>
          <w:rStyle w:val="25"/>
          <w:rFonts w:ascii="仿宋" w:eastAsia="仿宋" w:hint="eastAsia"/>
          <w:b w:val="0"/>
          <w:bCs/>
          <w:sz w:val="32"/>
          <w:szCs w:val="32"/>
        </w:rPr>
        <w:t>支出决算为</w:t>
      </w:r>
      <w:r>
        <w:rPr>
          <w:rStyle w:val="25"/>
          <w:rFonts w:ascii="仿宋" w:eastAsia="仿宋"/>
          <w:b w:val="0"/>
          <w:bCs/>
          <w:sz w:val="32"/>
          <w:szCs w:val="32"/>
        </w:rPr>
        <w:t>814.68</w:t>
      </w:r>
      <w:r>
        <w:rPr>
          <w:rStyle w:val="25"/>
          <w:rFonts w:ascii="仿宋" w:eastAsia="仿宋" w:hint="eastAsia"/>
          <w:b w:val="0"/>
          <w:bCs/>
          <w:sz w:val="32"/>
          <w:szCs w:val="32"/>
        </w:rPr>
        <w:t>万元，完成预算100</w:t>
      </w:r>
      <w:r>
        <w:rPr>
          <w:rStyle w:val="25"/>
          <w:rFonts w:ascii="仿宋" w:eastAsia="仿宋"/>
          <w:b w:val="0"/>
          <w:bCs/>
          <w:sz w:val="32"/>
          <w:szCs w:val="32"/>
        </w:rPr>
        <w:t>%</w:t>
      </w:r>
      <w:r>
        <w:rPr>
          <w:rStyle w:val="25"/>
          <w:rFonts w:ascii="仿宋" w:eastAsia="仿宋" w:hint="eastAsia"/>
          <w:b w:val="0"/>
          <w:bCs/>
          <w:sz w:val="32"/>
          <w:szCs w:val="32"/>
        </w:rPr>
        <w:t>，决算数等于预算数。</w:t>
      </w:r>
    </w:p>
    <w:p>
      <w:pPr>
        <w:spacing w:line="576" w:lineRule="exact"/>
        <w:ind w:firstLineChars="200" w:firstLine="640"/>
        <w:rPr>
          <w:rStyle w:val="25"/>
          <w:rFonts w:ascii="仿宋" w:eastAsia="仿宋"/>
          <w:b w:val="0"/>
          <w:bCs/>
          <w:sz w:val="32"/>
          <w:szCs w:val="32"/>
        </w:rPr>
      </w:pPr>
      <w:r>
        <w:rPr>
          <w:rStyle w:val="25"/>
          <w:rFonts w:ascii="仿宋" w:eastAsia="仿宋"/>
          <w:bCs/>
          <w:sz w:val="32"/>
          <w:szCs w:val="32"/>
        </w:rPr>
        <w:t>7.</w:t>
      </w:r>
      <w:r>
        <w:rPr>
          <w:rStyle w:val="25"/>
          <w:rFonts w:ascii="仿宋" w:eastAsia="仿宋" w:hint="eastAsia"/>
          <w:bCs/>
          <w:sz w:val="32"/>
          <w:szCs w:val="32"/>
        </w:rPr>
        <w:t>卫生健康支出（210）行政事业单位医疗（11）行政单位医疗（01）</w:t>
      </w:r>
      <w:r>
        <w:rPr>
          <w:rStyle w:val="25"/>
          <w:rFonts w:ascii="仿宋" w:eastAsia="仿宋"/>
          <w:bCs/>
          <w:sz w:val="32"/>
          <w:szCs w:val="32"/>
        </w:rPr>
        <w:t>:</w:t>
      </w:r>
      <w:r>
        <w:rPr>
          <w:rStyle w:val="25"/>
          <w:rFonts w:ascii="仿宋" w:eastAsia="仿宋" w:hint="eastAsia"/>
          <w:b w:val="0"/>
          <w:bCs/>
          <w:sz w:val="32"/>
          <w:szCs w:val="32"/>
        </w:rPr>
        <w:t>支出决算为</w:t>
      </w:r>
      <w:r>
        <w:rPr>
          <w:rStyle w:val="25"/>
          <w:rFonts w:ascii="仿宋" w:eastAsia="仿宋"/>
          <w:b w:val="0"/>
          <w:bCs/>
          <w:sz w:val="32"/>
          <w:szCs w:val="32"/>
        </w:rPr>
        <w:t>889.43</w:t>
      </w:r>
      <w:r>
        <w:rPr>
          <w:rStyle w:val="25"/>
          <w:rFonts w:ascii="仿宋" w:eastAsia="仿宋" w:hint="eastAsia"/>
          <w:b w:val="0"/>
          <w:bCs/>
          <w:sz w:val="32"/>
          <w:szCs w:val="32"/>
        </w:rPr>
        <w:t>万元，完成预算100</w:t>
      </w:r>
      <w:r>
        <w:rPr>
          <w:rStyle w:val="25"/>
          <w:rFonts w:ascii="仿宋" w:eastAsia="仿宋"/>
          <w:b w:val="0"/>
          <w:bCs/>
          <w:sz w:val="32"/>
          <w:szCs w:val="32"/>
        </w:rPr>
        <w:t>%</w:t>
      </w:r>
      <w:r>
        <w:rPr>
          <w:rStyle w:val="25"/>
          <w:rFonts w:ascii="仿宋" w:eastAsia="仿宋" w:hint="eastAsia"/>
          <w:b w:val="0"/>
          <w:bCs/>
          <w:sz w:val="32"/>
          <w:szCs w:val="32"/>
        </w:rPr>
        <w:t>，决算数等于预算数。</w:t>
      </w:r>
    </w:p>
    <w:p>
      <w:pPr>
        <w:spacing w:line="576" w:lineRule="exact"/>
        <w:ind w:firstLineChars="200" w:firstLine="640"/>
        <w:rPr>
          <w:rFonts w:ascii="仿宋" w:eastAsia="仿宋" w:hint="eastAsia"/>
          <w:bCs/>
          <w:sz w:val="32"/>
          <w:szCs w:val="32"/>
        </w:rPr>
      </w:pPr>
      <w:r>
        <w:rPr>
          <w:rStyle w:val="25"/>
          <w:rFonts w:ascii="仿宋" w:eastAsia="仿宋"/>
          <w:bCs/>
          <w:sz w:val="32"/>
          <w:szCs w:val="32"/>
        </w:rPr>
        <w:t>8.</w:t>
      </w:r>
      <w:r>
        <w:rPr>
          <w:rStyle w:val="25"/>
          <w:rFonts w:ascii="仿宋" w:eastAsia="仿宋" w:hint="eastAsia"/>
          <w:bCs/>
          <w:sz w:val="32"/>
          <w:szCs w:val="32"/>
        </w:rPr>
        <w:t>卫生健康支出（210）行政事业单位医疗（11）事业单位医疗（0</w:t>
      </w:r>
      <w:r>
        <w:rPr>
          <w:rStyle w:val="25"/>
          <w:rFonts w:ascii="仿宋" w:eastAsia="仿宋"/>
          <w:bCs/>
          <w:sz w:val="32"/>
          <w:szCs w:val="32"/>
        </w:rPr>
        <w:t>2</w:t>
      </w:r>
      <w:r>
        <w:rPr>
          <w:rStyle w:val="25"/>
          <w:rFonts w:ascii="仿宋" w:eastAsia="仿宋" w:hint="eastAsia"/>
          <w:bCs/>
          <w:sz w:val="32"/>
          <w:szCs w:val="32"/>
        </w:rPr>
        <w:t>）</w:t>
      </w:r>
      <w:r>
        <w:rPr>
          <w:rStyle w:val="25"/>
          <w:rFonts w:ascii="仿宋" w:eastAsia="仿宋"/>
          <w:bCs/>
          <w:sz w:val="32"/>
          <w:szCs w:val="32"/>
        </w:rPr>
        <w:t>:</w:t>
      </w:r>
      <w:r>
        <w:rPr>
          <w:rStyle w:val="25"/>
          <w:rFonts w:ascii="仿宋" w:eastAsia="仿宋" w:hint="eastAsia"/>
          <w:b w:val="0"/>
          <w:bCs/>
          <w:sz w:val="32"/>
          <w:szCs w:val="32"/>
        </w:rPr>
        <w:t>支出决算为</w:t>
      </w:r>
      <w:r>
        <w:rPr>
          <w:rStyle w:val="25"/>
          <w:rFonts w:ascii="仿宋" w:eastAsia="仿宋"/>
          <w:b w:val="0"/>
          <w:bCs/>
          <w:sz w:val="32"/>
          <w:szCs w:val="32"/>
        </w:rPr>
        <w:t>3.61</w:t>
      </w:r>
      <w:r>
        <w:rPr>
          <w:rStyle w:val="25"/>
          <w:rFonts w:ascii="仿宋" w:eastAsia="仿宋" w:hint="eastAsia"/>
          <w:b w:val="0"/>
          <w:bCs/>
          <w:sz w:val="32"/>
          <w:szCs w:val="32"/>
        </w:rPr>
        <w:t>万元，完成预算100</w:t>
      </w:r>
      <w:r>
        <w:rPr>
          <w:rStyle w:val="25"/>
          <w:rFonts w:ascii="仿宋" w:eastAsia="仿宋"/>
          <w:b w:val="0"/>
          <w:bCs/>
          <w:sz w:val="32"/>
          <w:szCs w:val="32"/>
        </w:rPr>
        <w:t>%</w:t>
      </w:r>
      <w:r>
        <w:rPr>
          <w:rStyle w:val="25"/>
          <w:rFonts w:ascii="仿宋" w:eastAsia="仿宋" w:hint="eastAsia"/>
          <w:b w:val="0"/>
          <w:bCs/>
          <w:sz w:val="32"/>
          <w:szCs w:val="32"/>
        </w:rPr>
        <w:t>，决算数等于预算数。</w:t>
      </w:r>
    </w:p>
    <w:p>
      <w:pPr>
        <w:spacing w:line="576" w:lineRule="exact"/>
        <w:ind w:firstLineChars="200" w:firstLine="640"/>
        <w:rPr>
          <w:rStyle w:val="25"/>
          <w:rFonts w:ascii="仿宋" w:eastAsia="仿宋"/>
          <w:b w:val="0"/>
          <w:bCs/>
          <w:sz w:val="32"/>
          <w:szCs w:val="32"/>
        </w:rPr>
      </w:pPr>
      <w:r>
        <w:rPr>
          <w:rStyle w:val="25"/>
          <w:rFonts w:ascii="仿宋" w:eastAsia="仿宋"/>
          <w:bCs/>
          <w:sz w:val="32"/>
          <w:szCs w:val="32"/>
        </w:rPr>
        <w:t>9.</w:t>
      </w:r>
      <w:r>
        <w:rPr>
          <w:rStyle w:val="25"/>
          <w:rFonts w:ascii="仿宋" w:eastAsia="仿宋" w:hint="eastAsia"/>
          <w:bCs/>
          <w:sz w:val="32"/>
          <w:szCs w:val="32"/>
        </w:rPr>
        <w:t>卫生健康支出（210）行政事业单位医疗（11）公务员医疗补助（0</w:t>
      </w:r>
      <w:r>
        <w:rPr>
          <w:rStyle w:val="25"/>
          <w:rFonts w:ascii="仿宋" w:eastAsia="仿宋"/>
          <w:bCs/>
          <w:sz w:val="32"/>
          <w:szCs w:val="32"/>
        </w:rPr>
        <w:t>3</w:t>
      </w:r>
      <w:r>
        <w:rPr>
          <w:rStyle w:val="25"/>
          <w:rFonts w:ascii="仿宋" w:eastAsia="仿宋" w:hint="eastAsia"/>
          <w:bCs/>
          <w:sz w:val="32"/>
          <w:szCs w:val="32"/>
        </w:rPr>
        <w:t>）</w:t>
      </w:r>
      <w:r>
        <w:rPr>
          <w:rStyle w:val="25"/>
          <w:rFonts w:ascii="仿宋" w:eastAsia="仿宋"/>
          <w:bCs/>
          <w:sz w:val="32"/>
          <w:szCs w:val="32"/>
        </w:rPr>
        <w:t>:</w:t>
      </w:r>
      <w:r>
        <w:rPr>
          <w:rStyle w:val="25"/>
          <w:rFonts w:ascii="仿宋" w:eastAsia="仿宋" w:hint="eastAsia"/>
          <w:b w:val="0"/>
          <w:bCs/>
          <w:sz w:val="32"/>
          <w:szCs w:val="32"/>
        </w:rPr>
        <w:t>支出决算为</w:t>
      </w:r>
      <w:r>
        <w:rPr>
          <w:rStyle w:val="25"/>
          <w:rFonts w:ascii="仿宋" w:eastAsia="仿宋"/>
          <w:b w:val="0"/>
          <w:bCs/>
          <w:sz w:val="32"/>
          <w:szCs w:val="32"/>
        </w:rPr>
        <w:t>183.09</w:t>
      </w:r>
      <w:r>
        <w:rPr>
          <w:rStyle w:val="25"/>
          <w:rFonts w:ascii="仿宋" w:eastAsia="仿宋" w:hint="eastAsia"/>
          <w:b w:val="0"/>
          <w:bCs/>
          <w:sz w:val="32"/>
          <w:szCs w:val="32"/>
        </w:rPr>
        <w:t>万元，完成预算100</w:t>
      </w:r>
      <w:r>
        <w:rPr>
          <w:rStyle w:val="25"/>
          <w:rFonts w:ascii="仿宋" w:eastAsia="仿宋"/>
          <w:b w:val="0"/>
          <w:bCs/>
          <w:sz w:val="32"/>
          <w:szCs w:val="32"/>
        </w:rPr>
        <w:t>%</w:t>
      </w:r>
      <w:r>
        <w:rPr>
          <w:rStyle w:val="25"/>
          <w:rFonts w:ascii="仿宋" w:eastAsia="仿宋" w:hint="eastAsia"/>
          <w:b w:val="0"/>
          <w:bCs/>
          <w:sz w:val="32"/>
          <w:szCs w:val="32"/>
        </w:rPr>
        <w:t>，决算数等于预算数。</w:t>
      </w:r>
    </w:p>
    <w:p>
      <w:pPr>
        <w:spacing w:line="576" w:lineRule="exact"/>
        <w:ind w:firstLineChars="200" w:firstLine="640"/>
        <w:rPr>
          <w:rStyle w:val="25"/>
          <w:rFonts w:ascii="仿宋" w:eastAsia="仿宋"/>
          <w:b w:val="0"/>
          <w:bCs/>
          <w:sz w:val="32"/>
          <w:szCs w:val="32"/>
        </w:rPr>
      </w:pPr>
      <w:r>
        <w:rPr>
          <w:rStyle w:val="25"/>
          <w:rFonts w:ascii="仿宋" w:eastAsia="仿宋"/>
          <w:bCs/>
          <w:sz w:val="32"/>
          <w:szCs w:val="32"/>
        </w:rPr>
        <w:t>10.</w:t>
      </w:r>
      <w:r>
        <w:rPr>
          <w:rStyle w:val="25"/>
          <w:rFonts w:ascii="仿宋" w:eastAsia="仿宋" w:hint="eastAsia"/>
          <w:bCs/>
          <w:sz w:val="32"/>
          <w:szCs w:val="32"/>
        </w:rPr>
        <w:t>卫生健康支出（210）行政事业单位医疗（11</w:t>
      </w:r>
      <w:r>
        <w:rPr>
          <w:rFonts w:ascii="仿宋" w:eastAsia="仿宋"/>
          <w:b/>
          <w:bCs/>
          <w:sz w:val="32"/>
          <w:szCs w:val="32"/>
        </w:rPr>
        <w:t>其他行政事业单位医疗支出</w:t>
      </w:r>
      <w:r>
        <w:rPr>
          <w:rStyle w:val="25"/>
          <w:rFonts w:ascii="仿宋" w:eastAsia="仿宋" w:hint="eastAsia"/>
          <w:bCs/>
          <w:sz w:val="32"/>
          <w:szCs w:val="32"/>
        </w:rPr>
        <w:t>（99）</w:t>
      </w:r>
      <w:r>
        <w:rPr>
          <w:rStyle w:val="25"/>
          <w:rFonts w:ascii="仿宋" w:eastAsia="仿宋"/>
          <w:bCs/>
          <w:sz w:val="32"/>
          <w:szCs w:val="32"/>
        </w:rPr>
        <w:t>:</w:t>
      </w:r>
      <w:r>
        <w:rPr>
          <w:rStyle w:val="25"/>
          <w:rFonts w:ascii="仿宋" w:eastAsia="仿宋" w:hint="eastAsia"/>
          <w:b w:val="0"/>
          <w:bCs/>
          <w:sz w:val="32"/>
          <w:szCs w:val="32"/>
        </w:rPr>
        <w:t>支出决算为</w:t>
      </w:r>
      <w:r>
        <w:rPr>
          <w:rStyle w:val="25"/>
          <w:rFonts w:ascii="仿宋" w:eastAsia="仿宋"/>
          <w:b w:val="0"/>
          <w:bCs/>
          <w:sz w:val="32"/>
          <w:szCs w:val="32"/>
        </w:rPr>
        <w:t>0.87</w:t>
      </w:r>
      <w:r>
        <w:rPr>
          <w:rStyle w:val="25"/>
          <w:rFonts w:ascii="仿宋" w:eastAsia="仿宋" w:hint="eastAsia"/>
          <w:b w:val="0"/>
          <w:bCs/>
          <w:sz w:val="32"/>
          <w:szCs w:val="32"/>
        </w:rPr>
        <w:t>万元，完成预算100</w:t>
      </w:r>
      <w:r>
        <w:rPr>
          <w:rStyle w:val="25"/>
          <w:rFonts w:ascii="仿宋" w:eastAsia="仿宋"/>
          <w:b w:val="0"/>
          <w:bCs/>
          <w:sz w:val="32"/>
          <w:szCs w:val="32"/>
        </w:rPr>
        <w:t>%</w:t>
      </w:r>
      <w:r>
        <w:rPr>
          <w:rStyle w:val="25"/>
          <w:rFonts w:ascii="仿宋" w:eastAsia="仿宋" w:hint="eastAsia"/>
          <w:b w:val="0"/>
          <w:bCs/>
          <w:sz w:val="32"/>
          <w:szCs w:val="32"/>
        </w:rPr>
        <w:t>，决算数等于预算数。</w:t>
      </w:r>
    </w:p>
    <w:p>
      <w:pPr>
        <w:spacing w:line="576" w:lineRule="exact"/>
        <w:ind w:firstLineChars="200" w:firstLine="640"/>
        <w:rPr>
          <w:rStyle w:val="25"/>
          <w:rFonts w:ascii="仿宋" w:eastAsia="仿宋"/>
          <w:b w:val="0"/>
          <w:bCs/>
          <w:sz w:val="32"/>
          <w:szCs w:val="32"/>
        </w:rPr>
      </w:pPr>
      <w:r>
        <w:rPr>
          <w:rStyle w:val="25"/>
          <w:rFonts w:ascii="仿宋" w:eastAsia="仿宋" w:cs="Arial"/>
          <w:bCs/>
          <w:sz w:val="32"/>
          <w:szCs w:val="32"/>
        </w:rPr>
        <w:t>11</w:t>
      </w:r>
      <w:r>
        <w:rPr>
          <w:rStyle w:val="25"/>
          <w:rFonts w:ascii="仿宋" w:eastAsia="仿宋" w:cs="Arial" w:hint="eastAsia"/>
          <w:bCs/>
          <w:sz w:val="32"/>
          <w:szCs w:val="32"/>
        </w:rPr>
        <w:t xml:space="preserve">.住房保障支出（221）住房改革支出（02）住房公积金（01）: </w:t>
      </w:r>
      <w:r>
        <w:rPr>
          <w:rStyle w:val="25"/>
          <w:rFonts w:ascii="仿宋" w:eastAsia="仿宋" w:cs="Arial" w:hint="eastAsia"/>
          <w:b w:val="0"/>
          <w:bCs/>
          <w:sz w:val="32"/>
          <w:szCs w:val="32"/>
        </w:rPr>
        <w:t>支出决算数</w:t>
      </w:r>
      <w:r>
        <w:rPr>
          <w:rStyle w:val="25"/>
          <w:rFonts w:ascii="仿宋" w:eastAsia="仿宋" w:cs="Arial"/>
          <w:b w:val="0"/>
          <w:bCs/>
          <w:sz w:val="32"/>
          <w:szCs w:val="32"/>
        </w:rPr>
        <w:t>1,465.05</w:t>
      </w:r>
      <w:r>
        <w:rPr>
          <w:rStyle w:val="25"/>
          <w:rFonts w:ascii="仿宋" w:eastAsia="仿宋" w:cs="Arial" w:hint="eastAsia"/>
          <w:b w:val="0"/>
          <w:bCs/>
          <w:sz w:val="32"/>
          <w:szCs w:val="32"/>
        </w:rPr>
        <w:t>万元，</w:t>
      </w:r>
      <w:r>
        <w:rPr>
          <w:rStyle w:val="25"/>
          <w:rFonts w:ascii="仿宋" w:eastAsia="仿宋" w:hint="eastAsia"/>
          <w:b w:val="0"/>
          <w:bCs/>
          <w:sz w:val="32"/>
          <w:szCs w:val="32"/>
        </w:rPr>
        <w:t>完成预算100</w:t>
      </w:r>
      <w:r>
        <w:rPr>
          <w:rStyle w:val="25"/>
          <w:rFonts w:ascii="仿宋" w:eastAsia="仿宋"/>
          <w:b w:val="0"/>
          <w:bCs/>
          <w:sz w:val="32"/>
          <w:szCs w:val="32"/>
        </w:rPr>
        <w:t>%</w:t>
      </w:r>
      <w:r>
        <w:rPr>
          <w:rStyle w:val="25"/>
          <w:rFonts w:ascii="仿宋" w:eastAsia="仿宋" w:hint="eastAsia"/>
          <w:b w:val="0"/>
          <w:bCs/>
          <w:sz w:val="32"/>
          <w:szCs w:val="32"/>
        </w:rPr>
        <w:t>，决算数等于预算数。</w:t>
      </w:r>
    </w:p>
    <w:p>
      <w:pPr>
        <w:tabs>
          <w:tab w:val="right" w:pos="8306"/>
        </w:tabs>
        <w:spacing w:line="576" w:lineRule="exact"/>
        <w:ind w:firstLine="640"/>
        <w:outlineLvl w:val="1"/>
        <w:rPr>
          <w:rStyle w:val="25"/>
          <w:rFonts w:ascii="仿宋" w:eastAsia="仿宋"/>
          <w:b w:val="0"/>
          <w:bCs/>
          <w:sz w:val="32"/>
          <w:szCs w:val="32"/>
        </w:rPr>
      </w:pPr>
      <w:r>
        <w:rPr>
          <w:rStyle w:val="25"/>
          <w:rFonts w:ascii="仿宋" w:eastAsia="仿宋" w:cs="Arial"/>
          <w:bCs/>
          <w:sz w:val="32"/>
          <w:szCs w:val="32"/>
        </w:rPr>
        <w:t>12</w:t>
      </w:r>
      <w:r>
        <w:rPr>
          <w:rStyle w:val="25"/>
          <w:rFonts w:ascii="仿宋" w:eastAsia="仿宋" w:cs="Arial" w:hint="eastAsia"/>
          <w:bCs/>
          <w:sz w:val="32"/>
          <w:szCs w:val="32"/>
        </w:rPr>
        <w:t>.住房保障支出（221）住房改革支出（02）购房补贴（03）：</w:t>
      </w:r>
      <w:r>
        <w:rPr>
          <w:rStyle w:val="25"/>
          <w:rFonts w:ascii="仿宋" w:eastAsia="仿宋" w:cs="Arial" w:hint="eastAsia"/>
          <w:b w:val="0"/>
          <w:bCs/>
          <w:sz w:val="32"/>
          <w:szCs w:val="32"/>
        </w:rPr>
        <w:t>支出决算数</w:t>
      </w:r>
      <w:r>
        <w:rPr>
          <w:rStyle w:val="25"/>
          <w:rFonts w:ascii="仿宋" w:eastAsia="仿宋" w:cs="Arial"/>
          <w:b w:val="0"/>
          <w:bCs/>
          <w:sz w:val="32"/>
          <w:szCs w:val="32"/>
        </w:rPr>
        <w:t>10.9</w:t>
      </w:r>
      <w:r>
        <w:rPr>
          <w:rStyle w:val="25"/>
          <w:rFonts w:ascii="仿宋" w:eastAsia="仿宋" w:cs="Arial" w:hint="eastAsia"/>
          <w:b w:val="0"/>
          <w:bCs/>
          <w:sz w:val="32"/>
          <w:szCs w:val="32"/>
        </w:rPr>
        <w:t>万元，完成预算100%</w:t>
      </w:r>
      <w:r>
        <w:rPr>
          <w:rStyle w:val="25"/>
          <w:rFonts w:ascii="仿宋" w:eastAsia="仿宋" w:hint="eastAsia"/>
          <w:b w:val="0"/>
          <w:bCs/>
          <w:sz w:val="32"/>
          <w:szCs w:val="32"/>
        </w:rPr>
        <w:t>，决算数等于预算数。</w:t>
      </w:r>
    </w:p>
    <w:p>
      <w:pPr>
        <w:tabs>
          <w:tab w:val="right" w:pos="8306"/>
        </w:tabs>
        <w:spacing w:line="576" w:lineRule="exact"/>
        <w:ind w:firstLine="640"/>
        <w:outlineLvl w:val="1"/>
        <w:rPr>
          <w:rStyle w:val="2Char"/>
          <w:rFonts w:ascii="Times New Roman" w:hAnsi="Times New Roman"/>
        </w:rPr>
      </w:pPr>
      <w:r>
        <w:rPr>
          <w:rFonts w:eastAsia="黑体" w:hint="eastAsia"/>
          <w:sz w:val="32"/>
          <w:szCs w:val="32"/>
        </w:rPr>
        <w:t>六</w:t>
      </w:r>
      <w:r>
        <w:rPr>
          <w:rFonts w:eastAsia="黑体" w:hint="eastAsia"/>
          <w:b/>
          <w:sz w:val="32"/>
          <w:szCs w:val="32"/>
        </w:rPr>
        <w:t>、一</w:t>
      </w:r>
      <w:r>
        <w:rPr>
          <w:rStyle w:val="2Char"/>
          <w:rFonts w:ascii="Times New Roman" w:eastAsia="黑体" w:hAnsi="Times New Roman" w:hint="eastAsia"/>
          <w:b w:val="0"/>
        </w:rPr>
        <w:t>般公共预算财政拨款基本支出决算情况说明</w:t>
      </w:r>
      <w:bookmarkEnd w:id="26"/>
      <w:bookmarkEnd w:id="27"/>
      <w:r>
        <w:rPr>
          <w:rStyle w:val="2Char"/>
          <w:rFonts w:ascii="Times New Roman" w:eastAsia="黑体" w:hAnsi="Times New Roman"/>
          <w:b w:val="0"/>
        </w:rPr>
        <w:tab/>
      </w:r>
    </w:p>
    <w:p>
      <w:pPr>
        <w:spacing w:line="576" w:lineRule="exact"/>
        <w:ind w:firstLine="640"/>
        <w:rPr>
          <w:rFonts w:eastAsia="仿宋_GB2312" w:cs="仿宋_GB2312"/>
          <w:sz w:val="32"/>
          <w:szCs w:val="32"/>
        </w:rPr>
      </w:pPr>
      <w:r>
        <w:rPr>
          <w:rFonts w:eastAsia="仿宋_GB2312" w:cs="仿宋_GB2312" w:hint="eastAsia"/>
          <w:sz w:val="32"/>
          <w:szCs w:val="32"/>
        </w:rPr>
        <w:t>2024年度一般公共预算财政拨款基本支出</w:t>
      </w:r>
      <w:r>
        <w:rPr>
          <w:rFonts w:ascii="仿宋_GB2312" w:eastAsia="仿宋_GB2312" w:cs="仿宋_GB2312" w:hint="eastAsia"/>
          <w:sz w:val="32"/>
          <w:szCs w:val="32"/>
        </w:rPr>
        <w:t>23</w:t>
      </w:r>
      <w:r>
        <w:rPr>
          <w:rFonts w:ascii="仿宋_GB2312" w:eastAsia="仿宋_GB2312" w:cs="仿宋_GB2312"/>
          <w:sz w:val="32"/>
          <w:szCs w:val="32"/>
        </w:rPr>
        <w:t>,</w:t>
      </w:r>
      <w:r>
        <w:rPr>
          <w:rFonts w:ascii="仿宋_GB2312" w:eastAsia="仿宋_GB2312" w:cs="仿宋_GB2312" w:hint="eastAsia"/>
          <w:sz w:val="32"/>
          <w:szCs w:val="32"/>
        </w:rPr>
        <w:t>159.93万</w:t>
      </w:r>
      <w:r>
        <w:rPr>
          <w:rFonts w:eastAsia="仿宋_GB2312" w:cs="仿宋_GB2312" w:hint="eastAsia"/>
          <w:sz w:val="32"/>
          <w:szCs w:val="32"/>
        </w:rPr>
        <w:t>元，其中：</w:t>
      </w:r>
    </w:p>
    <w:p>
      <w:pPr>
        <w:spacing w:line="576" w:lineRule="exact"/>
        <w:ind w:firstLine="640"/>
        <w:rPr>
          <w:rFonts w:eastAsia="仿宋_GB2312" w:cs="仿宋_GB2312"/>
          <w:sz w:val="32"/>
          <w:szCs w:val="32"/>
        </w:rPr>
      </w:pPr>
      <w:r>
        <w:rPr>
          <w:rFonts w:eastAsia="仿宋_GB2312" w:cs="仿宋_GB2312" w:hint="eastAsia"/>
          <w:sz w:val="32"/>
          <w:szCs w:val="32"/>
        </w:rPr>
        <w:t>人员经费</w:t>
      </w:r>
      <w:r>
        <w:rPr>
          <w:rFonts w:ascii="仿宋_GB2312" w:eastAsia="仿宋_GB2312" w:cs="仿宋_GB2312" w:hint="eastAsia"/>
          <w:sz w:val="32"/>
          <w:szCs w:val="32"/>
        </w:rPr>
        <w:t>20</w:t>
      </w:r>
      <w:r>
        <w:rPr>
          <w:rFonts w:ascii="仿宋_GB2312" w:eastAsia="仿宋_GB2312" w:cs="仿宋_GB2312"/>
          <w:sz w:val="32"/>
          <w:szCs w:val="32"/>
        </w:rPr>
        <w:t>,</w:t>
      </w:r>
      <w:r>
        <w:rPr>
          <w:rFonts w:ascii="仿宋_GB2312" w:eastAsia="仿宋_GB2312" w:cs="仿宋_GB2312" w:hint="eastAsia"/>
          <w:sz w:val="32"/>
          <w:szCs w:val="32"/>
        </w:rPr>
        <w:t>839.56万</w:t>
      </w:r>
      <w:r>
        <w:rPr>
          <w:rFonts w:eastAsia="仿宋_GB2312" w:cs="仿宋_GB2312" w:hint="eastAsia"/>
          <w:sz w:val="32"/>
          <w:szCs w:val="32"/>
        </w:rPr>
        <w:t>元，主要包括：基本工资、津贴补贴、奖金、伙食补助费、机关事业单位基本养老保险缴费、职业年金缴费、职工基本医疗保险缴费、公务员医疗补助缴费、其他社会保障缴费、住房公积金、其他工资福利支出、其他对个人和家庭的补助支出、离休费、抚恤金、生活补助、奖励金等。</w:t>
        <w:br/>
        <w:t>　　公用经费</w:t>
      </w:r>
      <w:r>
        <w:rPr>
          <w:rFonts w:ascii="仿宋_GB2312" w:eastAsia="仿宋_GB2312" w:cs="仿宋_GB2312" w:hint="eastAsia"/>
          <w:sz w:val="32"/>
          <w:szCs w:val="32"/>
        </w:rPr>
        <w:t>2,320.37万</w:t>
      </w:r>
      <w:r>
        <w:rPr>
          <w:rFonts w:eastAsia="仿宋_GB2312" w:cs="仿宋_GB2312" w:hint="eastAsia"/>
          <w:sz w:val="32"/>
          <w:szCs w:val="32"/>
        </w:rPr>
        <w:t>元，主要包括：办公费、印刷费、水费、电费、邮电费、物业管理费、差旅费、维修（护）费、租赁费、培训费、公务接待费、专用材料费、被装购置费、专用燃料费、劳务费、委托业务费、福利费、公务用车运行维护费、其他交通费、其他商品和服务支出、办公设备购置、专用设备购置、公务用车购置、其他交通工具购置、信息网络及软件购置更新、其他资本性支出等。</w:t>
      </w:r>
    </w:p>
    <w:p>
      <w:pPr>
        <w:spacing w:line="576" w:lineRule="exact"/>
        <w:ind w:firstLine="640"/>
        <w:outlineLvl w:val="1"/>
        <w:rPr>
          <w:rStyle w:val="2Char"/>
          <w:rFonts w:ascii="Times New Roman" w:eastAsia="黑体" w:hAnsi="Times New Roman"/>
          <w:b w:val="0"/>
        </w:rPr>
      </w:pPr>
      <w:bookmarkStart w:id="28" w:name="_Toc15396609"/>
      <w:bookmarkStart w:id="29" w:name="_Toc15377215"/>
      <w:r>
        <w:rPr>
          <w:rFonts w:eastAsia="黑体" w:hint="eastAsia"/>
          <w:sz w:val="32"/>
          <w:szCs w:val="32"/>
        </w:rPr>
        <w:t>七、</w:t>
      </w:r>
      <w:r>
        <w:rPr>
          <w:rStyle w:val="2Char"/>
          <w:rFonts w:ascii="Times New Roman" w:eastAsia="黑体" w:hAnsi="Times New Roman" w:hint="eastAsia"/>
          <w:b w:val="0"/>
        </w:rPr>
        <w:t>财政拨款</w:t>
      </w:r>
      <w:r>
        <w:rPr>
          <w:rStyle w:val="2Char"/>
          <w:rFonts w:ascii="Times New Roman" w:eastAsia="黑体" w:hAnsi="Times New Roman" w:hint="eastAsia"/>
        </w:rPr>
        <w:t>“</w:t>
      </w:r>
      <w:r>
        <w:rPr>
          <w:rStyle w:val="2Char"/>
          <w:rFonts w:ascii="Times New Roman" w:eastAsia="黑体" w:hAnsi="Times New Roman" w:hint="eastAsia"/>
          <w:b w:val="0"/>
        </w:rPr>
        <w:t>三公”经费支出决算情况说明</w:t>
      </w:r>
      <w:bookmarkEnd w:id="28"/>
      <w:bookmarkEnd w:id="29"/>
    </w:p>
    <w:p>
      <w:pPr>
        <w:spacing w:line="576" w:lineRule="exact"/>
        <w:ind w:firstLineChars="200" w:firstLine="640"/>
        <w:outlineLvl w:val="2"/>
        <w:rPr>
          <w:rFonts w:eastAsia="楷体_GB2312" w:cs="楷体_GB2312"/>
          <w:b/>
          <w:sz w:val="32"/>
          <w:szCs w:val="32"/>
        </w:rPr>
      </w:pPr>
      <w:bookmarkStart w:id="30" w:name="_Toc15377216"/>
      <w:r>
        <w:rPr>
          <w:rFonts w:eastAsia="楷体_GB2312" w:cs="楷体_GB2312" w:hint="eastAsia"/>
          <w:b/>
          <w:sz w:val="32"/>
          <w:szCs w:val="32"/>
        </w:rPr>
        <w:t>（一）“三公”经费财政拨款支出决算总体情况说明</w:t>
      </w:r>
      <w:bookmarkEnd w:id="30"/>
    </w:p>
    <w:p>
      <w:pPr>
        <w:spacing w:line="576" w:lineRule="exact"/>
        <w:ind w:firstLine="640"/>
        <w:rPr>
          <w:rFonts w:eastAsia="仿宋_GB2312" w:cs="仿宋_GB2312"/>
          <w:sz w:val="32"/>
          <w:szCs w:val="32"/>
        </w:rPr>
      </w:pPr>
      <w:r>
        <w:rPr>
          <w:rFonts w:eastAsia="仿宋_GB2312" w:cs="仿宋_GB2312" w:hint="eastAsia"/>
          <w:sz w:val="32"/>
          <w:szCs w:val="32"/>
        </w:rPr>
        <w:t>2024年度“三公”经费财政拨款支出决算为</w:t>
      </w:r>
      <w:r>
        <w:rPr>
          <w:rFonts w:ascii="仿宋_GB2312" w:eastAsia="仿宋_GB2312" w:cs="仿宋_GB2312" w:hint="eastAsia"/>
          <w:sz w:val="32"/>
          <w:szCs w:val="32"/>
        </w:rPr>
        <w:t>917.19万元，完成预算100%，</w:t>
      </w:r>
      <w:r>
        <w:rPr>
          <w:rFonts w:eastAsia="仿宋_GB2312" w:cs="仿宋_GB2312" w:hint="eastAsia"/>
          <w:sz w:val="32"/>
          <w:szCs w:val="32"/>
        </w:rPr>
        <w:t>较上年度增加</w:t>
      </w:r>
      <w:r>
        <w:rPr>
          <w:rFonts w:eastAsia="仿宋_GB2312" w:cs="仿宋_GB2312"/>
          <w:sz w:val="32"/>
          <w:szCs w:val="32"/>
        </w:rPr>
        <w:t>153.14</w:t>
      </w:r>
      <w:r>
        <w:rPr>
          <w:rFonts w:eastAsia="仿宋_GB2312" w:cs="仿宋_GB2312" w:hint="eastAsia"/>
          <w:sz w:val="32"/>
          <w:szCs w:val="32"/>
        </w:rPr>
        <w:t>万元，增长</w:t>
      </w:r>
      <w:r>
        <w:rPr>
          <w:rFonts w:eastAsia="仿宋_GB2312" w:cs="仿宋_GB2312"/>
          <w:sz w:val="32"/>
          <w:szCs w:val="32"/>
        </w:rPr>
        <w:t>20.04</w:t>
      </w:r>
      <w:r>
        <w:rPr>
          <w:rFonts w:eastAsia="仿宋_GB2312" w:cs="仿宋_GB2312" w:hint="eastAsia"/>
          <w:sz w:val="32"/>
          <w:szCs w:val="32"/>
        </w:rPr>
        <w:t>%。决算数与预算数持平。</w:t>
      </w:r>
    </w:p>
    <w:p>
      <w:pPr>
        <w:spacing w:line="576" w:lineRule="exact"/>
        <w:ind w:firstLineChars="200" w:firstLine="640"/>
        <w:outlineLvl w:val="2"/>
        <w:rPr>
          <w:rFonts w:eastAsia="楷体_GB2312" w:cs="楷体_GB2312"/>
          <w:b/>
          <w:sz w:val="32"/>
          <w:szCs w:val="32"/>
        </w:rPr>
      </w:pPr>
      <w:bookmarkStart w:id="31" w:name="_Toc15377217"/>
      <w:r>
        <w:rPr>
          <w:rFonts w:eastAsia="楷体_GB2312" w:cs="楷体_GB2312" w:hint="eastAsia"/>
          <w:b/>
          <w:sz w:val="32"/>
          <w:szCs w:val="32"/>
        </w:rPr>
        <w:t>（二）“三公”经费财政拨款支出决算具体情况说明</w:t>
      </w:r>
      <w:bookmarkEnd w:id="31"/>
    </w:p>
    <w:p>
      <w:pPr>
        <w:spacing w:line="576" w:lineRule="exact"/>
        <w:ind w:firstLine="640"/>
        <w:rPr>
          <w:rFonts w:ascii="仿宋_GB2312" w:eastAsia="仿宋_GB2312" w:cs="仿宋_GB2312"/>
          <w:sz w:val="32"/>
          <w:szCs w:val="32"/>
        </w:rPr>
      </w:pPr>
      <w:r>
        <w:rPr>
          <w:rFonts w:ascii="仿宋_GB2312" w:eastAsia="仿宋_GB2312" w:cs="仿宋_GB2312" w:hint="eastAsia"/>
          <w:sz w:val="32"/>
          <w:szCs w:val="32"/>
        </w:rPr>
        <w:t>2024年度“三公”经费财政拨款支出决算中，因公出国（境）费支出决算0万元，占</w:t>
      </w:r>
      <w:r>
        <w:rPr>
          <w:rFonts w:ascii="仿宋_GB2312" w:eastAsia="仿宋_GB2312" w:cs="仿宋_GB2312"/>
          <w:sz w:val="32"/>
          <w:szCs w:val="32"/>
        </w:rPr>
        <w:t>0</w:t>
      </w:r>
      <w:r>
        <w:rPr>
          <w:rFonts w:ascii="仿宋_GB2312" w:eastAsia="仿宋_GB2312" w:cs="仿宋_GB2312" w:hint="eastAsia"/>
          <w:sz w:val="32"/>
          <w:szCs w:val="32"/>
        </w:rPr>
        <w:t>%；公务用车购置支出决算429.48万元，占</w:t>
      </w:r>
      <w:r>
        <w:rPr>
          <w:rFonts w:ascii="仿宋_GB2312" w:eastAsia="仿宋_GB2312" w:cs="仿宋_GB2312"/>
          <w:sz w:val="32"/>
          <w:szCs w:val="32"/>
        </w:rPr>
        <w:t>46.83</w:t>
      </w:r>
      <w:r>
        <w:rPr>
          <w:rFonts w:ascii="仿宋_GB2312" w:eastAsia="仿宋_GB2312" w:cs="仿宋_GB2312" w:hint="eastAsia"/>
          <w:sz w:val="32"/>
          <w:szCs w:val="32"/>
        </w:rPr>
        <w:t>%；公务用</w:t>
      </w:r>
      <w:r>
        <w:rPr>
          <w:rFonts w:ascii="仿宋_GB2312" w:eastAsia="仿宋_GB2312" w:cs="仿宋_GB2312"/>
          <w:sz w:val="32"/>
          <w:szCs w:val="32"/>
        </w:rPr>
        <w:t>车</w:t>
      </w:r>
      <w:r>
        <w:rPr>
          <w:rFonts w:ascii="仿宋_GB2312" w:eastAsia="仿宋_GB2312" w:cs="仿宋_GB2312" w:hint="eastAsia"/>
          <w:sz w:val="32"/>
          <w:szCs w:val="32"/>
        </w:rPr>
        <w:t>运行维护费支出决算</w:t>
      </w:r>
      <w:r>
        <w:rPr>
          <w:rFonts w:ascii="仿宋_GB2312" w:eastAsia="仿宋_GB2312" w:cs="仿宋_GB2312"/>
          <w:sz w:val="32"/>
          <w:szCs w:val="32"/>
        </w:rPr>
        <w:t>486.08</w:t>
      </w:r>
      <w:r>
        <w:rPr>
          <w:rFonts w:ascii="仿宋_GB2312" w:eastAsia="仿宋_GB2312" w:cs="仿宋_GB2312" w:hint="eastAsia"/>
          <w:sz w:val="32"/>
          <w:szCs w:val="32"/>
        </w:rPr>
        <w:t>万元，占</w:t>
      </w:r>
      <w:r>
        <w:rPr>
          <w:rFonts w:ascii="仿宋_GB2312" w:eastAsia="仿宋_GB2312" w:cs="仿宋_GB2312"/>
          <w:sz w:val="32"/>
          <w:szCs w:val="32"/>
        </w:rPr>
        <w:t>53</w:t>
      </w:r>
      <w:r>
        <w:rPr>
          <w:rFonts w:ascii="仿宋_GB2312" w:eastAsia="仿宋_GB2312" w:cs="仿宋_GB2312" w:hint="eastAsia"/>
          <w:sz w:val="32"/>
          <w:szCs w:val="32"/>
        </w:rPr>
        <w:t>%；公务接待费支出决算1.62万元，占</w:t>
      </w:r>
      <w:r>
        <w:rPr>
          <w:rFonts w:ascii="仿宋_GB2312" w:eastAsia="仿宋_GB2312" w:cs="仿宋_GB2312"/>
          <w:sz w:val="32"/>
          <w:szCs w:val="32"/>
        </w:rPr>
        <w:t>0.17</w:t>
      </w:r>
      <w:r>
        <w:rPr>
          <w:rFonts w:ascii="仿宋_GB2312" w:eastAsia="仿宋_GB2312" w:cs="仿宋_GB2312" w:hint="eastAsia"/>
          <w:sz w:val="32"/>
          <w:szCs w:val="32"/>
        </w:rPr>
        <w:t>%。具体情况如下：</w:t>
      </w:r>
    </w:p>
    <w:p>
      <w:pPr>
        <w:pStyle w:val="15"/>
      </w:pPr>
    </w:p>
    <w:p>
      <w:pPr>
        <w:pStyle w:val="15"/>
      </w:pPr>
      <w:r>
        <w:drawing>
          <wp:anchor distT="0" distB="0" distL="114300" distR="114300" simplePos="0" relativeHeight="32" behindDoc="0" locked="0" layoutInCell="1" hidden="0" allowOverlap="1">
            <wp:simplePos x="0" y="0"/>
            <wp:positionH relativeFrom="column">
              <wp:posOffset>3810</wp:posOffset>
            </wp:positionH>
            <wp:positionV relativeFrom="paragraph">
              <wp:posOffset>10795</wp:posOffset>
            </wp:positionV>
            <wp:extent cx="5274310" cy="3076575"/>
            <wp:effectExtent l="0" t="0" r="0" b="0"/>
            <wp:wrapNone/>
            <wp:docPr id="13" name="图表 7"/>
            <wp:cNvGraphicFramePr>
              <a:graphicFrameLocks noChangeAspect="0"/>
            </wp:cNvGraphicFramePr>
            <a:graphic>
              <a:graphicData uri="http://schemas.openxmlformats.org/drawingml/2006/chart">
                <c:chart xmlns:c="http://schemas.openxmlformats.org/drawingml/2006/chart" r:id="rId16"/>
              </a:graphicData>
            </a:graphic>
          </wp:anchor>
        </w:drawing>
      </w: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7"/>
      </w:pPr>
    </w:p>
    <w:p>
      <w:pPr>
        <w:pStyle w:val="17"/>
      </w:pPr>
    </w:p>
    <w:p>
      <w:pPr>
        <w:pStyle w:val="17"/>
      </w:pPr>
    </w:p>
    <w:p>
      <w:pPr>
        <w:pStyle w:val="17"/>
      </w:pPr>
    </w:p>
    <w:p>
      <w:pPr>
        <w:spacing w:line="576" w:lineRule="exact"/>
        <w:ind w:firstLine="640"/>
        <w:rPr>
          <w:rFonts w:eastAsia="仿宋_GB2312" w:cs="仿宋_GB2312"/>
          <w:sz w:val="32"/>
          <w:szCs w:val="32"/>
        </w:rPr>
      </w:pPr>
      <w:r>
        <w:rPr>
          <w:rFonts w:eastAsia="仿宋_GB2312" w:cs="仿宋_GB2312" w:hint="eastAsia"/>
          <w:sz w:val="32"/>
          <w:szCs w:val="32"/>
        </w:rPr>
        <w:t>（图7：“三公”经费财政拨款支出结构）（饼状图）</w:t>
      </w:r>
    </w:p>
    <w:p>
      <w:pPr>
        <w:spacing w:line="600" w:lineRule="exact"/>
        <w:ind w:firstLine="640"/>
        <w:rPr>
          <w:rFonts w:eastAsia="仿宋_GB2312" w:cs="仿宋_GB2312"/>
          <w:sz w:val="32"/>
          <w:szCs w:val="32"/>
        </w:rPr>
      </w:pPr>
      <w:r>
        <w:rPr>
          <w:rFonts w:eastAsia="仿宋_GB2312" w:cs="仿宋_GB2312" w:hint="eastAsia"/>
          <w:b/>
          <w:bCs/>
          <w:sz w:val="32"/>
          <w:szCs w:val="32"/>
        </w:rPr>
        <w:t>1.因公出国（境）经费支出</w:t>
      </w:r>
      <w:r>
        <w:rPr>
          <w:rFonts w:eastAsia="仿宋_GB2312" w:cs="仿宋_GB2312"/>
          <w:b/>
          <w:bCs/>
          <w:sz w:val="32"/>
          <w:szCs w:val="32"/>
        </w:rPr>
        <w:t>0</w:t>
      </w:r>
      <w:r>
        <w:rPr>
          <w:rFonts w:eastAsia="仿宋_GB2312" w:cs="仿宋_GB2312" w:hint="eastAsia"/>
          <w:b/>
          <w:bCs/>
          <w:sz w:val="32"/>
          <w:szCs w:val="32"/>
        </w:rPr>
        <w:t>万元，完成预算</w:t>
      </w:r>
      <w:r>
        <w:rPr>
          <w:rFonts w:eastAsia="仿宋_GB2312" w:cs="仿宋_GB2312"/>
          <w:b/>
          <w:bCs/>
          <w:sz w:val="32"/>
          <w:szCs w:val="32"/>
        </w:rPr>
        <w:t>100</w:t>
      </w:r>
      <w:r>
        <w:rPr>
          <w:rFonts w:eastAsia="仿宋_GB2312" w:cs="仿宋_GB2312" w:hint="eastAsia"/>
          <w:b/>
          <w:bCs/>
          <w:sz w:val="32"/>
          <w:szCs w:val="32"/>
        </w:rPr>
        <w:t>%。</w:t>
      </w:r>
      <w:r>
        <w:rPr>
          <w:rFonts w:eastAsia="仿宋_GB2312" w:cs="仿宋_GB2312" w:hint="eastAsia"/>
          <w:sz w:val="32"/>
          <w:szCs w:val="32"/>
        </w:rPr>
        <w:t>全年安排因公出国（境）团</w:t>
      </w:r>
      <w:r>
        <w:rPr>
          <w:rFonts w:ascii="仿宋_GB2312" w:eastAsia="仿宋_GB2312" w:cs="仿宋_GB2312" w:hint="eastAsia"/>
          <w:sz w:val="32"/>
          <w:szCs w:val="32"/>
        </w:rPr>
        <w:t>组0</w:t>
      </w:r>
      <w:r>
        <w:rPr>
          <w:rFonts w:eastAsia="仿宋_GB2312" w:cs="仿宋_GB2312" w:hint="eastAsia"/>
          <w:sz w:val="32"/>
          <w:szCs w:val="32"/>
        </w:rPr>
        <w:t>次，出国（境）</w:t>
      </w:r>
      <w:r>
        <w:rPr>
          <w:rFonts w:ascii="仿宋_GB2312" w:eastAsia="仿宋_GB2312" w:cs="仿宋_GB2312" w:hint="eastAsia"/>
          <w:sz w:val="32"/>
          <w:szCs w:val="32"/>
        </w:rPr>
        <w:t>0人</w:t>
      </w:r>
      <w:r>
        <w:rPr>
          <w:rFonts w:eastAsia="仿宋_GB2312" w:cs="仿宋_GB2312" w:hint="eastAsia"/>
          <w:sz w:val="32"/>
          <w:szCs w:val="32"/>
        </w:rPr>
        <w:t>。因公出国（境）支出决算与2023年持平。</w:t>
      </w:r>
    </w:p>
    <w:p>
      <w:pPr>
        <w:spacing w:line="576" w:lineRule="exact"/>
        <w:ind w:firstLine="640"/>
        <w:rPr>
          <w:rFonts w:eastAsia="仿宋_GB2312" w:cs="仿宋_GB2312"/>
          <w:sz w:val="32"/>
          <w:szCs w:val="32"/>
        </w:rPr>
      </w:pPr>
      <w:r>
        <w:rPr>
          <w:rFonts w:eastAsia="仿宋_GB2312" w:cs="仿宋_GB2312" w:hint="eastAsia"/>
          <w:b/>
          <w:bCs/>
          <w:sz w:val="32"/>
          <w:szCs w:val="32"/>
        </w:rPr>
        <w:t>2.公务用车购置及运行维护费支出</w:t>
      </w:r>
      <w:r>
        <w:rPr>
          <w:rFonts w:ascii="仿宋_GB2312" w:eastAsia="仿宋_GB2312" w:cs="仿宋_GB2312" w:hint="eastAsia"/>
          <w:b/>
          <w:bCs/>
          <w:sz w:val="32"/>
          <w:szCs w:val="32"/>
        </w:rPr>
        <w:t>915.57万</w:t>
      </w:r>
      <w:r>
        <w:rPr>
          <w:rFonts w:eastAsia="仿宋_GB2312" w:cs="仿宋_GB2312" w:hint="eastAsia"/>
          <w:b/>
          <w:bCs/>
          <w:sz w:val="32"/>
          <w:szCs w:val="32"/>
        </w:rPr>
        <w:t>元，完成预算</w:t>
      </w:r>
      <w:r>
        <w:rPr>
          <w:rFonts w:eastAsia="仿宋_GB2312" w:cs="仿宋_GB2312"/>
          <w:b/>
          <w:bCs/>
          <w:sz w:val="32"/>
          <w:szCs w:val="32"/>
        </w:rPr>
        <w:t>100</w:t>
      </w:r>
      <w:r>
        <w:rPr>
          <w:rFonts w:eastAsia="仿宋_GB2312" w:cs="仿宋_GB2312" w:hint="eastAsia"/>
          <w:b/>
          <w:bCs/>
          <w:sz w:val="32"/>
          <w:szCs w:val="32"/>
        </w:rPr>
        <w:t>%。</w:t>
      </w:r>
      <w:r>
        <w:rPr>
          <w:rFonts w:eastAsia="仿宋_GB2312" w:cs="仿宋_GB2312" w:hint="eastAsia"/>
          <w:sz w:val="32"/>
          <w:szCs w:val="32"/>
        </w:rPr>
        <w:t>公务用车购置及运行维护费支出决算比2023年度增加</w:t>
      </w:r>
      <w:r>
        <w:rPr>
          <w:rFonts w:eastAsia="仿宋_GB2312" w:cs="仿宋_GB2312"/>
          <w:sz w:val="32"/>
          <w:szCs w:val="32"/>
        </w:rPr>
        <w:t>161.42</w:t>
      </w:r>
      <w:r>
        <w:rPr>
          <w:rFonts w:eastAsia="仿宋_GB2312" w:cs="仿宋_GB2312" w:hint="eastAsia"/>
          <w:sz w:val="32"/>
          <w:szCs w:val="32"/>
        </w:rPr>
        <w:t>万元，增长</w:t>
      </w:r>
      <w:r>
        <w:rPr>
          <w:rFonts w:eastAsia="仿宋_GB2312" w:cs="仿宋_GB2312"/>
          <w:sz w:val="32"/>
          <w:szCs w:val="32"/>
        </w:rPr>
        <w:t>21.4</w:t>
      </w:r>
      <w:r>
        <w:rPr>
          <w:rFonts w:eastAsia="仿宋_GB2312" w:cs="仿宋_GB2312" w:hint="eastAsia"/>
          <w:sz w:val="32"/>
          <w:szCs w:val="32"/>
        </w:rPr>
        <w:t>%。主要原因是：新</w:t>
      </w:r>
      <w:r>
        <w:rPr>
          <w:rFonts w:eastAsia="仿宋_GB2312" w:cs="仿宋_GB2312"/>
          <w:sz w:val="32"/>
          <w:szCs w:val="32"/>
        </w:rPr>
        <w:t>购置执法执勤用车</w:t>
      </w:r>
      <w:r>
        <w:rPr>
          <w:rFonts w:eastAsia="仿宋_GB2312" w:cs="仿宋_GB2312" w:hint="eastAsia"/>
          <w:sz w:val="32"/>
          <w:szCs w:val="32"/>
        </w:rPr>
        <w:t>12辆</w:t>
      </w:r>
      <w:r>
        <w:rPr>
          <w:rFonts w:eastAsia="仿宋_GB2312" w:cs="仿宋_GB2312"/>
          <w:sz w:val="32"/>
          <w:szCs w:val="32"/>
        </w:rPr>
        <w:t>，导致公务用车购置费用增加</w:t>
      </w:r>
      <w:r>
        <w:rPr>
          <w:rFonts w:eastAsia="仿宋_GB2312" w:cs="仿宋_GB2312" w:hint="eastAsia"/>
          <w:sz w:val="32"/>
          <w:szCs w:val="32"/>
        </w:rPr>
        <w:t>。</w:t>
      </w:r>
    </w:p>
    <w:p>
      <w:pPr>
        <w:spacing w:line="576" w:lineRule="exact"/>
        <w:ind w:firstLine="640"/>
        <w:rPr>
          <w:rFonts w:eastAsia="仿宋_GB2312" w:cs="仿宋_GB2312"/>
          <w:sz w:val="32"/>
          <w:szCs w:val="32"/>
        </w:rPr>
      </w:pPr>
      <w:r>
        <w:rPr>
          <w:rFonts w:eastAsia="仿宋_GB2312" w:cs="仿宋_GB2312" w:hint="eastAsia"/>
          <w:sz w:val="32"/>
          <w:szCs w:val="32"/>
        </w:rPr>
        <w:t>其中：</w:t>
      </w:r>
      <w:r>
        <w:rPr>
          <w:rFonts w:eastAsia="仿宋_GB2312" w:cs="仿宋_GB2312"/>
          <w:sz w:val="32"/>
          <w:szCs w:val="32"/>
        </w:rPr>
        <w:t>执法执勤用车</w:t>
      </w:r>
      <w:r>
        <w:rPr>
          <w:rFonts w:eastAsia="仿宋_GB2312" w:cs="仿宋_GB2312" w:hint="eastAsia"/>
          <w:sz w:val="32"/>
          <w:szCs w:val="32"/>
        </w:rPr>
        <w:t>购置支</w:t>
      </w:r>
      <w:r>
        <w:rPr>
          <w:rFonts w:ascii="仿宋_GB2312" w:eastAsia="仿宋_GB2312" w:cs="仿宋_GB2312" w:hint="eastAsia"/>
          <w:sz w:val="32"/>
          <w:szCs w:val="32"/>
        </w:rPr>
        <w:t>出429.48</w:t>
      </w:r>
      <w:r>
        <w:rPr>
          <w:rFonts w:eastAsia="仿宋_GB2312" w:cs="仿宋_GB2312" w:hint="eastAsia"/>
          <w:sz w:val="32"/>
          <w:szCs w:val="32"/>
        </w:rPr>
        <w:t>万元。全年按规定更新购置</w:t>
      </w:r>
      <w:r>
        <w:rPr>
          <w:rFonts w:eastAsia="仿宋_GB2312" w:cs="仿宋_GB2312"/>
          <w:sz w:val="32"/>
          <w:szCs w:val="32"/>
        </w:rPr>
        <w:t>执法执勤用车</w:t>
      </w:r>
      <w:r>
        <w:rPr>
          <w:rFonts w:eastAsia="仿宋_GB2312" w:cs="仿宋_GB2312" w:hint="eastAsia"/>
          <w:sz w:val="32"/>
          <w:szCs w:val="32"/>
        </w:rPr>
        <w:t>**辆，其中：轿车**辆、金额**万元，越野车**辆、金额**万元，载客汽车**辆、金额**万元，主要用于……。截至2024年12月31日，单位共有</w:t>
      </w:r>
      <w:r>
        <w:rPr>
          <w:rFonts w:eastAsia="仿宋_GB2312" w:cs="仿宋_GB2312"/>
          <w:sz w:val="32"/>
          <w:szCs w:val="32"/>
        </w:rPr>
        <w:t>执法执勤用车</w:t>
      </w:r>
      <w:r>
        <w:rPr>
          <w:rFonts w:eastAsia="仿宋_GB2312" w:cs="仿宋_GB2312" w:hint="eastAsia"/>
          <w:sz w:val="32"/>
          <w:szCs w:val="32"/>
        </w:rPr>
        <w:t>**辆，其中：轿车**辆、越野车**辆、载客汽车**辆。（单位</w:t>
      </w:r>
      <w:r>
        <w:rPr>
          <w:rFonts w:eastAsia="仿宋_GB2312" w:cs="仿宋_GB2312" w:hint="eastAsia"/>
          <w:sz w:val="32"/>
          <w:szCs w:val="32"/>
          <w:lang w:eastAsia="zh-CN"/>
        </w:rPr>
        <w:t>所有车辆均属</w:t>
      </w:r>
      <w:r>
        <w:rPr>
          <w:rFonts w:eastAsia="仿宋_GB2312" w:cs="仿宋_GB2312"/>
          <w:sz w:val="32"/>
          <w:szCs w:val="32"/>
        </w:rPr>
        <w:t>执法执勤用车</w:t>
      </w:r>
      <w:r>
        <w:rPr>
          <w:rFonts w:eastAsia="仿宋_GB2312" w:cs="仿宋_GB2312" w:hint="eastAsia"/>
          <w:sz w:val="32"/>
          <w:szCs w:val="32"/>
          <w:lang w:eastAsia="zh-CN"/>
        </w:rPr>
        <w:t>，</w:t>
      </w:r>
      <w:r>
        <w:rPr>
          <w:rFonts w:eastAsia="仿宋_GB2312" w:cs="仿宋_GB2312"/>
          <w:sz w:val="32"/>
          <w:szCs w:val="32"/>
        </w:rPr>
        <w:t>数量不宜公开</w:t>
      </w:r>
      <w:r>
        <w:rPr>
          <w:rFonts w:eastAsia="仿宋_GB2312" w:cs="仿宋_GB2312" w:hint="eastAsia"/>
          <w:sz w:val="32"/>
          <w:szCs w:val="32"/>
        </w:rPr>
        <w:t>）</w:t>
      </w:r>
    </w:p>
    <w:p>
      <w:pPr>
        <w:spacing w:line="576" w:lineRule="exact"/>
        <w:ind w:firstLine="640"/>
        <w:rPr>
          <w:rFonts w:eastAsia="仿宋_GB2312" w:cs="仿宋_GB2312"/>
          <w:sz w:val="32"/>
          <w:szCs w:val="32"/>
        </w:rPr>
      </w:pPr>
      <w:r>
        <w:rPr>
          <w:rFonts w:eastAsia="仿宋_GB2312" w:cs="仿宋_GB2312" w:hint="eastAsia"/>
          <w:sz w:val="32"/>
          <w:szCs w:val="32"/>
        </w:rPr>
        <w:t>公务用车运行维护费支</w:t>
      </w:r>
      <w:r>
        <w:rPr>
          <w:rFonts w:ascii="仿宋_GB2312" w:eastAsia="仿宋_GB2312" w:cs="仿宋_GB2312" w:hint="eastAsia"/>
          <w:sz w:val="32"/>
          <w:szCs w:val="32"/>
        </w:rPr>
        <w:t>出486.08</w:t>
      </w:r>
      <w:r>
        <w:rPr>
          <w:rFonts w:eastAsia="仿宋_GB2312" w:cs="仿宋_GB2312" w:hint="eastAsia"/>
          <w:sz w:val="32"/>
          <w:szCs w:val="32"/>
        </w:rPr>
        <w:t>万元。主要用于民（辅）警</w:t>
      </w:r>
      <w:r>
        <w:rPr>
          <w:rFonts w:eastAsia="仿宋_GB2312" w:cs="仿宋_GB2312"/>
          <w:sz w:val="32"/>
          <w:szCs w:val="32"/>
        </w:rPr>
        <w:t>执法</w:t>
      </w:r>
      <w:r>
        <w:rPr>
          <w:rFonts w:eastAsia="仿宋_GB2312" w:cs="仿宋_GB2312" w:hint="eastAsia"/>
          <w:sz w:val="32"/>
          <w:szCs w:val="32"/>
        </w:rPr>
        <w:t>执勤</w:t>
      </w:r>
      <w:r>
        <w:rPr>
          <w:rFonts w:eastAsia="仿宋_GB2312" w:cs="仿宋_GB2312"/>
          <w:sz w:val="32"/>
          <w:szCs w:val="32"/>
        </w:rPr>
        <w:t>、办案、抢险救援、维护</w:t>
      </w:r>
      <w:r>
        <w:rPr>
          <w:rFonts w:eastAsia="仿宋_GB2312" w:cs="仿宋_GB2312" w:hint="eastAsia"/>
          <w:sz w:val="32"/>
          <w:szCs w:val="32"/>
        </w:rPr>
        <w:t>wd、安保</w:t>
      </w:r>
      <w:r>
        <w:rPr>
          <w:rFonts w:eastAsia="仿宋_GB2312" w:cs="仿宋_GB2312"/>
          <w:sz w:val="32"/>
          <w:szCs w:val="32"/>
        </w:rPr>
        <w:t>等工作</w:t>
      </w:r>
      <w:r>
        <w:rPr>
          <w:rFonts w:eastAsia="仿宋_GB2312" w:cs="仿宋_GB2312" w:hint="eastAsia"/>
          <w:sz w:val="32"/>
          <w:szCs w:val="32"/>
        </w:rPr>
        <w:t xml:space="preserve">所需的公务用车燃料费、维修费、过路过桥费、保险费等支出。  </w:t>
      </w:r>
    </w:p>
    <w:p>
      <w:pPr>
        <w:spacing w:line="576" w:lineRule="exact"/>
        <w:ind w:firstLine="640"/>
        <w:rPr>
          <w:rFonts w:eastAsia="仿宋_GB2312" w:cs="仿宋_GB2312"/>
          <w:sz w:val="32"/>
          <w:szCs w:val="32"/>
        </w:rPr>
      </w:pPr>
      <w:r>
        <w:rPr>
          <w:rFonts w:eastAsia="仿宋_GB2312" w:cs="仿宋_GB2312" w:hint="eastAsia"/>
          <w:b/>
          <w:bCs/>
          <w:sz w:val="32"/>
          <w:szCs w:val="32"/>
        </w:rPr>
        <w:t>3.公务接待费支出</w:t>
      </w:r>
      <w:r>
        <w:rPr>
          <w:rFonts w:ascii="仿宋_GB2312" w:eastAsia="仿宋_GB2312" w:cs="仿宋_GB2312" w:hint="eastAsia"/>
          <w:b/>
          <w:bCs/>
          <w:sz w:val="32"/>
          <w:szCs w:val="32"/>
        </w:rPr>
        <w:t>1.62万</w:t>
      </w:r>
      <w:r>
        <w:rPr>
          <w:rFonts w:eastAsia="仿宋_GB2312" w:cs="仿宋_GB2312" w:hint="eastAsia"/>
          <w:b/>
          <w:bCs/>
          <w:sz w:val="32"/>
          <w:szCs w:val="32"/>
        </w:rPr>
        <w:t>元，完成预算</w:t>
      </w:r>
      <w:r>
        <w:rPr>
          <w:rFonts w:eastAsia="仿宋_GB2312" w:cs="仿宋_GB2312"/>
          <w:b/>
          <w:bCs/>
          <w:sz w:val="32"/>
          <w:szCs w:val="32"/>
        </w:rPr>
        <w:t>100</w:t>
      </w:r>
      <w:r>
        <w:rPr>
          <w:rFonts w:eastAsia="仿宋_GB2312" w:cs="仿宋_GB2312" w:hint="eastAsia"/>
          <w:b/>
          <w:bCs/>
          <w:sz w:val="32"/>
          <w:szCs w:val="32"/>
        </w:rPr>
        <w:t>%。</w:t>
      </w:r>
      <w:r>
        <w:rPr>
          <w:rFonts w:eastAsia="仿宋_GB2312" w:cs="仿宋_GB2312" w:hint="eastAsia"/>
          <w:sz w:val="32"/>
          <w:szCs w:val="32"/>
        </w:rPr>
        <w:t>公务接待费支出决算比2023年度增加</w:t>
      </w:r>
      <w:r>
        <w:rPr>
          <w:rFonts w:eastAsia="仿宋_GB2312" w:cs="仿宋_GB2312"/>
          <w:sz w:val="32"/>
          <w:szCs w:val="32"/>
        </w:rPr>
        <w:t>0.53</w:t>
      </w:r>
      <w:r>
        <w:rPr>
          <w:rFonts w:eastAsia="仿宋_GB2312" w:cs="仿宋_GB2312" w:hint="eastAsia"/>
          <w:sz w:val="32"/>
          <w:szCs w:val="32"/>
        </w:rPr>
        <w:t>万元，增长</w:t>
      </w:r>
      <w:r>
        <w:rPr>
          <w:rFonts w:eastAsia="仿宋_GB2312" w:cs="仿宋_GB2312"/>
          <w:sz w:val="32"/>
          <w:szCs w:val="32"/>
        </w:rPr>
        <w:t>48.62</w:t>
      </w:r>
      <w:r>
        <w:rPr>
          <w:rFonts w:eastAsia="仿宋_GB2312" w:cs="仿宋_GB2312" w:hint="eastAsia"/>
          <w:sz w:val="32"/>
          <w:szCs w:val="32"/>
        </w:rPr>
        <w:t>%。主要原因是：2</w:t>
      </w:r>
      <w:r>
        <w:rPr>
          <w:rFonts w:eastAsia="仿宋_GB2312" w:cs="仿宋_GB2312"/>
          <w:sz w:val="32"/>
          <w:szCs w:val="32"/>
        </w:rPr>
        <w:t>024</w:t>
      </w:r>
      <w:r>
        <w:rPr>
          <w:rFonts w:eastAsia="仿宋_GB2312" w:cs="仿宋_GB2312" w:hint="eastAsia"/>
          <w:sz w:val="32"/>
          <w:szCs w:val="32"/>
        </w:rPr>
        <w:t>年增加了</w:t>
      </w:r>
      <w:r>
        <w:rPr>
          <w:rFonts w:eastAsia="仿宋_GB2312" w:cs="仿宋_GB2312"/>
          <w:sz w:val="32"/>
          <w:szCs w:val="32"/>
        </w:rPr>
        <w:t>外事接待，接待南非、埃及访问团</w:t>
      </w:r>
      <w:r>
        <w:rPr>
          <w:rFonts w:eastAsia="仿宋_GB2312" w:cs="仿宋_GB2312" w:hint="eastAsia"/>
          <w:sz w:val="32"/>
          <w:szCs w:val="32"/>
        </w:rPr>
        <w:t>。</w:t>
      </w:r>
    </w:p>
    <w:p>
      <w:pPr>
        <w:spacing w:line="600" w:lineRule="exact"/>
        <w:ind w:firstLine="640"/>
        <w:rPr>
          <w:rFonts w:eastAsia="仿宋_GB2312" w:cs="仿宋_GB2312"/>
          <w:sz w:val="32"/>
          <w:szCs w:val="32"/>
        </w:rPr>
      </w:pPr>
      <w:bookmarkStart w:id="32" w:name="_Toc15396610"/>
      <w:bookmarkStart w:id="33" w:name="_Toc15377218"/>
      <w:r>
        <w:rPr>
          <w:rFonts w:eastAsia="仿宋_GB2312" w:cs="仿宋_GB2312" w:hint="eastAsia"/>
          <w:sz w:val="32"/>
          <w:szCs w:val="32"/>
        </w:rPr>
        <w:t>其中：国内公务接待支</w:t>
      </w:r>
      <w:r>
        <w:rPr>
          <w:rFonts w:ascii="仿宋_GB2312" w:eastAsia="仿宋_GB2312" w:cs="仿宋_GB2312" w:hint="eastAsia"/>
          <w:sz w:val="32"/>
          <w:szCs w:val="32"/>
        </w:rPr>
        <w:t>出</w:t>
      </w:r>
      <w:r>
        <w:rPr>
          <w:rFonts w:ascii="仿宋_GB2312" w:eastAsia="仿宋_GB2312" w:cs="仿宋_GB2312"/>
          <w:sz w:val="32"/>
          <w:szCs w:val="32"/>
        </w:rPr>
        <w:t>0.44</w:t>
      </w:r>
      <w:r>
        <w:rPr>
          <w:rFonts w:ascii="仿宋_GB2312" w:eastAsia="仿宋_GB2312" w:cs="仿宋_GB2312" w:hint="eastAsia"/>
          <w:sz w:val="32"/>
          <w:szCs w:val="32"/>
        </w:rPr>
        <w:t>万</w:t>
      </w:r>
      <w:r>
        <w:rPr>
          <w:rFonts w:eastAsia="仿宋_GB2312" w:cs="仿宋_GB2312" w:hint="eastAsia"/>
          <w:sz w:val="32"/>
          <w:szCs w:val="32"/>
        </w:rPr>
        <w:t>元，主要用于接待</w:t>
      </w:r>
      <w:r>
        <w:rPr>
          <w:rFonts w:eastAsia="仿宋_GB2312" w:cs="仿宋_GB2312"/>
          <w:sz w:val="32"/>
          <w:szCs w:val="32"/>
        </w:rPr>
        <w:t>眉山公安局数字督导调研工作</w:t>
      </w:r>
      <w:r>
        <w:rPr>
          <w:rFonts w:eastAsia="仿宋_GB2312" w:cs="仿宋_GB2312" w:hint="eastAsia"/>
          <w:sz w:val="32"/>
          <w:szCs w:val="32"/>
        </w:rPr>
        <w:t>人员、</w:t>
      </w:r>
      <w:r>
        <w:rPr>
          <w:rFonts w:eastAsia="仿宋_GB2312" w:cs="仿宋_GB2312"/>
          <w:sz w:val="32"/>
          <w:szCs w:val="32"/>
        </w:rPr>
        <w:t>云南</w:t>
      </w:r>
      <w:r>
        <w:rPr>
          <w:rFonts w:eastAsia="仿宋_GB2312" w:cs="仿宋_GB2312" w:hint="eastAsia"/>
          <w:sz w:val="32"/>
          <w:szCs w:val="32"/>
        </w:rPr>
        <w:t>政保</w:t>
      </w:r>
      <w:r>
        <w:rPr>
          <w:rFonts w:eastAsia="仿宋_GB2312" w:cs="仿宋_GB2312"/>
          <w:sz w:val="32"/>
          <w:szCs w:val="32"/>
        </w:rPr>
        <w:t>工作组</w:t>
      </w:r>
      <w:r>
        <w:rPr>
          <w:rFonts w:eastAsia="仿宋_GB2312" w:cs="仿宋_GB2312" w:hint="eastAsia"/>
          <w:sz w:val="32"/>
          <w:szCs w:val="32"/>
        </w:rPr>
        <w:t>、</w:t>
      </w:r>
      <w:r>
        <w:rPr>
          <w:rFonts w:eastAsia="仿宋_GB2312" w:cs="仿宋_GB2312"/>
          <w:sz w:val="32"/>
          <w:szCs w:val="32"/>
        </w:rPr>
        <w:t>省厅检查组</w:t>
      </w:r>
      <w:r>
        <w:rPr>
          <w:rFonts w:eastAsia="仿宋_GB2312" w:cs="仿宋_GB2312" w:hint="eastAsia"/>
          <w:sz w:val="32"/>
          <w:szCs w:val="32"/>
        </w:rPr>
        <w:t>、</w:t>
      </w:r>
      <w:r>
        <w:rPr>
          <w:rFonts w:eastAsia="仿宋_GB2312" w:cs="仿宋_GB2312"/>
          <w:sz w:val="32"/>
          <w:szCs w:val="32"/>
        </w:rPr>
        <w:t>四川警察学院招生组</w:t>
      </w:r>
      <w:r>
        <w:rPr>
          <w:rFonts w:eastAsia="仿宋_GB2312" w:cs="仿宋_GB2312" w:hint="eastAsia"/>
          <w:sz w:val="32"/>
          <w:szCs w:val="32"/>
        </w:rPr>
        <w:t>、</w:t>
      </w:r>
      <w:r>
        <w:rPr>
          <w:rFonts w:eastAsia="仿宋_GB2312" w:cs="仿宋_GB2312"/>
          <w:sz w:val="32"/>
          <w:szCs w:val="32"/>
        </w:rPr>
        <w:t>内江公安局检查人员</w:t>
      </w:r>
      <w:r>
        <w:rPr>
          <w:rFonts w:eastAsia="仿宋_GB2312" w:cs="仿宋_GB2312" w:hint="eastAsia"/>
          <w:sz w:val="32"/>
          <w:szCs w:val="32"/>
        </w:rPr>
        <w:t>用餐费。国内公务接</w:t>
      </w:r>
      <w:r>
        <w:rPr>
          <w:rFonts w:ascii="仿宋_GB2312" w:eastAsia="仿宋_GB2312" w:cs="仿宋_GB2312" w:hint="eastAsia"/>
          <w:sz w:val="32"/>
          <w:szCs w:val="32"/>
        </w:rPr>
        <w:t>待5批次，</w:t>
      </w:r>
      <w:r>
        <w:rPr>
          <w:rFonts w:ascii="仿宋_GB2312" w:eastAsia="仿宋_GB2312" w:cs="仿宋_GB2312"/>
          <w:sz w:val="32"/>
          <w:szCs w:val="32"/>
        </w:rPr>
        <w:t>32</w:t>
      </w:r>
      <w:r>
        <w:rPr>
          <w:rFonts w:eastAsia="仿宋_GB2312" w:cs="仿宋_GB2312" w:hint="eastAsia"/>
          <w:sz w:val="32"/>
          <w:szCs w:val="32"/>
        </w:rPr>
        <w:t>人次（不包括陪同人员），共计支出</w:t>
      </w:r>
      <w:r>
        <w:rPr>
          <w:rFonts w:eastAsia="仿宋_GB2312" w:cs="仿宋_GB2312"/>
          <w:sz w:val="32"/>
          <w:szCs w:val="32"/>
        </w:rPr>
        <w:t>0.44</w:t>
      </w:r>
      <w:r>
        <w:rPr>
          <w:rFonts w:eastAsia="仿宋_GB2312" w:cs="仿宋_GB2312" w:hint="eastAsia"/>
          <w:sz w:val="32"/>
          <w:szCs w:val="32"/>
        </w:rPr>
        <w:t>万元，具体内容：</w:t>
      </w:r>
      <w:r>
        <w:rPr>
          <w:rFonts w:eastAsia="仿宋_GB2312" w:cs="仿宋_GB2312"/>
          <w:sz w:val="32"/>
          <w:szCs w:val="32"/>
        </w:rPr>
        <w:t>餐饮费、0.44</w:t>
      </w:r>
      <w:r>
        <w:rPr>
          <w:rFonts w:eastAsia="仿宋_GB2312" w:cs="仿宋_GB2312" w:hint="eastAsia"/>
          <w:sz w:val="32"/>
          <w:szCs w:val="32"/>
        </w:rPr>
        <w:t>万元。</w:t>
      </w:r>
    </w:p>
    <w:p>
      <w:pPr>
        <w:spacing w:line="600" w:lineRule="exact"/>
        <w:ind w:firstLine="640"/>
        <w:rPr>
          <w:rFonts w:eastAsia="仿宋_GB2312" w:cs="仿宋_GB2312"/>
          <w:sz w:val="32"/>
          <w:szCs w:val="32"/>
        </w:rPr>
      </w:pPr>
      <w:r>
        <w:rPr>
          <w:rFonts w:eastAsia="仿宋_GB2312" w:cs="仿宋_GB2312" w:hint="eastAsia"/>
          <w:sz w:val="32"/>
          <w:szCs w:val="32"/>
        </w:rPr>
        <w:t>外事接待支</w:t>
      </w:r>
      <w:r>
        <w:rPr>
          <w:rFonts w:ascii="仿宋_GB2312" w:eastAsia="仿宋_GB2312" w:cs="仿宋_GB2312" w:hint="eastAsia"/>
          <w:sz w:val="32"/>
          <w:szCs w:val="32"/>
        </w:rPr>
        <w:t>出1.18万元，主要用于接待</w:t>
      </w:r>
      <w:r>
        <w:rPr>
          <w:rFonts w:ascii="仿宋_GB2312" w:eastAsia="仿宋_GB2312" w:cs="仿宋_GB2312"/>
          <w:sz w:val="32"/>
          <w:szCs w:val="32"/>
        </w:rPr>
        <w:t>埃及内政部安全局</w:t>
      </w:r>
      <w:r>
        <w:rPr>
          <w:rFonts w:ascii="仿宋_GB2312" w:eastAsia="仿宋_GB2312" w:cs="仿宋_GB2312" w:hint="eastAsia"/>
          <w:sz w:val="32"/>
          <w:szCs w:val="32"/>
        </w:rPr>
        <w:t>及</w:t>
      </w:r>
      <w:r>
        <w:rPr>
          <w:rFonts w:ascii="仿宋_GB2312" w:eastAsia="仿宋_GB2312" w:cs="仿宋_GB2312"/>
          <w:sz w:val="32"/>
          <w:szCs w:val="32"/>
        </w:rPr>
        <w:t>警方代表团</w:t>
      </w:r>
      <w:r>
        <w:rPr>
          <w:rFonts w:ascii="仿宋_GB2312" w:eastAsia="仿宋_GB2312" w:cs="仿宋_GB2312" w:hint="eastAsia"/>
          <w:sz w:val="32"/>
          <w:szCs w:val="32"/>
        </w:rPr>
        <w:t>、</w:t>
      </w:r>
      <w:r>
        <w:rPr>
          <w:rFonts w:ascii="仿宋_GB2312" w:eastAsia="仿宋_GB2312" w:cs="仿宋_GB2312"/>
          <w:sz w:val="32"/>
          <w:szCs w:val="32"/>
        </w:rPr>
        <w:t>南非警察总局</w:t>
      </w:r>
      <w:r>
        <w:rPr>
          <w:rFonts w:ascii="仿宋_GB2312" w:eastAsia="仿宋_GB2312" w:cs="仿宋_GB2312" w:hint="eastAsia"/>
          <w:sz w:val="32"/>
          <w:szCs w:val="32"/>
        </w:rPr>
        <w:t>及</w:t>
      </w:r>
      <w:r>
        <w:rPr>
          <w:rFonts w:ascii="仿宋_GB2312" w:eastAsia="仿宋_GB2312" w:cs="仿宋_GB2312"/>
          <w:sz w:val="32"/>
          <w:szCs w:val="32"/>
        </w:rPr>
        <w:t>警方代表团</w:t>
      </w:r>
      <w:r>
        <w:rPr>
          <w:rFonts w:ascii="仿宋_GB2312" w:eastAsia="仿宋_GB2312" w:cs="仿宋_GB2312" w:hint="eastAsia"/>
          <w:sz w:val="32"/>
          <w:szCs w:val="32"/>
        </w:rPr>
        <w:t>来访餐饮费、</w:t>
      </w:r>
      <w:r>
        <w:rPr>
          <w:rFonts w:ascii="仿宋_GB2312" w:eastAsia="仿宋_GB2312" w:cs="仿宋_GB2312"/>
          <w:sz w:val="32"/>
          <w:szCs w:val="32"/>
        </w:rPr>
        <w:t>住宿费</w:t>
      </w:r>
      <w:r>
        <w:rPr>
          <w:rFonts w:ascii="仿宋_GB2312" w:eastAsia="仿宋_GB2312" w:cs="仿宋_GB2312" w:hint="eastAsia"/>
          <w:sz w:val="32"/>
          <w:szCs w:val="32"/>
        </w:rPr>
        <w:t>。外事接待2批次，</w:t>
      </w:r>
      <w:r>
        <w:rPr>
          <w:rFonts w:ascii="仿宋_GB2312" w:eastAsia="仿宋_GB2312" w:cs="仿宋_GB2312"/>
          <w:sz w:val="32"/>
          <w:szCs w:val="32"/>
        </w:rPr>
        <w:t>7</w:t>
      </w:r>
      <w:r>
        <w:rPr>
          <w:rFonts w:ascii="仿宋_GB2312" w:eastAsia="仿宋_GB2312" w:cs="仿宋_GB2312" w:hint="eastAsia"/>
          <w:sz w:val="32"/>
          <w:szCs w:val="32"/>
        </w:rPr>
        <w:t>人次（不包括陪同人员），共计支出</w:t>
      </w:r>
      <w:r>
        <w:rPr>
          <w:rFonts w:ascii="仿宋_GB2312" w:eastAsia="仿宋_GB2312" w:cs="仿宋_GB2312"/>
          <w:sz w:val="32"/>
          <w:szCs w:val="32"/>
        </w:rPr>
        <w:t>1.18</w:t>
      </w:r>
      <w:r>
        <w:rPr>
          <w:rFonts w:ascii="仿宋_GB2312" w:eastAsia="仿宋_GB2312" w:cs="仿宋_GB2312" w:hint="eastAsia"/>
          <w:sz w:val="32"/>
          <w:szCs w:val="32"/>
        </w:rPr>
        <w:t>万</w:t>
      </w:r>
      <w:r>
        <w:rPr>
          <w:rFonts w:eastAsia="仿宋_GB2312" w:cs="仿宋_GB2312" w:hint="eastAsia"/>
          <w:sz w:val="32"/>
          <w:szCs w:val="32"/>
        </w:rPr>
        <w:t>元。</w:t>
      </w:r>
    </w:p>
    <w:p>
      <w:pPr>
        <w:spacing w:line="576" w:lineRule="exact"/>
        <w:ind w:firstLine="640"/>
        <w:outlineLvl w:val="1"/>
        <w:rPr>
          <w:rStyle w:val="2Char"/>
          <w:rFonts w:ascii="Times New Roman" w:eastAsia="黑体" w:hAnsi="Times New Roman"/>
        </w:rPr>
      </w:pPr>
      <w:r>
        <w:rPr>
          <w:rFonts w:eastAsia="黑体" w:hint="eastAsia"/>
          <w:sz w:val="32"/>
          <w:szCs w:val="32"/>
        </w:rPr>
        <w:t>八、</w:t>
      </w:r>
      <w:r>
        <w:rPr>
          <w:rStyle w:val="2Char"/>
          <w:rFonts w:ascii="Times New Roman" w:eastAsia="黑体" w:hAnsi="Times New Roman" w:hint="eastAsia"/>
          <w:b w:val="0"/>
        </w:rPr>
        <w:t>政府性基金预算支出决算情况说明</w:t>
      </w:r>
      <w:bookmarkEnd w:id="32"/>
      <w:bookmarkEnd w:id="33"/>
    </w:p>
    <w:p>
      <w:pPr>
        <w:spacing w:line="576" w:lineRule="exact"/>
        <w:ind w:firstLine="640"/>
        <w:rPr>
          <w:rFonts w:eastAsia="仿宋_GB2312" w:cs="仿宋_GB2312"/>
          <w:sz w:val="32"/>
          <w:szCs w:val="32"/>
        </w:rPr>
      </w:pPr>
      <w:r>
        <w:rPr>
          <w:rFonts w:ascii="仿宋_GB2312" w:eastAsia="仿宋_GB2312" w:cs="仿宋_GB2312" w:hint="eastAsia"/>
          <w:sz w:val="32"/>
          <w:szCs w:val="32"/>
        </w:rPr>
        <w:t>2024年度政府性基金预算财政拨款支出0万元，占本年支出合计的0%</w:t>
      </w:r>
      <w:r>
        <w:rPr>
          <w:rFonts w:eastAsia="仿宋_GB2312" w:cs="仿宋_GB2312" w:hint="eastAsia"/>
          <w:sz w:val="32"/>
          <w:szCs w:val="32"/>
        </w:rPr>
        <w:t>。</w:t>
      </w:r>
      <w:bookmarkStart w:id="34" w:name="_Toc15377219"/>
      <w:bookmarkStart w:id="35" w:name="_Toc15396611"/>
      <w:r>
        <w:rPr>
          <w:rFonts w:eastAsia="仿宋_GB2312" w:cs="仿宋_GB2312" w:hint="eastAsia"/>
          <w:sz w:val="32"/>
          <w:szCs w:val="32"/>
        </w:rPr>
        <w:t>与2023年度相比，政府性基金预算财政拨款支出持平。</w:t>
      </w:r>
    </w:p>
    <w:p>
      <w:pPr>
        <w:spacing w:line="576" w:lineRule="exact"/>
        <w:ind w:firstLine="640"/>
        <w:rPr>
          <w:rStyle w:val="2Char"/>
          <w:rFonts w:ascii="Times New Roman" w:eastAsia="黑体" w:hAnsi="Times New Roman"/>
          <w:b w:val="0"/>
        </w:rPr>
      </w:pPr>
      <w:r>
        <w:rPr>
          <w:rStyle w:val="2Char"/>
          <w:rFonts w:ascii="Times New Roman" w:eastAsia="黑体" w:hAnsi="Times New Roman" w:hint="eastAsia"/>
          <w:b w:val="0"/>
        </w:rPr>
        <w:t>九、国有资本经营预算支出决算情况说明</w:t>
      </w:r>
      <w:bookmarkEnd w:id="34"/>
      <w:bookmarkEnd w:id="35"/>
    </w:p>
    <w:p>
      <w:pPr>
        <w:spacing w:line="600" w:lineRule="exact"/>
        <w:ind w:firstLine="640"/>
        <w:rPr>
          <w:rFonts w:eastAsia="仿宋_GB2312" w:cs="仿宋_GB2312"/>
          <w:sz w:val="32"/>
          <w:szCs w:val="32"/>
        </w:rPr>
      </w:pPr>
      <w:r>
        <w:rPr>
          <w:rFonts w:eastAsia="仿宋_GB2312" w:cs="仿宋_GB2312" w:hint="eastAsia"/>
          <w:sz w:val="32"/>
          <w:szCs w:val="32"/>
        </w:rPr>
        <w:t>2024年度国有资本经营预算财政拨款支出</w:t>
      </w:r>
      <w:r>
        <w:rPr>
          <w:rFonts w:ascii="仿宋_GB2312" w:eastAsia="仿宋_GB2312" w:cs="仿宋_GB2312" w:hint="eastAsia"/>
          <w:sz w:val="32"/>
          <w:szCs w:val="32"/>
        </w:rPr>
        <w:t>0万元，占本年支出合计的0%</w:t>
      </w:r>
      <w:r>
        <w:rPr>
          <w:rFonts w:eastAsia="仿宋_GB2312" w:cs="仿宋_GB2312" w:hint="eastAsia"/>
          <w:sz w:val="32"/>
          <w:szCs w:val="32"/>
        </w:rPr>
        <w:t>。</w:t>
      </w:r>
      <w:bookmarkStart w:id="36" w:name="_Toc15396612"/>
      <w:bookmarkStart w:id="37" w:name="_Toc15377221"/>
      <w:r>
        <w:rPr>
          <w:rFonts w:eastAsia="仿宋_GB2312" w:cs="仿宋_GB2312" w:hint="eastAsia"/>
          <w:sz w:val="32"/>
          <w:szCs w:val="32"/>
        </w:rPr>
        <w:t>与2023年度相比，国有资本经营预算财政拨款支出持平。</w:t>
      </w:r>
    </w:p>
    <w:p>
      <w:pPr>
        <w:spacing w:line="576" w:lineRule="exact"/>
        <w:ind w:firstLine="640"/>
        <w:rPr>
          <w:rStyle w:val="2Char"/>
          <w:rFonts w:ascii="Times New Roman" w:eastAsia="黑体" w:hAnsi="Times New Roman"/>
          <w:b w:val="0"/>
        </w:rPr>
      </w:pPr>
      <w:r>
        <w:rPr>
          <w:rStyle w:val="2Char"/>
          <w:rFonts w:ascii="Times New Roman" w:eastAsia="黑体" w:hAnsi="Times New Roman" w:hint="eastAsia"/>
          <w:b w:val="0"/>
        </w:rPr>
        <w:t>十、其他重要事项的情况说明</w:t>
      </w:r>
      <w:bookmarkEnd w:id="36"/>
      <w:bookmarkEnd w:id="37"/>
    </w:p>
    <w:p>
      <w:pPr>
        <w:spacing w:line="576" w:lineRule="exact"/>
        <w:ind w:firstLineChars="200" w:firstLine="640"/>
        <w:outlineLvl w:val="2"/>
        <w:rPr>
          <w:rFonts w:eastAsia="楷体_GB2312" w:cs="楷体_GB2312"/>
          <w:b/>
          <w:sz w:val="32"/>
          <w:szCs w:val="32"/>
        </w:rPr>
      </w:pPr>
      <w:bookmarkStart w:id="38" w:name="_Toc15377222"/>
      <w:r>
        <w:rPr>
          <w:rFonts w:eastAsia="楷体_GB2312" w:cs="楷体_GB2312" w:hint="eastAsia"/>
          <w:b/>
          <w:sz w:val="32"/>
          <w:szCs w:val="32"/>
        </w:rPr>
        <w:t>（一）机关运行经费支出情况</w:t>
      </w:r>
      <w:bookmarkEnd w:id="38"/>
    </w:p>
    <w:p>
      <w:pPr>
        <w:spacing w:line="576" w:lineRule="exact"/>
        <w:ind w:firstLine="640"/>
        <w:rPr>
          <w:rFonts w:eastAsia="仿宋_GB2312" w:cs="仿宋_GB2312"/>
          <w:sz w:val="32"/>
          <w:szCs w:val="32"/>
        </w:rPr>
      </w:pPr>
      <w:r>
        <w:rPr>
          <w:rFonts w:eastAsia="仿宋_GB2312" w:cs="仿宋_GB2312" w:hint="eastAsia"/>
          <w:sz w:val="32"/>
          <w:szCs w:val="32"/>
        </w:rPr>
        <w:t>2024年度</w:t>
      </w:r>
      <w:r>
        <w:rPr>
          <w:rFonts w:ascii="仿宋_GB2312" w:eastAsia="仿宋_GB2312" w:cs="仿宋_GB2312" w:hint="eastAsia"/>
          <w:sz w:val="32"/>
          <w:szCs w:val="32"/>
        </w:rPr>
        <w:t>，阿坝藏族羌族自治州公安局机关运行经费支出2</w:t>
      </w:r>
      <w:r>
        <w:rPr>
          <w:rFonts w:ascii="仿宋_GB2312" w:eastAsia="仿宋_GB2312" w:cs="仿宋_GB2312"/>
          <w:sz w:val="32"/>
          <w:szCs w:val="32"/>
        </w:rPr>
        <w:t>,</w:t>
      </w:r>
      <w:r>
        <w:rPr>
          <w:rFonts w:ascii="仿宋_GB2312" w:eastAsia="仿宋_GB2312" w:cs="仿宋_GB2312" w:hint="eastAsia"/>
          <w:sz w:val="32"/>
          <w:szCs w:val="32"/>
        </w:rPr>
        <w:t>310.17万</w:t>
      </w:r>
      <w:r>
        <w:rPr>
          <w:rFonts w:eastAsia="仿宋_GB2312" w:cs="仿宋_GB2312" w:hint="eastAsia"/>
          <w:sz w:val="32"/>
          <w:szCs w:val="32"/>
        </w:rPr>
        <w:t>元，比2023年度增加</w:t>
      </w:r>
      <w:r>
        <w:rPr>
          <w:rFonts w:eastAsia="仿宋_GB2312" w:cs="仿宋_GB2312"/>
          <w:sz w:val="32"/>
          <w:szCs w:val="32"/>
        </w:rPr>
        <w:t>487.99</w:t>
      </w:r>
      <w:r>
        <w:rPr>
          <w:rFonts w:eastAsia="仿宋_GB2312" w:cs="仿宋_GB2312" w:hint="eastAsia"/>
          <w:sz w:val="32"/>
          <w:szCs w:val="32"/>
        </w:rPr>
        <w:t>万元，增长</w:t>
      </w:r>
      <w:r>
        <w:rPr>
          <w:rFonts w:eastAsia="仿宋_GB2312" w:cs="仿宋_GB2312"/>
          <w:sz w:val="32"/>
          <w:szCs w:val="32"/>
        </w:rPr>
        <w:t>26.78</w:t>
      </w:r>
      <w:r>
        <w:rPr>
          <w:rFonts w:eastAsia="仿宋_GB2312" w:cs="仿宋_GB2312" w:hint="eastAsia"/>
          <w:sz w:val="32"/>
          <w:szCs w:val="32"/>
        </w:rPr>
        <w:t>%。主要原因是</w:t>
      </w:r>
      <w:bookmarkStart w:id="39" w:name="_Toc15377223"/>
      <w:r>
        <w:rPr>
          <w:rFonts w:eastAsia="仿宋_GB2312" w:cs="仿宋_GB2312" w:hint="eastAsia"/>
          <w:sz w:val="32"/>
          <w:szCs w:val="32"/>
        </w:rPr>
        <w:t>:</w:t>
      </w:r>
      <w:r>
        <w:rPr>
          <w:rFonts w:eastAsia="仿宋_GB2312" w:cs="仿宋_GB2312" w:hint="eastAsia"/>
          <w:b/>
          <w:sz w:val="32"/>
          <w:szCs w:val="32"/>
        </w:rPr>
        <w:t>一是</w:t>
      </w:r>
      <w:r>
        <w:rPr>
          <w:rFonts w:eastAsia="仿宋_GB2312" w:cs="仿宋_GB2312" w:hint="eastAsia"/>
          <w:sz w:val="32"/>
          <w:szCs w:val="32"/>
        </w:rPr>
        <w:t xml:space="preserve"> 2024年专项</w:t>
      </w:r>
      <w:r>
        <w:rPr>
          <w:rFonts w:eastAsia="仿宋_GB2312" w:cs="仿宋_GB2312"/>
          <w:sz w:val="32"/>
          <w:szCs w:val="32"/>
        </w:rPr>
        <w:t>增援任务增多，</w:t>
      </w:r>
      <w:r>
        <w:rPr>
          <w:rFonts w:eastAsia="仿宋_GB2312" w:cs="仿宋_GB2312" w:hint="eastAsia"/>
          <w:b/>
          <w:sz w:val="32"/>
          <w:szCs w:val="32"/>
        </w:rPr>
        <w:t>二是</w:t>
      </w:r>
      <w:r>
        <w:rPr>
          <w:rFonts w:eastAsia="仿宋_GB2312" w:cs="仿宋_GB2312"/>
          <w:sz w:val="32"/>
          <w:szCs w:val="32"/>
        </w:rPr>
        <w:t>工作任务</w:t>
      </w:r>
      <w:r>
        <w:rPr>
          <w:rFonts w:eastAsia="仿宋_GB2312" w:cs="仿宋_GB2312" w:hint="eastAsia"/>
          <w:sz w:val="32"/>
          <w:szCs w:val="32"/>
        </w:rPr>
        <w:t>加重</w:t>
      </w:r>
      <w:r>
        <w:rPr>
          <w:rFonts w:eastAsia="仿宋_GB2312" w:cs="仿宋_GB2312"/>
          <w:sz w:val="32"/>
          <w:szCs w:val="32"/>
        </w:rPr>
        <w:t>、勤务、加班增多导致支出增加。</w:t>
      </w:r>
    </w:p>
    <w:p>
      <w:pPr>
        <w:spacing w:line="576" w:lineRule="exact"/>
        <w:ind w:firstLine="640"/>
        <w:rPr>
          <w:rFonts w:eastAsia="楷体_GB2312" w:cs="楷体_GB2312"/>
          <w:b/>
          <w:sz w:val="32"/>
          <w:szCs w:val="32"/>
        </w:rPr>
      </w:pPr>
      <w:r>
        <w:rPr>
          <w:rFonts w:eastAsia="楷体_GB2312" w:cs="楷体_GB2312" w:hint="eastAsia"/>
          <w:b/>
          <w:sz w:val="32"/>
          <w:szCs w:val="32"/>
        </w:rPr>
        <w:t>（二）政府采购支出情况</w:t>
      </w:r>
      <w:bookmarkEnd w:id="39"/>
    </w:p>
    <w:p>
      <w:pPr>
        <w:spacing w:line="576" w:lineRule="exact"/>
        <w:ind w:firstLine="640"/>
        <w:rPr>
          <w:rFonts w:ascii="仿宋_GB2312" w:eastAsia="仿宋_GB2312" w:cs="仿宋_GB2312"/>
          <w:sz w:val="32"/>
          <w:szCs w:val="32"/>
        </w:rPr>
      </w:pPr>
      <w:r>
        <w:rPr>
          <w:rFonts w:ascii="仿宋_GB2312" w:eastAsia="仿宋_GB2312" w:cs="仿宋_GB2312" w:hint="eastAsia"/>
          <w:sz w:val="32"/>
          <w:szCs w:val="32"/>
        </w:rPr>
        <w:t>2024年度，阿坝藏族羌族自治州公安局政府采购支出总额4,003.96万元，其中：政府采购货物支出2</w:t>
      </w:r>
      <w:r>
        <w:rPr>
          <w:rFonts w:ascii="仿宋_GB2312" w:eastAsia="仿宋_GB2312" w:cs="仿宋_GB2312"/>
          <w:sz w:val="32"/>
          <w:szCs w:val="32"/>
        </w:rPr>
        <w:t>,</w:t>
      </w:r>
      <w:r>
        <w:rPr>
          <w:rFonts w:ascii="仿宋_GB2312" w:eastAsia="仿宋_GB2312" w:cs="仿宋_GB2312" w:hint="eastAsia"/>
          <w:sz w:val="32"/>
          <w:szCs w:val="32"/>
        </w:rPr>
        <w:t>475.1万元、政府采购工程支出301.74万元、政府采购服务支出1</w:t>
      </w:r>
      <w:r>
        <w:rPr>
          <w:rFonts w:ascii="仿宋_GB2312" w:eastAsia="仿宋_GB2312" w:cs="仿宋_GB2312"/>
          <w:sz w:val="32"/>
          <w:szCs w:val="32"/>
        </w:rPr>
        <w:t>,</w:t>
      </w:r>
      <w:r>
        <w:rPr>
          <w:rFonts w:ascii="仿宋_GB2312" w:eastAsia="仿宋_GB2312" w:cs="仿宋_GB2312" w:hint="eastAsia"/>
          <w:sz w:val="32"/>
          <w:szCs w:val="32"/>
        </w:rPr>
        <w:t>227.11万元。主要用于</w:t>
      </w:r>
      <w:r>
        <w:rPr>
          <w:rFonts w:ascii="仿宋_GB2312" w:eastAsia="仿宋_GB2312" w:hint="eastAsia"/>
          <w:sz w:val="32"/>
          <w:szCs w:val="32"/>
        </w:rPr>
        <w:t>办公设备购置、专用设备购置、信息网络及软件购置更新</w:t>
      </w:r>
      <w:r>
        <w:rPr>
          <w:rFonts w:ascii="仿宋_GB2312" w:eastAsia="仿宋_GB2312" w:cs="仿宋_GB2312" w:hint="eastAsia"/>
          <w:sz w:val="32"/>
          <w:szCs w:val="32"/>
        </w:rPr>
        <w:t>。授予中小企业合同金额1</w:t>
      </w:r>
      <w:r>
        <w:rPr>
          <w:rFonts w:ascii="仿宋_GB2312" w:eastAsia="仿宋_GB2312" w:cs="仿宋_GB2312"/>
          <w:sz w:val="32"/>
          <w:szCs w:val="32"/>
        </w:rPr>
        <w:t>,</w:t>
      </w:r>
      <w:r>
        <w:rPr>
          <w:rFonts w:ascii="仿宋_GB2312" w:eastAsia="仿宋_GB2312" w:cs="仿宋_GB2312" w:hint="eastAsia"/>
          <w:sz w:val="32"/>
          <w:szCs w:val="32"/>
        </w:rPr>
        <w:t>889.5万元，占政府采购支出总额的47.19%，其中：授予小微企业合同金额1</w:t>
      </w:r>
      <w:r>
        <w:rPr>
          <w:rFonts w:ascii="仿宋_GB2312" w:eastAsia="仿宋_GB2312" w:cs="仿宋_GB2312"/>
          <w:sz w:val="32"/>
          <w:szCs w:val="32"/>
        </w:rPr>
        <w:t>,</w:t>
      </w:r>
      <w:r>
        <w:rPr>
          <w:rFonts w:ascii="仿宋_GB2312" w:eastAsia="仿宋_GB2312" w:cs="仿宋_GB2312" w:hint="eastAsia"/>
          <w:sz w:val="32"/>
          <w:szCs w:val="32"/>
        </w:rPr>
        <w:t>287.4万元，占政府采购支出总额的32.15%。</w:t>
      </w:r>
    </w:p>
    <w:p>
      <w:pPr>
        <w:spacing w:line="576" w:lineRule="exact"/>
        <w:ind w:firstLineChars="200" w:firstLine="640"/>
        <w:outlineLvl w:val="2"/>
        <w:rPr>
          <w:rFonts w:eastAsia="楷体_GB2312" w:cs="楷体_GB2312"/>
          <w:b/>
          <w:sz w:val="32"/>
          <w:szCs w:val="32"/>
        </w:rPr>
      </w:pPr>
      <w:bookmarkStart w:id="40" w:name="_Toc15377224"/>
      <w:r>
        <w:rPr>
          <w:rFonts w:eastAsia="楷体_GB2312" w:cs="楷体_GB2312" w:hint="eastAsia"/>
          <w:b/>
          <w:sz w:val="32"/>
          <w:szCs w:val="32"/>
        </w:rPr>
        <w:t>（三）国有资产占有使用情况</w:t>
      </w:r>
      <w:bookmarkEnd w:id="40"/>
    </w:p>
    <w:p>
      <w:pPr>
        <w:spacing w:line="600" w:lineRule="exact"/>
        <w:ind w:firstLine="640"/>
        <w:rPr>
          <w:rFonts w:eastAsia="仿宋_GB2312" w:cs="仿宋_GB2312"/>
          <w:sz w:val="32"/>
          <w:szCs w:val="32"/>
        </w:rPr>
      </w:pPr>
      <w:r>
        <w:rPr>
          <w:rFonts w:ascii="仿宋_GB2312" w:eastAsia="仿宋_GB2312" w:cs="仿宋_GB2312" w:hint="eastAsia"/>
          <w:sz w:val="32"/>
          <w:szCs w:val="32"/>
        </w:rPr>
        <w:t>截至2024年12月31日，阿坝藏族羌族自治州公安局（本级）共有车辆</w:t>
      </w:r>
      <w:r>
        <w:rPr>
          <w:rFonts w:ascii="仿宋_GB2312" w:eastAsia="仿宋_GB2312" w:cs="仿宋_GB2312"/>
          <w:sz w:val="32"/>
          <w:szCs w:val="32"/>
        </w:rPr>
        <w:t>**</w:t>
      </w:r>
      <w:r>
        <w:rPr>
          <w:rFonts w:ascii="仿宋_GB2312" w:eastAsia="仿宋_GB2312" w:cs="仿宋_GB2312" w:hint="eastAsia"/>
          <w:sz w:val="32"/>
          <w:szCs w:val="32"/>
        </w:rPr>
        <w:t>辆，其中：主要负责人用车</w:t>
      </w:r>
      <w:r>
        <w:rPr>
          <w:rFonts w:ascii="仿宋_GB2312" w:eastAsia="仿宋_GB2312" w:cs="仿宋_GB2312"/>
          <w:sz w:val="32"/>
          <w:szCs w:val="32"/>
        </w:rPr>
        <w:t>**</w:t>
      </w:r>
      <w:r>
        <w:rPr>
          <w:rFonts w:ascii="仿宋_GB2312" w:eastAsia="仿宋_GB2312" w:cs="仿宋_GB2312" w:hint="eastAsia"/>
          <w:sz w:val="32"/>
          <w:szCs w:val="32"/>
        </w:rPr>
        <w:t>辆、机要通信用车</w:t>
      </w:r>
      <w:r>
        <w:rPr>
          <w:rFonts w:ascii="仿宋_GB2312" w:eastAsia="仿宋_GB2312" w:cs="仿宋_GB2312"/>
          <w:sz w:val="32"/>
          <w:szCs w:val="32"/>
        </w:rPr>
        <w:t>**</w:t>
      </w:r>
      <w:r>
        <w:rPr>
          <w:rFonts w:ascii="仿宋_GB2312" w:eastAsia="仿宋_GB2312" w:cs="仿宋_GB2312" w:hint="eastAsia"/>
          <w:sz w:val="32"/>
          <w:szCs w:val="32"/>
        </w:rPr>
        <w:t>辆、应急保障用车</w:t>
      </w:r>
      <w:r>
        <w:rPr>
          <w:rFonts w:ascii="仿宋_GB2312" w:eastAsia="仿宋_GB2312" w:cs="仿宋_GB2312"/>
          <w:sz w:val="32"/>
          <w:szCs w:val="32"/>
        </w:rPr>
        <w:t>**</w:t>
      </w:r>
      <w:r>
        <w:rPr>
          <w:rFonts w:ascii="仿宋_GB2312" w:eastAsia="仿宋_GB2312" w:cs="仿宋_GB2312" w:hint="eastAsia"/>
          <w:sz w:val="32"/>
          <w:szCs w:val="32"/>
        </w:rPr>
        <w:t>辆、其他用车</w:t>
      </w:r>
      <w:r>
        <w:rPr>
          <w:rFonts w:ascii="仿宋_GB2312" w:eastAsia="仿宋_GB2312" w:cs="仿宋_GB2312"/>
          <w:sz w:val="32"/>
          <w:szCs w:val="32"/>
        </w:rPr>
        <w:t>**</w:t>
      </w:r>
      <w:r>
        <w:rPr>
          <w:rFonts w:ascii="仿宋_GB2312" w:eastAsia="仿宋_GB2312" w:cs="仿宋_GB2312" w:hint="eastAsia"/>
          <w:sz w:val="32"/>
          <w:szCs w:val="32"/>
        </w:rPr>
        <w:t>辆。单价100万元（含）以上设备（不含车辆）</w:t>
      </w:r>
      <w:r>
        <w:rPr>
          <w:rFonts w:ascii="仿宋_GB2312" w:eastAsia="仿宋_GB2312" w:cs="仿宋_GB2312"/>
          <w:sz w:val="32"/>
          <w:szCs w:val="32"/>
        </w:rPr>
        <w:t>**</w:t>
      </w:r>
      <w:r>
        <w:rPr>
          <w:rFonts w:ascii="仿宋_GB2312" w:eastAsia="仿宋_GB2312" w:cs="仿宋_GB2312" w:hint="eastAsia"/>
          <w:sz w:val="32"/>
          <w:szCs w:val="32"/>
        </w:rPr>
        <w:t>台（套）</w:t>
      </w:r>
      <w:r>
        <w:rPr>
          <w:rFonts w:eastAsia="仿宋_GB2312" w:cs="仿宋_GB2312" w:hint="eastAsia"/>
          <w:sz w:val="32"/>
          <w:szCs w:val="32"/>
        </w:rPr>
        <w:t>。(单位</w:t>
      </w:r>
      <w:r>
        <w:rPr>
          <w:rFonts w:eastAsia="仿宋_GB2312" w:cs="仿宋_GB2312"/>
          <w:sz w:val="32"/>
          <w:szCs w:val="32"/>
        </w:rPr>
        <w:t>车辆信息不宜公开</w:t>
      </w:r>
      <w:r>
        <w:rPr>
          <w:rFonts w:eastAsia="仿宋_GB2312" w:cs="仿宋_GB2312" w:hint="eastAsia"/>
          <w:sz w:val="32"/>
          <w:szCs w:val="32"/>
        </w:rPr>
        <w:t>)</w:t>
      </w:r>
    </w:p>
    <w:p>
      <w:pPr>
        <w:spacing w:line="576" w:lineRule="exact"/>
        <w:ind w:firstLineChars="200" w:firstLine="640"/>
        <w:outlineLvl w:val="2"/>
        <w:rPr>
          <w:rFonts w:eastAsia="楷体_GB2312" w:cs="楷体_GB2312"/>
          <w:b/>
          <w:sz w:val="32"/>
          <w:szCs w:val="32"/>
        </w:rPr>
      </w:pPr>
      <w:r>
        <w:rPr>
          <w:rFonts w:eastAsia="楷体_GB2312" w:cs="楷体_GB2312" w:hint="eastAsia"/>
          <w:b/>
          <w:sz w:val="32"/>
          <w:szCs w:val="32"/>
        </w:rPr>
        <w:t>（四）预算绩效管理情况</w:t>
      </w:r>
    </w:p>
    <w:p>
      <w:pPr>
        <w:spacing w:line="576" w:lineRule="exact"/>
        <w:ind w:firstLine="640"/>
        <w:rPr>
          <w:rFonts w:eastAsia="仿宋_GB2312" w:cs="仿宋_GB2312"/>
          <w:sz w:val="32"/>
          <w:szCs w:val="32"/>
        </w:rPr>
      </w:pPr>
      <w:r>
        <w:rPr>
          <w:rFonts w:eastAsia="仿宋_GB2312" w:cs="仿宋_GB2312" w:hint="eastAsia"/>
          <w:sz w:val="32"/>
          <w:szCs w:val="32"/>
        </w:rPr>
        <w:t>根据预算绩效管理要求，</w:t>
      </w:r>
      <w:r>
        <w:rPr>
          <w:rFonts w:ascii="仿宋_GB2312" w:eastAsia="仿宋_GB2312" w:cs="仿宋_GB2312" w:hint="eastAsia"/>
          <w:sz w:val="32"/>
          <w:szCs w:val="32"/>
        </w:rPr>
        <w:t>阿坝藏族羌族自治州公安局（本级）</w:t>
      </w:r>
      <w:r>
        <w:rPr>
          <w:rFonts w:eastAsia="仿宋_GB2312" w:cs="仿宋_GB2312" w:hint="eastAsia"/>
          <w:sz w:val="32"/>
          <w:szCs w:val="32"/>
        </w:rPr>
        <w:t>在2024年度预算编制阶段，组织对</w:t>
      </w:r>
      <w:r>
        <w:rPr>
          <w:rFonts w:eastAsia="仿宋_GB2312" w:cs="仿宋_GB2312"/>
          <w:sz w:val="32"/>
          <w:szCs w:val="32"/>
        </w:rPr>
        <w:t>购买社会服务</w:t>
      </w:r>
      <w:r>
        <w:rPr>
          <w:rFonts w:eastAsia="仿宋_GB2312" w:cs="仿宋_GB2312" w:hint="eastAsia"/>
          <w:sz w:val="32"/>
          <w:szCs w:val="32"/>
        </w:rPr>
        <w:t>、</w:t>
      </w:r>
      <w:r>
        <w:rPr>
          <w:rFonts w:eastAsia="仿宋_GB2312" w:cs="仿宋_GB2312"/>
          <w:sz w:val="32"/>
          <w:szCs w:val="32"/>
        </w:rPr>
        <w:t>公安业务费</w:t>
      </w:r>
      <w:r>
        <w:rPr>
          <w:rFonts w:eastAsia="仿宋_GB2312" w:cs="仿宋_GB2312" w:hint="eastAsia"/>
          <w:sz w:val="32"/>
          <w:szCs w:val="32"/>
        </w:rPr>
        <w:t>、信息系统等级保护测评、视觉计算边缘节点（三期）、</w:t>
      </w:r>
      <w:r>
        <w:rPr>
          <w:rFonts w:eastAsia="仿宋_GB2312" w:cs="仿宋_GB2312"/>
          <w:sz w:val="32"/>
          <w:szCs w:val="32"/>
        </w:rPr>
        <w:t>刑侦专业设备维护费</w:t>
      </w:r>
      <w:r>
        <w:rPr>
          <w:rFonts w:eastAsia="仿宋_GB2312" w:cs="仿宋_GB2312" w:hint="eastAsia"/>
          <w:sz w:val="32"/>
          <w:szCs w:val="32"/>
        </w:rPr>
        <w:t>、</w:t>
      </w:r>
      <w:r>
        <w:rPr>
          <w:rFonts w:eastAsia="仿宋_GB2312" w:cs="仿宋_GB2312"/>
          <w:sz w:val="32"/>
          <w:szCs w:val="32"/>
        </w:rPr>
        <w:t>网络租赁及维护费</w:t>
      </w:r>
      <w:r>
        <w:rPr>
          <w:rFonts w:eastAsia="仿宋_GB2312" w:cs="仿宋_GB2312" w:hint="eastAsia"/>
          <w:sz w:val="32"/>
          <w:szCs w:val="32"/>
        </w:rPr>
        <w:t>、</w:t>
      </w:r>
      <w:r>
        <w:rPr>
          <w:rFonts w:eastAsia="仿宋_GB2312" w:cs="仿宋_GB2312"/>
          <w:sz w:val="32"/>
          <w:szCs w:val="32"/>
        </w:rPr>
        <w:t>情指中心改造项目</w:t>
      </w:r>
      <w:r>
        <w:rPr>
          <w:rFonts w:eastAsia="仿宋_GB2312" w:cs="仿宋_GB2312" w:hint="eastAsia"/>
          <w:sz w:val="32"/>
          <w:szCs w:val="32"/>
        </w:rPr>
        <w:t>、</w:t>
      </w:r>
      <w:r>
        <w:rPr>
          <w:rFonts w:eastAsia="仿宋_GB2312" w:cs="仿宋_GB2312"/>
          <w:sz w:val="32"/>
          <w:szCs w:val="32"/>
        </w:rPr>
        <w:t>州公安局房屋维修</w:t>
      </w:r>
      <w:r>
        <w:rPr>
          <w:rFonts w:eastAsia="仿宋_GB2312" w:cs="仿宋_GB2312" w:hint="eastAsia"/>
          <w:sz w:val="32"/>
          <w:szCs w:val="32"/>
        </w:rPr>
        <w:t>、新一代公安信息网网络租赁项目、</w:t>
      </w:r>
      <w:r>
        <w:rPr>
          <w:rFonts w:eastAsia="仿宋_GB2312" w:cs="仿宋_GB2312"/>
          <w:sz w:val="32"/>
          <w:szCs w:val="32"/>
        </w:rPr>
        <w:t>视频会议系统运维服务</w:t>
      </w:r>
      <w:r>
        <w:rPr>
          <w:rFonts w:eastAsia="仿宋_GB2312" w:cs="仿宋_GB2312" w:hint="eastAsia"/>
          <w:sz w:val="32"/>
          <w:szCs w:val="32"/>
        </w:rPr>
        <w:t>等</w:t>
      </w:r>
      <w:r>
        <w:rPr>
          <w:rFonts w:eastAsia="仿宋_GB2312" w:cs="仿宋_GB2312"/>
          <w:sz w:val="32"/>
          <w:szCs w:val="32"/>
        </w:rPr>
        <w:t>60</w:t>
      </w:r>
      <w:r>
        <w:rPr>
          <w:rFonts w:eastAsia="仿宋_GB2312" w:cs="仿宋_GB2312" w:hint="eastAsia"/>
          <w:sz w:val="32"/>
          <w:szCs w:val="32"/>
        </w:rPr>
        <w:t>个项目开展了预算事前绩效评估，对</w:t>
      </w:r>
      <w:r>
        <w:rPr>
          <w:rFonts w:eastAsia="仿宋_GB2312" w:cs="仿宋_GB2312"/>
          <w:sz w:val="32"/>
          <w:szCs w:val="32"/>
        </w:rPr>
        <w:t>60</w:t>
      </w:r>
      <w:r>
        <w:rPr>
          <w:rFonts w:eastAsia="仿宋_GB2312" w:cs="仿宋_GB2312" w:hint="eastAsia"/>
          <w:sz w:val="32"/>
          <w:szCs w:val="32"/>
        </w:rPr>
        <w:t>个项目编制了绩效目标，预算执行过程中，对</w:t>
      </w:r>
      <w:r>
        <w:rPr>
          <w:rFonts w:eastAsia="仿宋_GB2312" w:cs="仿宋_GB2312"/>
          <w:sz w:val="32"/>
          <w:szCs w:val="32"/>
        </w:rPr>
        <w:t>60</w:t>
      </w:r>
      <w:r>
        <w:rPr>
          <w:rFonts w:eastAsia="仿宋_GB2312" w:cs="仿宋_GB2312" w:hint="eastAsia"/>
          <w:sz w:val="32"/>
          <w:szCs w:val="32"/>
        </w:rPr>
        <w:t>个项目开展绩效监控。</w:t>
      </w:r>
    </w:p>
    <w:p>
      <w:pPr>
        <w:spacing w:line="576" w:lineRule="exact"/>
        <w:ind w:firstLine="640"/>
        <w:rPr>
          <w:rFonts w:eastAsia="仿宋_GB2312" w:cs="仿宋_GB2312"/>
          <w:sz w:val="32"/>
          <w:szCs w:val="32"/>
        </w:rPr>
      </w:pPr>
      <w:r>
        <w:rPr>
          <w:rFonts w:eastAsia="仿宋_GB2312" w:cs="仿宋_GB2312" w:hint="eastAsia"/>
          <w:sz w:val="32"/>
          <w:szCs w:val="32"/>
        </w:rPr>
        <w:t>组织对2024年度一般公共预算全面开展绩效自评，形成</w:t>
      </w:r>
      <w:r>
        <w:rPr>
          <w:rFonts w:eastAsia="仿宋_GB2312" w:cs="仿宋_GB2312"/>
          <w:sz w:val="32"/>
          <w:szCs w:val="32"/>
        </w:rPr>
        <w:t>2023年省级ZFWW专项经费</w:t>
      </w:r>
      <w:r>
        <w:rPr>
          <w:rFonts w:eastAsia="仿宋_GB2312" w:cs="仿宋_GB2312" w:hint="eastAsia"/>
          <w:sz w:val="32"/>
          <w:szCs w:val="32"/>
        </w:rPr>
        <w:t>、</w:t>
      </w:r>
      <w:r>
        <w:rPr>
          <w:rFonts w:eastAsia="仿宋_GB2312" w:cs="仿宋_GB2312"/>
          <w:sz w:val="32"/>
          <w:szCs w:val="32"/>
        </w:rPr>
        <w:t>2024年提前批办案（业务）费ZY</w:t>
      </w:r>
      <w:r>
        <w:rPr>
          <w:rFonts w:eastAsia="仿宋_GB2312" w:cs="仿宋_GB2312" w:hint="eastAsia"/>
          <w:sz w:val="32"/>
          <w:szCs w:val="32"/>
        </w:rPr>
        <w:t>、</w:t>
      </w:r>
      <w:r>
        <w:rPr>
          <w:rFonts w:eastAsia="仿宋_GB2312" w:cs="仿宋_GB2312"/>
          <w:sz w:val="32"/>
          <w:szCs w:val="32"/>
        </w:rPr>
        <w:t>特定工作经费Z</w:t>
      </w:r>
      <w:r>
        <w:rPr>
          <w:rFonts w:eastAsia="仿宋_GB2312" w:cs="仿宋_GB2312" w:hint="eastAsia"/>
          <w:sz w:val="32"/>
          <w:szCs w:val="32"/>
        </w:rPr>
        <w:t>、</w:t>
      </w:r>
      <w:r>
        <w:rPr>
          <w:rFonts w:eastAsia="仿宋_GB2312" w:cs="仿宋_GB2312"/>
          <w:sz w:val="32"/>
          <w:szCs w:val="32"/>
        </w:rPr>
        <w:t>阿坝州公安局特定工作经费</w:t>
      </w:r>
      <w:r>
        <w:rPr>
          <w:rFonts w:eastAsia="仿宋_GB2312" w:cs="仿宋_GB2312" w:hint="eastAsia"/>
          <w:sz w:val="32"/>
          <w:szCs w:val="32"/>
        </w:rPr>
        <w:t>4个专项预算项目绩效自评报告，其中：</w:t>
      </w:r>
      <w:r>
        <w:rPr>
          <w:rFonts w:eastAsia="仿宋_GB2312" w:cs="仿宋_GB2312"/>
          <w:sz w:val="32"/>
          <w:szCs w:val="32"/>
        </w:rPr>
        <w:t>2023年省级ZFWW专项经费</w:t>
      </w:r>
      <w:r>
        <w:rPr>
          <w:rFonts w:eastAsia="仿宋_GB2312" w:cs="仿宋_GB2312" w:hint="eastAsia"/>
          <w:sz w:val="32"/>
          <w:szCs w:val="32"/>
        </w:rPr>
        <w:t>绩效自评得分为</w:t>
      </w:r>
      <w:r>
        <w:rPr>
          <w:rFonts w:eastAsia="仿宋_GB2312" w:cs="仿宋_GB2312"/>
          <w:sz w:val="32"/>
          <w:szCs w:val="32"/>
        </w:rPr>
        <w:t>86.88</w:t>
      </w:r>
      <w:r>
        <w:rPr>
          <w:rFonts w:eastAsia="仿宋_GB2312" w:cs="仿宋_GB2312" w:hint="eastAsia"/>
          <w:sz w:val="32"/>
          <w:szCs w:val="32"/>
        </w:rPr>
        <w:t>分、</w:t>
      </w:r>
      <w:r>
        <w:rPr>
          <w:rFonts w:eastAsia="仿宋_GB2312" w:cs="仿宋_GB2312"/>
          <w:sz w:val="32"/>
          <w:szCs w:val="32"/>
        </w:rPr>
        <w:t>2024年提前批办案（业务）费ZY</w:t>
      </w:r>
      <w:r>
        <w:rPr>
          <w:rFonts w:eastAsia="仿宋_GB2312" w:cs="仿宋_GB2312" w:hint="eastAsia"/>
          <w:sz w:val="32"/>
          <w:szCs w:val="32"/>
        </w:rPr>
        <w:t>绩效自评得分为</w:t>
      </w:r>
      <w:r>
        <w:rPr>
          <w:rFonts w:eastAsia="仿宋_GB2312" w:cs="仿宋_GB2312"/>
          <w:sz w:val="32"/>
          <w:szCs w:val="32"/>
        </w:rPr>
        <w:t>87.4</w:t>
      </w:r>
      <w:r>
        <w:rPr>
          <w:rFonts w:eastAsia="仿宋_GB2312" w:cs="仿宋_GB2312" w:hint="eastAsia"/>
          <w:sz w:val="32"/>
          <w:szCs w:val="32"/>
        </w:rPr>
        <w:t>分、</w:t>
      </w:r>
      <w:r>
        <w:rPr>
          <w:rFonts w:eastAsia="仿宋_GB2312" w:cs="仿宋_GB2312"/>
          <w:sz w:val="32"/>
          <w:szCs w:val="32"/>
        </w:rPr>
        <w:t>特定工作经费Z</w:t>
      </w:r>
      <w:r>
        <w:rPr>
          <w:rFonts w:eastAsia="仿宋_GB2312" w:cs="仿宋_GB2312" w:hint="eastAsia"/>
          <w:sz w:val="32"/>
          <w:szCs w:val="32"/>
        </w:rPr>
        <w:t>绩效自评得分为</w:t>
      </w:r>
      <w:r>
        <w:rPr>
          <w:rFonts w:eastAsia="仿宋_GB2312" w:cs="仿宋_GB2312"/>
          <w:sz w:val="32"/>
          <w:szCs w:val="32"/>
        </w:rPr>
        <w:t>84.79</w:t>
      </w:r>
      <w:r>
        <w:rPr>
          <w:rFonts w:eastAsia="仿宋_GB2312" w:cs="仿宋_GB2312" w:hint="eastAsia"/>
          <w:sz w:val="32"/>
          <w:szCs w:val="32"/>
        </w:rPr>
        <w:t>分、</w:t>
      </w:r>
      <w:r>
        <w:rPr>
          <w:rFonts w:eastAsia="仿宋_GB2312" w:cs="仿宋_GB2312"/>
          <w:sz w:val="32"/>
          <w:szCs w:val="32"/>
        </w:rPr>
        <w:t>阿坝州公安局特定工作经费</w:t>
      </w:r>
      <w:r>
        <w:rPr>
          <w:rFonts w:eastAsia="仿宋_GB2312" w:cs="仿宋_GB2312" w:hint="eastAsia"/>
          <w:sz w:val="32"/>
          <w:szCs w:val="32"/>
        </w:rPr>
        <w:t>绩效自评得分为</w:t>
      </w:r>
      <w:r>
        <w:rPr>
          <w:rFonts w:eastAsia="仿宋_GB2312" w:cs="仿宋_GB2312"/>
          <w:sz w:val="32"/>
          <w:szCs w:val="32"/>
        </w:rPr>
        <w:t>84.22</w:t>
      </w:r>
      <w:r>
        <w:rPr>
          <w:rFonts w:eastAsia="仿宋_GB2312" w:cs="仿宋_GB2312" w:hint="eastAsia"/>
          <w:sz w:val="32"/>
          <w:szCs w:val="32"/>
        </w:rPr>
        <w:t>分。绩效自评综述：</w:t>
      </w:r>
      <w:r>
        <w:rPr>
          <w:rFonts w:eastAsia="仿宋_GB2312" w:cs="仿宋_GB2312"/>
          <w:sz w:val="32"/>
          <w:szCs w:val="32"/>
        </w:rPr>
        <w:t>根据项目情况和评价重点，采用</w:t>
      </w:r>
      <w:r>
        <w:rPr>
          <w:rFonts w:eastAsia="仿宋_GB2312" w:cs="仿宋_GB2312" w:hint="eastAsia"/>
          <w:sz w:val="32"/>
          <w:szCs w:val="32"/>
        </w:rPr>
        <w:t>成本效益分析法、</w:t>
      </w:r>
      <w:r>
        <w:rPr>
          <w:rFonts w:eastAsia="仿宋_GB2312" w:cs="仿宋_GB2312"/>
          <w:sz w:val="32"/>
          <w:szCs w:val="32"/>
        </w:rPr>
        <w:t>单位自评法等多种方法</w:t>
      </w:r>
      <w:r>
        <w:rPr>
          <w:rFonts w:eastAsia="仿宋_GB2312" w:cs="仿宋_GB2312" w:hint="eastAsia"/>
          <w:sz w:val="32"/>
          <w:szCs w:val="32"/>
        </w:rPr>
        <w:t>来开展专项预算项目绩效评价。通过项目决策、项目管理、项目实施、项目结果、行政运转等多方面进行评价，4个专项预算项目绩效自评中重点评价资金支出使用全过程规范，能带来良好的社会效益，总体结论为实施情况良好，保障了全局特警特种专业装备等相关费用，有效提升了公安</w:t>
      </w:r>
      <w:r>
        <w:rPr>
          <w:rFonts w:eastAsia="仿宋_GB2312" w:cs="仿宋_GB2312"/>
          <w:sz w:val="32"/>
          <w:szCs w:val="32"/>
        </w:rPr>
        <w:t>战斗</w:t>
      </w:r>
      <w:r>
        <w:rPr>
          <w:rFonts w:eastAsia="仿宋_GB2312" w:cs="仿宋_GB2312" w:hint="eastAsia"/>
          <w:sz w:val="32"/>
          <w:szCs w:val="32"/>
        </w:rPr>
        <w:t>力，促进公安在维护社会稳定方面发挥作用。绩效自评报告详见单位</w:t>
      </w:r>
      <w:r>
        <w:rPr>
          <w:rFonts w:eastAsia="仿宋_GB2312" w:cs="仿宋_GB2312"/>
          <w:sz w:val="32"/>
          <w:szCs w:val="32"/>
        </w:rPr>
        <w:t>决算公开报告</w:t>
      </w:r>
      <w:r>
        <w:rPr>
          <w:rFonts w:eastAsia="仿宋_GB2312" w:cs="仿宋_GB2312" w:hint="eastAsia"/>
          <w:sz w:val="32"/>
          <w:szCs w:val="32"/>
        </w:rPr>
        <w:t>附件。</w:t>
      </w:r>
    </w:p>
    <w:p>
      <w:pPr>
        <w:spacing w:line="576" w:lineRule="exact"/>
        <w:ind w:firstLine="640"/>
        <w:rPr>
          <w:rFonts w:eastAsia="仿宋_GB2312" w:cs="仿宋_GB2312"/>
          <w:sz w:val="32"/>
          <w:szCs w:val="32"/>
        </w:rPr>
      </w:pPr>
    </w:p>
    <w:p>
      <w:pPr>
        <w:pStyle w:val="15"/>
        <w:rPr>
          <w:rFonts w:hint="eastAsia"/>
        </w:rPr>
      </w:pPr>
    </w:p>
    <w:p>
      <w:pPr>
        <w:spacing w:line="576" w:lineRule="exact"/>
        <w:jc w:val="center"/>
        <w:outlineLvl w:val="0"/>
        <w:rPr>
          <w:rFonts w:eastAsia="黑体"/>
          <w:sz w:val="44"/>
          <w:szCs w:val="44"/>
        </w:rPr>
      </w:pPr>
      <w:bookmarkStart w:id="41" w:name="_Toc15377225"/>
      <w:bookmarkStart w:id="42" w:name="_Toc15396613"/>
      <w:r>
        <w:rPr>
          <w:rFonts w:eastAsia="黑体" w:hint="eastAsia"/>
          <w:sz w:val="44"/>
          <w:szCs w:val="44"/>
        </w:rPr>
        <w:t>第三部分  名词解释</w:t>
      </w:r>
      <w:bookmarkEnd w:id="41"/>
      <w:bookmarkEnd w:id="42"/>
    </w:p>
    <w:p>
      <w:pPr>
        <w:spacing w:line="600" w:lineRule="exact"/>
        <w:ind w:firstLine="640"/>
        <w:rPr>
          <w:rFonts w:eastAsia="仿宋_GB2312" w:cs="仿宋_GB2312"/>
          <w:sz w:val="32"/>
          <w:szCs w:val="32"/>
        </w:rPr>
      </w:pPr>
      <w:bookmarkStart w:id="43" w:name="_Toc15396614"/>
      <w:bookmarkStart w:id="44" w:name="_Toc15377226"/>
      <w:r>
        <w:rPr>
          <w:rFonts w:eastAsia="仿宋_GB2312" w:cs="仿宋_GB2312" w:hint="eastAsia"/>
          <w:sz w:val="32"/>
          <w:szCs w:val="32"/>
        </w:rPr>
        <w:t>1.财政拨款收入：指单位从同级财政部门取得的财政预算资金。</w:t>
      </w:r>
    </w:p>
    <w:p>
      <w:pPr>
        <w:spacing w:line="600" w:lineRule="exact"/>
        <w:ind w:firstLine="640"/>
        <w:rPr>
          <w:rFonts w:eastAsia="仿宋_GB2312" w:cs="仿宋_GB2312"/>
          <w:sz w:val="32"/>
          <w:szCs w:val="32"/>
        </w:rPr>
      </w:pPr>
      <w:r>
        <w:rPr>
          <w:rFonts w:eastAsia="仿宋_GB2312" w:cs="仿宋_GB2312" w:hint="eastAsia"/>
          <w:sz w:val="32"/>
          <w:szCs w:val="32"/>
        </w:rPr>
        <w:t>2.事业收入：指事业单位开展专业业务活动及辅助活动取得的收入。</w:t>
      </w:r>
    </w:p>
    <w:p>
      <w:pPr>
        <w:spacing w:line="600" w:lineRule="exact"/>
        <w:ind w:firstLine="640"/>
        <w:rPr>
          <w:rFonts w:eastAsia="仿宋_GB2312" w:cs="仿宋_GB2312"/>
          <w:sz w:val="32"/>
          <w:szCs w:val="32"/>
        </w:rPr>
      </w:pPr>
      <w:r>
        <w:rPr>
          <w:rFonts w:eastAsia="仿宋_GB2312" w:cs="仿宋_GB2312" w:hint="eastAsia"/>
          <w:sz w:val="32"/>
          <w:szCs w:val="32"/>
        </w:rPr>
        <w:t>3.经营收入：指事业单位在专业业务活动及其辅助活动之外开展非独立核算经营活动取得的收入。</w:t>
      </w:r>
    </w:p>
    <w:p>
      <w:pPr>
        <w:spacing w:line="600" w:lineRule="exact"/>
        <w:ind w:firstLine="640"/>
        <w:rPr>
          <w:rFonts w:eastAsia="仿宋_GB2312" w:cs="仿宋_GB2312"/>
          <w:sz w:val="32"/>
          <w:szCs w:val="32"/>
        </w:rPr>
      </w:pPr>
      <w:r>
        <w:rPr>
          <w:rFonts w:eastAsia="仿宋_GB2312" w:cs="仿宋_GB2312" w:hint="eastAsia"/>
          <w:sz w:val="32"/>
          <w:szCs w:val="32"/>
        </w:rPr>
        <w:t>4.其他收入：指单位取得的除上述收入以外的各项收入。</w:t>
      </w:r>
    </w:p>
    <w:p>
      <w:pPr>
        <w:spacing w:line="600" w:lineRule="exact"/>
        <w:ind w:firstLine="640"/>
        <w:rPr>
          <w:rFonts w:eastAsia="仿宋_GB2312" w:cs="仿宋_GB2312"/>
          <w:sz w:val="32"/>
          <w:szCs w:val="32"/>
        </w:rPr>
      </w:pPr>
      <w:r>
        <w:rPr>
          <w:rFonts w:eastAsia="仿宋_GB2312" w:cs="仿宋_GB2312" w:hint="eastAsia"/>
          <w:sz w:val="32"/>
          <w:szCs w:val="32"/>
        </w:rPr>
        <w:t xml:space="preserve">5.使用非财政拨款结余（含专用结余）：指事业单位使用以前年度积累的非财政拨款结余弥补当年收支差额的金额。 </w:t>
      </w:r>
    </w:p>
    <w:p>
      <w:pPr>
        <w:spacing w:line="600" w:lineRule="exact"/>
        <w:ind w:firstLine="640"/>
        <w:rPr>
          <w:rFonts w:eastAsia="仿宋_GB2312" w:cs="仿宋_GB2312"/>
          <w:sz w:val="32"/>
          <w:szCs w:val="32"/>
        </w:rPr>
      </w:pPr>
      <w:r>
        <w:rPr>
          <w:rFonts w:eastAsia="仿宋_GB2312" w:cs="仿宋_GB2312" w:hint="eastAsia"/>
          <w:sz w:val="32"/>
          <w:szCs w:val="32"/>
        </w:rPr>
        <w:t xml:space="preserve">6.年初结转和结余：指以前年度尚未完成、结转到本年按有关规定继续使用的资金。 </w:t>
      </w:r>
    </w:p>
    <w:p>
      <w:pPr>
        <w:spacing w:line="600" w:lineRule="exact"/>
        <w:ind w:firstLine="640"/>
        <w:rPr>
          <w:rFonts w:eastAsia="仿宋_GB2312" w:cs="仿宋_GB2312"/>
          <w:sz w:val="32"/>
          <w:szCs w:val="32"/>
        </w:rPr>
      </w:pPr>
      <w:r>
        <w:rPr>
          <w:rFonts w:eastAsia="仿宋_GB2312" w:cs="仿宋_GB2312" w:hint="eastAsia"/>
          <w:sz w:val="32"/>
          <w:szCs w:val="32"/>
        </w:rPr>
        <w:t>7.结余分配：指事业单位按照会计制度规定缴纳的所得税、提取的专用结余以及转入非财政拨款结余的金额等。</w:t>
      </w:r>
    </w:p>
    <w:p>
      <w:pPr>
        <w:spacing w:line="600" w:lineRule="exact"/>
        <w:ind w:firstLine="640"/>
        <w:rPr>
          <w:rFonts w:eastAsia="仿宋_GB2312" w:cs="仿宋_GB2312"/>
          <w:sz w:val="32"/>
          <w:szCs w:val="32"/>
        </w:rPr>
      </w:pPr>
      <w:r>
        <w:rPr>
          <w:rFonts w:eastAsia="仿宋_GB2312" w:cs="仿宋_GB2312" w:hint="eastAsia"/>
          <w:sz w:val="32"/>
          <w:szCs w:val="32"/>
        </w:rPr>
        <w:t>8.年末结转和结余：指单位按有关规定结转到下年或以后年度继续使用的资金。</w:t>
      </w:r>
    </w:p>
    <w:p>
      <w:pPr>
        <w:spacing w:line="576" w:lineRule="exact"/>
        <w:ind w:firstLineChars="200" w:firstLine="640"/>
        <w:rPr>
          <w:rFonts w:ascii="仿宋_GB2312" w:eastAsia="仿宋_GB2312"/>
          <w:sz w:val="32"/>
          <w:szCs w:val="32"/>
        </w:rPr>
      </w:pPr>
      <w:r>
        <w:rPr>
          <w:rFonts w:ascii="仿宋_GB2312" w:eastAsia="仿宋_GB2312"/>
          <w:sz w:val="32"/>
          <w:szCs w:val="32"/>
        </w:rPr>
        <w:t>9.</w:t>
      </w:r>
      <w:r>
        <w:rPr>
          <w:rFonts w:ascii="仿宋_GB2312" w:eastAsia="仿宋_GB2312" w:hint="eastAsia"/>
          <w:sz w:val="32"/>
          <w:szCs w:val="32"/>
        </w:rPr>
        <w:t>公共安全支出（204）公安（02）行政运行（01）：指行政单位的基本支出。</w:t>
      </w:r>
    </w:p>
    <w:p>
      <w:pPr>
        <w:spacing w:line="576" w:lineRule="exact"/>
        <w:ind w:firstLineChars="200" w:firstLine="640"/>
        <w:rPr>
          <w:rFonts w:ascii="仿宋_GB2312" w:eastAsia="仿宋_GB2312"/>
          <w:sz w:val="32"/>
          <w:szCs w:val="32"/>
        </w:rPr>
      </w:pPr>
      <w:r>
        <w:rPr>
          <w:rFonts w:ascii="仿宋_GB2312" w:eastAsia="仿宋_GB2312"/>
          <w:sz w:val="32"/>
          <w:szCs w:val="32"/>
        </w:rPr>
        <w:t>10.</w:t>
      </w:r>
      <w:r>
        <w:rPr>
          <w:rFonts w:ascii="仿宋_GB2312" w:eastAsia="仿宋_GB2312" w:hint="eastAsia"/>
          <w:sz w:val="32"/>
          <w:szCs w:val="32"/>
        </w:rPr>
        <w:t>公共安全支出（204）公安（02）：一般行政事务管理（02）指行政单位未单独设置项级科目的其他项目支出。</w:t>
      </w:r>
    </w:p>
    <w:p>
      <w:pPr>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公共安全支出（204）公安（02）信息化建设（19）：指公安机关用于非涉密的信息网络建设和运行维护相关支出。</w:t>
      </w:r>
    </w:p>
    <w:p>
      <w:pPr>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公共安全支出（204）公安（02）其他公安支出（99）：指除规定项目以外其他用于公安方面的支出。</w:t>
      </w:r>
    </w:p>
    <w:p>
      <w:pPr>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3</w:t>
      </w:r>
      <w:r>
        <w:rPr>
          <w:rFonts w:ascii="仿宋_GB2312" w:eastAsia="仿宋_GB2312"/>
          <w:sz w:val="32"/>
          <w:szCs w:val="32"/>
        </w:rPr>
        <w:t>.</w:t>
      </w:r>
      <w:r>
        <w:rPr>
          <w:rFonts w:ascii="仿宋_GB2312" w:eastAsia="仿宋_GB2312" w:hint="eastAsia"/>
          <w:sz w:val="32"/>
          <w:szCs w:val="32"/>
        </w:rPr>
        <w:t>公共安全支出（204）其他公共安全支出（99）其他公安支出（99）：指除规定项目以外其他用于公共安全方面的支出。</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14.社会保障和就业支出（208）行政事业单位养老支出（05）机关事业单位基本养老保险缴费支出（05）：指机关事业单位实施养老保险制度由单位缴纳的基本养老保险支出。</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15.社会保障和就业支出（208）行政事业单位养老支出（05）机关事业单位职业年金缴费支出（06）：指机关事业单位实施养老保险制度由单位实际缴纳的职业年金支出。</w:t>
      </w:r>
    </w:p>
    <w:p>
      <w:pPr>
        <w:spacing w:line="576" w:lineRule="exact"/>
        <w:ind w:firstLineChars="200" w:firstLine="640"/>
        <w:rPr>
          <w:rFonts w:ascii="宋体" w:cs="宋体"/>
          <w:color w:val="000000"/>
          <w:kern w:val="0"/>
          <w:sz w:val="28"/>
          <w:szCs w:val="28"/>
          <w:shd w:val="clear" w:color="auto" w:fill="FFFFFF"/>
        </w:rPr>
      </w:pPr>
      <w:r>
        <w:rPr>
          <w:rFonts w:ascii="仿宋_GB2312" w:eastAsia="仿宋_GB2312" w:hint="eastAsia"/>
          <w:sz w:val="32"/>
          <w:szCs w:val="32"/>
        </w:rPr>
        <w:t>16.卫生健康支出（210）行政事业单位医疗（11）行政单位医疗（01）:指财政部门集中安排的行政人员基本医疗保险缴费经费，未参加医疗保险的行政单位的公费医疗经费，按国家规定享受离休人员、红军老战士待遇人员的医疗经费。</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17.卫生健康支出（210）行政事业单位医疗（11）公务员医疗补助（03）（2101103）：指财政部门安排的公务员医疗补助经费。</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18.住房保障支出（221）住房改革支出（02）住房公积金（01）:指行政事业单位按人力资源和社会保障部、财政部规定的基本工资和津贴补贴以及</w:t>
      </w:r>
      <w:r>
        <w:rPr>
          <w:rFonts w:ascii="仿宋_GB2312" w:eastAsia="仿宋_GB2312"/>
          <w:sz w:val="32"/>
          <w:szCs w:val="32"/>
        </w:rPr>
        <w:t>按</w:t>
      </w:r>
      <w:r>
        <w:rPr>
          <w:rFonts w:ascii="仿宋_GB2312" w:eastAsia="仿宋_GB2312" w:hint="eastAsia"/>
          <w:sz w:val="32"/>
          <w:szCs w:val="32"/>
        </w:rPr>
        <w:t>规定比例为职工缴纳的住房公积金。</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19.住房保障支出（221）住房改革支出（02）购房补贴（03）:指按房改政策规定，行政事业单位向符合条件职工（含离退休人员）、军队（含武警）向转役复员离退休人员防的用于购买住房的补贴。</w:t>
      </w:r>
    </w:p>
    <w:p>
      <w:pPr>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0</w:t>
      </w:r>
      <w:r>
        <w:rPr>
          <w:rFonts w:ascii="仿宋_GB2312" w:eastAsia="仿宋_GB2312"/>
          <w:sz w:val="32"/>
          <w:szCs w:val="32"/>
        </w:rPr>
        <w:t>.</w:t>
      </w:r>
      <w:r>
        <w:rPr>
          <w:rFonts w:ascii="仿宋_GB2312" w:eastAsia="仿宋_GB2312" w:hint="eastAsia"/>
          <w:sz w:val="32"/>
          <w:szCs w:val="32"/>
        </w:rPr>
        <w:t>基本支出：指为保障机构正常运转、完成日常工作任务而发生的人员支出和公用支出。</w:t>
      </w:r>
    </w:p>
    <w:p>
      <w:pPr>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项目支出：指在基本支出之外为完成特定行政任务和事业发展目标所发生的支出。</w:t>
      </w:r>
      <w:r>
        <w:rPr>
          <w:rFonts w:ascii="仿宋_GB2312" w:eastAsia="仿宋_GB2312"/>
          <w:sz w:val="32"/>
          <w:szCs w:val="32"/>
        </w:rPr>
        <w:t xml:space="preserve"> </w:t>
      </w:r>
    </w:p>
    <w:p>
      <w:pPr>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经营支出：指事业单位在专业业务活动及其辅助活动之外开展非独立核算经营活动发生的支出。</w:t>
      </w:r>
    </w:p>
    <w:p>
      <w:pPr>
        <w:spacing w:line="576" w:lineRule="exact"/>
        <w:ind w:firstLineChars="200" w:firstLine="640"/>
        <w:rPr>
          <w:rFonts w:ascii="仿宋_GB2312" w:eastAsia="仿宋_GB2312"/>
          <w:sz w:val="32"/>
          <w:szCs w:val="32"/>
        </w:rPr>
      </w:pPr>
      <w:r>
        <w:rPr>
          <w:rFonts w:ascii="仿宋_GB2312" w:eastAsia="仿宋_GB2312" w:hint="eastAsia"/>
          <w:sz w:val="32"/>
          <w:szCs w:val="32"/>
        </w:rPr>
        <w:t>23</w:t>
      </w:r>
      <w:r>
        <w:rPr>
          <w:rFonts w:ascii="仿宋_GB2312" w:eastAsia="仿宋_GB2312"/>
          <w:sz w:val="32"/>
          <w:szCs w:val="32"/>
        </w:rPr>
        <w:t>.</w:t>
      </w:r>
      <w:r>
        <w:rPr>
          <w:rFonts w:ascii="仿宋_GB2312" w:eastAsia="仿宋_GB2312" w:hint="eastAsia"/>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rPr>
          <w:rFonts w:ascii="仿宋_GB2312" w:eastAsia="仿宋_GB2312"/>
          <w:sz w:val="32"/>
          <w:szCs w:val="32"/>
        </w:rPr>
      </w:pPr>
      <w:r>
        <w:rPr>
          <w:rFonts w:ascii="仿宋_GB2312" w:eastAsia="仿宋_GB2312"/>
          <w:sz w:val="32"/>
          <w:szCs w:val="32"/>
        </w:rPr>
        <w:t xml:space="preserve">    </w:t>
      </w:r>
      <w:r>
        <w:rPr>
          <w:rFonts w:ascii="仿宋_GB2312" w:eastAsia="仿宋_GB2312" w:hint="eastAsia"/>
          <w:sz w:val="32"/>
          <w:szCs w:val="32"/>
        </w:rPr>
        <w:t>24</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jc w:val="center"/>
        <w:rPr>
          <w:rFonts w:ascii="仿宋_GB2312" w:eastAsia="仿宋_GB2312"/>
          <w:sz w:val="32"/>
          <w:szCs w:val="32"/>
        </w:rPr>
      </w:pPr>
    </w:p>
    <w:p>
      <w:pPr>
        <w:spacing w:line="576" w:lineRule="exact"/>
        <w:jc w:val="center"/>
        <w:rPr>
          <w:rStyle w:val="1Char"/>
          <w:rFonts w:eastAsia="黑体"/>
          <w:b w:val="0"/>
        </w:rPr>
      </w:pPr>
      <w:r>
        <w:rPr>
          <w:rFonts w:eastAsia="黑体" w:hint="eastAsia"/>
          <w:sz w:val="44"/>
          <w:szCs w:val="44"/>
        </w:rPr>
        <w:t>第四部分  附件</w:t>
      </w:r>
      <w:bookmarkEnd w:id="43"/>
    </w:p>
    <w:p>
      <w:pPr>
        <w:spacing w:line="560" w:lineRule="exact"/>
        <w:contextualSpacing/>
        <w:jc w:val="center"/>
        <w:rPr>
          <w:rFonts w:eastAsia="方正小标宋简体"/>
          <w:bCs/>
          <w:sz w:val="44"/>
          <w:szCs w:val="44"/>
          <w:shd w:val="clear" w:color="auto" w:fill="FFFFFF"/>
        </w:rPr>
      </w:pPr>
      <w:bookmarkStart w:id="45" w:name="_Hlk110546638"/>
      <w:r>
        <w:rPr>
          <w:rFonts w:eastAsia="方正小标宋简体" w:hint="eastAsia"/>
          <w:bCs/>
          <w:sz w:val="44"/>
          <w:szCs w:val="44"/>
          <w:shd w:val="clear" w:color="auto" w:fill="FFFFFF"/>
        </w:rPr>
        <w:t>阿坝州公安局</w:t>
      </w:r>
    </w:p>
    <w:p>
      <w:pPr>
        <w:spacing w:line="560"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eastAsia="方正小标宋简体" w:hint="eastAsia"/>
          <w:bCs/>
          <w:sz w:val="44"/>
          <w:szCs w:val="44"/>
          <w:shd w:val="clear" w:color="auto" w:fill="FFFFFF"/>
        </w:rPr>
        <w:t>自评</w:t>
      </w:r>
      <w:r>
        <w:rPr>
          <w:rFonts w:eastAsia="方正小标宋简体"/>
          <w:bCs/>
          <w:sz w:val="44"/>
          <w:szCs w:val="44"/>
          <w:shd w:val="clear" w:color="auto" w:fill="FFFFFF"/>
        </w:rPr>
        <w:t>报告</w:t>
      </w:r>
    </w:p>
    <w:p>
      <w:pPr>
        <w:adjustRightInd w:val="0"/>
        <w:snapToGrid w:val="0"/>
        <w:spacing w:line="560" w:lineRule="exact"/>
        <w:ind w:firstLineChars="200" w:firstLine="640"/>
        <w:contextualSpacing/>
        <w:jc w:val="left"/>
        <w:rPr>
          <w:rFonts w:eastAsia="仿宋_GB2312"/>
          <w:sz w:val="32"/>
          <w:szCs w:val="32"/>
          <w:lang w:val="zh-CN"/>
        </w:rPr>
      </w:pP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sz w:val="32"/>
          <w:szCs w:val="32"/>
          <w:lang w:val="zh-CN"/>
        </w:rPr>
        <w:t>为深入贯彻落实党中央、国务院和省委、省政府、州委、州政府关于全面实施预算绩效管理的决策部署，进一步强化预算绩效管理主体责任和绩效理念，按照《阿坝州财政局关于开展202</w:t>
      </w:r>
      <w:r>
        <w:rPr>
          <w:rFonts w:eastAsia="仿宋_GB2312" w:hint="eastAsia"/>
          <w:sz w:val="32"/>
          <w:szCs w:val="32"/>
        </w:rPr>
        <w:t>5</w:t>
      </w:r>
      <w:r>
        <w:rPr>
          <w:rFonts w:eastAsia="仿宋_GB2312"/>
          <w:sz w:val="32"/>
          <w:szCs w:val="32"/>
          <w:lang w:val="zh-CN"/>
        </w:rPr>
        <w:t>年州级部门绩效自评工作的通知》（阿州财监绩〔202</w:t>
      </w:r>
      <w:r>
        <w:rPr>
          <w:rFonts w:eastAsia="仿宋_GB2312" w:hint="eastAsia"/>
          <w:sz w:val="32"/>
          <w:szCs w:val="32"/>
        </w:rPr>
        <w:t>5</w:t>
      </w:r>
      <w:r>
        <w:rPr>
          <w:rFonts w:eastAsia="仿宋_GB2312"/>
          <w:sz w:val="32"/>
          <w:szCs w:val="32"/>
          <w:lang w:val="zh-CN"/>
        </w:rPr>
        <w:t>〕</w:t>
      </w:r>
      <w:r>
        <w:rPr>
          <w:rFonts w:eastAsia="仿宋_GB2312" w:hint="eastAsia"/>
          <w:sz w:val="32"/>
          <w:szCs w:val="32"/>
        </w:rPr>
        <w:t>4</w:t>
      </w:r>
      <w:r>
        <w:rPr>
          <w:rFonts w:eastAsia="仿宋_GB2312"/>
          <w:sz w:val="32"/>
          <w:szCs w:val="32"/>
          <w:lang w:val="zh-CN"/>
        </w:rPr>
        <w:t>号）要求，我</w:t>
      </w:r>
      <w:r>
        <w:rPr>
          <w:rFonts w:eastAsia="仿宋_GB2312" w:hint="eastAsia"/>
          <w:sz w:val="32"/>
          <w:szCs w:val="32"/>
          <w:lang w:val="zh-CN"/>
        </w:rPr>
        <w:t>部门</w:t>
      </w:r>
      <w:r>
        <w:rPr>
          <w:rFonts w:eastAsia="仿宋_GB2312"/>
          <w:sz w:val="32"/>
          <w:szCs w:val="32"/>
          <w:lang w:val="zh-CN"/>
        </w:rPr>
        <w:t>认真组织开展</w:t>
      </w:r>
      <w:r>
        <w:rPr>
          <w:rFonts w:eastAsia="仿宋_GB2312" w:hint="eastAsia"/>
          <w:sz w:val="32"/>
          <w:szCs w:val="32"/>
          <w:lang w:val="zh-CN"/>
        </w:rPr>
        <w:t>部门</w:t>
      </w:r>
      <w:r>
        <w:rPr>
          <w:rFonts w:eastAsia="仿宋_GB2312"/>
          <w:sz w:val="32"/>
          <w:szCs w:val="32"/>
          <w:lang w:val="zh-CN"/>
        </w:rPr>
        <w:t>整体绩效自评工作，现将我</w:t>
      </w:r>
      <w:r>
        <w:rPr>
          <w:rFonts w:eastAsia="仿宋_GB2312" w:hint="eastAsia"/>
          <w:sz w:val="32"/>
          <w:szCs w:val="32"/>
          <w:lang w:val="zh-CN"/>
        </w:rPr>
        <w:t>部门</w:t>
      </w:r>
      <w:r>
        <w:rPr>
          <w:rFonts w:eastAsia="仿宋_GB2312"/>
          <w:sz w:val="32"/>
          <w:szCs w:val="32"/>
          <w:lang w:val="zh-CN"/>
        </w:rPr>
        <w:t>202</w:t>
      </w:r>
      <w:r>
        <w:rPr>
          <w:rFonts w:eastAsia="仿宋_GB2312" w:hint="eastAsia"/>
          <w:sz w:val="32"/>
          <w:szCs w:val="32"/>
        </w:rPr>
        <w:t>4</w:t>
      </w:r>
      <w:r>
        <w:rPr>
          <w:rFonts w:eastAsia="仿宋_GB2312"/>
          <w:sz w:val="32"/>
          <w:szCs w:val="32"/>
          <w:lang w:val="zh-CN"/>
        </w:rPr>
        <w:t>年预算使用管理绩效评价报告如下：</w:t>
      </w:r>
    </w:p>
    <w:p>
      <w:pPr>
        <w:adjustRightInd w:val="0"/>
        <w:snapToGrid w:val="0"/>
        <w:spacing w:line="560" w:lineRule="exact"/>
        <w:ind w:firstLineChars="200" w:firstLine="640"/>
        <w:contextualSpacing/>
        <w:jc w:val="left"/>
        <w:rPr>
          <w:rFonts w:eastAsia="仿宋_GB2312"/>
          <w:sz w:val="32"/>
          <w:szCs w:val="32"/>
        </w:rPr>
      </w:pPr>
      <w:r>
        <w:rPr>
          <w:rFonts w:eastAsia="黑体"/>
          <w:color w:val="000000"/>
          <w:kern w:val="0"/>
          <w:sz w:val="32"/>
          <w:szCs w:val="32"/>
          <w:shd w:val="clear" w:color="auto" w:fill="FFFFFF"/>
          <w:lang w:val="zh-CN"/>
        </w:rPr>
        <w:t>一、部门基本情况</w:t>
      </w:r>
    </w:p>
    <w:p>
      <w:pPr>
        <w:adjustRightInd w:val="0"/>
        <w:snapToGrid w:val="0"/>
        <w:spacing w:line="560" w:lineRule="exact"/>
        <w:ind w:firstLineChars="200" w:firstLine="64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（一）机构组成。</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sz w:val="32"/>
          <w:szCs w:val="32"/>
          <w:lang w:val="zh-CN"/>
        </w:rPr>
        <w:t xml:space="preserve">阿坝州公安局是州政府主管全州公安工作的职能部门，属一级预算单位，下设两个独立预算二级单位：阿坝州交警支队、州强制隔离戒毒所。阿坝州公安局内设机构31个（含4个驻外分局），包括：州纪委驻州公安局纪检组、机关党委、政治部、办公室、情指中心、政保支队、警卫处、治安管理支队、监所管理支队、州强制戒毒所、刑侦支队、科通支队、出入境支队、交警支队、物证鉴定所、反恐支队、督察支队、技侦支队、警务保障处、森警支队、法制支队、经侦支队、禁毒支队、网安支队、行政审批处、食药环支队、特警支队、九黄机场分局、红原机场分局、卧龙分局、双江口分局。 </w:t>
      </w:r>
    </w:p>
    <w:p>
      <w:pPr>
        <w:numPr>
          <w:ilvl w:val="0"/>
          <w:numId w:val="1"/>
        </w:numPr>
        <w:adjustRightInd w:val="0"/>
        <w:snapToGrid w:val="0"/>
        <w:spacing w:line="560" w:lineRule="exact"/>
        <w:ind w:left="0" w:firstLineChars="200" w:firstLine="64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机构职能。</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 xml:space="preserve"> 1.贯彻执行国家公安工作的方针</w:t>
      </w:r>
      <w:r>
        <w:rPr>
          <w:rFonts w:eastAsia="仿宋_GB2312" w:hint="eastAsia"/>
          <w:sz w:val="32"/>
          <w:szCs w:val="32"/>
        </w:rPr>
        <w:t>、</w:t>
      </w:r>
      <w:r>
        <w:rPr>
          <w:rFonts w:eastAsia="仿宋_GB2312"/>
          <w:sz w:val="32"/>
          <w:szCs w:val="32"/>
        </w:rPr>
        <w:t>政策</w:t>
      </w:r>
      <w:r>
        <w:rPr>
          <w:rFonts w:eastAsia="仿宋_GB2312" w:hint="eastAsia"/>
          <w:sz w:val="32"/>
          <w:szCs w:val="32"/>
        </w:rPr>
        <w:t>、</w:t>
      </w:r>
      <w:r>
        <w:rPr>
          <w:rFonts w:eastAsia="仿宋_GB2312"/>
          <w:sz w:val="32"/>
          <w:szCs w:val="32"/>
        </w:rPr>
        <w:t>法律</w:t>
      </w:r>
      <w:r>
        <w:rPr>
          <w:rFonts w:eastAsia="仿宋_GB2312" w:hint="eastAsia"/>
          <w:sz w:val="32"/>
          <w:szCs w:val="32"/>
        </w:rPr>
        <w:t>、</w:t>
      </w:r>
      <w:r>
        <w:rPr>
          <w:rFonts w:eastAsia="仿宋_GB2312"/>
          <w:sz w:val="32"/>
          <w:szCs w:val="32"/>
        </w:rPr>
        <w:t>法规和规章，起草地方性公安法规、规章草案</w:t>
      </w:r>
      <w:r>
        <w:rPr>
          <w:rFonts w:eastAsia="仿宋_GB2312" w:hint="eastAsia"/>
          <w:sz w:val="32"/>
          <w:szCs w:val="32"/>
        </w:rPr>
        <w:t>，</w:t>
      </w:r>
      <w:r>
        <w:rPr>
          <w:rFonts w:eastAsia="仿宋_GB2312"/>
          <w:sz w:val="32"/>
          <w:szCs w:val="32"/>
        </w:rPr>
        <w:t>部署、指导、监督、检查全州公安工作</w:t>
      </w:r>
      <w:r>
        <w:rPr>
          <w:rFonts w:eastAsia="仿宋_GB2312" w:hint="eastAsia"/>
          <w:sz w:val="32"/>
          <w:szCs w:val="32"/>
        </w:rPr>
        <w:t>；</w:t>
      </w:r>
      <w:r>
        <w:rPr>
          <w:rFonts w:eastAsia="仿宋_GB2312"/>
          <w:sz w:val="32"/>
          <w:szCs w:val="32"/>
        </w:rPr>
        <w:t>负责本系统、本部门依法行政工作</w:t>
      </w:r>
      <w:r>
        <w:rPr>
          <w:rFonts w:eastAsia="仿宋_GB2312" w:hint="eastAsia"/>
          <w:sz w:val="32"/>
          <w:szCs w:val="32"/>
        </w:rPr>
        <w:t>，</w:t>
      </w:r>
      <w:r>
        <w:rPr>
          <w:rFonts w:eastAsia="仿宋_GB2312"/>
          <w:sz w:val="32"/>
          <w:szCs w:val="32"/>
        </w:rPr>
        <w:t>落实行政执法责任制；</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2.指导、协调全州公安机关应急管理、抢险救援工作和社会公共突发事件的处置工作；</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3.收集掌握影响社会稳定、危害国家安全和社会治安的情况</w:t>
      </w:r>
      <w:r>
        <w:rPr>
          <w:rFonts w:eastAsia="仿宋_GB2312" w:hint="eastAsia"/>
          <w:sz w:val="32"/>
          <w:szCs w:val="32"/>
        </w:rPr>
        <w:t>，</w:t>
      </w:r>
      <w:r>
        <w:rPr>
          <w:rFonts w:eastAsia="仿宋_GB2312"/>
          <w:sz w:val="32"/>
          <w:szCs w:val="32"/>
        </w:rPr>
        <w:t>分析研判形势</w:t>
      </w:r>
      <w:r>
        <w:rPr>
          <w:rFonts w:eastAsia="仿宋_GB2312" w:hint="eastAsia"/>
          <w:sz w:val="32"/>
          <w:szCs w:val="32"/>
        </w:rPr>
        <w:t>，</w:t>
      </w:r>
      <w:r>
        <w:rPr>
          <w:rFonts w:eastAsia="仿宋_GB2312"/>
          <w:sz w:val="32"/>
          <w:szCs w:val="32"/>
        </w:rPr>
        <w:t>制定对策；</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4.组织、实施、指导全州公安法制建设</w:t>
      </w:r>
      <w:r>
        <w:rPr>
          <w:rFonts w:eastAsia="仿宋_GB2312" w:hint="eastAsia"/>
          <w:sz w:val="32"/>
          <w:szCs w:val="32"/>
        </w:rPr>
        <w:t>，</w:t>
      </w:r>
      <w:r>
        <w:rPr>
          <w:rFonts w:eastAsia="仿宋_GB2312"/>
          <w:sz w:val="32"/>
          <w:szCs w:val="32"/>
        </w:rPr>
        <w:t>按管辖办理行政诉讼、行政复议案件</w:t>
      </w:r>
      <w:r>
        <w:rPr>
          <w:rFonts w:eastAsia="仿宋_GB2312" w:hint="eastAsia"/>
          <w:sz w:val="32"/>
          <w:szCs w:val="32"/>
        </w:rPr>
        <w:t>，</w:t>
      </w:r>
      <w:r>
        <w:rPr>
          <w:rFonts w:eastAsia="仿宋_GB2312"/>
          <w:sz w:val="32"/>
          <w:szCs w:val="32"/>
        </w:rPr>
        <w:t>依法实施行政许可、行政审批事项；</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5.组织指导全州公安侦查工作</w:t>
      </w:r>
      <w:r>
        <w:rPr>
          <w:rFonts w:eastAsia="仿宋_GB2312" w:hint="eastAsia"/>
          <w:sz w:val="32"/>
          <w:szCs w:val="32"/>
        </w:rPr>
        <w:t>；</w:t>
      </w:r>
      <w:r>
        <w:rPr>
          <w:rFonts w:eastAsia="仿宋_GB2312"/>
          <w:sz w:val="32"/>
          <w:szCs w:val="32"/>
        </w:rPr>
        <w:t>协调、指挥、侦破重特大案件</w:t>
      </w:r>
      <w:r>
        <w:rPr>
          <w:rFonts w:eastAsia="仿宋_GB2312" w:hint="eastAsia"/>
          <w:sz w:val="32"/>
          <w:szCs w:val="32"/>
        </w:rPr>
        <w:t>，</w:t>
      </w:r>
      <w:r>
        <w:rPr>
          <w:rFonts w:eastAsia="仿宋_GB2312"/>
          <w:sz w:val="32"/>
          <w:szCs w:val="32"/>
        </w:rPr>
        <w:t>处置治安灾害事故、骚乱和群体性突发事件、组织实施重大活动的安全保卫工作；</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6.指导、监督全州公安机关查处危害社会治安秩序行为</w:t>
      </w:r>
      <w:r>
        <w:rPr>
          <w:rFonts w:eastAsia="仿宋_GB2312" w:hint="eastAsia"/>
          <w:sz w:val="32"/>
          <w:szCs w:val="32"/>
        </w:rPr>
        <w:t>；</w:t>
      </w:r>
      <w:r>
        <w:rPr>
          <w:rFonts w:eastAsia="仿宋_GB2312"/>
          <w:sz w:val="32"/>
          <w:szCs w:val="32"/>
        </w:rPr>
        <w:t>依法管理户口、居民身份证、枪支弹药、危险物品、特种行业等工作</w:t>
      </w:r>
      <w:r>
        <w:rPr>
          <w:rFonts w:eastAsia="仿宋_GB2312" w:hint="eastAsia"/>
          <w:sz w:val="32"/>
          <w:szCs w:val="32"/>
        </w:rPr>
        <w:t>；</w:t>
      </w:r>
      <w:r>
        <w:rPr>
          <w:rFonts w:eastAsia="仿宋_GB2312"/>
          <w:sz w:val="32"/>
          <w:szCs w:val="32"/>
        </w:rPr>
        <w:t>依法管理集会、游行、示威活动；</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7.负责全州道路交通安全管理工作并承担相应责任。指导监督全州公安机关维护道路交通安全、交通秩序</w:t>
      </w:r>
      <w:r>
        <w:rPr>
          <w:rFonts w:eastAsia="仿宋_GB2312" w:hint="eastAsia"/>
          <w:sz w:val="32"/>
          <w:szCs w:val="32"/>
        </w:rPr>
        <w:t>；</w:t>
      </w:r>
      <w:r>
        <w:rPr>
          <w:rFonts w:eastAsia="仿宋_GB2312"/>
          <w:sz w:val="32"/>
          <w:szCs w:val="32"/>
        </w:rPr>
        <w:t>组织、协调处置重特大交通事故</w:t>
      </w:r>
      <w:r>
        <w:rPr>
          <w:rFonts w:eastAsia="仿宋_GB2312" w:hint="eastAsia"/>
          <w:sz w:val="32"/>
          <w:szCs w:val="32"/>
        </w:rPr>
        <w:t>；</w:t>
      </w:r>
      <w:r>
        <w:rPr>
          <w:rFonts w:eastAsia="仿宋_GB2312"/>
          <w:sz w:val="32"/>
          <w:szCs w:val="32"/>
        </w:rPr>
        <w:t>依法管理机动车辆(不含拖拉机)和驾驶人员；</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 xml:space="preserve">8.负责全州消防工作并承担相应责任。指导、监督、协调全州消防监督、火灾预防、火灾扑救工作和公安应急抢险救援工作； </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9.指导全州公安警卫业务工作</w:t>
      </w:r>
      <w:r>
        <w:rPr>
          <w:rFonts w:eastAsia="仿宋_GB2312" w:hint="eastAsia"/>
          <w:sz w:val="32"/>
          <w:szCs w:val="32"/>
        </w:rPr>
        <w:t>，</w:t>
      </w:r>
      <w:r>
        <w:rPr>
          <w:rFonts w:eastAsia="仿宋_GB2312"/>
          <w:sz w:val="32"/>
          <w:szCs w:val="32"/>
        </w:rPr>
        <w:t>组织实施对有关党和国家领导人以及重要外宾在州内的安全警卫工作并承担相应责任。组织、实施全州航空站等要害目标的安全保卫指导；</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10.指导、监督全州公安机关对公共信息网络的安全保护工作</w:t>
      </w:r>
      <w:r>
        <w:rPr>
          <w:rFonts w:eastAsia="仿宋_GB2312" w:hint="eastAsia"/>
          <w:sz w:val="32"/>
          <w:szCs w:val="32"/>
        </w:rPr>
        <w:t>，</w:t>
      </w:r>
      <w:r>
        <w:rPr>
          <w:rFonts w:eastAsia="仿宋_GB2312"/>
          <w:sz w:val="32"/>
          <w:szCs w:val="32"/>
        </w:rPr>
        <w:t>负责信息安全等级保卫工作的监督、检查、指导；</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11.依法管理国籍、出境入境和外国人在中国境内居留、旅行的有关工作；</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12.组织、指导、协调对恐怖活动的情报、防范、侦察和应急处置工作；</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13.指导、监督全州公安机关依法承担的执行刑罚和监督考察工作。指导、监督全州公安机关看守所、拘留所、强制戒毒所的管理工作。指导、监督、办理收容教养和劳动教养审批工作。管理阿坝州看守所、阿坝州强制隔离戒毒所；</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14.组织实施全州公安科学技术工作</w:t>
      </w:r>
      <w:r>
        <w:rPr>
          <w:rFonts w:eastAsia="仿宋_GB2312" w:hint="eastAsia"/>
          <w:sz w:val="32"/>
          <w:szCs w:val="32"/>
        </w:rPr>
        <w:t>，</w:t>
      </w:r>
      <w:r>
        <w:rPr>
          <w:rFonts w:eastAsia="仿宋_GB2312"/>
          <w:sz w:val="32"/>
          <w:szCs w:val="32"/>
        </w:rPr>
        <w:t>组织、指导、规划全州公安机关的指挥系统、信息技术、刑事技术建设；</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15.拟订全州公安机关装备和经费等警务保障计划和管理制度</w:t>
      </w:r>
      <w:r>
        <w:rPr>
          <w:rFonts w:eastAsia="仿宋_GB2312" w:hint="eastAsia"/>
          <w:sz w:val="32"/>
          <w:szCs w:val="32"/>
        </w:rPr>
        <w:t>，</w:t>
      </w:r>
      <w:r>
        <w:rPr>
          <w:rFonts w:eastAsia="仿宋_GB2312"/>
          <w:sz w:val="32"/>
          <w:szCs w:val="32"/>
        </w:rPr>
        <w:t>组织协调全州公安机关重大任务的警务保障工作；</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16.指导全州公安队伍建设和公安机关党风廉政建设</w:t>
      </w:r>
      <w:r>
        <w:rPr>
          <w:rFonts w:eastAsia="仿宋_GB2312" w:hint="eastAsia"/>
          <w:sz w:val="32"/>
          <w:szCs w:val="32"/>
        </w:rPr>
        <w:t>，</w:t>
      </w:r>
      <w:r>
        <w:rPr>
          <w:rFonts w:eastAsia="仿宋_GB2312"/>
          <w:sz w:val="32"/>
          <w:szCs w:val="32"/>
        </w:rPr>
        <w:t>组织、指导全州公安机关组织人事管理、民警教育训练和宣传工作</w:t>
      </w:r>
      <w:r>
        <w:rPr>
          <w:rFonts w:eastAsia="仿宋_GB2312" w:hint="eastAsia"/>
          <w:sz w:val="32"/>
          <w:szCs w:val="32"/>
        </w:rPr>
        <w:t>，</w:t>
      </w:r>
      <w:r>
        <w:rPr>
          <w:rFonts w:eastAsia="仿宋_GB2312"/>
          <w:sz w:val="32"/>
          <w:szCs w:val="32"/>
        </w:rPr>
        <w:t>按规定权限管理干部</w:t>
      </w:r>
      <w:r>
        <w:rPr>
          <w:rFonts w:eastAsia="仿宋_GB2312" w:hint="eastAsia"/>
          <w:sz w:val="32"/>
          <w:szCs w:val="32"/>
        </w:rPr>
        <w:t>，</w:t>
      </w:r>
      <w:r>
        <w:rPr>
          <w:rFonts w:eastAsia="仿宋_GB2312"/>
          <w:sz w:val="32"/>
          <w:szCs w:val="32"/>
        </w:rPr>
        <w:t>拟订全州公安队伍监督管理工作规章制度</w:t>
      </w:r>
      <w:r>
        <w:rPr>
          <w:rFonts w:eastAsia="仿宋_GB2312" w:hint="eastAsia"/>
          <w:sz w:val="32"/>
          <w:szCs w:val="32"/>
        </w:rPr>
        <w:t>，</w:t>
      </w:r>
      <w:r>
        <w:rPr>
          <w:rFonts w:eastAsia="仿宋_GB2312"/>
          <w:sz w:val="32"/>
          <w:szCs w:val="32"/>
        </w:rPr>
        <w:t>组织、指导全州公安机关督察、审计、信访工作</w:t>
      </w:r>
      <w:r>
        <w:rPr>
          <w:rFonts w:eastAsia="仿宋_GB2312" w:hint="eastAsia"/>
          <w:sz w:val="32"/>
          <w:szCs w:val="32"/>
        </w:rPr>
        <w:t>，</w:t>
      </w:r>
      <w:r>
        <w:rPr>
          <w:rFonts w:eastAsia="仿宋_GB2312"/>
          <w:sz w:val="32"/>
          <w:szCs w:val="32"/>
        </w:rPr>
        <w:t>指导、监督全州公安机关及人民警察的执法活动</w:t>
      </w:r>
      <w:r>
        <w:rPr>
          <w:rFonts w:eastAsia="仿宋_GB2312" w:hint="eastAsia"/>
          <w:sz w:val="32"/>
          <w:szCs w:val="32"/>
        </w:rPr>
        <w:t>，</w:t>
      </w:r>
      <w:r>
        <w:rPr>
          <w:rFonts w:eastAsia="仿宋_GB2312"/>
          <w:sz w:val="32"/>
          <w:szCs w:val="32"/>
        </w:rPr>
        <w:t>按规定权限实施对干部的监督，查处或督办公安队伍重大违纪案件；</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17.指导州内森林公安机关的业务工作；</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18.承担州政府禁毒委员会、劳动教养管理委员会、反恐工作协调小组日常工作；</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19.承担州政府公布的有关行政审批事项；</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sz w:val="32"/>
          <w:szCs w:val="32"/>
        </w:rPr>
        <w:t>20.承办州政府和公安厅交办的其他事项。</w:t>
      </w:r>
    </w:p>
    <w:p>
      <w:pPr>
        <w:spacing w:line="560" w:lineRule="exact"/>
        <w:ind w:firstLineChars="200" w:firstLine="640"/>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（三）人员概况。</w:t>
      </w:r>
    </w:p>
    <w:p>
      <w:pPr>
        <w:adjustRightInd w:val="0"/>
        <w:snapToGrid w:val="0"/>
        <w:spacing w:line="560" w:lineRule="exact"/>
        <w:ind w:firstLineChars="200" w:firstLine="640"/>
        <w:contextualSpacing/>
        <w:jc w:val="left"/>
        <w:rPr>
          <w:rFonts w:eastAsia="仿宋_GB2312" w:hint="eastAsia"/>
          <w:sz w:val="32"/>
          <w:szCs w:val="32"/>
          <w:lang w:val="en-US" w:eastAsia="zh-CN"/>
        </w:rPr>
      </w:pPr>
      <w:r>
        <w:rPr>
          <w:rFonts w:eastAsia="仿宋_GB2312"/>
          <w:sz w:val="32"/>
          <w:szCs w:val="32"/>
        </w:rPr>
        <w:t>截至202</w:t>
      </w:r>
      <w:r>
        <w:rPr>
          <w:rFonts w:eastAsia="仿宋_GB2312" w:hint="eastAsia"/>
          <w:sz w:val="32"/>
          <w:szCs w:val="32"/>
        </w:rPr>
        <w:t>4</w:t>
      </w:r>
      <w:r>
        <w:rPr>
          <w:rFonts w:eastAsia="仿宋_GB2312"/>
          <w:sz w:val="32"/>
          <w:szCs w:val="32"/>
        </w:rPr>
        <w:t>年末，阿坝州公安局在职人员编制数为***人，其中：州公安局***人（中央政法民警***人、工勤***人）、州交警支队民警***人、州强制隔离戒毒所事业人员***人。</w:t>
      </w:r>
      <w:r>
        <w:rPr>
          <w:rFonts w:eastAsia="仿宋_GB2312" w:hint="eastAsia"/>
          <w:sz w:val="32"/>
          <w:szCs w:val="32"/>
          <w:lang w:val="en-US" w:eastAsia="zh-CN"/>
        </w:rPr>
        <w:t>(人员信息不宜公开）</w:t>
      </w:r>
    </w:p>
    <w:p>
      <w:pPr>
        <w:adjustRightInd w:val="0"/>
        <w:snapToGrid w:val="0"/>
        <w:spacing w:line="560" w:lineRule="exact"/>
        <w:ind w:firstLineChars="200" w:firstLine="64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二、部门资金收支情况</w:t>
      </w:r>
    </w:p>
    <w:p>
      <w:pPr>
        <w:spacing w:line="560" w:lineRule="exact"/>
        <w:ind w:firstLineChars="150" w:firstLine="480"/>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（一）收入情况。</w:t>
      </w:r>
    </w:p>
    <w:p>
      <w:pPr>
        <w:adjustRightInd w:val="0"/>
        <w:snapToGrid w:val="0"/>
        <w:spacing w:line="560" w:lineRule="exact"/>
        <w:ind w:firstLineChars="200" w:firstLine="640"/>
        <w:contextualSpacing/>
        <w:jc w:val="left"/>
        <w:rPr>
          <w:rFonts w:eastAsia="仿宋_GB2312"/>
          <w:sz w:val="32"/>
          <w:szCs w:val="32"/>
        </w:rPr>
      </w:pPr>
      <w:r>
        <w:rPr>
          <w:rFonts w:eastAsia="仿宋_GB2312" w:hint="eastAsia"/>
          <w:sz w:val="32"/>
          <w:szCs w:val="32"/>
          <w:lang w:val="zh-CN"/>
        </w:rPr>
        <w:t>202</w:t>
      </w:r>
      <w:r>
        <w:rPr>
          <w:rFonts w:eastAsia="仿宋_GB2312" w:hint="eastAsia"/>
          <w:sz w:val="32"/>
          <w:szCs w:val="32"/>
        </w:rPr>
        <w:t>4</w:t>
      </w:r>
      <w:r>
        <w:rPr>
          <w:rFonts w:eastAsia="仿宋_GB2312" w:hint="eastAsia"/>
          <w:sz w:val="32"/>
          <w:szCs w:val="32"/>
          <w:lang w:val="zh-CN"/>
        </w:rPr>
        <w:t>年初部门财政资金收入情况：当年总收入</w:t>
      </w:r>
      <w:r>
        <w:rPr>
          <w:rFonts w:eastAsia="仿宋_GB2312" w:hint="eastAsia"/>
          <w:sz w:val="32"/>
          <w:szCs w:val="32"/>
        </w:rPr>
        <w:t>29,248</w:t>
      </w:r>
      <w:r>
        <w:rPr>
          <w:rFonts w:eastAsia="仿宋_GB2312" w:hint="eastAsia"/>
          <w:sz w:val="32"/>
          <w:szCs w:val="32"/>
          <w:lang w:val="zh-CN"/>
        </w:rPr>
        <w:t>.</w:t>
      </w:r>
      <w:r>
        <w:rPr>
          <w:rFonts w:eastAsia="仿宋_GB2312" w:hint="eastAsia"/>
          <w:sz w:val="32"/>
          <w:szCs w:val="32"/>
        </w:rPr>
        <w:t>67</w:t>
      </w:r>
      <w:r>
        <w:rPr>
          <w:rFonts w:eastAsia="仿宋_GB2312" w:hint="eastAsia"/>
          <w:sz w:val="32"/>
          <w:szCs w:val="32"/>
          <w:lang w:val="zh-CN"/>
        </w:rPr>
        <w:t>万元，其中：一般公共预算拨款收入</w:t>
      </w:r>
      <w:r>
        <w:rPr>
          <w:rFonts w:eastAsia="仿宋_GB2312" w:hint="eastAsia"/>
          <w:sz w:val="32"/>
          <w:szCs w:val="32"/>
        </w:rPr>
        <w:t>29,197</w:t>
      </w:r>
      <w:r>
        <w:rPr>
          <w:rFonts w:eastAsia="仿宋_GB2312" w:hint="eastAsia"/>
          <w:sz w:val="32"/>
          <w:szCs w:val="32"/>
          <w:lang w:val="zh-CN"/>
        </w:rPr>
        <w:t>.</w:t>
      </w:r>
      <w:r>
        <w:rPr>
          <w:rFonts w:eastAsia="仿宋_GB2312" w:hint="eastAsia"/>
          <w:sz w:val="32"/>
          <w:szCs w:val="32"/>
        </w:rPr>
        <w:t>63</w:t>
      </w:r>
      <w:r>
        <w:rPr>
          <w:rFonts w:eastAsia="仿宋_GB2312" w:hint="eastAsia"/>
          <w:sz w:val="32"/>
          <w:szCs w:val="32"/>
          <w:lang w:val="zh-CN"/>
        </w:rPr>
        <w:t>万元，占总收入比重为</w:t>
      </w:r>
      <w:r>
        <w:rPr>
          <w:rFonts w:eastAsia="仿宋_GB2312" w:hint="eastAsia"/>
          <w:sz w:val="32"/>
          <w:szCs w:val="32"/>
        </w:rPr>
        <w:t>99.83</w:t>
      </w:r>
      <w:r>
        <w:rPr>
          <w:rFonts w:eastAsia="仿宋_GB2312" w:hint="eastAsia"/>
          <w:sz w:val="32"/>
          <w:szCs w:val="32"/>
          <w:lang w:val="zh-CN"/>
        </w:rPr>
        <w:t>%，</w:t>
      </w:r>
      <w:r>
        <w:rPr>
          <w:rFonts w:eastAsia="仿宋_GB2312" w:hint="eastAsia"/>
          <w:sz w:val="32"/>
          <w:szCs w:val="32"/>
        </w:rPr>
        <w:t>上年结转结余51.04万元，</w:t>
      </w:r>
      <w:r>
        <w:rPr>
          <w:rFonts w:eastAsia="仿宋_GB2312" w:hint="eastAsia"/>
          <w:sz w:val="32"/>
          <w:szCs w:val="32"/>
          <w:lang w:val="zh-CN"/>
        </w:rPr>
        <w:t>占总收入比重为</w:t>
      </w:r>
      <w:r>
        <w:rPr>
          <w:rFonts w:eastAsia="仿宋_GB2312" w:hint="eastAsia"/>
          <w:sz w:val="32"/>
          <w:szCs w:val="32"/>
        </w:rPr>
        <w:t>0.17</w:t>
      </w:r>
      <w:r>
        <w:rPr>
          <w:rFonts w:eastAsia="仿宋_GB2312" w:hint="eastAsia"/>
          <w:sz w:val="32"/>
          <w:szCs w:val="32"/>
          <w:lang w:val="zh-CN"/>
        </w:rPr>
        <w:t>%。</w:t>
      </w:r>
    </w:p>
    <w:p>
      <w:pPr>
        <w:adjustRightInd w:val="0"/>
        <w:snapToGrid w:val="0"/>
        <w:spacing w:line="560" w:lineRule="exact"/>
        <w:ind w:firstLineChars="200" w:firstLine="640"/>
        <w:contextualSpacing/>
        <w:jc w:val="left"/>
        <w:rPr>
          <w:rFonts w:eastAsia="楷体_GB2312"/>
          <w:b/>
          <w:bCs/>
          <w:color w:val="000000"/>
          <w:kern w:val="0"/>
          <w:sz w:val="32"/>
          <w:szCs w:val="32"/>
        </w:rPr>
      </w:pPr>
      <w:r>
        <w:rPr>
          <w:rFonts w:eastAsia="仿宋_GB2312" w:hint="eastAsia"/>
          <w:sz w:val="32"/>
          <w:szCs w:val="32"/>
        </w:rPr>
        <w:t xml:space="preserve">2024年决算报表收入情况：因年中追加了人员工资、上年结转结余等经费，2024年决算表中全年预算数为33,561.04万元，较年初增长了14.74%。   </w:t>
      </w:r>
    </w:p>
    <w:p>
      <w:pPr>
        <w:numPr>
          <w:ilvl w:val="0"/>
          <w:numId w:val="2"/>
        </w:numPr>
        <w:spacing w:line="560" w:lineRule="exact"/>
        <w:ind w:left="0" w:firstLineChars="200" w:firstLine="640"/>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支出情况。</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hint="eastAsia"/>
          <w:sz w:val="32"/>
          <w:szCs w:val="32"/>
          <w:lang w:val="zh-CN"/>
        </w:rPr>
        <w:t>202</w:t>
      </w:r>
      <w:r>
        <w:rPr>
          <w:rFonts w:eastAsia="仿宋_GB2312" w:hint="eastAsia"/>
          <w:sz w:val="32"/>
          <w:szCs w:val="32"/>
        </w:rPr>
        <w:t>4年初预算支出数为29,248.67万元，</w:t>
      </w:r>
      <w:r>
        <w:rPr>
          <w:rFonts w:eastAsia="仿宋_GB2312" w:hint="eastAsia"/>
          <w:sz w:val="32"/>
          <w:szCs w:val="32"/>
          <w:lang w:val="zh-CN"/>
        </w:rPr>
        <w:t>按</w:t>
      </w:r>
      <w:r>
        <w:rPr>
          <w:rFonts w:eastAsia="仿宋_GB2312"/>
          <w:sz w:val="32"/>
          <w:szCs w:val="32"/>
          <w:lang w:val="zh-CN"/>
        </w:rPr>
        <w:t>功能科目</w:t>
      </w:r>
      <w:r>
        <w:rPr>
          <w:rFonts w:eastAsia="仿宋_GB2312" w:hint="eastAsia"/>
          <w:sz w:val="32"/>
          <w:szCs w:val="32"/>
          <w:lang w:val="zh-CN"/>
        </w:rPr>
        <w:t>分类：公共安全支出</w:t>
      </w:r>
      <w:r>
        <w:rPr>
          <w:rFonts w:eastAsia="仿宋_GB2312" w:hint="eastAsia"/>
          <w:sz w:val="32"/>
          <w:szCs w:val="32"/>
        </w:rPr>
        <w:t>29,088</w:t>
      </w:r>
      <w:r>
        <w:rPr>
          <w:rFonts w:eastAsia="仿宋_GB2312" w:hint="eastAsia"/>
          <w:sz w:val="32"/>
          <w:szCs w:val="32"/>
          <w:lang w:val="zh-CN"/>
        </w:rPr>
        <w:t>.</w:t>
      </w:r>
      <w:r>
        <w:rPr>
          <w:rFonts w:eastAsia="仿宋_GB2312" w:hint="eastAsia"/>
          <w:sz w:val="32"/>
          <w:szCs w:val="32"/>
        </w:rPr>
        <w:t>22</w:t>
      </w:r>
      <w:r>
        <w:rPr>
          <w:rFonts w:eastAsia="仿宋_GB2312" w:hint="eastAsia"/>
          <w:sz w:val="32"/>
          <w:szCs w:val="32"/>
          <w:lang w:val="zh-CN"/>
        </w:rPr>
        <w:t>万元，占总支出</w:t>
      </w:r>
      <w:r>
        <w:rPr>
          <w:rFonts w:eastAsia="仿宋_GB2312" w:hint="eastAsia"/>
          <w:sz w:val="32"/>
          <w:szCs w:val="32"/>
        </w:rPr>
        <w:t>99.45</w:t>
      </w:r>
      <w:r>
        <w:rPr>
          <w:rFonts w:eastAsia="仿宋_GB2312" w:hint="eastAsia"/>
          <w:sz w:val="32"/>
          <w:szCs w:val="32"/>
          <w:lang w:val="zh-CN"/>
        </w:rPr>
        <w:t>%，社会保障和就业支出</w:t>
      </w:r>
      <w:r>
        <w:rPr>
          <w:rFonts w:eastAsia="仿宋_GB2312" w:hint="eastAsia"/>
          <w:sz w:val="32"/>
          <w:szCs w:val="32"/>
        </w:rPr>
        <w:t>86.02</w:t>
      </w:r>
      <w:r>
        <w:rPr>
          <w:rFonts w:eastAsia="仿宋_GB2312" w:hint="eastAsia"/>
          <w:sz w:val="32"/>
          <w:szCs w:val="32"/>
          <w:lang w:val="zh-CN"/>
        </w:rPr>
        <w:t>万元，占总支出</w:t>
      </w:r>
      <w:r>
        <w:rPr>
          <w:rFonts w:eastAsia="仿宋_GB2312" w:hint="eastAsia"/>
          <w:sz w:val="32"/>
          <w:szCs w:val="32"/>
        </w:rPr>
        <w:t>0.29</w:t>
      </w:r>
      <w:r>
        <w:rPr>
          <w:rFonts w:eastAsia="仿宋_GB2312" w:hint="eastAsia"/>
          <w:sz w:val="32"/>
          <w:szCs w:val="32"/>
          <w:lang w:val="zh-CN"/>
        </w:rPr>
        <w:t>%，卫生健康支出</w:t>
      </w:r>
      <w:r>
        <w:rPr>
          <w:rFonts w:eastAsia="仿宋_GB2312" w:hint="eastAsia"/>
          <w:sz w:val="32"/>
          <w:szCs w:val="32"/>
        </w:rPr>
        <w:t>32.42</w:t>
      </w:r>
      <w:r>
        <w:rPr>
          <w:rFonts w:eastAsia="仿宋_GB2312" w:hint="eastAsia"/>
          <w:sz w:val="32"/>
          <w:szCs w:val="32"/>
          <w:lang w:val="zh-CN"/>
        </w:rPr>
        <w:t>万元，占总支出</w:t>
      </w:r>
      <w:r>
        <w:rPr>
          <w:rFonts w:eastAsia="仿宋_GB2312" w:hint="eastAsia"/>
          <w:sz w:val="32"/>
          <w:szCs w:val="32"/>
        </w:rPr>
        <w:t>0.11</w:t>
      </w:r>
      <w:r>
        <w:rPr>
          <w:rFonts w:eastAsia="仿宋_GB2312" w:hint="eastAsia"/>
          <w:sz w:val="32"/>
          <w:szCs w:val="32"/>
          <w:lang w:val="zh-CN"/>
        </w:rPr>
        <w:t>%，住房保障支出</w:t>
      </w:r>
      <w:r>
        <w:rPr>
          <w:rFonts w:eastAsia="仿宋_GB2312" w:hint="eastAsia"/>
          <w:sz w:val="32"/>
          <w:szCs w:val="32"/>
        </w:rPr>
        <w:t>41.98</w:t>
      </w:r>
      <w:r>
        <w:rPr>
          <w:rFonts w:eastAsia="仿宋_GB2312" w:hint="eastAsia"/>
          <w:sz w:val="32"/>
          <w:szCs w:val="32"/>
          <w:lang w:val="zh-CN"/>
        </w:rPr>
        <w:t>万元，占总支出</w:t>
      </w:r>
      <w:r>
        <w:rPr>
          <w:rFonts w:eastAsia="仿宋_GB2312" w:hint="eastAsia"/>
          <w:sz w:val="32"/>
          <w:szCs w:val="32"/>
        </w:rPr>
        <w:t>0.14</w:t>
      </w:r>
      <w:r>
        <w:rPr>
          <w:rFonts w:eastAsia="仿宋_GB2312" w:hint="eastAsia"/>
          <w:sz w:val="32"/>
          <w:szCs w:val="32"/>
          <w:lang w:val="zh-CN"/>
        </w:rPr>
        <w:t>%；按</w:t>
      </w:r>
      <w:r>
        <w:rPr>
          <w:rFonts w:eastAsia="仿宋_GB2312"/>
          <w:sz w:val="32"/>
          <w:szCs w:val="32"/>
          <w:lang w:val="zh-CN"/>
        </w:rPr>
        <w:t>经济科目分类</w:t>
      </w:r>
      <w:r>
        <w:rPr>
          <w:rFonts w:eastAsia="仿宋_GB2312" w:hint="eastAsia"/>
          <w:sz w:val="32"/>
          <w:szCs w:val="32"/>
          <w:lang w:val="zh-CN"/>
        </w:rPr>
        <w:t>：</w:t>
      </w:r>
      <w:r>
        <w:rPr>
          <w:rFonts w:eastAsia="仿宋_GB2312"/>
          <w:sz w:val="32"/>
          <w:szCs w:val="32"/>
          <w:lang w:val="zh-CN"/>
        </w:rPr>
        <w:t>工资</w:t>
      </w:r>
      <w:r>
        <w:rPr>
          <w:rFonts w:eastAsia="仿宋_GB2312" w:hint="eastAsia"/>
          <w:sz w:val="32"/>
          <w:szCs w:val="32"/>
          <w:lang w:val="zh-CN"/>
        </w:rPr>
        <w:t>福利</w:t>
      </w:r>
      <w:r>
        <w:rPr>
          <w:rFonts w:eastAsia="仿宋_GB2312"/>
          <w:sz w:val="32"/>
          <w:szCs w:val="32"/>
          <w:lang w:val="zh-CN"/>
        </w:rPr>
        <w:t>支出</w:t>
      </w:r>
      <w:r>
        <w:rPr>
          <w:rFonts w:eastAsia="仿宋_GB2312" w:hint="eastAsia"/>
          <w:sz w:val="32"/>
          <w:szCs w:val="32"/>
          <w:lang w:val="zh-CN"/>
        </w:rPr>
        <w:t>1</w:t>
      </w:r>
      <w:r>
        <w:rPr>
          <w:rFonts w:eastAsia="仿宋_GB2312" w:hint="eastAsia"/>
          <w:sz w:val="32"/>
          <w:szCs w:val="32"/>
        </w:rPr>
        <w:t>8,474</w:t>
      </w:r>
      <w:r>
        <w:rPr>
          <w:rFonts w:eastAsia="仿宋_GB2312" w:hint="eastAsia"/>
          <w:sz w:val="32"/>
          <w:szCs w:val="32"/>
          <w:lang w:val="zh-CN"/>
        </w:rPr>
        <w:t>.</w:t>
      </w:r>
      <w:r>
        <w:rPr>
          <w:rFonts w:eastAsia="仿宋_GB2312" w:hint="eastAsia"/>
          <w:sz w:val="32"/>
          <w:szCs w:val="32"/>
        </w:rPr>
        <w:t>44</w:t>
      </w:r>
      <w:r>
        <w:rPr>
          <w:rFonts w:eastAsia="仿宋_GB2312" w:hint="eastAsia"/>
          <w:sz w:val="32"/>
          <w:szCs w:val="32"/>
          <w:lang w:val="zh-CN"/>
        </w:rPr>
        <w:t>万元，占总支出</w:t>
      </w:r>
      <w:r>
        <w:rPr>
          <w:rFonts w:eastAsia="仿宋_GB2312" w:hint="eastAsia"/>
          <w:sz w:val="32"/>
          <w:szCs w:val="32"/>
        </w:rPr>
        <w:t>63.16</w:t>
      </w:r>
      <w:r>
        <w:rPr>
          <w:rFonts w:eastAsia="仿宋_GB2312" w:hint="eastAsia"/>
          <w:sz w:val="32"/>
          <w:szCs w:val="32"/>
          <w:lang w:val="zh-CN"/>
        </w:rPr>
        <w:t>%，</w:t>
      </w:r>
      <w:r>
        <w:rPr>
          <w:rFonts w:eastAsia="仿宋_GB2312"/>
          <w:sz w:val="32"/>
          <w:szCs w:val="32"/>
          <w:lang w:val="zh-CN"/>
        </w:rPr>
        <w:t>商品服务支出</w:t>
      </w:r>
      <w:r>
        <w:rPr>
          <w:rFonts w:eastAsia="仿宋_GB2312" w:hint="eastAsia"/>
          <w:sz w:val="32"/>
          <w:szCs w:val="32"/>
        </w:rPr>
        <w:t>3,184</w:t>
      </w:r>
      <w:r>
        <w:rPr>
          <w:rFonts w:eastAsia="仿宋_GB2312" w:hint="eastAsia"/>
          <w:sz w:val="32"/>
          <w:szCs w:val="32"/>
          <w:lang w:val="zh-CN"/>
        </w:rPr>
        <w:t>.</w:t>
      </w:r>
      <w:r>
        <w:rPr>
          <w:rFonts w:eastAsia="仿宋_GB2312" w:hint="eastAsia"/>
          <w:sz w:val="32"/>
          <w:szCs w:val="32"/>
        </w:rPr>
        <w:t>40</w:t>
      </w:r>
      <w:r>
        <w:rPr>
          <w:rFonts w:eastAsia="仿宋_GB2312" w:hint="eastAsia"/>
          <w:sz w:val="32"/>
          <w:szCs w:val="32"/>
          <w:lang w:val="zh-CN"/>
        </w:rPr>
        <w:t>万</w:t>
      </w:r>
      <w:r>
        <w:rPr>
          <w:rFonts w:eastAsia="仿宋_GB2312"/>
          <w:sz w:val="32"/>
          <w:szCs w:val="32"/>
          <w:lang w:val="zh-CN"/>
        </w:rPr>
        <w:t>元</w:t>
      </w:r>
      <w:r>
        <w:rPr>
          <w:rFonts w:eastAsia="仿宋_GB2312" w:hint="eastAsia"/>
          <w:sz w:val="32"/>
          <w:szCs w:val="32"/>
          <w:lang w:val="zh-CN"/>
        </w:rPr>
        <w:t>，占总支出</w:t>
      </w:r>
      <w:r>
        <w:rPr>
          <w:rFonts w:eastAsia="仿宋_GB2312" w:hint="eastAsia"/>
          <w:sz w:val="32"/>
          <w:szCs w:val="32"/>
        </w:rPr>
        <w:t>10.89</w:t>
      </w:r>
      <w:r>
        <w:rPr>
          <w:rFonts w:eastAsia="仿宋_GB2312" w:hint="eastAsia"/>
          <w:sz w:val="32"/>
          <w:szCs w:val="32"/>
          <w:lang w:val="zh-CN"/>
        </w:rPr>
        <w:t>%，对</w:t>
      </w:r>
      <w:r>
        <w:rPr>
          <w:rFonts w:eastAsia="仿宋_GB2312"/>
          <w:sz w:val="32"/>
          <w:szCs w:val="32"/>
          <w:lang w:val="zh-CN"/>
        </w:rPr>
        <w:t>个人和家庭补助支出</w:t>
      </w:r>
      <w:r>
        <w:rPr>
          <w:rFonts w:eastAsia="仿宋_GB2312" w:hint="eastAsia"/>
          <w:sz w:val="32"/>
          <w:szCs w:val="32"/>
        </w:rPr>
        <w:t>398</w:t>
      </w:r>
      <w:r>
        <w:rPr>
          <w:rFonts w:eastAsia="仿宋_GB2312" w:hint="eastAsia"/>
          <w:sz w:val="32"/>
          <w:szCs w:val="32"/>
          <w:lang w:val="zh-CN"/>
        </w:rPr>
        <w:t>.</w:t>
      </w:r>
      <w:r>
        <w:rPr>
          <w:rFonts w:eastAsia="仿宋_GB2312" w:hint="eastAsia"/>
          <w:sz w:val="32"/>
          <w:szCs w:val="32"/>
        </w:rPr>
        <w:t>69</w:t>
      </w:r>
      <w:r>
        <w:rPr>
          <w:rFonts w:eastAsia="仿宋_GB2312" w:hint="eastAsia"/>
          <w:sz w:val="32"/>
          <w:szCs w:val="32"/>
          <w:lang w:val="zh-CN"/>
        </w:rPr>
        <w:t>万</w:t>
      </w:r>
      <w:r>
        <w:rPr>
          <w:rFonts w:eastAsia="仿宋_GB2312"/>
          <w:sz w:val="32"/>
          <w:szCs w:val="32"/>
          <w:lang w:val="zh-CN"/>
        </w:rPr>
        <w:t>元</w:t>
      </w:r>
      <w:r>
        <w:rPr>
          <w:rFonts w:eastAsia="仿宋_GB2312" w:hint="eastAsia"/>
          <w:sz w:val="32"/>
          <w:szCs w:val="32"/>
          <w:lang w:val="zh-CN"/>
        </w:rPr>
        <w:t>，占总支出</w:t>
      </w:r>
      <w:r>
        <w:rPr>
          <w:rFonts w:eastAsia="仿宋_GB2312" w:hint="eastAsia"/>
          <w:sz w:val="32"/>
          <w:szCs w:val="32"/>
        </w:rPr>
        <w:t>1.36</w:t>
      </w:r>
      <w:r>
        <w:rPr>
          <w:rFonts w:eastAsia="仿宋_GB2312" w:hint="eastAsia"/>
          <w:sz w:val="32"/>
          <w:szCs w:val="32"/>
          <w:lang w:val="zh-CN"/>
        </w:rPr>
        <w:t>%，项目支出</w:t>
      </w:r>
      <w:r>
        <w:rPr>
          <w:rFonts w:eastAsia="仿宋_GB2312" w:hint="eastAsia"/>
          <w:sz w:val="32"/>
          <w:szCs w:val="32"/>
        </w:rPr>
        <w:t>7,191</w:t>
      </w:r>
      <w:r>
        <w:rPr>
          <w:rFonts w:eastAsia="仿宋_GB2312" w:hint="eastAsia"/>
          <w:sz w:val="32"/>
          <w:szCs w:val="32"/>
          <w:lang w:val="zh-CN"/>
        </w:rPr>
        <w:t>.</w:t>
      </w:r>
      <w:r>
        <w:rPr>
          <w:rFonts w:eastAsia="仿宋_GB2312" w:hint="eastAsia"/>
          <w:sz w:val="32"/>
          <w:szCs w:val="32"/>
        </w:rPr>
        <w:t>14</w:t>
      </w:r>
      <w:r>
        <w:rPr>
          <w:rFonts w:eastAsia="仿宋_GB2312" w:hint="eastAsia"/>
          <w:sz w:val="32"/>
          <w:szCs w:val="32"/>
          <w:lang w:val="zh-CN"/>
        </w:rPr>
        <w:t>万元，占总支出</w:t>
      </w:r>
      <w:r>
        <w:rPr>
          <w:rFonts w:eastAsia="仿宋_GB2312" w:hint="eastAsia"/>
          <w:sz w:val="32"/>
          <w:szCs w:val="32"/>
        </w:rPr>
        <w:t>24.59</w:t>
      </w:r>
      <w:r>
        <w:rPr>
          <w:rFonts w:eastAsia="仿宋_GB2312" w:hint="eastAsia"/>
          <w:sz w:val="32"/>
          <w:szCs w:val="32"/>
          <w:lang w:val="zh-CN"/>
        </w:rPr>
        <w:t>%。</w:t>
      </w:r>
    </w:p>
    <w:p>
      <w:pPr>
        <w:adjustRightInd w:val="0"/>
        <w:snapToGrid w:val="0"/>
        <w:spacing w:line="560" w:lineRule="exact"/>
        <w:ind w:firstLineChars="250" w:firstLine="800"/>
        <w:contextualSpacing/>
        <w:jc w:val="left"/>
        <w:rPr>
          <w:rFonts w:eastAsia="仿宋_GB2312"/>
          <w:sz w:val="32"/>
          <w:szCs w:val="32"/>
          <w:lang w:val="zh-CN"/>
          <w:highlight w:val="yellow"/>
        </w:rPr>
      </w:pPr>
      <w:r>
        <w:rPr>
          <w:rFonts w:eastAsia="仿宋_GB2312" w:hint="eastAsia"/>
          <w:sz w:val="32"/>
          <w:szCs w:val="32"/>
          <w:lang w:val="zh-CN"/>
        </w:rPr>
        <w:t>202</w:t>
      </w:r>
      <w:r>
        <w:rPr>
          <w:rFonts w:eastAsia="仿宋_GB2312" w:hint="eastAsia"/>
          <w:sz w:val="32"/>
          <w:szCs w:val="32"/>
        </w:rPr>
        <w:t>4年底决算支出数据为33,561.04万元，</w:t>
      </w:r>
      <w:r>
        <w:rPr>
          <w:rFonts w:eastAsia="仿宋_GB2312" w:hint="eastAsia"/>
          <w:sz w:val="32"/>
          <w:szCs w:val="32"/>
          <w:lang w:val="zh-CN"/>
        </w:rPr>
        <w:t>按</w:t>
      </w:r>
      <w:r>
        <w:rPr>
          <w:rFonts w:eastAsia="仿宋_GB2312"/>
          <w:sz w:val="32"/>
          <w:szCs w:val="32"/>
          <w:lang w:val="zh-CN"/>
        </w:rPr>
        <w:t>功能科目</w:t>
      </w:r>
      <w:r>
        <w:rPr>
          <w:rFonts w:eastAsia="仿宋_GB2312" w:hint="eastAsia"/>
          <w:sz w:val="32"/>
          <w:szCs w:val="32"/>
          <w:lang w:val="zh-CN"/>
        </w:rPr>
        <w:t>分类：公共安全支出</w:t>
      </w:r>
      <w:r>
        <w:rPr>
          <w:rFonts w:eastAsia="仿宋_GB2312" w:hint="eastAsia"/>
          <w:sz w:val="32"/>
          <w:szCs w:val="32"/>
        </w:rPr>
        <w:t>28,257</w:t>
      </w:r>
      <w:r>
        <w:rPr>
          <w:rFonts w:eastAsia="仿宋_GB2312" w:hint="eastAsia"/>
          <w:sz w:val="32"/>
          <w:szCs w:val="32"/>
          <w:lang w:val="zh-CN"/>
        </w:rPr>
        <w:t>.</w:t>
      </w:r>
      <w:r>
        <w:rPr>
          <w:rFonts w:eastAsia="仿宋_GB2312" w:hint="eastAsia"/>
          <w:sz w:val="32"/>
          <w:szCs w:val="32"/>
        </w:rPr>
        <w:t>02</w:t>
      </w:r>
      <w:r>
        <w:rPr>
          <w:rFonts w:eastAsia="仿宋_GB2312" w:hint="eastAsia"/>
          <w:sz w:val="32"/>
          <w:szCs w:val="32"/>
          <w:lang w:val="zh-CN"/>
        </w:rPr>
        <w:t>万元，占总支出8</w:t>
      </w:r>
      <w:r>
        <w:rPr>
          <w:rFonts w:eastAsia="仿宋_GB2312" w:hint="eastAsia"/>
          <w:sz w:val="32"/>
          <w:szCs w:val="32"/>
        </w:rPr>
        <w:t>4.20</w:t>
      </w:r>
      <w:r>
        <w:rPr>
          <w:rFonts w:eastAsia="仿宋_GB2312" w:hint="eastAsia"/>
          <w:sz w:val="32"/>
          <w:szCs w:val="32"/>
          <w:lang w:val="zh-CN"/>
        </w:rPr>
        <w:t>%，社会保障和就业支出2</w:t>
      </w:r>
      <w:r>
        <w:rPr>
          <w:rFonts w:eastAsia="仿宋_GB2312" w:hint="eastAsia"/>
          <w:sz w:val="32"/>
          <w:szCs w:val="32"/>
        </w:rPr>
        <w:t>,</w:t>
      </w:r>
      <w:r>
        <w:rPr>
          <w:rFonts w:eastAsia="仿宋_GB2312" w:hint="eastAsia"/>
          <w:sz w:val="32"/>
          <w:szCs w:val="32"/>
          <w:lang w:val="zh-CN"/>
        </w:rPr>
        <w:t>4</w:t>
      </w:r>
      <w:r>
        <w:rPr>
          <w:rFonts w:eastAsia="仿宋_GB2312" w:hint="eastAsia"/>
          <w:sz w:val="32"/>
          <w:szCs w:val="32"/>
        </w:rPr>
        <w:t>54</w:t>
      </w:r>
      <w:r>
        <w:rPr>
          <w:rFonts w:eastAsia="仿宋_GB2312" w:hint="eastAsia"/>
          <w:sz w:val="32"/>
          <w:szCs w:val="32"/>
          <w:lang w:val="zh-CN"/>
        </w:rPr>
        <w:t>.</w:t>
      </w:r>
      <w:r>
        <w:rPr>
          <w:rFonts w:eastAsia="仿宋_GB2312" w:hint="eastAsia"/>
          <w:sz w:val="32"/>
          <w:szCs w:val="32"/>
        </w:rPr>
        <w:t>63</w:t>
      </w:r>
      <w:r>
        <w:rPr>
          <w:rFonts w:eastAsia="仿宋_GB2312" w:hint="eastAsia"/>
          <w:sz w:val="32"/>
          <w:szCs w:val="32"/>
          <w:lang w:val="zh-CN"/>
        </w:rPr>
        <w:t>万元，占总支出</w:t>
      </w:r>
      <w:r>
        <w:rPr>
          <w:rFonts w:eastAsia="仿宋_GB2312" w:hint="eastAsia"/>
          <w:sz w:val="32"/>
          <w:szCs w:val="32"/>
        </w:rPr>
        <w:t>7.31</w:t>
      </w:r>
      <w:r>
        <w:rPr>
          <w:rFonts w:eastAsia="仿宋_GB2312" w:hint="eastAsia"/>
          <w:sz w:val="32"/>
          <w:szCs w:val="32"/>
          <w:lang w:val="zh-CN"/>
        </w:rPr>
        <w:t>%，卫生健康支出1</w:t>
      </w:r>
      <w:r>
        <w:rPr>
          <w:rFonts w:eastAsia="仿宋_GB2312" w:hint="eastAsia"/>
          <w:sz w:val="32"/>
          <w:szCs w:val="32"/>
        </w:rPr>
        <w:t>,077</w:t>
      </w:r>
      <w:r>
        <w:rPr>
          <w:rFonts w:eastAsia="仿宋_GB2312" w:hint="eastAsia"/>
          <w:sz w:val="32"/>
          <w:szCs w:val="32"/>
          <w:lang w:val="zh-CN"/>
        </w:rPr>
        <w:t>.</w:t>
      </w:r>
      <w:r>
        <w:rPr>
          <w:rFonts w:eastAsia="仿宋_GB2312" w:hint="eastAsia"/>
          <w:sz w:val="32"/>
          <w:szCs w:val="32"/>
        </w:rPr>
        <w:t>04</w:t>
      </w:r>
      <w:r>
        <w:rPr>
          <w:rFonts w:eastAsia="仿宋_GB2312" w:hint="eastAsia"/>
          <w:sz w:val="32"/>
          <w:szCs w:val="32"/>
          <w:lang w:val="zh-CN"/>
        </w:rPr>
        <w:t>万元，占总支出3</w:t>
      </w:r>
      <w:r>
        <w:rPr>
          <w:rFonts w:eastAsia="仿宋_GB2312" w:hint="eastAsia"/>
          <w:sz w:val="32"/>
          <w:szCs w:val="32"/>
        </w:rPr>
        <w:t>.21</w:t>
      </w:r>
      <w:r>
        <w:rPr>
          <w:rFonts w:eastAsia="仿宋_GB2312" w:hint="eastAsia"/>
          <w:sz w:val="32"/>
          <w:szCs w:val="32"/>
          <w:lang w:val="zh-CN"/>
        </w:rPr>
        <w:t>%，住房保障支出1</w:t>
      </w:r>
      <w:r>
        <w:rPr>
          <w:rFonts w:eastAsia="仿宋_GB2312" w:hint="eastAsia"/>
          <w:sz w:val="32"/>
          <w:szCs w:val="32"/>
        </w:rPr>
        <w:t>,</w:t>
      </w:r>
      <w:r>
        <w:rPr>
          <w:rFonts w:eastAsia="仿宋_GB2312" w:hint="eastAsia"/>
          <w:sz w:val="32"/>
          <w:szCs w:val="32"/>
          <w:lang w:val="zh-CN"/>
        </w:rPr>
        <w:t>4</w:t>
      </w:r>
      <w:r>
        <w:rPr>
          <w:rFonts w:eastAsia="仿宋_GB2312" w:hint="eastAsia"/>
          <w:sz w:val="32"/>
          <w:szCs w:val="32"/>
        </w:rPr>
        <w:t>75</w:t>
      </w:r>
      <w:r>
        <w:rPr>
          <w:rFonts w:eastAsia="仿宋_GB2312" w:hint="eastAsia"/>
          <w:sz w:val="32"/>
          <w:szCs w:val="32"/>
          <w:lang w:val="zh-CN"/>
        </w:rPr>
        <w:t>.</w:t>
      </w:r>
      <w:r>
        <w:rPr>
          <w:rFonts w:eastAsia="仿宋_GB2312" w:hint="eastAsia"/>
          <w:sz w:val="32"/>
          <w:szCs w:val="32"/>
        </w:rPr>
        <w:t>95</w:t>
      </w:r>
      <w:r>
        <w:rPr>
          <w:rFonts w:eastAsia="仿宋_GB2312" w:hint="eastAsia"/>
          <w:sz w:val="32"/>
          <w:szCs w:val="32"/>
          <w:lang w:val="zh-CN"/>
        </w:rPr>
        <w:t>万元，占总支出</w:t>
      </w:r>
      <w:r>
        <w:rPr>
          <w:rFonts w:eastAsia="仿宋_GB2312" w:hint="eastAsia"/>
          <w:sz w:val="32"/>
          <w:szCs w:val="32"/>
        </w:rPr>
        <w:t>4.40</w:t>
      </w:r>
      <w:r>
        <w:rPr>
          <w:rFonts w:eastAsia="仿宋_GB2312" w:hint="eastAsia"/>
          <w:sz w:val="32"/>
          <w:szCs w:val="32"/>
          <w:lang w:val="zh-CN"/>
        </w:rPr>
        <w:t>%</w:t>
      </w:r>
      <w:r>
        <w:rPr>
          <w:rFonts w:eastAsia="仿宋_GB2312" w:hint="eastAsia"/>
          <w:sz w:val="32"/>
          <w:szCs w:val="32"/>
        </w:rPr>
        <w:t>，</w:t>
      </w:r>
      <w:r>
        <w:rPr>
          <w:rFonts w:eastAsia="仿宋_GB2312" w:hint="eastAsia"/>
          <w:sz w:val="32"/>
          <w:szCs w:val="32"/>
          <w:lang w:val="zh-CN"/>
        </w:rPr>
        <w:t>年末非财政拨款结转和结余</w:t>
      </w:r>
      <w:r>
        <w:rPr>
          <w:rFonts w:eastAsia="仿宋_GB2312" w:hint="eastAsia"/>
          <w:sz w:val="32"/>
          <w:szCs w:val="32"/>
        </w:rPr>
        <w:t>296.40</w:t>
      </w:r>
      <w:r>
        <w:rPr>
          <w:rFonts w:eastAsia="仿宋_GB2312" w:hint="eastAsia"/>
          <w:sz w:val="32"/>
          <w:szCs w:val="32"/>
          <w:lang w:val="zh-CN"/>
        </w:rPr>
        <w:t>万元</w:t>
      </w:r>
      <w:r>
        <w:rPr>
          <w:rFonts w:eastAsia="仿宋_GB2312" w:hint="eastAsia"/>
          <w:sz w:val="32"/>
          <w:szCs w:val="32"/>
        </w:rPr>
        <w:t>，</w:t>
      </w:r>
      <w:r>
        <w:rPr>
          <w:rFonts w:eastAsia="仿宋_GB2312" w:hint="eastAsia"/>
          <w:sz w:val="32"/>
          <w:szCs w:val="32"/>
          <w:lang w:val="zh-CN"/>
        </w:rPr>
        <w:t>占总支出</w:t>
      </w:r>
      <w:r>
        <w:rPr>
          <w:rFonts w:eastAsia="仿宋_GB2312" w:hint="eastAsia"/>
          <w:sz w:val="32"/>
          <w:szCs w:val="32"/>
        </w:rPr>
        <w:t>0.88</w:t>
      </w:r>
      <w:r>
        <w:rPr>
          <w:rFonts w:eastAsia="仿宋_GB2312" w:hint="eastAsia"/>
          <w:sz w:val="32"/>
          <w:szCs w:val="32"/>
          <w:lang w:val="zh-CN"/>
        </w:rPr>
        <w:t>%；按</w:t>
      </w:r>
      <w:r>
        <w:rPr>
          <w:rFonts w:eastAsia="仿宋_GB2312"/>
          <w:sz w:val="32"/>
          <w:szCs w:val="32"/>
          <w:lang w:val="zh-CN"/>
        </w:rPr>
        <w:t>经济科目分类</w:t>
      </w:r>
      <w:r>
        <w:rPr>
          <w:rFonts w:eastAsia="仿宋_GB2312" w:hint="eastAsia"/>
          <w:sz w:val="32"/>
          <w:szCs w:val="32"/>
          <w:lang w:val="zh-CN"/>
        </w:rPr>
        <w:t>：</w:t>
      </w:r>
      <w:r>
        <w:rPr>
          <w:rFonts w:eastAsia="仿宋_GB2312"/>
          <w:sz w:val="32"/>
          <w:szCs w:val="32"/>
          <w:lang w:val="zh-CN"/>
        </w:rPr>
        <w:t>工资</w:t>
      </w:r>
      <w:r>
        <w:rPr>
          <w:rFonts w:eastAsia="仿宋_GB2312" w:hint="eastAsia"/>
          <w:sz w:val="32"/>
          <w:szCs w:val="32"/>
          <w:lang w:val="zh-CN"/>
        </w:rPr>
        <w:t>福利</w:t>
      </w:r>
      <w:r>
        <w:rPr>
          <w:rFonts w:eastAsia="仿宋_GB2312"/>
          <w:sz w:val="32"/>
          <w:szCs w:val="32"/>
          <w:lang w:val="zh-CN"/>
        </w:rPr>
        <w:t>支出</w:t>
      </w:r>
      <w:r>
        <w:rPr>
          <w:rFonts w:eastAsia="仿宋_GB2312" w:hint="eastAsia"/>
          <w:sz w:val="32"/>
          <w:szCs w:val="32"/>
          <w:lang w:val="zh-CN"/>
        </w:rPr>
        <w:t>20</w:t>
      </w:r>
      <w:r>
        <w:rPr>
          <w:rFonts w:eastAsia="仿宋_GB2312" w:hint="eastAsia"/>
          <w:sz w:val="32"/>
          <w:szCs w:val="32"/>
        </w:rPr>
        <w:t>,308</w:t>
      </w:r>
      <w:r>
        <w:rPr>
          <w:rFonts w:eastAsia="仿宋_GB2312" w:hint="eastAsia"/>
          <w:sz w:val="32"/>
          <w:szCs w:val="32"/>
          <w:lang w:val="zh-CN"/>
        </w:rPr>
        <w:t>.</w:t>
      </w:r>
      <w:r>
        <w:rPr>
          <w:rFonts w:eastAsia="仿宋_GB2312" w:hint="eastAsia"/>
          <w:sz w:val="32"/>
          <w:szCs w:val="32"/>
        </w:rPr>
        <w:t>63</w:t>
      </w:r>
      <w:r>
        <w:rPr>
          <w:rFonts w:eastAsia="仿宋_GB2312" w:hint="eastAsia"/>
          <w:sz w:val="32"/>
          <w:szCs w:val="32"/>
          <w:lang w:val="zh-CN"/>
        </w:rPr>
        <w:t>万元，占总支出</w:t>
      </w:r>
      <w:r>
        <w:rPr>
          <w:rFonts w:eastAsia="仿宋_GB2312" w:hint="eastAsia"/>
          <w:sz w:val="32"/>
          <w:szCs w:val="32"/>
        </w:rPr>
        <w:t>60.51</w:t>
      </w:r>
      <w:r>
        <w:rPr>
          <w:rFonts w:eastAsia="仿宋_GB2312" w:hint="eastAsia"/>
          <w:sz w:val="32"/>
          <w:szCs w:val="32"/>
          <w:lang w:val="zh-CN"/>
        </w:rPr>
        <w:t>%</w:t>
      </w:r>
      <w:r>
        <w:rPr>
          <w:rFonts w:eastAsia="仿宋_GB2312" w:hint="eastAsia"/>
          <w:sz w:val="32"/>
          <w:szCs w:val="32"/>
        </w:rPr>
        <w:t>，</w:t>
      </w:r>
      <w:r>
        <w:rPr>
          <w:rFonts w:eastAsia="仿宋_GB2312"/>
          <w:sz w:val="32"/>
          <w:szCs w:val="32"/>
          <w:lang w:val="zh-CN"/>
        </w:rPr>
        <w:t>商品服务支出</w:t>
      </w:r>
      <w:r>
        <w:rPr>
          <w:rFonts w:eastAsia="仿宋_GB2312" w:hint="eastAsia"/>
          <w:sz w:val="32"/>
          <w:szCs w:val="32"/>
          <w:lang w:val="zh-CN"/>
        </w:rPr>
        <w:t>6</w:t>
      </w:r>
      <w:r>
        <w:rPr>
          <w:rFonts w:eastAsia="仿宋_GB2312" w:hint="eastAsia"/>
          <w:sz w:val="32"/>
          <w:szCs w:val="32"/>
        </w:rPr>
        <w:t>,565</w:t>
      </w:r>
      <w:r>
        <w:rPr>
          <w:rFonts w:eastAsia="仿宋_GB2312" w:hint="eastAsia"/>
          <w:sz w:val="32"/>
          <w:szCs w:val="32"/>
          <w:lang w:val="zh-CN"/>
        </w:rPr>
        <w:t>.</w:t>
      </w:r>
      <w:r>
        <w:rPr>
          <w:rFonts w:eastAsia="仿宋_GB2312" w:hint="eastAsia"/>
          <w:sz w:val="32"/>
          <w:szCs w:val="32"/>
        </w:rPr>
        <w:t>23</w:t>
      </w:r>
      <w:r>
        <w:rPr>
          <w:rFonts w:eastAsia="仿宋_GB2312" w:hint="eastAsia"/>
          <w:sz w:val="32"/>
          <w:szCs w:val="32"/>
          <w:lang w:val="zh-CN"/>
        </w:rPr>
        <w:t>万</w:t>
      </w:r>
      <w:r>
        <w:rPr>
          <w:rFonts w:eastAsia="仿宋_GB2312"/>
          <w:sz w:val="32"/>
          <w:szCs w:val="32"/>
          <w:lang w:val="zh-CN"/>
        </w:rPr>
        <w:t>元</w:t>
      </w:r>
      <w:r>
        <w:rPr>
          <w:rFonts w:eastAsia="仿宋_GB2312" w:hint="eastAsia"/>
          <w:sz w:val="32"/>
          <w:szCs w:val="32"/>
          <w:lang w:val="zh-CN"/>
        </w:rPr>
        <w:t>，占总支出</w:t>
      </w:r>
      <w:r>
        <w:rPr>
          <w:rFonts w:eastAsia="仿宋_GB2312" w:hint="eastAsia"/>
          <w:sz w:val="32"/>
          <w:szCs w:val="32"/>
        </w:rPr>
        <w:t>19.57</w:t>
      </w:r>
      <w:r>
        <w:rPr>
          <w:rFonts w:eastAsia="仿宋_GB2312" w:hint="eastAsia"/>
          <w:sz w:val="32"/>
          <w:szCs w:val="32"/>
          <w:lang w:val="zh-CN"/>
        </w:rPr>
        <w:t>%</w:t>
      </w:r>
      <w:r>
        <w:rPr>
          <w:rFonts w:eastAsia="仿宋_GB2312" w:hint="eastAsia"/>
          <w:sz w:val="32"/>
          <w:szCs w:val="32"/>
        </w:rPr>
        <w:t>，</w:t>
      </w:r>
      <w:r>
        <w:rPr>
          <w:rFonts w:eastAsia="仿宋_GB2312" w:hint="eastAsia"/>
          <w:sz w:val="32"/>
          <w:szCs w:val="32"/>
          <w:lang w:val="zh-CN"/>
        </w:rPr>
        <w:t>对</w:t>
      </w:r>
      <w:r>
        <w:rPr>
          <w:rFonts w:eastAsia="仿宋_GB2312"/>
          <w:sz w:val="32"/>
          <w:szCs w:val="32"/>
          <w:lang w:val="zh-CN"/>
        </w:rPr>
        <w:t>个人和家庭补助支出</w:t>
      </w:r>
      <w:r>
        <w:rPr>
          <w:rFonts w:eastAsia="仿宋_GB2312" w:hint="eastAsia"/>
          <w:sz w:val="32"/>
          <w:szCs w:val="32"/>
        </w:rPr>
        <w:t>1021</w:t>
      </w:r>
      <w:r>
        <w:rPr>
          <w:rFonts w:eastAsia="仿宋_GB2312" w:hint="eastAsia"/>
          <w:sz w:val="32"/>
          <w:szCs w:val="32"/>
          <w:lang w:val="zh-CN"/>
        </w:rPr>
        <w:t>.</w:t>
      </w:r>
      <w:r>
        <w:rPr>
          <w:rFonts w:eastAsia="仿宋_GB2312" w:hint="eastAsia"/>
          <w:sz w:val="32"/>
          <w:szCs w:val="32"/>
        </w:rPr>
        <w:t>21</w:t>
      </w:r>
      <w:r>
        <w:rPr>
          <w:rFonts w:eastAsia="仿宋_GB2312" w:hint="eastAsia"/>
          <w:sz w:val="32"/>
          <w:szCs w:val="32"/>
          <w:lang w:val="zh-CN"/>
        </w:rPr>
        <w:t>万</w:t>
      </w:r>
      <w:r>
        <w:rPr>
          <w:rFonts w:eastAsia="仿宋_GB2312"/>
          <w:sz w:val="32"/>
          <w:szCs w:val="32"/>
          <w:lang w:val="zh-CN"/>
        </w:rPr>
        <w:t>元</w:t>
      </w:r>
      <w:r>
        <w:rPr>
          <w:rFonts w:eastAsia="仿宋_GB2312" w:hint="eastAsia"/>
          <w:sz w:val="32"/>
          <w:szCs w:val="32"/>
          <w:lang w:val="zh-CN"/>
        </w:rPr>
        <w:t>，占总支出</w:t>
      </w:r>
      <w:r>
        <w:rPr>
          <w:rFonts w:eastAsia="仿宋_GB2312" w:hint="eastAsia"/>
          <w:sz w:val="32"/>
          <w:szCs w:val="32"/>
        </w:rPr>
        <w:t>3.04</w:t>
      </w:r>
      <w:r>
        <w:rPr>
          <w:rFonts w:eastAsia="仿宋_GB2312" w:hint="eastAsia"/>
          <w:sz w:val="32"/>
          <w:szCs w:val="32"/>
          <w:lang w:val="zh-CN"/>
        </w:rPr>
        <w:t>%</w:t>
      </w:r>
      <w:r>
        <w:rPr>
          <w:rFonts w:eastAsia="仿宋_GB2312" w:hint="eastAsia"/>
          <w:sz w:val="32"/>
          <w:szCs w:val="32"/>
        </w:rPr>
        <w:t>，</w:t>
      </w:r>
      <w:r>
        <w:rPr>
          <w:rFonts w:eastAsia="仿宋_GB2312" w:hint="eastAsia"/>
          <w:sz w:val="32"/>
          <w:szCs w:val="32"/>
          <w:lang w:val="zh-CN"/>
        </w:rPr>
        <w:t>资本性支出</w:t>
      </w:r>
      <w:r>
        <w:rPr>
          <w:rFonts w:eastAsia="仿宋_GB2312" w:hint="eastAsia"/>
          <w:sz w:val="32"/>
          <w:szCs w:val="32"/>
        </w:rPr>
        <w:t>5,369.58</w:t>
      </w:r>
      <w:r>
        <w:rPr>
          <w:rFonts w:eastAsia="仿宋_GB2312" w:hint="eastAsia"/>
          <w:sz w:val="32"/>
          <w:szCs w:val="32"/>
          <w:lang w:val="zh-CN"/>
        </w:rPr>
        <w:t>万元，占总支出</w:t>
      </w:r>
      <w:r>
        <w:rPr>
          <w:rFonts w:eastAsia="仿宋_GB2312" w:hint="eastAsia"/>
          <w:sz w:val="32"/>
          <w:szCs w:val="32"/>
        </w:rPr>
        <w:t>16.00</w:t>
      </w:r>
      <w:r>
        <w:rPr>
          <w:rFonts w:eastAsia="仿宋_GB2312" w:hint="eastAsia"/>
          <w:sz w:val="32"/>
          <w:szCs w:val="32"/>
          <w:lang w:val="zh-CN"/>
        </w:rPr>
        <w:t>%</w:t>
      </w:r>
      <w:r>
        <w:rPr>
          <w:rFonts w:eastAsia="仿宋_GB2312" w:hint="eastAsia"/>
          <w:sz w:val="32"/>
          <w:szCs w:val="32"/>
        </w:rPr>
        <w:t>，</w:t>
      </w:r>
      <w:r>
        <w:rPr>
          <w:rFonts w:eastAsia="仿宋_GB2312" w:hint="eastAsia"/>
          <w:sz w:val="32"/>
          <w:szCs w:val="32"/>
          <w:lang w:val="zh-CN"/>
        </w:rPr>
        <w:t>年末非财政拨款结转和结余</w:t>
      </w:r>
      <w:r>
        <w:rPr>
          <w:rFonts w:eastAsia="仿宋_GB2312" w:hint="eastAsia"/>
          <w:sz w:val="32"/>
          <w:szCs w:val="32"/>
        </w:rPr>
        <w:t>296.40</w:t>
      </w:r>
      <w:r>
        <w:rPr>
          <w:rFonts w:eastAsia="仿宋_GB2312" w:hint="eastAsia"/>
          <w:sz w:val="32"/>
          <w:szCs w:val="32"/>
          <w:lang w:val="zh-CN"/>
        </w:rPr>
        <w:t>万元</w:t>
      </w:r>
      <w:r>
        <w:rPr>
          <w:rFonts w:eastAsia="仿宋_GB2312" w:hint="eastAsia"/>
          <w:sz w:val="32"/>
          <w:szCs w:val="32"/>
        </w:rPr>
        <w:t>，</w:t>
      </w:r>
      <w:r>
        <w:rPr>
          <w:rFonts w:eastAsia="仿宋_GB2312" w:hint="eastAsia"/>
          <w:sz w:val="32"/>
          <w:szCs w:val="32"/>
          <w:lang w:val="zh-CN"/>
        </w:rPr>
        <w:t>占总支出</w:t>
      </w:r>
      <w:r>
        <w:rPr>
          <w:rFonts w:eastAsia="仿宋_GB2312" w:hint="eastAsia"/>
          <w:sz w:val="32"/>
          <w:szCs w:val="32"/>
        </w:rPr>
        <w:t>0.88</w:t>
      </w:r>
      <w:r>
        <w:rPr>
          <w:rFonts w:eastAsia="仿宋_GB2312" w:hint="eastAsia"/>
          <w:sz w:val="32"/>
          <w:szCs w:val="32"/>
          <w:lang w:val="zh-CN"/>
        </w:rPr>
        <w:t>%。</w:t>
      </w:r>
    </w:p>
    <w:p>
      <w:pPr>
        <w:adjustRightInd w:val="0"/>
        <w:snapToGrid w:val="0"/>
        <w:spacing w:line="560" w:lineRule="exact"/>
        <w:ind w:firstLineChars="200" w:firstLine="640"/>
        <w:contextualSpacing/>
        <w:jc w:val="left"/>
        <w:rPr>
          <w:rFonts w:eastAsia="楷体_GB2312"/>
          <w:b/>
          <w:sz w:val="32"/>
          <w:szCs w:val="32"/>
        </w:rPr>
      </w:pPr>
      <w:r>
        <w:rPr>
          <w:rFonts w:eastAsia="楷体_GB2312"/>
          <w:b/>
          <w:bCs/>
          <w:color w:val="000000"/>
          <w:kern w:val="0"/>
          <w:sz w:val="32"/>
          <w:szCs w:val="32"/>
          <w:shd w:val="clear" w:color="auto" w:fill="FFFFFF"/>
          <w:lang w:val="zh-CN"/>
        </w:rPr>
        <w:t>（三）</w:t>
      </w:r>
      <w:r>
        <w:rPr>
          <w:rFonts w:eastAsia="楷体_GB2312"/>
          <w:b/>
          <w:sz w:val="32"/>
          <w:szCs w:val="32"/>
        </w:rPr>
        <w:t>结余分配和结转结余情况。</w:t>
      </w:r>
    </w:p>
    <w:p>
      <w:pPr>
        <w:adjustRightInd w:val="0"/>
        <w:snapToGrid w:val="0"/>
        <w:spacing w:line="560" w:lineRule="exact"/>
        <w:ind w:firstLineChars="200" w:firstLine="640"/>
        <w:contextualSpacing/>
        <w:jc w:val="left"/>
        <w:rPr>
          <w:rFonts w:eastAsia="仿宋_GB2312"/>
          <w:color w:val="000000"/>
          <w:kern w:val="0"/>
          <w:sz w:val="32"/>
          <w:szCs w:val="32"/>
          <w:shd w:val="clear" w:color="auto" w:fill="FFFFFF"/>
          <w:lang w:val="zh-CN"/>
        </w:rPr>
      </w:pPr>
      <w:r>
        <w:rPr>
          <w:rFonts w:eastAsia="仿宋_GB2312" w:hint="eastAsia"/>
          <w:sz w:val="32"/>
          <w:szCs w:val="32"/>
          <w:lang w:val="zh-CN"/>
        </w:rPr>
        <w:t>202</w:t>
      </w:r>
      <w:r>
        <w:rPr>
          <w:rFonts w:eastAsia="仿宋_GB2312" w:hint="eastAsia"/>
          <w:sz w:val="32"/>
          <w:szCs w:val="32"/>
        </w:rPr>
        <w:t>4年底决算</w:t>
      </w:r>
      <w:r>
        <w:rPr>
          <w:rFonts w:eastAsia="仿宋_GB2312"/>
          <w:sz w:val="32"/>
          <w:szCs w:val="32"/>
        </w:rPr>
        <w:t>报表结转结余</w:t>
      </w:r>
      <w:r>
        <w:rPr>
          <w:rFonts w:eastAsia="仿宋_GB2312" w:hint="eastAsia"/>
          <w:sz w:val="32"/>
          <w:szCs w:val="32"/>
        </w:rPr>
        <w:t>296.40</w:t>
      </w:r>
      <w:r>
        <w:rPr>
          <w:rFonts w:eastAsia="仿宋_GB2312" w:hint="eastAsia"/>
          <w:sz w:val="32"/>
          <w:szCs w:val="32"/>
          <w:lang w:val="zh-CN"/>
        </w:rPr>
        <w:t>万元，其中：非财政拨款结转基本支出公用经费</w:t>
      </w:r>
      <w:r>
        <w:rPr>
          <w:rFonts w:eastAsia="仿宋_GB2312" w:hint="eastAsia"/>
          <w:sz w:val="32"/>
          <w:szCs w:val="32"/>
        </w:rPr>
        <w:t>130.37万元</w:t>
      </w:r>
      <w:r>
        <w:rPr>
          <w:rFonts w:eastAsia="仿宋_GB2312" w:hint="eastAsia"/>
          <w:sz w:val="32"/>
          <w:szCs w:val="32"/>
          <w:lang w:val="zh-CN"/>
        </w:rPr>
        <w:t>，</w:t>
      </w:r>
      <w:r>
        <w:rPr>
          <w:rFonts w:eastAsia="仿宋_GB2312" w:hint="eastAsia"/>
          <w:sz w:val="32"/>
          <w:szCs w:val="32"/>
        </w:rPr>
        <w:t>占结转结余43.98%，</w:t>
      </w:r>
      <w:r>
        <w:rPr>
          <w:rFonts w:eastAsia="仿宋_GB2312" w:hint="eastAsia"/>
          <w:sz w:val="32"/>
          <w:szCs w:val="32"/>
          <w:lang w:val="zh-CN"/>
        </w:rPr>
        <w:t>非财政拨款结转项目支出</w:t>
      </w:r>
      <w:r>
        <w:rPr>
          <w:rFonts w:eastAsia="仿宋_GB2312" w:hint="eastAsia"/>
          <w:sz w:val="32"/>
          <w:szCs w:val="32"/>
        </w:rPr>
        <w:t>166.03万元</w:t>
      </w:r>
      <w:r>
        <w:rPr>
          <w:rFonts w:eastAsia="仿宋_GB2312" w:hint="eastAsia"/>
          <w:sz w:val="32"/>
          <w:szCs w:val="32"/>
          <w:lang w:val="zh-CN"/>
        </w:rPr>
        <w:t>，</w:t>
      </w:r>
      <w:r>
        <w:rPr>
          <w:rFonts w:eastAsia="仿宋_GB2312" w:hint="eastAsia"/>
          <w:sz w:val="32"/>
          <w:szCs w:val="32"/>
        </w:rPr>
        <w:t>占结转结余56.02%</w:t>
      </w:r>
      <w:r>
        <w:rPr>
          <w:rFonts w:eastAsia="仿宋_GB2312" w:hint="eastAsia"/>
          <w:sz w:val="32"/>
          <w:szCs w:val="32"/>
          <w:lang w:val="zh-CN"/>
        </w:rPr>
        <w:t>。</w:t>
      </w:r>
    </w:p>
    <w:p>
      <w:pPr>
        <w:adjustRightInd w:val="0"/>
        <w:snapToGrid w:val="0"/>
        <w:spacing w:line="560" w:lineRule="exact"/>
        <w:ind w:firstLineChars="200" w:firstLine="64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三、部门预算绩效分析</w:t>
      </w:r>
    </w:p>
    <w:p>
      <w:pPr>
        <w:adjustRightInd w:val="0"/>
        <w:snapToGrid w:val="0"/>
        <w:spacing w:line="560" w:lineRule="exact"/>
        <w:ind w:firstLineChars="200" w:firstLine="640"/>
        <w:contextualSpacing/>
        <w:jc w:val="left"/>
        <w:rPr>
          <w:rFonts w:eastAsia="仿宋_GB2312"/>
          <w:sz w:val="32"/>
          <w:szCs w:val="32"/>
          <w:lang w:val="zh-CN"/>
        </w:rPr>
      </w:pPr>
      <w:r>
        <w:rPr>
          <w:rFonts w:eastAsia="楷体_GB2312"/>
          <w:b/>
          <w:bCs/>
          <w:color w:val="000000"/>
          <w:kern w:val="0"/>
          <w:sz w:val="32"/>
          <w:szCs w:val="32"/>
          <w:shd w:val="clear" w:color="auto" w:fill="FFFFFF"/>
          <w:lang w:val="zh-CN"/>
        </w:rPr>
        <w:t>（一）部门预算总体绩效分析。</w:t>
      </w:r>
      <w:r>
        <w:rPr>
          <w:rFonts w:eastAsia="仿宋_GB2312"/>
          <w:sz w:val="32"/>
          <w:szCs w:val="32"/>
          <w:lang w:val="zh-CN"/>
        </w:rPr>
        <w:t>202</w:t>
      </w:r>
      <w:r>
        <w:rPr>
          <w:rFonts w:eastAsia="仿宋_GB2312" w:hint="eastAsia"/>
          <w:sz w:val="32"/>
          <w:szCs w:val="32"/>
        </w:rPr>
        <w:t>4</w:t>
      </w:r>
      <w:r>
        <w:rPr>
          <w:rFonts w:eastAsia="仿宋_GB2312"/>
          <w:sz w:val="32"/>
          <w:szCs w:val="32"/>
          <w:lang w:val="zh-CN"/>
        </w:rPr>
        <w:t>年</w:t>
      </w:r>
      <w:r>
        <w:rPr>
          <w:rFonts w:eastAsia="仿宋_GB2312" w:hint="eastAsia"/>
          <w:sz w:val="32"/>
          <w:szCs w:val="32"/>
          <w:lang w:val="zh-CN"/>
        </w:rPr>
        <w:t>，</w:t>
      </w:r>
      <w:r>
        <w:rPr>
          <w:rFonts w:eastAsia="仿宋_GB2312"/>
          <w:sz w:val="32"/>
          <w:szCs w:val="32"/>
          <w:lang w:val="zh-CN"/>
        </w:rPr>
        <w:t>我局的部门预算管理工作有序开展，现结合整体支出绩效评价指标体系，将主要情况总结如下：</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hint="eastAsia"/>
          <w:b/>
          <w:bCs/>
          <w:color w:val="000000"/>
          <w:kern w:val="0"/>
          <w:sz w:val="32"/>
          <w:szCs w:val="32"/>
          <w:shd w:val="clear" w:color="auto" w:fill="FFFFFF"/>
        </w:rPr>
        <w:t>1.</w:t>
      </w:r>
      <w:r>
        <w:rPr>
          <w:rFonts w:eastAsia="仿宋_GB2312" w:hint="eastAsia"/>
          <w:b/>
          <w:bCs/>
          <w:color w:val="000000"/>
          <w:kern w:val="0"/>
          <w:sz w:val="32"/>
          <w:szCs w:val="32"/>
          <w:shd w:val="clear" w:color="auto" w:fill="FFFFFF"/>
          <w:lang w:val="zh-CN"/>
        </w:rPr>
        <w:t>履职效能。</w:t>
      </w:r>
      <w:r>
        <w:rPr>
          <w:rFonts w:eastAsia="仿宋_GB2312" w:hint="eastAsia"/>
          <w:sz w:val="32"/>
          <w:szCs w:val="32"/>
          <w:lang w:val="zh-CN"/>
        </w:rPr>
        <w:t>完成数量指标保障</w:t>
      </w:r>
      <w:r>
        <w:rPr>
          <w:rFonts w:eastAsia="仿宋_GB2312" w:hint="eastAsia"/>
          <w:sz w:val="32"/>
          <w:szCs w:val="32"/>
        </w:rPr>
        <w:t>3个单位，全年对阿坝州公安局、州交警支队、州强制隔离戒毒所三个单位进行了保障；完成效益指标有效保障社会安定；达到时效指标-案件处理及时率98%目标</w:t>
      </w:r>
      <w:r>
        <w:rPr>
          <w:rFonts w:eastAsia="仿宋_GB2312"/>
          <w:sz w:val="32"/>
          <w:szCs w:val="32"/>
          <w:lang w:val="zh-CN"/>
        </w:rPr>
        <w:t>。</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b/>
          <w:bCs/>
          <w:color w:val="000000"/>
          <w:kern w:val="0"/>
          <w:sz w:val="32"/>
          <w:szCs w:val="32"/>
          <w:shd w:val="clear" w:color="auto" w:fill="FFFFFF"/>
        </w:rPr>
        <w:t>2.</w:t>
      </w:r>
      <w:r>
        <w:rPr>
          <w:rFonts w:eastAsia="仿宋_GB2312"/>
          <w:b/>
          <w:bCs/>
          <w:color w:val="000000"/>
          <w:kern w:val="0"/>
          <w:sz w:val="32"/>
          <w:szCs w:val="32"/>
          <w:shd w:val="clear" w:color="auto" w:fill="FFFFFF"/>
          <w:lang w:val="zh-CN"/>
        </w:rPr>
        <w:t>预算管理。</w:t>
      </w:r>
      <w:r>
        <w:rPr>
          <w:rFonts w:eastAsia="仿宋_GB2312"/>
          <w:sz w:val="32"/>
          <w:szCs w:val="32"/>
          <w:lang w:val="zh-CN"/>
        </w:rPr>
        <w:t>严格按要求编制年初部门预算，</w:t>
      </w:r>
      <w:r>
        <w:rPr>
          <w:rFonts w:eastAsia="仿宋_GB2312" w:hint="eastAsia"/>
          <w:sz w:val="32"/>
          <w:szCs w:val="32"/>
          <w:lang w:val="zh-CN"/>
        </w:rPr>
        <w:t>财政拨款预算偏离度为</w:t>
      </w:r>
      <w:r>
        <w:rPr>
          <w:rFonts w:eastAsia="仿宋_GB2312" w:hint="eastAsia"/>
          <w:sz w:val="32"/>
          <w:szCs w:val="32"/>
        </w:rPr>
        <w:t>0.00249</w:t>
      </w:r>
      <w:r>
        <w:rPr>
          <w:rFonts w:eastAsia="仿宋_GB2312" w:hint="eastAsia"/>
          <w:sz w:val="32"/>
          <w:szCs w:val="32"/>
          <w:lang w:val="zh-CN"/>
        </w:rPr>
        <w:t>，政府采购预算偏离度为</w:t>
      </w:r>
      <w:r>
        <w:rPr>
          <w:rFonts w:eastAsia="仿宋_GB2312" w:hint="eastAsia"/>
          <w:sz w:val="32"/>
          <w:szCs w:val="32"/>
        </w:rPr>
        <w:t>0，</w:t>
      </w:r>
      <w:r>
        <w:rPr>
          <w:rFonts w:eastAsia="仿宋_GB2312"/>
          <w:sz w:val="32"/>
          <w:szCs w:val="32"/>
          <w:lang w:val="zh-CN"/>
        </w:rPr>
        <w:t>坚持“三保”在预算安排和支出上的优先顺序，切实筑牢兜实“三保”底线</w:t>
      </w:r>
      <w:r>
        <w:rPr>
          <w:rFonts w:eastAsia="仿宋_GB2312" w:hint="eastAsia"/>
          <w:sz w:val="32"/>
          <w:szCs w:val="32"/>
          <w:lang w:val="zh-CN"/>
        </w:rPr>
        <w:t>，</w:t>
      </w:r>
      <w:r>
        <w:rPr>
          <w:rFonts w:eastAsia="仿宋_GB2312" w:hint="eastAsia"/>
          <w:sz w:val="32"/>
          <w:szCs w:val="32"/>
        </w:rPr>
        <w:t>预算编制质量高</w:t>
      </w:r>
      <w:r>
        <w:rPr>
          <w:rFonts w:eastAsia="仿宋_GB2312" w:hint="eastAsia"/>
          <w:sz w:val="32"/>
          <w:szCs w:val="32"/>
          <w:lang w:val="zh-CN"/>
        </w:rPr>
        <w:t>；</w:t>
      </w:r>
      <w:r>
        <w:rPr>
          <w:rFonts w:eastAsia="仿宋_GB2312"/>
          <w:sz w:val="32"/>
          <w:szCs w:val="32"/>
          <w:lang w:val="zh-CN"/>
        </w:rPr>
        <w:t>单位收入统筹</w:t>
      </w:r>
      <w:r>
        <w:rPr>
          <w:rFonts w:eastAsia="仿宋_GB2312" w:hint="eastAsia"/>
          <w:sz w:val="32"/>
          <w:szCs w:val="32"/>
          <w:lang w:val="zh-CN"/>
        </w:rPr>
        <w:t>程度良好；</w:t>
      </w:r>
      <w:r>
        <w:rPr>
          <w:rFonts w:eastAsia="仿宋_GB2312"/>
          <w:sz w:val="32"/>
          <w:szCs w:val="32"/>
          <w:lang w:val="zh-CN"/>
        </w:rPr>
        <w:t>坚持“先有预算后有支出”，严格执行人大批准的预算，严禁超预算、无预算安排支出或开展政府采购</w:t>
      </w:r>
      <w:r>
        <w:rPr>
          <w:rFonts w:eastAsia="仿宋_GB2312" w:hint="eastAsia"/>
          <w:sz w:val="32"/>
          <w:szCs w:val="32"/>
          <w:lang w:val="zh-CN"/>
        </w:rPr>
        <w:t>；</w:t>
      </w:r>
      <w:r>
        <w:rPr>
          <w:rFonts w:eastAsia="仿宋_GB2312"/>
          <w:sz w:val="32"/>
          <w:szCs w:val="32"/>
          <w:lang w:val="zh-CN"/>
        </w:rPr>
        <w:t>规范部门预算调整调剂，严禁随意变更资金用途和支出科目，强化预算指标对预算支出的控制，加强资金使用的追踪和监管；持续深化部门预决算公开，确保部门预决算公开内容全面、完整、规范。细化公开群众关心的“三公”经费及增减变化说明等，主动接受社会监督</w:t>
      </w:r>
      <w:r>
        <w:rPr>
          <w:rFonts w:eastAsia="仿宋_GB2312" w:hint="eastAsia"/>
          <w:sz w:val="32"/>
          <w:szCs w:val="32"/>
          <w:lang w:val="zh-CN"/>
        </w:rPr>
        <w:t>；按进度加强</w:t>
      </w:r>
      <w:r>
        <w:rPr>
          <w:rFonts w:eastAsia="仿宋_GB2312"/>
          <w:sz w:val="32"/>
          <w:szCs w:val="32"/>
          <w:lang w:val="zh-CN"/>
        </w:rPr>
        <w:t>支出执行进度。</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b/>
          <w:bCs/>
          <w:color w:val="000000"/>
          <w:kern w:val="0"/>
          <w:sz w:val="32"/>
          <w:szCs w:val="32"/>
          <w:shd w:val="clear" w:color="auto" w:fill="FFFFFF"/>
        </w:rPr>
        <w:t>3.</w:t>
      </w:r>
      <w:r>
        <w:rPr>
          <w:rFonts w:eastAsia="仿宋_GB2312"/>
          <w:b/>
          <w:bCs/>
          <w:color w:val="000000"/>
          <w:kern w:val="0"/>
          <w:sz w:val="32"/>
          <w:szCs w:val="32"/>
          <w:shd w:val="clear" w:color="auto" w:fill="FFFFFF"/>
          <w:lang w:val="zh-CN"/>
        </w:rPr>
        <w:t>财务管理。</w:t>
      </w:r>
      <w:r>
        <w:rPr>
          <w:rFonts w:eastAsia="仿宋_GB2312" w:hint="eastAsia"/>
          <w:sz w:val="32"/>
          <w:szCs w:val="32"/>
          <w:lang w:val="zh-CN"/>
        </w:rPr>
        <w:t>我部门严格按照</w:t>
      </w:r>
      <w:r>
        <w:rPr>
          <w:rFonts w:eastAsia="仿宋_GB2312" w:hint="eastAsia"/>
          <w:sz w:val="32"/>
          <w:szCs w:val="32"/>
        </w:rPr>
        <w:t>《阿坝州公安局财务管理办法》、《阿坝州公安机关合同管理规定》、《阿坝州公安局政府采购管理实施办法》、《阿坝州公安局非政府采购管理实施办法》、《阿坝州公安局涉密采购管理实施办法》等进行财务管理活动；同时财务人员按照职责进行分工，切实做到“不相容岗位分离”，财务工作人员之间相互制约、相互监督，确保单位资金安全</w:t>
      </w:r>
      <w:r>
        <w:rPr>
          <w:rFonts w:eastAsia="仿宋_GB2312" w:hint="eastAsia"/>
          <w:sz w:val="32"/>
          <w:szCs w:val="32"/>
          <w:lang w:val="zh-CN"/>
        </w:rPr>
        <w:t>。</w:t>
      </w:r>
    </w:p>
    <w:p>
      <w:pPr>
        <w:adjustRightInd w:val="0"/>
        <w:snapToGrid w:val="0"/>
        <w:spacing w:line="560" w:lineRule="exact"/>
        <w:ind w:firstLineChars="200" w:firstLine="640"/>
        <w:contextualSpacing/>
        <w:jc w:val="left"/>
        <w:rPr>
          <w:rFonts w:eastAsia="仿宋_GB2312"/>
          <w:sz w:val="32"/>
          <w:szCs w:val="32"/>
        </w:rPr>
      </w:pPr>
      <w:r>
        <w:rPr>
          <w:rFonts w:eastAsia="仿宋_GB2312"/>
          <w:b/>
          <w:bCs/>
          <w:color w:val="000000"/>
          <w:kern w:val="0"/>
          <w:sz w:val="32"/>
          <w:szCs w:val="32"/>
          <w:shd w:val="clear" w:color="auto" w:fill="FFFFFF"/>
        </w:rPr>
        <w:t>4.</w:t>
      </w:r>
      <w:r>
        <w:rPr>
          <w:rFonts w:eastAsia="仿宋_GB2312"/>
          <w:b/>
          <w:bCs/>
          <w:color w:val="000000"/>
          <w:kern w:val="0"/>
          <w:sz w:val="32"/>
          <w:szCs w:val="32"/>
          <w:shd w:val="clear" w:color="auto" w:fill="FFFFFF"/>
          <w:lang w:val="zh-CN"/>
        </w:rPr>
        <w:t>资产管理。</w:t>
      </w:r>
      <w:r>
        <w:rPr>
          <w:rFonts w:eastAsia="仿宋_GB2312" w:hint="eastAsia"/>
          <w:sz w:val="32"/>
          <w:szCs w:val="32"/>
        </w:rPr>
        <w:t>2023年我部门资产净值18,647.94万元，年末实有人数为742人，上年部门人均占有资产25.13万元，2024年我部门资产净值26,116.77万元，年末实有人数为866人，本年部门人均占有资产30.16万元，部门人均资产变化率为20.02%。2024年部门办公家具超最低使用年限资产使用率为5.7%，部门办公设备超最低使用年限资产使用率为84.02%，我部门所有资产均合理使用，无闲置</w:t>
      </w:r>
      <w:r>
        <w:rPr>
          <w:rFonts w:eastAsia="仿宋_GB2312"/>
          <w:sz w:val="32"/>
          <w:szCs w:val="32"/>
        </w:rPr>
        <w:t>资</w:t>
      </w:r>
      <w:r>
        <w:rPr>
          <w:rFonts w:eastAsia="仿宋_GB2312" w:hint="eastAsia"/>
          <w:sz w:val="32"/>
          <w:szCs w:val="32"/>
        </w:rPr>
        <w:t>产。</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b/>
          <w:bCs/>
          <w:color w:val="000000"/>
          <w:kern w:val="0"/>
          <w:sz w:val="32"/>
          <w:szCs w:val="32"/>
          <w:shd w:val="clear" w:color="auto" w:fill="FFFFFF"/>
        </w:rPr>
        <w:t>5.</w:t>
      </w:r>
      <w:r>
        <w:rPr>
          <w:rFonts w:eastAsia="仿宋_GB2312"/>
          <w:b/>
          <w:bCs/>
          <w:color w:val="000000"/>
          <w:kern w:val="0"/>
          <w:sz w:val="32"/>
          <w:szCs w:val="32"/>
          <w:shd w:val="clear" w:color="auto" w:fill="FFFFFF"/>
          <w:lang w:val="zh-CN"/>
        </w:rPr>
        <w:t>采购管理。</w:t>
      </w:r>
      <w:r>
        <w:rPr>
          <w:rFonts w:eastAsia="仿宋_GB2312" w:hint="eastAsia"/>
          <w:sz w:val="32"/>
          <w:szCs w:val="32"/>
          <w:lang w:val="zh-CN"/>
        </w:rPr>
        <w:t>我部门一直高度重视发挥政府采购政策作用支持中小企业（含中型、小型、微型企业）发展，202</w:t>
      </w:r>
      <w:r>
        <w:rPr>
          <w:rFonts w:eastAsia="仿宋_GB2312" w:hint="eastAsia"/>
          <w:sz w:val="32"/>
          <w:szCs w:val="32"/>
        </w:rPr>
        <w:t>4</w:t>
      </w:r>
      <w:r>
        <w:rPr>
          <w:rFonts w:eastAsia="仿宋_GB2312" w:hint="eastAsia"/>
          <w:sz w:val="32"/>
          <w:szCs w:val="32"/>
          <w:lang w:val="zh-CN"/>
        </w:rPr>
        <w:t>年，我部门政府采购共授予中小企业</w:t>
      </w:r>
      <w:r>
        <w:rPr>
          <w:rFonts w:eastAsia="仿宋_GB2312" w:hint="eastAsia"/>
          <w:sz w:val="32"/>
          <w:szCs w:val="32"/>
        </w:rPr>
        <w:t>10个项目，涉及</w:t>
      </w:r>
      <w:r>
        <w:rPr>
          <w:rFonts w:eastAsia="仿宋_GB2312" w:hint="eastAsia"/>
          <w:sz w:val="32"/>
          <w:szCs w:val="32"/>
          <w:lang w:val="zh-CN"/>
        </w:rPr>
        <w:t>合同金额</w:t>
      </w:r>
      <w:r>
        <w:rPr>
          <w:rFonts w:eastAsia="仿宋_GB2312" w:hint="eastAsia"/>
          <w:sz w:val="32"/>
          <w:szCs w:val="32"/>
        </w:rPr>
        <w:t>1,002.27万元</w:t>
      </w:r>
      <w:r>
        <w:rPr>
          <w:rFonts w:eastAsia="仿宋_GB2312" w:hint="eastAsia"/>
          <w:sz w:val="32"/>
          <w:szCs w:val="32"/>
          <w:lang w:val="zh-CN"/>
        </w:rPr>
        <w:t>，有效鼓励了中小企业的发展。</w:t>
      </w:r>
    </w:p>
    <w:p>
      <w:pPr>
        <w:adjustRightInd w:val="0"/>
        <w:snapToGrid w:val="0"/>
        <w:spacing w:line="560" w:lineRule="exact"/>
        <w:ind w:firstLineChars="200" w:firstLine="640"/>
        <w:contextualSpacing/>
        <w:jc w:val="left"/>
        <w:rPr>
          <w:rFonts w:eastAsia="仿宋_GB2312"/>
          <w:color w:val="000000"/>
          <w:kern w:val="0"/>
          <w:sz w:val="32"/>
          <w:szCs w:val="32"/>
          <w:shd w:val="clear" w:color="auto" w:fill="FFFFFF"/>
        </w:rPr>
      </w:pPr>
      <w:r>
        <w:rPr>
          <w:rFonts w:eastAsia="楷体_GB2312"/>
          <w:b/>
          <w:bCs/>
          <w:color w:val="000000"/>
          <w:kern w:val="0"/>
          <w:sz w:val="32"/>
          <w:szCs w:val="32"/>
          <w:shd w:val="clear" w:color="auto" w:fill="FFFFFF"/>
          <w:lang w:val="zh-CN"/>
        </w:rPr>
        <w:t>（二）部门预算项目绩效分析。</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sz w:val="32"/>
          <w:szCs w:val="32"/>
        </w:rPr>
        <w:t>常年项目绩效分析。</w:t>
      </w:r>
      <w:r>
        <w:rPr>
          <w:rFonts w:eastAsia="仿宋_GB2312"/>
          <w:sz w:val="32"/>
          <w:szCs w:val="32"/>
          <w:lang w:val="zh-CN"/>
        </w:rPr>
        <w:t>该类项目总数</w:t>
      </w:r>
      <w:r>
        <w:rPr>
          <w:rFonts w:eastAsia="仿宋_GB2312" w:hint="eastAsia"/>
          <w:sz w:val="32"/>
          <w:szCs w:val="32"/>
        </w:rPr>
        <w:t>41</w:t>
      </w:r>
      <w:r>
        <w:rPr>
          <w:rFonts w:eastAsia="仿宋_GB2312"/>
          <w:sz w:val="32"/>
          <w:szCs w:val="32"/>
          <w:lang w:val="zh-CN"/>
        </w:rPr>
        <w:t>个，涉及预算总金额</w:t>
      </w:r>
      <w:r>
        <w:rPr>
          <w:rFonts w:eastAsia="仿宋_GB2312"/>
          <w:sz w:val="32"/>
          <w:szCs w:val="32"/>
        </w:rPr>
        <w:t xml:space="preserve"> </w:t>
      </w:r>
      <w:r>
        <w:rPr>
          <w:rFonts w:eastAsia="仿宋_GB2312" w:hint="eastAsia"/>
          <w:sz w:val="32"/>
          <w:szCs w:val="32"/>
        </w:rPr>
        <w:t>4,075.89</w:t>
      </w:r>
      <w:r>
        <w:rPr>
          <w:rFonts w:eastAsia="仿宋_GB2312"/>
          <w:sz w:val="32"/>
          <w:szCs w:val="32"/>
          <w:lang w:val="zh-CN"/>
        </w:rPr>
        <w:t>万元，1</w:t>
      </w:r>
      <w:r>
        <w:rPr>
          <w:rFonts w:eastAsia="仿宋_GB2312" w:hint="eastAsia"/>
          <w:sz w:val="32"/>
          <w:szCs w:val="32"/>
          <w:lang w:val="zh-CN"/>
        </w:rPr>
        <w:t>—</w:t>
      </w:r>
      <w:r>
        <w:rPr>
          <w:rFonts w:eastAsia="仿宋_GB2312"/>
          <w:sz w:val="32"/>
          <w:szCs w:val="32"/>
          <w:lang w:val="zh-CN"/>
        </w:rPr>
        <w:t>1</w:t>
      </w:r>
      <w:r>
        <w:rPr>
          <w:rFonts w:eastAsia="仿宋_GB2312"/>
          <w:sz w:val="32"/>
          <w:szCs w:val="32"/>
        </w:rPr>
        <w:t>2</w:t>
      </w:r>
      <w:r>
        <w:rPr>
          <w:rFonts w:eastAsia="仿宋_GB2312"/>
          <w:sz w:val="32"/>
          <w:szCs w:val="32"/>
          <w:lang w:val="zh-CN"/>
        </w:rPr>
        <w:t>月预算执行总体进度为</w:t>
      </w:r>
      <w:r>
        <w:rPr>
          <w:rFonts w:eastAsia="仿宋_GB2312" w:hint="eastAsia"/>
          <w:sz w:val="32"/>
          <w:szCs w:val="32"/>
        </w:rPr>
        <w:t>79.54</w:t>
      </w:r>
      <w:r>
        <w:rPr>
          <w:rFonts w:eastAsia="仿宋_GB2312"/>
          <w:sz w:val="32"/>
          <w:szCs w:val="32"/>
          <w:lang w:val="zh-CN"/>
        </w:rPr>
        <w:t>%，其中：预算结余率大于</w:t>
      </w:r>
      <w:r>
        <w:rPr>
          <w:rFonts w:eastAsia="仿宋_GB2312"/>
          <w:sz w:val="32"/>
          <w:szCs w:val="32"/>
        </w:rPr>
        <w:t>10%</w:t>
      </w:r>
      <w:r>
        <w:rPr>
          <w:rFonts w:eastAsia="仿宋_GB2312"/>
          <w:sz w:val="32"/>
          <w:szCs w:val="32"/>
          <w:lang w:val="zh-CN"/>
        </w:rPr>
        <w:t>的项目共计</w:t>
      </w:r>
      <w:r>
        <w:rPr>
          <w:rFonts w:eastAsia="仿宋_GB2312" w:hint="eastAsia"/>
          <w:sz w:val="32"/>
          <w:szCs w:val="32"/>
        </w:rPr>
        <w:t>15</w:t>
      </w:r>
      <w:r>
        <w:rPr>
          <w:rFonts w:eastAsia="仿宋_GB2312"/>
          <w:sz w:val="32"/>
          <w:szCs w:val="32"/>
          <w:lang w:val="zh-CN"/>
        </w:rPr>
        <w:t>个</w:t>
      </w:r>
      <w:r>
        <w:rPr>
          <w:rFonts w:eastAsia="仿宋_GB2312" w:hint="eastAsia"/>
          <w:sz w:val="32"/>
          <w:szCs w:val="32"/>
          <w:lang w:val="zh-CN"/>
        </w:rPr>
        <w:t>：51320021T000000167693-车辆大修51320022T000000327103-公安业务费51320022T000000329116-公安业务培训费51320022T000000346705-特警大型演练经费51320022T000000346719-特警生活补助51320024T000010059401-铁路护路专项资金51320024T000010527535-阿坝州公安局提升改造项目51320024T000010581128-阿坝州看守所未成年监区、女子监区升级改造经费</w:t>
      </w:r>
    </w:p>
    <w:p>
      <w:pPr>
        <w:adjustRightInd w:val="0"/>
        <w:snapToGrid w:val="0"/>
        <w:spacing w:line="560" w:lineRule="exact"/>
        <w:contextualSpacing/>
        <w:jc w:val="left"/>
        <w:rPr>
          <w:rFonts w:eastAsia="仿宋_GB2312"/>
          <w:sz w:val="32"/>
          <w:szCs w:val="32"/>
          <w:lang w:val="zh-CN"/>
        </w:rPr>
      </w:pPr>
      <w:r>
        <w:rPr>
          <w:rFonts w:eastAsia="仿宋_GB2312" w:hint="eastAsia"/>
          <w:sz w:val="32"/>
          <w:szCs w:val="32"/>
          <w:lang w:val="zh-CN"/>
        </w:rPr>
        <w:t>51320024T000010649771-情指中心改造项目51320024T000011821646-2024年提前批业务装备费ZY</w:t>
      </w:r>
      <w:r>
        <w:rPr>
          <w:rFonts w:eastAsia="仿宋_GB2312"/>
          <w:sz w:val="32"/>
          <w:szCs w:val="32"/>
          <w:lang w:val="zh-CN"/>
        </w:rPr>
        <w:t xml:space="preserve">  </w:t>
      </w:r>
      <w:r>
        <w:rPr>
          <w:rFonts w:eastAsia="仿宋_GB2312" w:hint="eastAsia"/>
          <w:sz w:val="32"/>
          <w:szCs w:val="32"/>
          <w:lang w:val="zh-CN"/>
        </w:rPr>
        <w:t>51320021T000000061286-车管业务经费51320021T000000061343-道路交通管理业务经费51320021T000000061365-交警办公网</w:t>
      </w:r>
      <w:r>
        <w:rPr>
          <w:rFonts w:eastAsia="仿宋_GB2312"/>
          <w:sz w:val="32"/>
          <w:szCs w:val="32"/>
          <w:lang w:val="zh-CN"/>
        </w:rPr>
        <w:t>络</w:t>
      </w:r>
      <w:r>
        <w:rPr>
          <w:rFonts w:eastAsia="仿宋_GB2312" w:hint="eastAsia"/>
          <w:sz w:val="32"/>
          <w:szCs w:val="32"/>
          <w:lang w:val="zh-CN"/>
        </w:rPr>
        <w:t>租赁费51320024T000010491765-辅警体检费51320024T000010548737-道路交通综合智能监控系统运维费。</w:t>
      </w:r>
    </w:p>
    <w:p>
      <w:pPr>
        <w:adjustRightInd w:val="0"/>
        <w:snapToGrid w:val="0"/>
        <w:spacing w:line="560" w:lineRule="exact"/>
        <w:ind w:firstLineChars="200" w:firstLine="640"/>
        <w:contextualSpacing/>
        <w:rPr>
          <w:rFonts w:eastAsia="仿宋_GB2312"/>
          <w:sz w:val="32"/>
          <w:szCs w:val="32"/>
          <w:lang w:val="zh-CN"/>
        </w:rPr>
      </w:pPr>
      <w:r>
        <w:rPr>
          <w:rFonts w:eastAsia="仿宋_GB2312"/>
          <w:sz w:val="32"/>
          <w:szCs w:val="32"/>
        </w:rPr>
        <w:t>阶段（</w:t>
      </w:r>
      <w:r>
        <w:rPr>
          <w:rFonts w:eastAsia="仿宋_GB2312" w:hint="eastAsia"/>
          <w:sz w:val="32"/>
          <w:szCs w:val="32"/>
        </w:rPr>
        <w:t>含</w:t>
      </w:r>
      <w:r>
        <w:rPr>
          <w:rFonts w:eastAsia="仿宋_GB2312"/>
          <w:sz w:val="32"/>
          <w:szCs w:val="32"/>
        </w:rPr>
        <w:t>一次性）项目绩效分析。</w:t>
      </w:r>
      <w:r>
        <w:rPr>
          <w:rFonts w:eastAsia="仿宋_GB2312"/>
          <w:sz w:val="32"/>
          <w:szCs w:val="32"/>
          <w:lang w:val="zh-CN"/>
        </w:rPr>
        <w:t>该类项目总数</w:t>
      </w:r>
      <w:r>
        <w:rPr>
          <w:rFonts w:eastAsia="仿宋_GB2312" w:hint="eastAsia"/>
          <w:sz w:val="32"/>
          <w:szCs w:val="32"/>
        </w:rPr>
        <w:t>19</w:t>
      </w:r>
      <w:r>
        <w:rPr>
          <w:rFonts w:eastAsia="仿宋_GB2312"/>
          <w:sz w:val="32"/>
          <w:szCs w:val="32"/>
          <w:lang w:val="zh-CN"/>
        </w:rPr>
        <w:t>个，涉及预算总金额</w:t>
      </w:r>
      <w:r>
        <w:rPr>
          <w:rFonts w:eastAsia="仿宋_GB2312" w:hint="eastAsia"/>
          <w:sz w:val="32"/>
          <w:szCs w:val="32"/>
        </w:rPr>
        <w:t>6,462.73</w:t>
      </w:r>
      <w:r>
        <w:rPr>
          <w:rFonts w:eastAsia="仿宋_GB2312"/>
          <w:sz w:val="32"/>
          <w:szCs w:val="32"/>
          <w:lang w:val="zh-CN"/>
        </w:rPr>
        <w:t>万元，1</w:t>
      </w:r>
      <w:r>
        <w:rPr>
          <w:rFonts w:eastAsia="仿宋_GB2312" w:hint="eastAsia"/>
          <w:sz w:val="32"/>
          <w:szCs w:val="32"/>
          <w:lang w:val="zh-CN"/>
        </w:rPr>
        <w:t>—</w:t>
      </w:r>
      <w:r>
        <w:rPr>
          <w:rFonts w:eastAsia="仿宋_GB2312"/>
          <w:sz w:val="32"/>
          <w:szCs w:val="32"/>
          <w:lang w:val="zh-CN"/>
        </w:rPr>
        <w:t>1</w:t>
      </w:r>
      <w:r>
        <w:rPr>
          <w:rFonts w:eastAsia="仿宋_GB2312"/>
          <w:sz w:val="32"/>
          <w:szCs w:val="32"/>
        </w:rPr>
        <w:t>2</w:t>
      </w:r>
      <w:r>
        <w:rPr>
          <w:rFonts w:eastAsia="仿宋_GB2312"/>
          <w:sz w:val="32"/>
          <w:szCs w:val="32"/>
          <w:lang w:val="zh-CN"/>
        </w:rPr>
        <w:t>月预算执行总体进度为</w:t>
      </w:r>
      <w:r>
        <w:rPr>
          <w:rFonts w:eastAsia="仿宋_GB2312" w:hint="eastAsia"/>
          <w:sz w:val="32"/>
          <w:szCs w:val="32"/>
        </w:rPr>
        <w:t>100</w:t>
      </w:r>
      <w:r>
        <w:rPr>
          <w:rFonts w:eastAsia="仿宋_GB2312"/>
          <w:sz w:val="32"/>
          <w:szCs w:val="32"/>
          <w:lang w:val="zh-CN"/>
        </w:rPr>
        <w:t>%，其中：预算结余率大于</w:t>
      </w:r>
      <w:r>
        <w:rPr>
          <w:rFonts w:eastAsia="仿宋_GB2312"/>
          <w:sz w:val="32"/>
          <w:szCs w:val="32"/>
        </w:rPr>
        <w:t>10%</w:t>
      </w:r>
      <w:r>
        <w:rPr>
          <w:rFonts w:eastAsia="仿宋_GB2312"/>
          <w:sz w:val="32"/>
          <w:szCs w:val="32"/>
          <w:lang w:val="zh-CN"/>
        </w:rPr>
        <w:t>的项目共计</w:t>
      </w:r>
      <w:r>
        <w:rPr>
          <w:rFonts w:eastAsia="仿宋_GB2312" w:hint="eastAsia"/>
          <w:sz w:val="32"/>
          <w:szCs w:val="32"/>
        </w:rPr>
        <w:t>6</w:t>
      </w:r>
      <w:r>
        <w:rPr>
          <w:rFonts w:eastAsia="仿宋_GB2312"/>
          <w:sz w:val="32"/>
          <w:szCs w:val="32"/>
          <w:lang w:val="zh-CN"/>
        </w:rPr>
        <w:t>个</w:t>
      </w:r>
      <w:r>
        <w:rPr>
          <w:rFonts w:eastAsia="仿宋_GB2312" w:hint="eastAsia"/>
          <w:sz w:val="32"/>
          <w:szCs w:val="32"/>
          <w:lang w:val="zh-CN"/>
        </w:rPr>
        <w:t>：51320022T000000364756-阿坝公安交管大数据指挥中心业务技术用房建设、51320023T000007904277-96110反诈预警劝阻专线及AI人工智能预警系统、51320024T000010581326-州公安局房屋维修、51320024T000011423350-2023年省级ZFWW专项经费、51320024T000012036312-阿坝州公安局特定工作经费、51320025T000013206272-特定工作经费Z（2024）。</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hint="eastAsia"/>
          <w:b/>
          <w:bCs/>
          <w:color w:val="000000"/>
          <w:kern w:val="0"/>
          <w:sz w:val="32"/>
          <w:szCs w:val="32"/>
          <w:shd w:val="clear" w:color="auto" w:fill="FFFFFF"/>
        </w:rPr>
        <w:t>1.</w:t>
      </w:r>
      <w:r>
        <w:rPr>
          <w:rFonts w:eastAsia="仿宋_GB2312"/>
          <w:b/>
          <w:bCs/>
          <w:color w:val="000000"/>
          <w:kern w:val="0"/>
          <w:sz w:val="32"/>
          <w:szCs w:val="32"/>
          <w:shd w:val="clear" w:color="auto" w:fill="FFFFFF"/>
          <w:lang w:val="zh-CN"/>
        </w:rPr>
        <w:t>项目决策。</w:t>
      </w:r>
      <w:r>
        <w:rPr>
          <w:rFonts w:eastAsia="仿宋_GB2312"/>
          <w:sz w:val="32"/>
          <w:szCs w:val="32"/>
          <w:lang w:val="zh-CN"/>
        </w:rPr>
        <w:t>部门预算项目设立按规定履行评估论证、申报程序</w:t>
      </w:r>
      <w:r>
        <w:rPr>
          <w:rFonts w:eastAsia="仿宋_GB2312" w:hint="eastAsia"/>
          <w:sz w:val="32"/>
          <w:szCs w:val="32"/>
          <w:lang w:val="zh-CN"/>
        </w:rPr>
        <w:t>；</w:t>
      </w:r>
      <w:r>
        <w:rPr>
          <w:rFonts w:eastAsia="仿宋_GB2312"/>
          <w:sz w:val="32"/>
          <w:szCs w:val="32"/>
          <w:lang w:val="zh-CN"/>
        </w:rPr>
        <w:t>部门预算项目绩效目标与计划期内的任务量、预算安排的资金量匹配，绩效目标设置科学合理、规范完整、量化细化、预算匹配</w:t>
      </w:r>
      <w:r>
        <w:rPr>
          <w:rFonts w:eastAsia="仿宋_GB2312" w:hint="eastAsia"/>
          <w:sz w:val="32"/>
          <w:szCs w:val="32"/>
          <w:lang w:val="zh-CN"/>
        </w:rPr>
        <w:t>；</w:t>
      </w:r>
      <w:r>
        <w:rPr>
          <w:rFonts w:eastAsia="仿宋_GB2312"/>
          <w:sz w:val="32"/>
          <w:szCs w:val="32"/>
          <w:lang w:val="zh-CN"/>
        </w:rPr>
        <w:t>部门预算项目在规定时间完成项目入库</w:t>
      </w:r>
      <w:r>
        <w:rPr>
          <w:rFonts w:eastAsia="仿宋_GB2312" w:hint="eastAsia"/>
          <w:sz w:val="32"/>
          <w:szCs w:val="32"/>
          <w:lang w:val="zh-CN"/>
        </w:rPr>
        <w:t>。</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hint="eastAsia"/>
          <w:sz w:val="32"/>
          <w:szCs w:val="32"/>
          <w:lang w:val="zh-CN"/>
        </w:rPr>
        <w:t>（1）常年性项目按照工作需要及以前年度项目设置、实施情况，在年初预算时由各项目责任部门申报、警务保障处汇总，一次性项目由各项目责任部门在年初预算时，根据实际工作需要申报项目、警务保障处汇总。警务保障处汇总后的项目，现由警务保障处负责人、分管财务局领导结合上年个责任部门项目完成情况、绩效目标完成情况等进行初选，对上年项目完成情况、绩效目标完成情况落后的部门适当压减本年项目预算，初筛后的预算项目报局党委会审批。局党委结合州局年初工作计划及重大事项工作规划，对预算项目进行逐一审核，由局党委审核后的预算项目为部门本年上报预算项目。202</w:t>
      </w:r>
      <w:r>
        <w:rPr>
          <w:rFonts w:eastAsia="仿宋_GB2312" w:hint="eastAsia"/>
          <w:sz w:val="32"/>
          <w:szCs w:val="32"/>
        </w:rPr>
        <w:t>4</w:t>
      </w:r>
      <w:r>
        <w:rPr>
          <w:rFonts w:eastAsia="仿宋_GB2312" w:hint="eastAsia"/>
          <w:sz w:val="32"/>
          <w:szCs w:val="32"/>
          <w:lang w:val="zh-CN"/>
        </w:rPr>
        <w:t>年我部门纳入预算项目</w:t>
      </w:r>
      <w:r>
        <w:rPr>
          <w:rFonts w:eastAsia="仿宋_GB2312" w:hint="eastAsia"/>
          <w:sz w:val="32"/>
          <w:szCs w:val="32"/>
        </w:rPr>
        <w:t>60</w:t>
      </w:r>
      <w:r>
        <w:rPr>
          <w:rFonts w:eastAsia="仿宋_GB2312" w:hint="eastAsia"/>
          <w:sz w:val="32"/>
          <w:szCs w:val="32"/>
          <w:lang w:val="zh-CN"/>
        </w:rPr>
        <w:t>个，其中：常年性项目</w:t>
      </w:r>
      <w:r>
        <w:rPr>
          <w:rFonts w:eastAsia="仿宋_GB2312" w:hint="eastAsia"/>
          <w:sz w:val="32"/>
          <w:szCs w:val="32"/>
        </w:rPr>
        <w:t>41</w:t>
      </w:r>
      <w:r>
        <w:rPr>
          <w:rFonts w:eastAsia="仿宋_GB2312" w:hint="eastAsia"/>
          <w:sz w:val="32"/>
          <w:szCs w:val="32"/>
          <w:lang w:val="zh-CN"/>
        </w:rPr>
        <w:t>个、一次性项目</w:t>
      </w:r>
      <w:r>
        <w:rPr>
          <w:rFonts w:eastAsia="仿宋_GB2312" w:hint="eastAsia"/>
          <w:sz w:val="32"/>
          <w:szCs w:val="32"/>
        </w:rPr>
        <w:t>19</w:t>
      </w:r>
      <w:r>
        <w:rPr>
          <w:rFonts w:eastAsia="仿宋_GB2312" w:hint="eastAsia"/>
          <w:sz w:val="32"/>
          <w:szCs w:val="32"/>
          <w:lang w:val="zh-CN"/>
        </w:rPr>
        <w:t>个。</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hint="eastAsia"/>
          <w:sz w:val="32"/>
          <w:szCs w:val="32"/>
          <w:lang w:val="zh-CN"/>
        </w:rPr>
        <w:t>（2）由局党委审定的上报预算项目，由各项目责任部门结合具体工作实际设置绩效目标，绩效目标由财务人员审核后录入“一体化系统”，每个项目设置一级指标4个、二级指标7个、三级指标7个（结合项目具体实际设定），并督促各项目责任部门按照年初制定的绩效目标实施该项目。</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hint="eastAsia"/>
          <w:sz w:val="32"/>
          <w:szCs w:val="32"/>
          <w:lang w:val="zh-CN"/>
        </w:rPr>
        <w:t>（3）待财政批复预算项目后，由各项目责任部门进行项目入库，入库时必须对项目进行事前绩效评估、上传绩效评估报告，200万以上的预算项目要由专业</w:t>
      </w:r>
      <w:r>
        <w:rPr>
          <w:rFonts w:eastAsia="仿宋_GB2312"/>
          <w:sz w:val="32"/>
          <w:szCs w:val="32"/>
          <w:lang w:val="zh-CN"/>
        </w:rPr>
        <w:t>第</w:t>
      </w:r>
      <w:r>
        <w:rPr>
          <w:rFonts w:eastAsia="仿宋_GB2312" w:hint="eastAsia"/>
          <w:sz w:val="32"/>
          <w:szCs w:val="32"/>
          <w:lang w:val="zh-CN"/>
        </w:rPr>
        <w:t>三方进行事前绩效评估。项目入库工作在每年9月30日前录入、实施，超过9月30日未进行项目入库的，不再纳入今年项目实施，对年初预算适当进行调整。</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b/>
          <w:bCs/>
          <w:color w:val="000000"/>
          <w:kern w:val="0"/>
          <w:sz w:val="32"/>
          <w:szCs w:val="32"/>
          <w:shd w:val="clear" w:color="auto" w:fill="FFFFFF"/>
        </w:rPr>
        <w:t>2.项目执行</w:t>
      </w:r>
      <w:r>
        <w:rPr>
          <w:rFonts w:eastAsia="仿宋_GB2312"/>
          <w:b/>
          <w:bCs/>
          <w:color w:val="000000"/>
          <w:kern w:val="0"/>
          <w:sz w:val="32"/>
          <w:szCs w:val="32"/>
          <w:shd w:val="clear" w:color="auto" w:fill="FFFFFF"/>
          <w:lang w:val="zh-CN"/>
        </w:rPr>
        <w:t>。</w:t>
      </w:r>
      <w:r>
        <w:rPr>
          <w:rFonts w:eastAsia="仿宋_GB2312"/>
          <w:sz w:val="32"/>
          <w:szCs w:val="32"/>
          <w:lang w:val="zh-CN"/>
        </w:rPr>
        <w:t>部门预算项目实际列支内容与绩效目标设置方向相符</w:t>
      </w:r>
      <w:r>
        <w:rPr>
          <w:rFonts w:eastAsia="仿宋_GB2312" w:hint="eastAsia"/>
          <w:sz w:val="32"/>
          <w:szCs w:val="32"/>
          <w:lang w:val="zh-CN"/>
        </w:rPr>
        <w:t>；</w:t>
      </w:r>
      <w:r>
        <w:rPr>
          <w:rFonts w:eastAsia="仿宋_GB2312"/>
          <w:sz w:val="32"/>
          <w:szCs w:val="32"/>
          <w:lang w:val="zh-CN"/>
        </w:rPr>
        <w:t>部门预算项目</w:t>
      </w:r>
      <w:r>
        <w:rPr>
          <w:rFonts w:eastAsia="仿宋_GB2312" w:hint="eastAsia"/>
          <w:sz w:val="32"/>
          <w:szCs w:val="32"/>
          <w:lang w:val="zh-CN"/>
        </w:rPr>
        <w:t>全部</w:t>
      </w:r>
      <w:r>
        <w:rPr>
          <w:rFonts w:eastAsia="仿宋_GB2312"/>
          <w:sz w:val="32"/>
          <w:szCs w:val="32"/>
          <w:lang w:val="zh-CN"/>
        </w:rPr>
        <w:t>采取对应调整措施</w:t>
      </w:r>
      <w:r>
        <w:rPr>
          <w:rFonts w:eastAsia="仿宋_GB2312" w:hint="eastAsia"/>
          <w:sz w:val="32"/>
          <w:szCs w:val="32"/>
          <w:lang w:val="zh-CN"/>
        </w:rPr>
        <w:t>；</w:t>
      </w:r>
      <w:r>
        <w:rPr>
          <w:rFonts w:eastAsia="仿宋_GB2312"/>
          <w:sz w:val="32"/>
          <w:szCs w:val="32"/>
        </w:rPr>
        <w:t>常年项目</w:t>
      </w:r>
      <w:r>
        <w:rPr>
          <w:rFonts w:eastAsia="仿宋_GB2312"/>
          <w:sz w:val="32"/>
          <w:szCs w:val="32"/>
          <w:lang w:val="zh-CN"/>
        </w:rPr>
        <w:t>总数</w:t>
      </w:r>
      <w:r>
        <w:rPr>
          <w:rFonts w:eastAsia="仿宋_GB2312" w:hint="eastAsia"/>
          <w:sz w:val="32"/>
          <w:szCs w:val="32"/>
        </w:rPr>
        <w:t>41</w:t>
      </w:r>
      <w:r>
        <w:rPr>
          <w:rFonts w:eastAsia="仿宋_GB2312"/>
          <w:sz w:val="32"/>
          <w:szCs w:val="32"/>
          <w:lang w:val="zh-CN"/>
        </w:rPr>
        <w:t>个，涉及预算总金额</w:t>
      </w:r>
      <w:r>
        <w:rPr>
          <w:rFonts w:eastAsia="仿宋_GB2312"/>
          <w:sz w:val="32"/>
          <w:szCs w:val="32"/>
        </w:rPr>
        <w:t xml:space="preserve"> </w:t>
      </w:r>
      <w:r>
        <w:rPr>
          <w:rFonts w:eastAsia="仿宋_GB2312" w:hint="eastAsia"/>
          <w:sz w:val="32"/>
          <w:szCs w:val="32"/>
        </w:rPr>
        <w:t>4,075.89</w:t>
      </w:r>
      <w:r>
        <w:rPr>
          <w:rFonts w:eastAsia="仿宋_GB2312"/>
          <w:sz w:val="32"/>
          <w:szCs w:val="32"/>
          <w:lang w:val="zh-CN"/>
        </w:rPr>
        <w:t>万元，1</w:t>
      </w:r>
      <w:r>
        <w:rPr>
          <w:rFonts w:eastAsia="仿宋_GB2312" w:hint="eastAsia"/>
          <w:sz w:val="32"/>
          <w:szCs w:val="32"/>
          <w:lang w:val="zh-CN"/>
        </w:rPr>
        <w:t>—</w:t>
      </w:r>
      <w:r>
        <w:rPr>
          <w:rFonts w:eastAsia="仿宋_GB2312"/>
          <w:sz w:val="32"/>
          <w:szCs w:val="32"/>
          <w:lang w:val="zh-CN"/>
        </w:rPr>
        <w:t>1</w:t>
      </w:r>
      <w:r>
        <w:rPr>
          <w:rFonts w:eastAsia="仿宋_GB2312"/>
          <w:sz w:val="32"/>
          <w:szCs w:val="32"/>
        </w:rPr>
        <w:t>2</w:t>
      </w:r>
      <w:r>
        <w:rPr>
          <w:rFonts w:eastAsia="仿宋_GB2312"/>
          <w:sz w:val="32"/>
          <w:szCs w:val="32"/>
          <w:lang w:val="zh-CN"/>
        </w:rPr>
        <w:t>月预算执行总体进度为</w:t>
      </w:r>
      <w:r>
        <w:rPr>
          <w:rFonts w:eastAsia="仿宋_GB2312" w:hint="eastAsia"/>
          <w:sz w:val="32"/>
          <w:szCs w:val="32"/>
        </w:rPr>
        <w:t>79.54</w:t>
      </w:r>
      <w:r>
        <w:rPr>
          <w:rFonts w:eastAsia="仿宋_GB2312"/>
          <w:sz w:val="32"/>
          <w:szCs w:val="32"/>
          <w:lang w:val="zh-CN"/>
        </w:rPr>
        <w:t>%，其中：预算结余率大于</w:t>
      </w:r>
      <w:r>
        <w:rPr>
          <w:rFonts w:eastAsia="仿宋_GB2312"/>
          <w:sz w:val="32"/>
          <w:szCs w:val="32"/>
        </w:rPr>
        <w:t>10%</w:t>
      </w:r>
      <w:r>
        <w:rPr>
          <w:rFonts w:eastAsia="仿宋_GB2312"/>
          <w:sz w:val="32"/>
          <w:szCs w:val="32"/>
          <w:lang w:val="zh-CN"/>
        </w:rPr>
        <w:t>的项目共计</w:t>
      </w:r>
      <w:r>
        <w:rPr>
          <w:rFonts w:eastAsia="仿宋_GB2312" w:hint="eastAsia"/>
          <w:sz w:val="32"/>
          <w:szCs w:val="32"/>
        </w:rPr>
        <w:t>15</w:t>
      </w:r>
      <w:r>
        <w:rPr>
          <w:rFonts w:eastAsia="仿宋_GB2312"/>
          <w:sz w:val="32"/>
          <w:szCs w:val="32"/>
          <w:lang w:val="zh-CN"/>
        </w:rPr>
        <w:t>个</w:t>
      </w:r>
      <w:r>
        <w:rPr>
          <w:rFonts w:eastAsia="仿宋_GB2312" w:hint="eastAsia"/>
          <w:sz w:val="32"/>
          <w:szCs w:val="32"/>
          <w:lang w:val="zh-CN"/>
        </w:rPr>
        <w:t>，</w:t>
      </w:r>
      <w:r>
        <w:rPr>
          <w:rFonts w:eastAsia="仿宋_GB2312"/>
          <w:sz w:val="32"/>
          <w:szCs w:val="32"/>
        </w:rPr>
        <w:t>阶段（</w:t>
      </w:r>
      <w:r>
        <w:rPr>
          <w:rFonts w:eastAsia="仿宋_GB2312" w:hint="eastAsia"/>
          <w:sz w:val="32"/>
          <w:szCs w:val="32"/>
        </w:rPr>
        <w:t>含</w:t>
      </w:r>
      <w:r>
        <w:rPr>
          <w:rFonts w:eastAsia="仿宋_GB2312"/>
          <w:sz w:val="32"/>
          <w:szCs w:val="32"/>
        </w:rPr>
        <w:t>一次性）项目</w:t>
      </w:r>
      <w:r>
        <w:rPr>
          <w:rFonts w:eastAsia="仿宋_GB2312"/>
          <w:sz w:val="32"/>
          <w:szCs w:val="32"/>
          <w:lang w:val="zh-CN"/>
        </w:rPr>
        <w:t>总数</w:t>
      </w:r>
      <w:r>
        <w:rPr>
          <w:rFonts w:eastAsia="仿宋_GB2312" w:hint="eastAsia"/>
          <w:sz w:val="32"/>
          <w:szCs w:val="32"/>
        </w:rPr>
        <w:t>19</w:t>
      </w:r>
      <w:r>
        <w:rPr>
          <w:rFonts w:eastAsia="仿宋_GB2312"/>
          <w:sz w:val="32"/>
          <w:szCs w:val="32"/>
          <w:lang w:val="zh-CN"/>
        </w:rPr>
        <w:t>个，涉及预算总金额</w:t>
      </w:r>
      <w:r>
        <w:rPr>
          <w:rFonts w:eastAsia="仿宋_GB2312" w:hint="eastAsia"/>
          <w:sz w:val="32"/>
          <w:szCs w:val="32"/>
        </w:rPr>
        <w:t>6,462.73</w:t>
      </w:r>
      <w:r>
        <w:rPr>
          <w:rFonts w:eastAsia="仿宋_GB2312"/>
          <w:sz w:val="32"/>
          <w:szCs w:val="32"/>
          <w:lang w:val="zh-CN"/>
        </w:rPr>
        <w:t>万元，1</w:t>
      </w:r>
      <w:r>
        <w:rPr>
          <w:rFonts w:eastAsia="仿宋_GB2312" w:hint="eastAsia"/>
          <w:sz w:val="32"/>
          <w:szCs w:val="32"/>
          <w:lang w:val="zh-CN"/>
        </w:rPr>
        <w:t>—</w:t>
      </w:r>
      <w:r>
        <w:rPr>
          <w:rFonts w:eastAsia="仿宋_GB2312"/>
          <w:sz w:val="32"/>
          <w:szCs w:val="32"/>
          <w:lang w:val="zh-CN"/>
        </w:rPr>
        <w:t>1</w:t>
      </w:r>
      <w:r>
        <w:rPr>
          <w:rFonts w:eastAsia="仿宋_GB2312"/>
          <w:sz w:val="32"/>
          <w:szCs w:val="32"/>
        </w:rPr>
        <w:t>2</w:t>
      </w:r>
      <w:r>
        <w:rPr>
          <w:rFonts w:eastAsia="仿宋_GB2312"/>
          <w:sz w:val="32"/>
          <w:szCs w:val="32"/>
          <w:lang w:val="zh-CN"/>
        </w:rPr>
        <w:t>月预算执行总体进度为</w:t>
      </w:r>
      <w:r>
        <w:rPr>
          <w:rFonts w:eastAsia="仿宋_GB2312" w:hint="eastAsia"/>
          <w:sz w:val="32"/>
          <w:szCs w:val="32"/>
        </w:rPr>
        <w:t>100</w:t>
      </w:r>
      <w:r>
        <w:rPr>
          <w:rFonts w:eastAsia="仿宋_GB2312"/>
          <w:sz w:val="32"/>
          <w:szCs w:val="32"/>
          <w:lang w:val="zh-CN"/>
        </w:rPr>
        <w:t>%，其中：预算结余率大于</w:t>
      </w:r>
      <w:r>
        <w:rPr>
          <w:rFonts w:eastAsia="仿宋_GB2312"/>
          <w:sz w:val="32"/>
          <w:szCs w:val="32"/>
        </w:rPr>
        <w:t>10%</w:t>
      </w:r>
      <w:r>
        <w:rPr>
          <w:rFonts w:eastAsia="仿宋_GB2312"/>
          <w:sz w:val="32"/>
          <w:szCs w:val="32"/>
          <w:lang w:val="zh-CN"/>
        </w:rPr>
        <w:t>的项目共计</w:t>
      </w:r>
      <w:r>
        <w:rPr>
          <w:rFonts w:eastAsia="仿宋_GB2312" w:hint="eastAsia"/>
          <w:sz w:val="32"/>
          <w:szCs w:val="32"/>
        </w:rPr>
        <w:t>6</w:t>
      </w:r>
      <w:r>
        <w:rPr>
          <w:rFonts w:eastAsia="仿宋_GB2312"/>
          <w:sz w:val="32"/>
          <w:szCs w:val="32"/>
          <w:lang w:val="zh-CN"/>
        </w:rPr>
        <w:t>个</w:t>
      </w:r>
      <w:r>
        <w:rPr>
          <w:rFonts w:eastAsia="仿宋_GB2312" w:hint="eastAsia"/>
          <w:sz w:val="32"/>
          <w:szCs w:val="32"/>
          <w:lang w:val="zh-CN"/>
        </w:rPr>
        <w:t>。</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b/>
          <w:bCs/>
          <w:color w:val="000000"/>
          <w:kern w:val="0"/>
          <w:sz w:val="32"/>
          <w:szCs w:val="32"/>
          <w:shd w:val="clear" w:color="auto" w:fill="FFFFFF"/>
        </w:rPr>
        <w:t>3.</w:t>
      </w:r>
      <w:r>
        <w:rPr>
          <w:rFonts w:eastAsia="仿宋_GB2312"/>
          <w:b/>
          <w:bCs/>
          <w:color w:val="000000"/>
          <w:kern w:val="0"/>
          <w:sz w:val="32"/>
          <w:szCs w:val="32"/>
          <w:shd w:val="clear" w:color="auto" w:fill="FFFFFF"/>
          <w:lang w:val="zh-CN"/>
        </w:rPr>
        <w:t>目标实现。</w:t>
      </w:r>
      <w:r>
        <w:rPr>
          <w:rFonts w:eastAsia="仿宋_GB2312"/>
          <w:sz w:val="32"/>
          <w:szCs w:val="32"/>
          <w:lang w:val="zh-CN"/>
        </w:rPr>
        <w:t>围绕目标完成、目标偏离、实现效果进行绩效分析。</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sz w:val="32"/>
          <w:szCs w:val="32"/>
          <w:lang w:val="zh-CN"/>
        </w:rPr>
        <w:t>（1）202</w:t>
      </w:r>
      <w:r>
        <w:rPr>
          <w:rFonts w:eastAsia="仿宋_GB2312" w:hint="eastAsia"/>
          <w:sz w:val="32"/>
          <w:szCs w:val="32"/>
        </w:rPr>
        <w:t>4</w:t>
      </w:r>
      <w:r>
        <w:rPr>
          <w:rFonts w:eastAsia="仿宋_GB2312"/>
          <w:sz w:val="32"/>
          <w:szCs w:val="32"/>
          <w:lang w:val="zh-CN"/>
        </w:rPr>
        <w:t>年</w:t>
      </w:r>
      <w:r>
        <w:rPr>
          <w:rFonts w:eastAsia="仿宋_GB2312" w:hint="eastAsia"/>
          <w:sz w:val="32"/>
          <w:szCs w:val="32"/>
        </w:rPr>
        <w:t>60</w:t>
      </w:r>
      <w:r>
        <w:rPr>
          <w:rFonts w:eastAsia="仿宋_GB2312"/>
          <w:sz w:val="32"/>
          <w:szCs w:val="32"/>
          <w:lang w:val="zh-CN"/>
        </w:rPr>
        <w:t>个部门预算项目完成年初目标的有</w:t>
      </w:r>
      <w:r>
        <w:rPr>
          <w:rFonts w:eastAsia="仿宋_GB2312" w:hint="eastAsia"/>
          <w:sz w:val="32"/>
          <w:szCs w:val="32"/>
        </w:rPr>
        <w:t>59</w:t>
      </w:r>
      <w:r>
        <w:rPr>
          <w:rFonts w:eastAsia="仿宋_GB2312"/>
          <w:sz w:val="32"/>
          <w:szCs w:val="32"/>
          <w:lang w:val="zh-CN"/>
        </w:rPr>
        <w:t>个，均按照年初设定的目标执行；未完成年初目标的有</w:t>
      </w:r>
      <w:r>
        <w:rPr>
          <w:rFonts w:eastAsia="仿宋_GB2312" w:hint="eastAsia"/>
          <w:sz w:val="32"/>
          <w:szCs w:val="32"/>
        </w:rPr>
        <w:t>1</w:t>
      </w:r>
      <w:r>
        <w:rPr>
          <w:rFonts w:eastAsia="仿宋_GB2312"/>
          <w:sz w:val="32"/>
          <w:szCs w:val="32"/>
          <w:lang w:val="zh-CN"/>
        </w:rPr>
        <w:t>个，</w:t>
      </w:r>
      <w:r>
        <w:rPr>
          <w:rFonts w:eastAsia="仿宋_GB2312" w:hint="eastAsia"/>
          <w:sz w:val="32"/>
          <w:szCs w:val="32"/>
          <w:lang w:val="zh-CN"/>
        </w:rPr>
        <w:t>新一代公安信息网网络租赁项目，该项目为单位代管资金项目，未完成资金退回代管。</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sz w:val="32"/>
          <w:szCs w:val="32"/>
          <w:lang w:val="zh-CN"/>
        </w:rPr>
        <w:t>（2）202</w:t>
      </w:r>
      <w:r>
        <w:rPr>
          <w:rFonts w:eastAsia="仿宋_GB2312" w:hint="eastAsia"/>
          <w:sz w:val="32"/>
          <w:szCs w:val="32"/>
        </w:rPr>
        <w:t>4</w:t>
      </w:r>
      <w:r>
        <w:rPr>
          <w:rFonts w:eastAsia="仿宋_GB2312"/>
          <w:sz w:val="32"/>
          <w:szCs w:val="32"/>
          <w:lang w:val="zh-CN"/>
        </w:rPr>
        <w:t>年</w:t>
      </w:r>
      <w:r>
        <w:rPr>
          <w:rFonts w:eastAsia="仿宋_GB2312" w:hint="eastAsia"/>
          <w:sz w:val="32"/>
          <w:szCs w:val="32"/>
        </w:rPr>
        <w:t>60</w:t>
      </w:r>
      <w:r>
        <w:rPr>
          <w:rFonts w:eastAsia="仿宋_GB2312"/>
          <w:sz w:val="32"/>
          <w:szCs w:val="32"/>
          <w:lang w:val="zh-CN"/>
        </w:rPr>
        <w:t>个部门预算项目中有</w:t>
      </w:r>
      <w:r>
        <w:rPr>
          <w:rFonts w:eastAsia="仿宋_GB2312" w:hint="eastAsia"/>
          <w:sz w:val="32"/>
          <w:szCs w:val="32"/>
        </w:rPr>
        <w:t>1</w:t>
      </w:r>
      <w:r>
        <w:rPr>
          <w:rFonts w:eastAsia="仿宋_GB2312"/>
          <w:sz w:val="32"/>
          <w:szCs w:val="32"/>
          <w:lang w:val="zh-CN"/>
        </w:rPr>
        <w:t>个项目存在预算编制不准确、预算执行不符合实际等问题，导致执目标偏离。</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hint="eastAsia"/>
          <w:sz w:val="32"/>
          <w:szCs w:val="32"/>
          <w:lang w:val="zh-CN"/>
        </w:rPr>
        <w:t>（</w:t>
      </w:r>
      <w:r>
        <w:rPr>
          <w:rFonts w:eastAsia="仿宋_GB2312" w:hint="eastAsia"/>
          <w:sz w:val="32"/>
          <w:szCs w:val="32"/>
        </w:rPr>
        <w:t>3</w:t>
      </w:r>
      <w:r>
        <w:rPr>
          <w:rFonts w:eastAsia="仿宋_GB2312" w:hint="eastAsia"/>
          <w:sz w:val="32"/>
          <w:szCs w:val="32"/>
          <w:lang w:val="zh-CN"/>
        </w:rPr>
        <w:t>）整体目标完成情况</w:t>
      </w:r>
    </w:p>
    <w:p>
      <w:pPr>
        <w:spacing w:line="560" w:lineRule="exact"/>
        <w:ind w:firstLineChars="200" w:firstLine="640"/>
        <w:rPr>
          <w:rFonts w:eastAsia="仿宋_GB2312"/>
          <w:sz w:val="32"/>
          <w:szCs w:val="32"/>
          <w:lang w:val="zh-CN"/>
        </w:rPr>
      </w:pPr>
      <w:r>
        <w:rPr>
          <w:rFonts w:eastAsia="仿宋_GB2312"/>
          <w:sz w:val="32"/>
          <w:szCs w:val="32"/>
          <w:lang w:val="zh-CN"/>
        </w:rPr>
        <w:t>1.旗帜鲜明讲政治。一是抓强凝心铸魂。始终坚持以习近平新时代中国特色社会主义思想为指导，扎实开展党纪学习教育和政治轮训。严格落实“第一议题”制度，坚决扛起学习贯彻落实习近平总书记重要指示批示精神的重大政治责任，今年以来召开党委会42次，按照“半月汇报、每月督导、季度研究、年度回头看”工作机制，对标对表、逐一研究，逐项推动习近平总书记对涉及公安工作作出的39项重要指示批示在阿坝公安落地落实。二是抓实党建引领。层层压实党建责任，落实好“五张责任清单”，推进党建工作与业务工作深度融合。积极开展“三级书记讲党课”25次，以“阿坝之盾·雪域先锋”党建品牌为统领，21个子品牌遍地开花，全州公安机关共10个党支部被省公安厅党委命名为2023年度全省公安机关“最强支部”，党建工作更加实化具化。三是抓牢政治督察。建立政治生态定期分析研判机制和重大事项跟踪督办工作机制，深入开展政治督察和内部巡察，对4个县公安局党委开展政治巡察。常态整治软弱涣散基层党组织，各级公安机关党组织履行政治责任意识更加强化。</w:t>
      </w:r>
    </w:p>
    <w:p>
      <w:pPr>
        <w:spacing w:line="560" w:lineRule="exact"/>
        <w:ind w:firstLineChars="200" w:firstLine="640"/>
        <w:rPr>
          <w:rFonts w:eastAsia="仿宋_GB2312"/>
          <w:sz w:val="32"/>
          <w:szCs w:val="32"/>
          <w:lang w:val="zh-CN"/>
        </w:rPr>
      </w:pPr>
      <w:r>
        <w:rPr>
          <w:rFonts w:eastAsia="仿宋_GB2312"/>
          <w:sz w:val="32"/>
          <w:szCs w:val="32"/>
          <w:lang w:val="zh-CN"/>
        </w:rPr>
        <w:t>2</w:t>
      </w:r>
      <w:r>
        <w:rPr>
          <w:rFonts w:eastAsia="仿宋_GB2312" w:hint="eastAsia"/>
          <w:sz w:val="32"/>
          <w:szCs w:val="32"/>
        </w:rPr>
        <w:t>.</w:t>
      </w:r>
      <w:r>
        <w:rPr>
          <w:rFonts w:eastAsia="仿宋_GB2312"/>
          <w:sz w:val="32"/>
          <w:szCs w:val="32"/>
          <w:lang w:val="zh-CN"/>
        </w:rPr>
        <w:t>防范风险保安全。一是坚决打，违法犯罪呈下降趋势。今年以来，共立各类刑事案件928起，破获718起，抓获犯罪嫌疑人XXX人。二是有效治，交通安全呈平稳态势。紧盯事故预防“减量控大”工作，部署开展乱停乱放整治、农村突出交通问题整治等专项行动。今年以来，共查处各类交通违法行为22万余起，全州发生一般程序道路交通事故336起、死亡87人、受伤549人、经济损失1740.26万元，交通事故起数、死亡人数较2023年同比分别下降13起、16人，下降3.72% 、15.53%。三是全面管，公共安全呈向好形势。精密编织公安版“微网实格”，将XXX路公安智慧感知源、XXX名民警辅警融入网格，健全完善“风控”机制，排查各类风险隐患78条。受理行政案件1122起，坚持和发展新时代“枫桥经验”，化解各类矛盾纠纷11189起，全州赴省到蓉闹访事件“零发生”。</w:t>
      </w:r>
    </w:p>
    <w:p>
      <w:pPr>
        <w:spacing w:line="560" w:lineRule="exact"/>
        <w:ind w:firstLineChars="200" w:firstLine="640"/>
        <w:rPr>
          <w:rFonts w:eastAsia="仿宋_GB2312"/>
          <w:sz w:val="32"/>
          <w:szCs w:val="32"/>
          <w:lang w:val="zh-CN"/>
        </w:rPr>
      </w:pPr>
      <w:r>
        <w:rPr>
          <w:rFonts w:eastAsia="仿宋_GB2312"/>
          <w:sz w:val="32"/>
          <w:szCs w:val="32"/>
          <w:lang w:val="zh-CN"/>
        </w:rPr>
        <w:t>3</w:t>
      </w:r>
      <w:r>
        <w:rPr>
          <w:rFonts w:eastAsia="仿宋_GB2312" w:hint="eastAsia"/>
          <w:sz w:val="32"/>
          <w:szCs w:val="32"/>
          <w:lang w:val="zh-CN"/>
        </w:rPr>
        <w:t>.</w:t>
      </w:r>
      <w:r>
        <w:rPr>
          <w:rFonts w:eastAsia="仿宋_GB2312"/>
          <w:sz w:val="32"/>
          <w:szCs w:val="32"/>
          <w:lang w:val="zh-CN"/>
        </w:rPr>
        <w:t>服务经济促发展。一是深化公安政务服务改革。针对我州群众实际需求，全面清理、归类形成6类32项“网办”事项，全面实现“一网通办”“一窗通办”“难事快办”“州内通办”，率先在阿坝州政务服务中心公安窗口推出身份证办理、户口本补换领两项高频“市域通办”业务。实现办件超期现象“零发生”，群众好评率达100%。二是全力守护生态安全。聚焦筑牢长江黄河上游生态屏障，探索推进“六个五”打击模式，今年以来，共破获食药环案件28起，抓获犯罪嫌疑人53人；破获涉林、涉野、涉地刑事案件44起，抓获犯罪嫌疑人100人，形成了法治震慑。认真履行“4+4”职责，在高火险期巡查重点部位2031个，协同值守各类防火卡点202个，收缴置换火源521个，排查化解隐患615处，实现了防火期“零火情”发生。三是营造法治化营商环境。探索“项目警长”制，全方位为重点工程开展“法治体检”。运行阿坝州金融情报研判中心，开展动态线索风险研判，特别对我州工程招投标领域违法犯罪较为突出的问题进行了强力攻坚。今年以来，经济犯罪案件立案50起，破案45起，抓获犯罪嫌疑人79人，涉案金额7.1亿元，挽回经济损失783.75万元。其中侦破省督“6.15”系列通过向非国家工作人员受贿串通投标案8起，采取刑事强制措施21人，涉案标的达5亿元。</w:t>
      </w:r>
    </w:p>
    <w:p>
      <w:pPr>
        <w:adjustRightInd w:val="0"/>
        <w:snapToGrid w:val="0"/>
        <w:spacing w:line="560" w:lineRule="exact"/>
        <w:ind w:firstLineChars="200" w:firstLine="640"/>
        <w:contextualSpacing/>
        <w:jc w:val="left"/>
        <w:rPr>
          <w:rFonts w:eastAsia="仿宋_GB2312"/>
          <w:sz w:val="32"/>
          <w:szCs w:val="32"/>
          <w:lang w:val="zh-CN"/>
        </w:rPr>
      </w:pPr>
      <w:r>
        <w:rPr>
          <w:rFonts w:eastAsia="仿宋_GB2312" w:hint="eastAsia"/>
          <w:sz w:val="32"/>
          <w:szCs w:val="32"/>
          <w:lang w:val="zh-CN"/>
        </w:rPr>
        <w:t>（</w:t>
      </w:r>
      <w:r>
        <w:rPr>
          <w:rFonts w:eastAsia="仿宋_GB2312" w:hint="eastAsia"/>
          <w:sz w:val="32"/>
          <w:szCs w:val="32"/>
        </w:rPr>
        <w:t>4</w:t>
      </w:r>
      <w:r>
        <w:rPr>
          <w:rFonts w:eastAsia="仿宋_GB2312" w:hint="eastAsia"/>
          <w:sz w:val="32"/>
          <w:szCs w:val="32"/>
          <w:lang w:val="zh-CN"/>
        </w:rPr>
        <w:t>）重点领域绩效分析。</w:t>
      </w:r>
    </w:p>
    <w:p>
      <w:pPr>
        <w:spacing w:line="560" w:lineRule="exact"/>
        <w:ind w:firstLineChars="200" w:firstLine="640"/>
        <w:rPr>
          <w:rFonts w:eastAsia="仿宋_GB2312"/>
          <w:color w:val="000000"/>
          <w:kern w:val="0"/>
          <w:sz w:val="32"/>
          <w:szCs w:val="32"/>
          <w:shd w:val="clear" w:color="auto" w:fill="FFFFFF"/>
        </w:rPr>
      </w:pPr>
      <w:r>
        <w:rPr>
          <w:rFonts w:eastAsia="仿宋_GB2312" w:hint="eastAsia"/>
          <w:sz w:val="32"/>
          <w:szCs w:val="32"/>
        </w:rPr>
        <w:t>1.2024年44个部门预算项目中有政府采购项目24个，包含：车辆大修、购买社会服务、警犬驯养及犬病防治、物证鉴定所案件检验耗材费、网络租赁及维护费、信息中心运维、信息系统等级保护测评、特警训练被装费、阿坝公安交管大数据指挥中心业务技术用房建设、视觉计算边缘节点（三期）、视频会议系统运维服务、96110反诈预警劝阻专线及AI人工智能预警系统、2023年上半年业务装备费、特警支队专业装备采购、阿坝州公安局提升改造项目、网上*</w:t>
      </w:r>
      <w:r>
        <w:rPr>
          <w:rFonts w:eastAsia="仿宋_GB2312"/>
          <w:sz w:val="32"/>
          <w:szCs w:val="32"/>
        </w:rPr>
        <w:t>***</w:t>
      </w:r>
      <w:r>
        <w:rPr>
          <w:rFonts w:eastAsia="仿宋_GB2312" w:hint="eastAsia"/>
          <w:sz w:val="32"/>
          <w:szCs w:val="32"/>
        </w:rPr>
        <w:t>系统、技侦FZ设备采购、阿坝州看守所未成年监区及女子监区升级改造经费、州公安局房屋维修、视觉计算边缘节点算力扩容、情指中心改造项目、国产电脑更新、2023年省级ZFWW专项经费、新一代公安信息网网络租赁项目；其中有21个采购项目按年初预算目标完成项目，有3个项目未完成年初目标，包括：阿坝州公安局提升改造项目（该项目年初预算300.00万元，根据2024年工作开展实际，支出项目预付款等113.70万元，年末结转186.29万元，待2025年完成该项目。）、州公安局房屋维修（该项目年初预算200.00万元，根据2024年工作开展实际，实际支出93.73万元，年末结转76.24万元，待2025年完成该项目。）、新一代公安信息网网络租赁项目（该项目属于财政代管资金，未实施退回代管）</w:t>
      </w:r>
      <w:r>
        <w:rPr>
          <w:rFonts w:eastAsia="仿宋_GB2312" w:hint="eastAsia"/>
          <w:color w:val="000000"/>
          <w:kern w:val="0"/>
          <w:sz w:val="32"/>
          <w:szCs w:val="32"/>
          <w:shd w:val="clear" w:color="auto" w:fill="FFFFFF"/>
        </w:rPr>
        <w:t>。</w:t>
      </w:r>
    </w:p>
    <w:p>
      <w:pPr>
        <w:snapToGrid w:val="0"/>
        <w:spacing w:line="560" w:lineRule="exact"/>
        <w:ind w:firstLineChars="200" w:firstLine="640"/>
        <w:rPr>
          <w:rFonts w:eastAsia="楷体_GB2312"/>
          <w:b/>
          <w:bCs/>
          <w:sz w:val="32"/>
          <w:szCs w:val="32"/>
          <w:lang w:val="zh-CN"/>
        </w:rPr>
      </w:pPr>
      <w:r>
        <w:rPr>
          <w:rFonts w:eastAsia="楷体_GB2312"/>
          <w:b/>
          <w:bCs/>
          <w:color w:val="000000"/>
          <w:kern w:val="0"/>
          <w:sz w:val="32"/>
          <w:szCs w:val="32"/>
          <w:shd w:val="clear" w:color="auto" w:fill="FFFFFF"/>
          <w:lang w:val="zh-CN"/>
        </w:rPr>
        <w:t>（三）</w:t>
      </w:r>
      <w:r>
        <w:rPr>
          <w:rFonts w:eastAsia="楷体_GB2312"/>
          <w:b/>
          <w:bCs/>
          <w:sz w:val="32"/>
          <w:szCs w:val="32"/>
          <w:lang w:val="zh-CN"/>
        </w:rPr>
        <w:t>绩效结果应用情况。</w:t>
      </w:r>
    </w:p>
    <w:p>
      <w:pPr>
        <w:snapToGrid w:val="0"/>
        <w:spacing w:line="560" w:lineRule="exact"/>
        <w:ind w:firstLineChars="200" w:firstLine="640"/>
        <w:rPr>
          <w:rFonts w:eastAsia="仿宋_GB2312"/>
          <w:color w:val="000000"/>
          <w:kern w:val="0"/>
          <w:sz w:val="32"/>
          <w:szCs w:val="32"/>
          <w:shd w:val="clear" w:color="auto" w:fill="FFFFFF"/>
        </w:rPr>
      </w:pPr>
      <w:r>
        <w:rPr>
          <w:rFonts w:eastAsia="仿宋_GB2312" w:hint="eastAsia"/>
          <w:color w:val="000000"/>
          <w:kern w:val="0"/>
          <w:sz w:val="32"/>
          <w:szCs w:val="32"/>
          <w:shd w:val="clear" w:color="auto" w:fill="FFFFFF"/>
        </w:rPr>
        <w:t>1.2024年度，人大监督、巡视巡察、审计监督、财会监督等在我单位均未发现评价指标体系涉及的履职效果、预算管理、财务管理、资产管理、采购管理、项目绩效等方面的问题。</w:t>
      </w:r>
    </w:p>
    <w:p>
      <w:pPr>
        <w:snapToGrid w:val="0"/>
        <w:spacing w:line="560" w:lineRule="exact"/>
        <w:ind w:firstLineChars="200" w:firstLine="640"/>
        <w:rPr>
          <w:rFonts w:eastAsia="仿宋_GB2312"/>
          <w:color w:val="000000"/>
          <w:kern w:val="0"/>
          <w:sz w:val="32"/>
          <w:szCs w:val="32"/>
          <w:shd w:val="clear" w:color="auto" w:fill="FFFFFF"/>
        </w:rPr>
      </w:pPr>
      <w:r>
        <w:rPr>
          <w:rFonts w:eastAsia="仿宋_GB2312" w:hint="eastAsia"/>
          <w:color w:val="000000"/>
          <w:kern w:val="0"/>
          <w:sz w:val="32"/>
          <w:szCs w:val="32"/>
          <w:shd w:val="clear" w:color="auto" w:fill="FFFFFF"/>
        </w:rPr>
        <w:t>2.2024年，我部门对各项目绩效完成情况进行了自评，自评结果为优的有53个，2025年预算项目适当进行倾斜；自评结果为良及以下的有7个，2025年预算项目进行了压减；从而有效推进项目绩效工资。</w:t>
      </w:r>
    </w:p>
    <w:p>
      <w:pPr>
        <w:snapToGrid w:val="0"/>
        <w:spacing w:line="560" w:lineRule="exact"/>
        <w:ind w:firstLineChars="200" w:firstLine="640"/>
        <w:rPr>
          <w:rFonts w:eastAsia="仿宋_GB2312"/>
          <w:sz w:val="32"/>
          <w:szCs w:val="32"/>
          <w:lang w:val="zh-CN"/>
        </w:rPr>
      </w:pPr>
      <w:r>
        <w:rPr>
          <w:rFonts w:eastAsia="仿宋_GB2312" w:hint="eastAsia"/>
          <w:color w:val="000000"/>
          <w:kern w:val="0"/>
          <w:sz w:val="32"/>
          <w:szCs w:val="32"/>
          <w:shd w:val="clear" w:color="auto" w:fill="FFFFFF"/>
        </w:rPr>
        <w:t>3.2024年，我部门绩效监控报告、绩效自评报告均在门户网站进行了公开，接</w:t>
      </w:r>
      <w:r>
        <w:rPr>
          <w:rFonts w:eastAsia="仿宋_GB2312"/>
          <w:color w:val="000000"/>
          <w:kern w:val="0"/>
          <w:sz w:val="32"/>
          <w:szCs w:val="32"/>
          <w:shd w:val="clear" w:color="auto" w:fill="FFFFFF"/>
        </w:rPr>
        <w:t>受广</w:t>
      </w:r>
      <w:r>
        <w:rPr>
          <w:rFonts w:eastAsia="仿宋_GB2312" w:hint="eastAsia"/>
          <w:color w:val="000000"/>
          <w:kern w:val="0"/>
          <w:sz w:val="32"/>
          <w:szCs w:val="32"/>
          <w:shd w:val="clear" w:color="auto" w:fill="FFFFFF"/>
        </w:rPr>
        <w:t>大干部群众的监督，确保我部门绩效监督、自评工作在阳光下运行。</w:t>
      </w:r>
    </w:p>
    <w:p>
      <w:pPr>
        <w:adjustRightInd w:val="0"/>
        <w:snapToGrid w:val="0"/>
        <w:spacing w:line="560" w:lineRule="exact"/>
        <w:ind w:firstLineChars="200" w:firstLine="64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pPr>
        <w:adjustRightInd w:val="0"/>
        <w:snapToGrid w:val="0"/>
        <w:spacing w:line="560" w:lineRule="exact"/>
        <w:ind w:firstLineChars="200" w:firstLine="640"/>
        <w:contextualSpacing/>
        <w:jc w:val="left"/>
        <w:rPr>
          <w:rFonts w:eastAsia="仿宋_GB2312"/>
          <w:sz w:val="32"/>
          <w:szCs w:val="32"/>
        </w:rPr>
      </w:pPr>
      <w:r>
        <w:rPr>
          <w:rFonts w:eastAsia="楷体_GB2312"/>
          <w:b/>
          <w:bCs/>
          <w:color w:val="000000"/>
          <w:kern w:val="0"/>
          <w:sz w:val="32"/>
          <w:szCs w:val="32"/>
          <w:shd w:val="clear" w:color="auto" w:fill="FFFFFF"/>
          <w:lang w:val="zh-CN"/>
        </w:rPr>
        <w:t>（一）评价结论。</w:t>
      </w:r>
      <w:r>
        <w:rPr>
          <w:rFonts w:eastAsia="仿宋_GB2312"/>
          <w:sz w:val="32"/>
          <w:szCs w:val="32"/>
        </w:rPr>
        <w:t>按照202</w:t>
      </w:r>
      <w:r>
        <w:rPr>
          <w:rFonts w:eastAsia="仿宋_GB2312" w:hint="eastAsia"/>
          <w:sz w:val="32"/>
          <w:szCs w:val="32"/>
        </w:rPr>
        <w:t>4</w:t>
      </w:r>
      <w:r>
        <w:rPr>
          <w:rFonts w:eastAsia="仿宋_GB2312"/>
          <w:sz w:val="32"/>
          <w:szCs w:val="32"/>
        </w:rPr>
        <w:t>年度《部门预算绩效评价指标体系》，绩效评价总分100分，我局得分</w:t>
      </w:r>
      <w:r>
        <w:rPr>
          <w:rFonts w:eastAsia="仿宋_GB2312" w:hint="eastAsia"/>
          <w:sz w:val="32"/>
          <w:szCs w:val="32"/>
        </w:rPr>
        <w:t>91.51</w:t>
      </w:r>
      <w:r>
        <w:rPr>
          <w:rFonts w:eastAsia="仿宋_GB2312"/>
          <w:sz w:val="32"/>
          <w:szCs w:val="32"/>
        </w:rPr>
        <w:t>分，基本完成了年度预算绩效管理目标，扣分项主要涉及执行进度、问题整改、自评质量。总体看，我单位预算编制及执行决算较为准确，支出管理较为规范，财务管理制度较完善，部门整体绩效较好。</w:t>
      </w:r>
    </w:p>
    <w:p>
      <w:pPr>
        <w:adjustRightInd w:val="0"/>
        <w:snapToGrid w:val="0"/>
        <w:spacing w:line="560" w:lineRule="exact"/>
        <w:ind w:firstLineChars="200" w:firstLine="640"/>
        <w:contextualSpacing/>
        <w:jc w:val="left"/>
        <w:rPr>
          <w:rFonts w:eastAsia="仿宋_GB2312"/>
          <w:sz w:val="32"/>
          <w:szCs w:val="32"/>
        </w:rPr>
      </w:pPr>
      <w:r>
        <w:rPr>
          <w:rFonts w:eastAsia="楷体_GB2312"/>
          <w:b/>
          <w:bCs/>
          <w:color w:val="000000"/>
          <w:kern w:val="0"/>
          <w:sz w:val="32"/>
          <w:szCs w:val="32"/>
          <w:shd w:val="clear" w:color="auto" w:fill="FFFFFF"/>
          <w:lang w:val="zh-CN"/>
        </w:rPr>
        <w:t>（二）存在问题。</w:t>
      </w:r>
      <w:r>
        <w:rPr>
          <w:rFonts w:eastAsia="仿宋_GB2312"/>
          <w:sz w:val="32"/>
          <w:szCs w:val="32"/>
        </w:rPr>
        <w:t>一是预算执行进度仍需提高。在202</w:t>
      </w:r>
      <w:r>
        <w:rPr>
          <w:rFonts w:eastAsia="仿宋_GB2312" w:hint="eastAsia"/>
          <w:sz w:val="32"/>
          <w:szCs w:val="32"/>
        </w:rPr>
        <w:t>4</w:t>
      </w:r>
      <w:r>
        <w:rPr>
          <w:rFonts w:eastAsia="仿宋_GB2312"/>
          <w:sz w:val="32"/>
          <w:szCs w:val="32"/>
        </w:rPr>
        <w:t>年采取了一系列加快预算执行进度的措施，预算执行情况有所改善，但由于设备采购和政府采购程序较为繁杂等原因，预算实际执行进度距预算执行目标进度的要求还是有一定距离，预算执行还需要提高。二是部分预算项目绩效目标编制不完善。在编制绩效目标时，未根据自身情况考虑周到，造成该项目绩效目标完成存在一定困难。</w:t>
      </w:r>
    </w:p>
    <w:p>
      <w:pPr>
        <w:adjustRightInd w:val="0"/>
        <w:snapToGrid w:val="0"/>
        <w:spacing w:line="560" w:lineRule="exact"/>
        <w:ind w:firstLineChars="200" w:firstLine="64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（三）改进建议。</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1.进一步提高预算编制和执行能力。一是确定编制标准，增强预算编制的科学性；二是完善预算编制与执行制衡机制，提高预算编制的约束力；三是做好部门预算执行与日常业务工作的深度结合，对存量资金进行调整，盘活存量资金。</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2.进一步强化预算绩效管理能力。一是加强部门预算编制与执行的有机结合，切实提高预算的年初到位率，规范预算追加。二是强化资金拨付、管理和使用，严格按预算批复项目使用资金，严格实现预算调整报批，维护预算的严肃性、强化预算的约束力、提高预算执行效果。</w:t>
      </w:r>
    </w:p>
    <w:p>
      <w:pPr>
        <w:adjustRightInd w:val="0"/>
        <w:snapToGrid w:val="0"/>
        <w:spacing w:line="560" w:lineRule="exact"/>
        <w:ind w:firstLineChars="200" w:firstLine="640"/>
        <w:contextualSpacing/>
        <w:jc w:val="left"/>
        <w:rPr>
          <w:rFonts w:eastAsia="仿宋_GB2312"/>
          <w:sz w:val="32"/>
          <w:szCs w:val="32"/>
        </w:rPr>
      </w:pPr>
      <w:r>
        <w:rPr>
          <w:rFonts w:eastAsia="仿宋_GB2312"/>
          <w:sz w:val="32"/>
          <w:szCs w:val="32"/>
        </w:rPr>
        <w:t>3.进一步加强队伍能力建设。强化财务队伍管理，细化财务负责人、会计、出纳、资产等岗位的职责；加强对财务人员业务培训，积极参与财政局组织开展的培训，不断更新和提升财务人员专业知识和技能。</w:t>
      </w:r>
    </w:p>
    <w:p>
      <w:pPr>
        <w:spacing w:line="560" w:lineRule="exact"/>
        <w:contextualSpacing/>
        <w:rPr>
          <w:rFonts w:eastAsia="黑体"/>
          <w:sz w:val="32"/>
          <w:szCs w:val="32"/>
        </w:rPr>
      </w:pPr>
    </w:p>
    <w:p>
      <w:pPr>
        <w:spacing w:line="560" w:lineRule="exact"/>
        <w:ind w:firstLineChars="200" w:firstLine="640"/>
        <w:rPr>
          <w:rFonts w:eastAsia="仿宋_GB2312"/>
          <w:sz w:val="32"/>
          <w:szCs w:val="32"/>
        </w:rPr>
      </w:pPr>
      <w:r>
        <w:rPr>
          <w:rFonts w:eastAsia="仿宋_GB2312"/>
          <w:color w:val="000000"/>
          <w:kern w:val="0"/>
          <w:sz w:val="32"/>
          <w:szCs w:val="32"/>
          <w:shd w:val="clear" w:color="auto" w:fill="FFFFFF"/>
        </w:rPr>
        <w:t>附表：</w:t>
      </w:r>
      <w:r>
        <w:rPr>
          <w:rFonts w:eastAsia="仿宋_GB2312" w:hint="eastAsia"/>
          <w:color w:val="000000"/>
          <w:kern w:val="0"/>
          <w:sz w:val="32"/>
          <w:szCs w:val="32"/>
          <w:shd w:val="clear" w:color="auto" w:fill="FFFFFF"/>
        </w:rPr>
        <w:t>1.</w:t>
      </w:r>
      <w:r>
        <w:rPr>
          <w:rFonts w:eastAsia="仿宋_GB2312" w:hint="eastAsia"/>
          <w:sz w:val="32"/>
          <w:szCs w:val="32"/>
        </w:rPr>
        <w:t>部门预算绩效自评打分表</w:t>
      </w:r>
    </w:p>
    <w:p>
      <w:pPr>
        <w:spacing w:line="560" w:lineRule="exact"/>
        <w:ind w:firstLineChars="500" w:firstLine="1600"/>
        <w:rPr>
          <w:rFonts w:eastAsia="仿宋_GB2312"/>
          <w:color w:val="000000"/>
          <w:kern w:val="0"/>
          <w:sz w:val="32"/>
          <w:szCs w:val="32"/>
          <w:shd w:val="clear" w:color="auto" w:fill="FFFFFF"/>
        </w:rPr>
      </w:pPr>
      <w:r>
        <w:rPr>
          <w:rFonts w:eastAsia="仿宋_GB2312" w:hint="eastAsia"/>
          <w:sz w:val="32"/>
          <w:szCs w:val="32"/>
        </w:rPr>
        <w:t>2.</w:t>
      </w:r>
      <w:r>
        <w:rPr>
          <w:rFonts w:eastAsia="仿宋_GB2312"/>
          <w:color w:val="000000"/>
          <w:kern w:val="0"/>
          <w:sz w:val="32"/>
          <w:szCs w:val="32"/>
          <w:shd w:val="clear" w:color="auto" w:fill="FFFFFF"/>
        </w:rPr>
        <w:t>部门整体绩效目标完成情况自评表</w:t>
      </w:r>
    </w:p>
    <w:p>
      <w:pPr>
        <w:spacing w:line="560" w:lineRule="exact"/>
        <w:ind w:firstLineChars="500" w:firstLine="1600"/>
        <w:rPr>
          <w:rFonts w:eastAsia="仿宋_GB2312"/>
          <w:sz w:val="32"/>
          <w:szCs w:val="32"/>
        </w:rPr>
      </w:pPr>
      <w:r>
        <w:rPr>
          <w:rFonts w:eastAsia="仿宋_GB2312" w:hint="eastAsia"/>
          <w:color w:val="000000"/>
          <w:kern w:val="0"/>
          <w:sz w:val="32"/>
          <w:szCs w:val="32"/>
          <w:shd w:val="clear" w:color="auto" w:fill="FFFFFF"/>
        </w:rPr>
        <w:t>3.</w:t>
      </w:r>
      <w:r>
        <w:rPr>
          <w:rFonts w:eastAsia="仿宋_GB2312"/>
          <w:sz w:val="32"/>
          <w:szCs w:val="32"/>
        </w:rPr>
        <w:t>部门预算项目支出绩效评价表（2024年度）</w:t>
      </w:r>
    </w:p>
    <w:p>
      <w:pPr>
        <w:spacing w:line="560" w:lineRule="exact"/>
        <w:rPr>
          <w:rFonts w:eastAsia="黑体"/>
          <w:sz w:val="32"/>
        </w:rPr>
      </w:pPr>
      <w:r>
        <w:rPr>
          <w:rFonts w:eastAsia="仿宋_GB2312"/>
          <w:color w:val="000000"/>
          <w:kern w:val="0"/>
          <w:sz w:val="32"/>
          <w:szCs w:val="32"/>
          <w:shd w:val="clear" w:color="auto" w:fill="FFFFFF"/>
        </w:rPr>
        <w:br w:type="page"/>
      </w:r>
    </w:p>
    <w:p>
      <w:pPr>
        <w:spacing w:line="560" w:lineRule="exact"/>
        <w:jc w:val="left"/>
        <w:rPr>
          <w:rFonts w:eastAsia="黑体"/>
          <w:sz w:val="32"/>
        </w:rPr>
      </w:pPr>
      <w:r>
        <w:rPr>
          <w:rFonts w:eastAsia="黑体"/>
          <w:sz w:val="32"/>
        </w:rPr>
        <w:t>附表</w:t>
      </w:r>
      <w:r>
        <w:rPr>
          <w:rFonts w:eastAsia="黑体" w:hint="eastAsia"/>
          <w:sz w:val="32"/>
        </w:rPr>
        <w:t>2</w:t>
      </w:r>
    </w:p>
    <w:tbl>
      <w:tblPr>
        <w:jc w:val="center"/>
        <w:tblW w:w="105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1309"/>
        <w:gridCol w:w="1347"/>
        <w:gridCol w:w="1273"/>
        <w:gridCol w:w="1100"/>
        <w:gridCol w:w="1145"/>
        <w:gridCol w:w="1289"/>
        <w:gridCol w:w="1058"/>
        <w:gridCol w:w="926"/>
        <w:gridCol w:w="1114"/>
      </w:tblGrid>
      <w:tr>
        <w:trPr>
          <w:trHeight w:hRule="exact" w:val="762"/>
        </w:trPr>
        <w:tc>
          <w:tcPr>
            <w:tcW w:w="10560" w:type="dxa"/>
            <w:gridSpan w:val="9"/>
            <w:shd w:val="clear" w:color="auto" w:fill="auto"/>
            <w:noWrap/>
            <w:vAlign w:val="center"/>
          </w:tcPr>
          <w:p>
            <w:pPr>
              <w:widowControl/>
              <w:spacing w:line="560" w:lineRule="exact"/>
              <w:jc w:val="center"/>
              <w:textAlignment w:val="center"/>
              <w:rPr>
                <w:rFonts w:eastAsia="黑体"/>
                <w:color w:val="000000"/>
                <w:sz w:val="28"/>
                <w:szCs w:val="28"/>
              </w:rPr>
            </w:pPr>
            <w:r>
              <w:rPr>
                <w:rFonts w:eastAsia="方正小标宋简体"/>
                <w:color w:val="000000"/>
                <w:kern w:val="0"/>
                <w:sz w:val="44"/>
                <w:szCs w:val="44"/>
              </w:rPr>
              <w:t>部门整体绩效目标完成情况自评表</w:t>
            </w:r>
          </w:p>
        </w:tc>
      </w:tr>
      <w:tr>
        <w:trPr>
          <w:trHeight w:val="23"/>
        </w:trPr>
        <w:tc>
          <w:tcPr>
            <w:tcW w:w="10560" w:type="dxa"/>
            <w:gridSpan w:val="9"/>
            <w:shd w:val="clear" w:color="auto" w:fill="auto"/>
            <w:noWrap/>
            <w:vAlign w:val="center"/>
          </w:tcPr>
          <w:p>
            <w:pPr>
              <w:widowControl/>
              <w:spacing w:line="560" w:lineRule="exact"/>
              <w:jc w:val="center"/>
              <w:textAlignment w:val="center"/>
              <w:rPr>
                <w:color w:val="000000"/>
                <w:sz w:val="28"/>
                <w:szCs w:val="28"/>
              </w:rPr>
            </w:pPr>
            <w:r>
              <w:rPr>
                <w:color w:val="000000"/>
                <w:kern w:val="0"/>
                <w:sz w:val="28"/>
                <w:szCs w:val="28"/>
              </w:rPr>
              <w:t>（202</w:t>
            </w:r>
            <w:r>
              <w:rPr>
                <w:rFonts w:hint="eastAsia"/>
                <w:color w:val="000000"/>
                <w:kern w:val="0"/>
                <w:sz w:val="28"/>
                <w:szCs w:val="28"/>
              </w:rPr>
              <w:t>4</w:t>
            </w:r>
            <w:r>
              <w:rPr>
                <w:color w:val="000000"/>
                <w:kern w:val="0"/>
                <w:sz w:val="28"/>
                <w:szCs w:val="28"/>
              </w:rPr>
              <w:t>年度）</w:t>
            </w:r>
          </w:p>
        </w:tc>
      </w:tr>
      <w:tr>
        <w:trPr>
          <w:trHeight w:val="23"/>
        </w:trPr>
        <w:tc>
          <w:tcPr>
            <w:tcW w:w="10560" w:type="dxa"/>
            <w:gridSpan w:val="9"/>
            <w:tcBorders>
              <w:bottom w:val="single" w:sz="4" w:space="0" w:color="000000"/>
            </w:tcBorders>
            <w:shd w:val="clear" w:color="auto" w:fill="auto"/>
            <w:noWrap/>
            <w:vAlign w:val="center"/>
          </w:tcPr>
          <w:p>
            <w:pPr>
              <w:widowControl/>
              <w:spacing w:line="560" w:lineRule="exact"/>
              <w:jc w:val="right"/>
              <w:textAlignment w:val="center"/>
              <w:rPr>
                <w:color w:val="000000"/>
                <w:szCs w:val="21"/>
              </w:rPr>
            </w:pPr>
            <w:r>
              <w:rPr>
                <w:color w:val="000000"/>
                <w:kern w:val="0"/>
                <w:szCs w:val="21"/>
              </w:rPr>
              <w:t>单位：万元</w:t>
            </w:r>
          </w:p>
        </w:tc>
      </w:tr>
      <w:tr>
        <w:trPr>
          <w:trHeight w:val="23"/>
        </w:trPr>
        <w:tc>
          <w:tcPr>
            <w:tcW w:w="392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部门名称</w:t>
            </w:r>
          </w:p>
        </w:tc>
        <w:tc>
          <w:tcPr>
            <w:tcW w:w="66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rFonts w:hint="eastAsia"/>
                <w:color w:val="000000"/>
                <w:kern w:val="0"/>
                <w:sz w:val="24"/>
              </w:rPr>
              <w:t>阿坝州公安局</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年度部门整体支出预算</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资金总额</w:t>
            </w:r>
          </w:p>
        </w:tc>
        <w:tc>
          <w:tcPr>
            <w:tcW w:w="22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财政拨款</w:t>
            </w:r>
          </w:p>
        </w:tc>
        <w:tc>
          <w:tcPr>
            <w:tcW w:w="4387"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其他资金</w:t>
            </w:r>
            <w:r>
              <w:rPr>
                <w:rFonts w:hint="eastAsia"/>
                <w:color w:val="000000"/>
                <w:kern w:val="0"/>
                <w:sz w:val="24"/>
              </w:rPr>
              <w:t>（上年结转结余）</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rFonts w:eastAsia="仿宋_GB2312" w:hint="eastAsia"/>
                <w:sz w:val="32"/>
                <w:szCs w:val="32"/>
              </w:rPr>
              <w:t>29,248</w:t>
            </w:r>
            <w:r>
              <w:rPr>
                <w:rFonts w:eastAsia="仿宋_GB2312" w:hint="eastAsia"/>
                <w:sz w:val="32"/>
                <w:szCs w:val="32"/>
                <w:lang w:val="zh-CN"/>
              </w:rPr>
              <w:t>.</w:t>
            </w:r>
            <w:r>
              <w:rPr>
                <w:rFonts w:eastAsia="仿宋_GB2312" w:hint="eastAsia"/>
                <w:sz w:val="32"/>
                <w:szCs w:val="32"/>
              </w:rPr>
              <w:t>67</w:t>
            </w:r>
          </w:p>
        </w:tc>
        <w:tc>
          <w:tcPr>
            <w:tcW w:w="22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rFonts w:eastAsia="仿宋_GB2312" w:hint="eastAsia"/>
                <w:sz w:val="32"/>
                <w:szCs w:val="32"/>
              </w:rPr>
              <w:t>29,197</w:t>
            </w:r>
            <w:r>
              <w:rPr>
                <w:rFonts w:eastAsia="仿宋_GB2312" w:hint="eastAsia"/>
                <w:sz w:val="32"/>
                <w:szCs w:val="32"/>
                <w:lang w:val="zh-CN"/>
              </w:rPr>
              <w:t>.</w:t>
            </w:r>
            <w:r>
              <w:rPr>
                <w:rFonts w:eastAsia="仿宋_GB2312" w:hint="eastAsia"/>
                <w:sz w:val="32"/>
                <w:szCs w:val="32"/>
              </w:rPr>
              <w:t>63</w:t>
            </w:r>
          </w:p>
        </w:tc>
        <w:tc>
          <w:tcPr>
            <w:tcW w:w="4387"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rFonts w:eastAsia="仿宋_GB2312" w:hint="eastAsia"/>
                <w:sz w:val="32"/>
                <w:szCs w:val="32"/>
              </w:rPr>
              <w:t>51.04</w:t>
            </w:r>
          </w:p>
        </w:tc>
      </w:tr>
      <w:tr>
        <w:trPr>
          <w:trHeight w:val="23"/>
        </w:trPr>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kern w:val="0"/>
                <w:sz w:val="24"/>
              </w:rPr>
            </w:pPr>
            <w:r>
              <w:rPr>
                <w:color w:val="000000"/>
                <w:kern w:val="0"/>
                <w:sz w:val="24"/>
              </w:rPr>
              <w:t>年度总体</w:t>
            </w:r>
          </w:p>
          <w:p>
            <w:pPr>
              <w:widowControl/>
              <w:spacing w:line="560" w:lineRule="exact"/>
              <w:jc w:val="center"/>
              <w:textAlignment w:val="center"/>
              <w:rPr>
                <w:color w:val="000000"/>
                <w:sz w:val="24"/>
              </w:rPr>
            </w:pPr>
            <w:r>
              <w:rPr>
                <w:color w:val="000000"/>
                <w:kern w:val="0"/>
                <w:sz w:val="24"/>
              </w:rPr>
              <w:t>目标</w:t>
            </w:r>
          </w:p>
        </w:tc>
        <w:tc>
          <w:tcPr>
            <w:tcW w:w="92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spacing w:line="560" w:lineRule="exact"/>
              <w:rPr>
                <w:rFonts w:eastAsia="仿宋_GB2312"/>
                <w:sz w:val="32"/>
              </w:rPr>
            </w:pPr>
            <w:r>
              <w:rPr>
                <w:rFonts w:eastAsia="仿宋_GB2312"/>
                <w:sz w:val="32"/>
                <w:szCs w:val="32"/>
                <w:lang w:val="zh-CN"/>
              </w:rPr>
              <w:t>1.旗帜鲜明讲政治。</w:t>
            </w:r>
          </w:p>
          <w:p>
            <w:pPr>
              <w:spacing w:line="560" w:lineRule="exact"/>
              <w:rPr>
                <w:rFonts w:eastAsia="仿宋_GB2312"/>
                <w:sz w:val="32"/>
              </w:rPr>
            </w:pPr>
            <w:r>
              <w:rPr>
                <w:rFonts w:eastAsia="仿宋_GB2312"/>
                <w:sz w:val="32"/>
                <w:szCs w:val="32"/>
                <w:lang w:val="zh-CN"/>
              </w:rPr>
              <w:t>2</w:t>
            </w:r>
            <w:r>
              <w:rPr>
                <w:rFonts w:eastAsia="仿宋_GB2312" w:hint="eastAsia"/>
                <w:sz w:val="32"/>
                <w:szCs w:val="32"/>
              </w:rPr>
              <w:t>.</w:t>
            </w:r>
            <w:r>
              <w:rPr>
                <w:rFonts w:eastAsia="仿宋_GB2312"/>
                <w:sz w:val="32"/>
                <w:szCs w:val="32"/>
                <w:lang w:val="zh-CN"/>
              </w:rPr>
              <w:t>防范风险保安全。</w:t>
            </w:r>
          </w:p>
          <w:p>
            <w:pPr>
              <w:spacing w:line="560" w:lineRule="exact"/>
              <w:rPr>
                <w:color w:val="000000"/>
                <w:sz w:val="24"/>
              </w:rPr>
            </w:pPr>
            <w:r>
              <w:rPr>
                <w:rFonts w:eastAsia="仿宋_GB2312"/>
                <w:sz w:val="32"/>
                <w:szCs w:val="32"/>
                <w:lang w:val="zh-CN"/>
              </w:rPr>
              <w:t>3</w:t>
            </w:r>
            <w:r>
              <w:rPr>
                <w:rFonts w:eastAsia="仿宋_GB2312" w:hint="eastAsia"/>
                <w:sz w:val="32"/>
                <w:szCs w:val="32"/>
                <w:lang w:val="zh-CN"/>
              </w:rPr>
              <w:t>.</w:t>
            </w:r>
            <w:r>
              <w:rPr>
                <w:rFonts w:eastAsia="仿宋_GB2312"/>
                <w:sz w:val="32"/>
                <w:szCs w:val="32"/>
                <w:lang w:val="zh-CN"/>
              </w:rPr>
              <w:t>服务经济促发展。</w:t>
            </w:r>
          </w:p>
        </w:tc>
      </w:tr>
      <w:tr>
        <w:trPr>
          <w:trHeight w:val="23"/>
        </w:trPr>
        <w:tc>
          <w:tcPr>
            <w:tcW w:w="1309"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kern w:val="0"/>
                <w:sz w:val="24"/>
              </w:rPr>
            </w:pPr>
            <w:r>
              <w:rPr>
                <w:color w:val="000000"/>
                <w:kern w:val="0"/>
                <w:sz w:val="24"/>
              </w:rPr>
              <w:t>年度主要</w:t>
            </w:r>
          </w:p>
          <w:p>
            <w:pPr>
              <w:widowControl/>
              <w:spacing w:line="560" w:lineRule="exact"/>
              <w:jc w:val="center"/>
              <w:textAlignment w:val="center"/>
              <w:rPr>
                <w:color w:val="000000"/>
                <w:sz w:val="24"/>
              </w:rPr>
            </w:pPr>
            <w:r>
              <w:rPr>
                <w:color w:val="000000"/>
                <w:kern w:val="0"/>
                <w:sz w:val="24"/>
              </w:rPr>
              <w:t>任务</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任务名称</w:t>
            </w:r>
          </w:p>
        </w:tc>
        <w:tc>
          <w:tcPr>
            <w:tcW w:w="66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主要内容</w:t>
            </w:r>
          </w:p>
        </w:tc>
      </w:tr>
      <w:tr>
        <w:trPr>
          <w:trHeight w:val="23"/>
        </w:trPr>
        <w:tc>
          <w:tcPr>
            <w:tcW w:w="1309" w:type="dxa"/>
            <w:vMerge/>
            <w:tcBorders>
              <w:left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textAlignment w:val="center"/>
              <w:rPr>
                <w:color w:val="000000"/>
                <w:sz w:val="24"/>
              </w:rPr>
            </w:pPr>
            <w:r>
              <w:rPr>
                <w:color w:val="000000"/>
                <w:kern w:val="0"/>
                <w:sz w:val="24"/>
              </w:rPr>
              <w:t>任务1</w:t>
            </w:r>
          </w:p>
        </w:tc>
        <w:tc>
          <w:tcPr>
            <w:tcW w:w="66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textAlignment w:val="center"/>
              <w:rPr>
                <w:color w:val="000000"/>
                <w:sz w:val="24"/>
              </w:rPr>
            </w:pPr>
            <w:r>
              <w:rPr>
                <w:color w:val="000000"/>
                <w:kern w:val="0"/>
                <w:sz w:val="24"/>
              </w:rPr>
              <w:t>保障人员工资足额发放、社保足额缴纳：保障202</w:t>
            </w:r>
            <w:r>
              <w:rPr>
                <w:rFonts w:hint="eastAsia"/>
                <w:color w:val="000000"/>
                <w:kern w:val="0"/>
                <w:sz w:val="24"/>
              </w:rPr>
              <w:t>4</w:t>
            </w:r>
            <w:r>
              <w:rPr>
                <w:color w:val="000000"/>
                <w:kern w:val="0"/>
                <w:sz w:val="24"/>
              </w:rPr>
              <w:t>年度人员经费18,</w:t>
            </w:r>
            <w:r>
              <w:rPr>
                <w:rFonts w:hint="eastAsia"/>
                <w:color w:val="000000"/>
                <w:kern w:val="0"/>
                <w:sz w:val="24"/>
              </w:rPr>
              <w:t>876</w:t>
            </w:r>
            <w:r>
              <w:rPr>
                <w:color w:val="000000"/>
                <w:kern w:val="0"/>
                <w:sz w:val="24"/>
              </w:rPr>
              <w:t>.</w:t>
            </w:r>
            <w:r>
              <w:rPr>
                <w:rFonts w:hint="eastAsia"/>
                <w:color w:val="000000"/>
                <w:kern w:val="0"/>
                <w:sz w:val="24"/>
              </w:rPr>
              <w:t>82</w:t>
            </w:r>
            <w:r>
              <w:rPr>
                <w:color w:val="000000"/>
                <w:kern w:val="0"/>
                <w:sz w:val="24"/>
              </w:rPr>
              <w:t>万元，有效保障州公安局202</w:t>
            </w:r>
            <w:r>
              <w:rPr>
                <w:rFonts w:hint="eastAsia"/>
                <w:color w:val="000000"/>
                <w:kern w:val="0"/>
                <w:sz w:val="24"/>
              </w:rPr>
              <w:t>4</w:t>
            </w:r>
            <w:r>
              <w:rPr>
                <w:color w:val="000000"/>
                <w:kern w:val="0"/>
                <w:sz w:val="24"/>
              </w:rPr>
              <w:t>年8</w:t>
            </w:r>
            <w:r>
              <w:rPr>
                <w:rFonts w:hint="eastAsia"/>
                <w:color w:val="000000"/>
                <w:kern w:val="0"/>
                <w:sz w:val="24"/>
              </w:rPr>
              <w:t>59</w:t>
            </w:r>
            <w:r>
              <w:rPr>
                <w:color w:val="000000"/>
                <w:kern w:val="0"/>
                <w:sz w:val="24"/>
              </w:rPr>
              <w:t>名民（辅）警、工勤及事业人员的基本工资、目标绩效等，保障民警生活开支，提高民警工作积极性。</w:t>
            </w:r>
          </w:p>
        </w:tc>
      </w:tr>
      <w:tr>
        <w:trPr>
          <w:trHeight w:val="23"/>
        </w:trPr>
        <w:tc>
          <w:tcPr>
            <w:tcW w:w="1309" w:type="dxa"/>
            <w:vMerge/>
            <w:tcBorders>
              <w:left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color w:val="000000"/>
                <w:kern w:val="0"/>
                <w:sz w:val="24"/>
              </w:rPr>
              <w:t>任务2</w:t>
            </w:r>
          </w:p>
        </w:tc>
        <w:tc>
          <w:tcPr>
            <w:tcW w:w="66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textAlignment w:val="center"/>
              <w:rPr>
                <w:color w:val="000000"/>
                <w:sz w:val="24"/>
              </w:rPr>
            </w:pPr>
            <w:r>
              <w:rPr>
                <w:color w:val="000000"/>
                <w:kern w:val="0"/>
                <w:sz w:val="24"/>
              </w:rPr>
              <w:t>保障公安工作顺利运转、促进社会稳定：保障202</w:t>
            </w:r>
            <w:r>
              <w:rPr>
                <w:rFonts w:hint="eastAsia"/>
                <w:color w:val="000000"/>
                <w:kern w:val="0"/>
                <w:sz w:val="24"/>
              </w:rPr>
              <w:t>4</w:t>
            </w:r>
            <w:r>
              <w:rPr>
                <w:color w:val="000000"/>
                <w:kern w:val="0"/>
                <w:sz w:val="24"/>
              </w:rPr>
              <w:t>年日常公用经费3,</w:t>
            </w:r>
            <w:r>
              <w:rPr>
                <w:rFonts w:hint="eastAsia"/>
                <w:color w:val="000000"/>
                <w:kern w:val="0"/>
                <w:sz w:val="24"/>
              </w:rPr>
              <w:t>180</w:t>
            </w:r>
            <w:r>
              <w:rPr>
                <w:color w:val="000000"/>
                <w:kern w:val="0"/>
                <w:sz w:val="24"/>
              </w:rPr>
              <w:t>.</w:t>
            </w:r>
            <w:r>
              <w:rPr>
                <w:rFonts w:hint="eastAsia"/>
                <w:color w:val="000000"/>
                <w:kern w:val="0"/>
                <w:sz w:val="24"/>
              </w:rPr>
              <w:t>70</w:t>
            </w:r>
            <w:r>
              <w:rPr>
                <w:color w:val="000000"/>
                <w:kern w:val="0"/>
                <w:sz w:val="24"/>
              </w:rPr>
              <w:t>万元，实现州公安局运转顺利，提高办公条件水平，有效促进办公效率的提升。</w:t>
            </w:r>
          </w:p>
        </w:tc>
      </w:tr>
      <w:tr>
        <w:trPr>
          <w:trHeight w:val="23"/>
        </w:trPr>
        <w:tc>
          <w:tcPr>
            <w:tcW w:w="1309" w:type="dxa"/>
            <w:vMerge/>
            <w:tcBorders>
              <w:left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color w:val="000000"/>
                <w:kern w:val="0"/>
                <w:sz w:val="24"/>
              </w:rPr>
              <w:t>任务3</w:t>
            </w:r>
          </w:p>
        </w:tc>
        <w:tc>
          <w:tcPr>
            <w:tcW w:w="66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color w:val="000000"/>
                <w:kern w:val="0"/>
                <w:sz w:val="24"/>
              </w:rPr>
              <w:t>保障202</w:t>
            </w:r>
            <w:r>
              <w:rPr>
                <w:rFonts w:hint="eastAsia"/>
                <w:color w:val="000000"/>
                <w:kern w:val="0"/>
                <w:sz w:val="24"/>
              </w:rPr>
              <w:t>4</w:t>
            </w:r>
            <w:r>
              <w:rPr>
                <w:color w:val="000000"/>
                <w:kern w:val="0"/>
                <w:sz w:val="24"/>
              </w:rPr>
              <w:t>年度项目支出：一是保障常年性项目运行，如公安业务费、车辆大修、特警取暖费等，促进公安局日常工作正常开展；二是完成各警种相关项目，如特警大型演练、禁毒业务费等，发挥各警种专业技能，提升公安破案及打击犯罪能力；三是加强民警业务能力，通过公安业务培训等，有效应对突发事件，提升应急处突能力。</w:t>
            </w:r>
          </w:p>
        </w:tc>
      </w:tr>
      <w:tr>
        <w:trPr>
          <w:trHeight w:val="23"/>
        </w:trPr>
        <w:tc>
          <w:tcPr>
            <w:tcW w:w="1309" w:type="dxa"/>
            <w:vMerge/>
            <w:tcBorders>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color w:val="000000"/>
                <w:kern w:val="0"/>
                <w:sz w:val="24"/>
              </w:rPr>
              <w:t>任务4</w:t>
            </w:r>
          </w:p>
        </w:tc>
        <w:tc>
          <w:tcPr>
            <w:tcW w:w="66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color w:val="000000"/>
                <w:kern w:val="0"/>
                <w:sz w:val="24"/>
              </w:rPr>
              <w:t>提升公路安全防控能力：通过实施道路交通管理业务经费、测速卡口布</w:t>
            </w:r>
            <w:bookmarkStart w:id="46" w:name="_GoBack"/>
            <w:bookmarkEnd w:id="46"/>
            <w:r>
              <w:rPr>
                <w:color w:val="000000"/>
                <w:kern w:val="0"/>
                <w:sz w:val="24"/>
              </w:rPr>
              <w:t>点建设项目等，结合道路交通管理工作，适时开展危化车辆、道路事故预防；酒驾、毒驾、涉牌涉证；农村道路及危化品、客车、旅游车等重点车辆专项整治行动，进一步规范全州车辆管理工作，确保全州道路交通安全畅通有序，预防和控制道路交通事故，减少人民群众生命财产损失，深入推进执法规范化建设，不断提高执法水平和执法公信力，提升人民群众对交管工作满意度。</w:t>
            </w:r>
          </w:p>
        </w:tc>
      </w:tr>
      <w:tr>
        <w:trPr>
          <w:trHeight w:val="23"/>
        </w:trPr>
        <w:tc>
          <w:tcPr>
            <w:tcW w:w="1309"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kern w:val="0"/>
                <w:sz w:val="24"/>
              </w:rPr>
            </w:pPr>
            <w:r>
              <w:rPr>
                <w:color w:val="000000"/>
                <w:kern w:val="0"/>
                <w:sz w:val="24"/>
              </w:rPr>
              <w:t>年度绩效</w:t>
            </w:r>
          </w:p>
          <w:p>
            <w:pPr>
              <w:widowControl/>
              <w:spacing w:line="560" w:lineRule="exact"/>
              <w:jc w:val="center"/>
              <w:textAlignment w:val="center"/>
              <w:rPr>
                <w:color w:val="000000"/>
                <w:sz w:val="24"/>
              </w:rPr>
            </w:pPr>
            <w:r>
              <w:rPr>
                <w:color w:val="000000"/>
                <w:kern w:val="0"/>
                <w:sz w:val="24"/>
              </w:rPr>
              <w:t>指标</w:t>
            </w: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一级指标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二级指标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三级指标</w:t>
            </w:r>
          </w:p>
        </w:tc>
        <w:tc>
          <w:tcPr>
            <w:tcW w:w="11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kern w:val="0"/>
                <w:sz w:val="24"/>
              </w:rPr>
            </w:pPr>
            <w:r>
              <w:rPr>
                <w:color w:val="000000"/>
                <w:kern w:val="0"/>
                <w:sz w:val="24"/>
              </w:rPr>
              <w:t>绩效指标</w:t>
            </w:r>
          </w:p>
          <w:p>
            <w:pPr>
              <w:widowControl/>
              <w:spacing w:line="560" w:lineRule="exact"/>
              <w:jc w:val="center"/>
              <w:textAlignment w:val="center"/>
              <w:rPr>
                <w:color w:val="000000"/>
                <w:sz w:val="24"/>
              </w:rPr>
            </w:pPr>
            <w:r>
              <w:rPr>
                <w:color w:val="000000"/>
                <w:kern w:val="0"/>
                <w:sz w:val="24"/>
              </w:rPr>
              <w:t>性质</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绩效指标值</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绩效度量单位</w:t>
            </w:r>
          </w:p>
        </w:tc>
        <w:tc>
          <w:tcPr>
            <w:tcW w:w="926" w:type="dxa"/>
            <w:tcBorders>
              <w:top w:val="single" w:sz="4" w:space="0" w:color="000000"/>
              <w:left w:val="single" w:sz="4" w:space="0" w:color="000000"/>
              <w:bottom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权重</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kern w:val="0"/>
                <w:sz w:val="24"/>
              </w:rPr>
            </w:pPr>
            <w:r>
              <w:rPr>
                <w:color w:val="000000"/>
                <w:kern w:val="0"/>
                <w:sz w:val="24"/>
              </w:rPr>
              <w:t>实际完成</w:t>
            </w:r>
          </w:p>
          <w:p>
            <w:pPr>
              <w:widowControl/>
              <w:spacing w:line="560" w:lineRule="exact"/>
              <w:jc w:val="center"/>
              <w:textAlignment w:val="center"/>
              <w:rPr>
                <w:color w:val="000000"/>
                <w:sz w:val="24"/>
              </w:rPr>
            </w:pPr>
            <w:r>
              <w:rPr>
                <w:color w:val="000000"/>
                <w:kern w:val="0"/>
                <w:sz w:val="24"/>
              </w:rPr>
              <w:t>指标值</w:t>
            </w:r>
          </w:p>
        </w:tc>
      </w:tr>
      <w:tr>
        <w:trPr>
          <w:trHeight w:val="23"/>
        </w:trPr>
        <w:tc>
          <w:tcPr>
            <w:tcW w:w="1309" w:type="dxa"/>
            <w:vMerge/>
            <w:tcBorders>
              <w:left w:val="single" w:sz="4" w:space="0" w:color="000000"/>
              <w:right w:val="single" w:sz="4" w:space="0" w:color="000000"/>
            </w:tcBorders>
            <w:shd w:val="clear" w:color="auto" w:fill="auto"/>
            <w:noWrap/>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产出指标</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数量指标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textAlignment w:val="center"/>
              <w:rPr>
                <w:color w:val="000000"/>
                <w:sz w:val="24"/>
              </w:rPr>
            </w:pPr>
            <w:r>
              <w:rPr>
                <w:color w:val="000000"/>
                <w:kern w:val="0"/>
                <w:sz w:val="24"/>
              </w:rPr>
              <w:t>保障单位个数</w:t>
            </w:r>
          </w:p>
        </w:tc>
        <w:tc>
          <w:tcPr>
            <w:tcW w:w="11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textAlignment w:val="center"/>
              <w:rPr>
                <w:color w:val="000000"/>
                <w:sz w:val="24"/>
              </w:rPr>
            </w:pPr>
            <w:r>
              <w:rPr>
                <w:rFonts w:hint="eastAsia"/>
                <w:color w:val="000000"/>
                <w:kern w:val="0"/>
                <w:sz w:val="24"/>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textAlignment w:val="center"/>
              <w:rPr>
                <w:color w:val="000000"/>
                <w:sz w:val="24"/>
              </w:rPr>
            </w:pPr>
            <w:r>
              <w:rPr>
                <w:rFonts w:hint="eastAsia"/>
                <w:color w:val="000000"/>
                <w:sz w:val="24"/>
              </w:rPr>
              <w:t>3</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textAlignment w:val="center"/>
              <w:rPr>
                <w:color w:val="000000"/>
                <w:sz w:val="24"/>
              </w:rPr>
            </w:pPr>
            <w:r>
              <w:rPr>
                <w:rFonts w:hint="eastAsia"/>
                <w:color w:val="000000"/>
                <w:kern w:val="0"/>
                <w:sz w:val="24"/>
              </w:rPr>
              <w:t>个</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textAlignment w:val="center"/>
              <w:rPr>
                <w:color w:val="000000"/>
                <w:sz w:val="24"/>
              </w:rPr>
            </w:pPr>
            <w:r>
              <w:rPr>
                <w:rFonts w:hint="eastAsia"/>
                <w:color w:val="000000"/>
                <w:sz w:val="24"/>
              </w:rPr>
              <w:t>10</w:t>
            </w:r>
          </w:p>
        </w:tc>
        <w:tc>
          <w:tcPr>
            <w:tcW w:w="1113" w:type="dxa"/>
            <w:tcBorders>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textAlignment w:val="center"/>
              <w:rPr>
                <w:color w:val="000000"/>
                <w:sz w:val="24"/>
              </w:rPr>
            </w:pPr>
            <w:r>
              <w:rPr>
                <w:rFonts w:hint="eastAsia"/>
                <w:color w:val="000000"/>
                <w:kern w:val="0"/>
                <w:sz w:val="24"/>
              </w:rPr>
              <w:t>3</w:t>
            </w:r>
          </w:p>
        </w:tc>
      </w:tr>
      <w:tr>
        <w:trPr>
          <w:trHeight w:val="23"/>
        </w:trPr>
        <w:tc>
          <w:tcPr>
            <w:tcW w:w="1309" w:type="dxa"/>
            <w:vMerge/>
            <w:tcBorders>
              <w:left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color w:val="000000"/>
                <w:sz w:val="24"/>
              </w:rPr>
              <w:t>开展专项整治行动</w:t>
            </w:r>
          </w:p>
        </w:tc>
        <w:tc>
          <w:tcPr>
            <w:tcW w:w="11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&gt;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6</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次</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8</w:t>
            </w:r>
          </w:p>
        </w:tc>
      </w:tr>
      <w:tr>
        <w:trPr>
          <w:trHeight w:val="23"/>
        </w:trPr>
        <w:tc>
          <w:tcPr>
            <w:tcW w:w="1309" w:type="dxa"/>
            <w:vMerge/>
            <w:tcBorders>
              <w:left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质量指标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color w:val="000000"/>
                <w:sz w:val="24"/>
              </w:rPr>
              <w:t>案件侦破率</w:t>
            </w:r>
          </w:p>
        </w:tc>
        <w:tc>
          <w:tcPr>
            <w:tcW w:w="11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&gt;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96</w:t>
            </w:r>
          </w:p>
        </w:tc>
      </w:tr>
      <w:tr>
        <w:trPr>
          <w:trHeight w:val="23"/>
        </w:trPr>
        <w:tc>
          <w:tcPr>
            <w:tcW w:w="1309" w:type="dxa"/>
            <w:vMerge/>
            <w:tcBorders>
              <w:left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时效指标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color w:val="000000"/>
                <w:sz w:val="24"/>
              </w:rPr>
              <w:t>项目完成时限</w:t>
            </w:r>
          </w:p>
        </w:tc>
        <w:tc>
          <w:tcPr>
            <w:tcW w:w="11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&lt;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1</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年</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1</w:t>
            </w:r>
          </w:p>
        </w:tc>
      </w:tr>
      <w:tr>
        <w:trPr>
          <w:trHeight w:val="23"/>
        </w:trPr>
        <w:tc>
          <w:tcPr>
            <w:tcW w:w="1309" w:type="dxa"/>
            <w:vMerge/>
            <w:tcBorders>
              <w:left w:val="single" w:sz="4" w:space="0" w:color="000000"/>
              <w:right w:val="single" w:sz="4" w:space="0" w:color="000000"/>
            </w:tcBorders>
            <w:shd w:val="clear" w:color="auto" w:fill="auto"/>
            <w:noWrap/>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效益指标</w:t>
            </w:r>
          </w:p>
        </w:tc>
        <w:tc>
          <w:tcPr>
            <w:tcW w:w="1273" w:type="dxa"/>
            <w:vMerge w:val="restart"/>
            <w:tcBorders>
              <w:top w:val="single" w:sz="4" w:space="0" w:color="000000"/>
              <w:left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kern w:val="0"/>
                <w:sz w:val="24"/>
              </w:rPr>
            </w:pPr>
            <w:r>
              <w:rPr>
                <w:color w:val="000000"/>
                <w:kern w:val="0"/>
                <w:sz w:val="24"/>
              </w:rPr>
              <w:t>社会效益</w:t>
            </w:r>
          </w:p>
          <w:p>
            <w:pPr>
              <w:widowControl/>
              <w:spacing w:line="560" w:lineRule="exact"/>
              <w:jc w:val="center"/>
              <w:textAlignment w:val="center"/>
              <w:rPr>
                <w:color w:val="000000"/>
                <w:sz w:val="24"/>
              </w:rPr>
            </w:pPr>
            <w:r>
              <w:rPr>
                <w:color w:val="000000"/>
                <w:kern w:val="0"/>
                <w:sz w:val="24"/>
              </w:rPr>
              <w:t>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color w:val="000000"/>
                <w:sz w:val="24"/>
              </w:rPr>
              <w:t>保障社会安定</w:t>
            </w:r>
          </w:p>
        </w:tc>
        <w:tc>
          <w:tcPr>
            <w:tcW w:w="11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定性</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有效保障</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有效保障</w:t>
            </w:r>
          </w:p>
        </w:tc>
      </w:tr>
      <w:tr>
        <w:trPr>
          <w:trHeight w:val="23"/>
        </w:trPr>
        <w:tc>
          <w:tcPr>
            <w:tcW w:w="1309" w:type="dxa"/>
            <w:vMerge/>
            <w:tcBorders>
              <w:left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vMerge/>
            <w:tcBorders>
              <w:top w:val="single" w:sz="4" w:space="0" w:color="000000"/>
              <w:left w:val="single" w:sz="4" w:space="0" w:color="000000"/>
              <w:right w:val="single" w:sz="4" w:space="0" w:color="000000"/>
            </w:tcBorders>
            <w:shd w:val="clear" w:color="auto" w:fill="auto"/>
            <w:noWrap/>
            <w:vAlign w:val="center"/>
          </w:tc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color w:val="000000"/>
                <w:sz w:val="24"/>
              </w:rPr>
              <w:t>交通参与者处理交管业务便捷度</w:t>
            </w:r>
          </w:p>
        </w:tc>
        <w:tc>
          <w:tcPr>
            <w:tcW w:w="11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定性</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有效提升</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有效提升</w:t>
            </w:r>
          </w:p>
        </w:tc>
      </w:tr>
      <w:tr>
        <w:trPr>
          <w:trHeight w:val="23"/>
        </w:trPr>
        <w:tc>
          <w:tcPr>
            <w:tcW w:w="1309" w:type="dxa"/>
            <w:vMerge/>
            <w:tcBorders>
              <w:left w:val="single" w:sz="4" w:space="0" w:color="000000"/>
              <w:right w:val="single" w:sz="4" w:space="0" w:color="000000"/>
            </w:tcBorders>
            <w:shd w:val="clear" w:color="auto" w:fill="auto"/>
            <w:noWrap/>
            <w:vAlign w:val="center"/>
          </w:tcP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满意度指标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sz w:val="24"/>
              </w:rPr>
            </w:pPr>
            <w:r>
              <w:rPr>
                <w:color w:val="000000"/>
                <w:kern w:val="0"/>
                <w:sz w:val="24"/>
              </w:rPr>
              <w:t>满意度指标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人民群众满意度</w:t>
            </w:r>
          </w:p>
        </w:tc>
        <w:tc>
          <w:tcPr>
            <w:tcW w:w="11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&gt;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96</w:t>
            </w:r>
          </w:p>
        </w:tc>
      </w:tr>
      <w:tr>
        <w:trPr>
          <w:trHeight w:val="23"/>
        </w:trPr>
        <w:tc>
          <w:tcPr>
            <w:tcW w:w="1309" w:type="dxa"/>
            <w:vMerge/>
            <w:tcBorders>
              <w:left w:val="single" w:sz="4" w:space="0" w:color="000000"/>
              <w:bottom w:val="single" w:sz="4" w:space="0" w:color="000000"/>
              <w:right w:val="single" w:sz="4" w:space="0" w:color="000000"/>
            </w:tcBorders>
            <w:shd w:val="clear" w:color="auto" w:fill="auto"/>
            <w:noWrap/>
            <w:vAlign w:val="center"/>
          </w:tcP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kern w:val="0"/>
                <w:sz w:val="24"/>
              </w:rPr>
            </w:pPr>
            <w:r>
              <w:rPr>
                <w:rFonts w:hint="eastAsia"/>
                <w:color w:val="000000"/>
                <w:kern w:val="0"/>
                <w:sz w:val="24"/>
              </w:rPr>
              <w:t>成本指标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center"/>
              <w:textAlignment w:val="center"/>
              <w:rPr>
                <w:color w:val="000000"/>
                <w:kern w:val="0"/>
                <w:sz w:val="24"/>
              </w:rPr>
            </w:pPr>
            <w:r>
              <w:rPr>
                <w:rFonts w:hint="eastAsia"/>
                <w:color w:val="000000"/>
                <w:kern w:val="0"/>
                <w:sz w:val="24"/>
              </w:rPr>
              <w:t>经济成本指标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kern w:val="0"/>
                <w:sz w:val="24"/>
              </w:rPr>
              <w:t>成本控制率</w:t>
            </w:r>
          </w:p>
        </w:tc>
        <w:tc>
          <w:tcPr>
            <w:tcW w:w="11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&lt;</w:t>
            </w:r>
          </w:p>
        </w:tc>
        <w:tc>
          <w:tcPr>
            <w:tcW w:w="12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eastAsia="仿宋_GB2312" w:hint="eastAsia"/>
                <w:sz w:val="32"/>
                <w:szCs w:val="32"/>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20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spacing w:line="560" w:lineRule="exact"/>
              <w:jc w:val="left"/>
              <w:rPr>
                <w:color w:val="000000"/>
                <w:sz w:val="24"/>
              </w:rPr>
            </w:pPr>
            <w:r>
              <w:rPr>
                <w:rFonts w:hint="eastAsia"/>
                <w:color w:val="000000"/>
                <w:sz w:val="24"/>
              </w:rPr>
              <w:t>超出</w:t>
            </w:r>
          </w:p>
        </w:tc>
      </w:tr>
    </w:tbl>
    <w:p>
      <w:pPr>
        <w:pStyle w:val="17"/>
        <w:spacing w:line="576" w:lineRule="exact"/>
        <w:ind w:leftChars="0" w:left="0"/>
        <w:rPr>
          <w:rFonts w:ascii="Times New Roman" w:eastAsia="仿宋_GB2312" w:hAnsi="Times New Roman" w:hint="eastAsia"/>
          <w:sz w:val="32"/>
          <w:lang w:val="zh-CN"/>
        </w:rPr>
      </w:pPr>
      <w:bookmarkEnd w:id="45"/>
      <w:r>
        <w:rPr>
          <w:rFonts w:ascii="Times New Roman" w:eastAsia="仿宋_GB2312" w:hAnsi="Times New Roman" w:hint="eastAsia"/>
          <w:sz w:val="32"/>
          <w:lang w:val="zh-CN"/>
        </w:rPr>
        <w:t>附表：</w:t>
      </w:r>
      <w:r>
        <w:rPr>
          <w:rFonts w:ascii="Times New Roman" w:eastAsia="仿宋_GB2312" w:hAnsi="Times New Roman" w:hint="eastAsia"/>
          <w:sz w:val="32"/>
        </w:rPr>
        <w:t>预算项目支出绩效自评表（2024年度）祥</w:t>
      </w:r>
      <w:r>
        <w:rPr>
          <w:rFonts w:ascii="Times New Roman" w:eastAsia="仿宋_GB2312" w:hAnsi="Times New Roman"/>
          <w:sz w:val="32"/>
        </w:rPr>
        <w:t>见各二级预算单位决算公开报告。</w:t>
      </w:r>
    </w:p>
    <w:p>
      <w:pPr>
        <w:spacing w:line="576" w:lineRule="exact"/>
        <w:rPr>
          <w:rFonts w:eastAsia="黑体" w:cs="黑体"/>
          <w:kern w:val="0"/>
          <w:sz w:val="32"/>
          <w:szCs w:val="32"/>
          <w:shd w:val="clear" w:color="auto" w:fill="FFFFFF"/>
          <w:lang w:val="zh-CN"/>
        </w:rPr>
      </w:pPr>
      <w:r>
        <w:rPr>
          <w:rFonts w:eastAsia="黑体" w:cs="黑体" w:hint="eastAsia"/>
          <w:kern w:val="0"/>
          <w:sz w:val="32"/>
          <w:szCs w:val="32"/>
          <w:shd w:val="clear" w:color="auto" w:fill="FFFFFF"/>
          <w:lang w:val="zh-CN"/>
        </w:rPr>
        <w:br w:type="page"/>
      </w:r>
    </w:p>
    <w:p>
      <w:pPr>
        <w:pStyle w:val="18"/>
        <w:spacing w:beforeLines="0" w:before="93" w:line="576" w:lineRule="exact"/>
        <w:rPr>
          <w:rFonts w:ascii="Times New Roman" w:eastAsia="黑体" w:cs="黑体" w:hAnsi="Times New Roman"/>
          <w:sz w:val="32"/>
          <w:szCs w:val="32"/>
        </w:rPr>
      </w:pPr>
      <w:r>
        <w:rPr>
          <w:rFonts w:ascii="Times New Roman" w:eastAsia="黑体" w:cs="黑体" w:hAnsi="Times New Roman" w:hint="eastAsia"/>
          <w:sz w:val="32"/>
          <w:szCs w:val="32"/>
          <w:shd w:val="clear" w:color="auto" w:fill="FFFFFF"/>
          <w:lang w:val="zh-CN"/>
        </w:rPr>
        <w:t>附件</w:t>
      </w:r>
      <w:r>
        <w:rPr>
          <w:rFonts w:ascii="Times New Roman" w:eastAsia="黑体" w:cs="黑体" w:hAnsi="Times New Roman" w:hint="eastAsia"/>
          <w:sz w:val="32"/>
          <w:szCs w:val="32"/>
          <w:shd w:val="clear" w:color="auto" w:fill="FFFFFF"/>
        </w:rPr>
        <w:t>2</w:t>
      </w:r>
    </w:p>
    <w:p>
      <w:pPr>
        <w:pStyle w:val="35"/>
        <w:spacing w:line="576" w:lineRule="exact"/>
        <w:jc w:val="center"/>
        <w:rPr>
          <w:rFonts w:ascii="Times New Roman" w:eastAsia="方正小标宋简体" w:cs="方正小标宋简体" w:hAnsi="Times New Roman"/>
          <w:color w:val="auto"/>
          <w:kern w:val="2"/>
          <w:sz w:val="44"/>
          <w:szCs w:val="44"/>
          <w:lang w:val="en-US"/>
        </w:rPr>
      </w:pPr>
    </w:p>
    <w:p>
      <w:pPr>
        <w:pStyle w:val="35"/>
        <w:spacing w:line="576" w:lineRule="exact"/>
        <w:jc w:val="center"/>
        <w:rPr>
          <w:rFonts w:ascii="Times New Roman" w:eastAsia="方正小标宋简体" w:cs="方正小标宋简体" w:hAnsi="Times New Roman"/>
          <w:color w:val="auto"/>
          <w:kern w:val="2"/>
          <w:sz w:val="44"/>
          <w:szCs w:val="44"/>
          <w:lang w:val="en-US"/>
        </w:rPr>
      </w:pPr>
      <w:r>
        <w:rPr>
          <w:rFonts w:ascii="Times New Roman" w:eastAsia="方正小标宋简体" w:cs="方正小标宋简体" w:hAnsi="Times New Roman" w:hint="eastAsia"/>
          <w:color w:val="auto"/>
          <w:kern w:val="2"/>
          <w:sz w:val="44"/>
          <w:szCs w:val="44"/>
          <w:lang w:val="en-US"/>
        </w:rPr>
        <w:t>专项预算项目绩效评价报告范本</w:t>
      </w:r>
    </w:p>
    <w:p>
      <w:pPr>
        <w:pStyle w:val="17"/>
        <w:spacing w:line="576" w:lineRule="exact"/>
        <w:ind w:leftChars="0" w:left="0" w:firstLineChars="350" w:firstLine="1120"/>
        <w:rPr>
          <w:rFonts w:ascii="Times New Roman" w:eastAsia="仿宋_GB2312" w:hAnsi="Times New Roman" w:hint="eastAsia"/>
          <w:sz w:val="32"/>
          <w:lang w:val="zh-CN"/>
        </w:rPr>
      </w:pPr>
      <w:r>
        <w:rPr>
          <w:rFonts w:ascii="Times New Roman" w:eastAsia="仿宋_GB2312" w:hAnsi="Times New Roman" w:hint="eastAsia"/>
          <w:sz w:val="32"/>
        </w:rPr>
        <w:t>（祥</w:t>
      </w:r>
      <w:r>
        <w:rPr>
          <w:rFonts w:ascii="Times New Roman" w:eastAsia="仿宋_GB2312" w:hAnsi="Times New Roman"/>
          <w:sz w:val="32"/>
        </w:rPr>
        <w:t>见各二级预算单位决算公开报告</w:t>
      </w:r>
      <w:r>
        <w:rPr>
          <w:rFonts w:ascii="Times New Roman" w:eastAsia="仿宋_GB2312" w:hAnsi="Times New Roman" w:hint="eastAsia"/>
          <w:sz w:val="32"/>
        </w:rPr>
        <w:t>）</w:t>
      </w:r>
      <w:r>
        <w:rPr>
          <w:rFonts w:ascii="Times New Roman" w:eastAsia="仿宋_GB2312" w:hAnsi="Times New Roman"/>
          <w:sz w:val="32"/>
        </w:rPr>
        <w:t>。</w:t>
      </w:r>
    </w:p>
    <w:p>
      <w:pPr>
        <w:pStyle w:val="35"/>
        <w:spacing w:line="576" w:lineRule="exact"/>
        <w:jc w:val="center"/>
        <w:rPr>
          <w:rFonts w:ascii="Times New Roman" w:eastAsia="方正小标宋简体" w:cs="方正小标宋简体" w:hAnsi="Times New Roman" w:hint="eastAsia"/>
          <w:color w:val="auto"/>
          <w:kern w:val="2"/>
          <w:sz w:val="44"/>
          <w:szCs w:val="44"/>
          <w:lang w:val="en-US"/>
        </w:rPr>
      </w:pPr>
    </w:p>
    <w:p>
      <w:pPr>
        <w:pStyle w:val="35"/>
        <w:spacing w:line="576" w:lineRule="exact"/>
        <w:ind w:firstLine="640"/>
        <w:jc w:val="center"/>
        <w:rPr>
          <w:rFonts w:ascii="Times New Roman" w:hAnsi="Times New Roman"/>
          <w:color w:val="auto"/>
          <w:kern w:val="2"/>
          <w:sz w:val="32"/>
          <w:szCs w:val="32"/>
        </w:rPr>
      </w:pPr>
    </w:p>
    <w:p>
      <w:pPr>
        <w:widowControl/>
        <w:spacing w:line="576" w:lineRule="exact"/>
        <w:jc w:val="center"/>
        <w:rPr>
          <w:rFonts w:eastAsia="仿宋"/>
        </w:rPr>
      </w:pPr>
      <w:bookmarkStart w:id="47" w:name="_Toc15396618"/>
      <w:r>
        <w:rPr>
          <w:rFonts w:eastAsia="黑体" w:hint="eastAsia"/>
          <w:sz w:val="44"/>
          <w:szCs w:val="44"/>
        </w:rPr>
        <w:t>第</w:t>
      </w:r>
      <w:r>
        <w:rPr>
          <w:rStyle w:val="1Char"/>
          <w:rFonts w:eastAsia="黑体" w:hint="eastAsia"/>
          <w:b w:val="0"/>
        </w:rPr>
        <w:t>五部分 附表</w:t>
      </w:r>
      <w:bookmarkStart w:id="48" w:name="_Toc15396619"/>
      <w:bookmarkEnd w:id="44"/>
      <w:bookmarkEnd w:id="47"/>
    </w:p>
    <w:p>
      <w:pPr>
        <w:pStyle w:val="24"/>
        <w:tabs>
          <w:tab w:val="right" w:leader="dot" w:pos="8296"/>
        </w:tabs>
        <w:adjustRightInd w:val="0"/>
        <w:snapToGrid w:val="0"/>
        <w:spacing w:line="576" w:lineRule="exact"/>
        <w:jc w:val="left"/>
        <w:rPr>
          <w:rFonts w:eastAsia="仿宋_GB2312" w:cs="仿宋_GB2312"/>
          <w:sz w:val="32"/>
          <w:szCs w:val="32"/>
        </w:rPr>
      </w:pPr>
    </w:p>
    <w:p>
      <w:pPr>
        <w:pStyle w:val="24"/>
        <w:tabs>
          <w:tab w:val="right" w:leader="dot" w:pos="8296"/>
        </w:tabs>
        <w:adjustRightInd w:val="0"/>
        <w:snapToGrid w:val="0"/>
        <w:spacing w:line="576" w:lineRule="exact"/>
        <w:jc w:val="left"/>
        <w:rPr>
          <w:rFonts w:eastAsia="仿宋_GB2312" w:cs="仿宋_GB2312"/>
          <w:sz w:val="32"/>
          <w:szCs w:val="32"/>
        </w:rPr>
      </w:pPr>
      <w:r>
        <w:rPr>
          <w:rFonts w:eastAsia="仿宋_GB2312" w:cs="仿宋_GB2312" w:hint="eastAsia"/>
          <w:sz w:val="32"/>
          <w:szCs w:val="32"/>
        </w:rPr>
        <w:t>一、收入支出决算总表</w:t>
      </w:r>
      <w:bookmarkEnd w:id="48"/>
    </w:p>
    <w:p>
      <w:pPr>
        <w:pStyle w:val="24"/>
        <w:tabs>
          <w:tab w:val="right" w:leader="dot" w:pos="8296"/>
        </w:tabs>
        <w:adjustRightInd w:val="0"/>
        <w:snapToGrid w:val="0"/>
        <w:spacing w:line="576" w:lineRule="exact"/>
        <w:jc w:val="left"/>
        <w:rPr>
          <w:rFonts w:eastAsia="仿宋_GB2312" w:cs="仿宋_GB2312"/>
          <w:sz w:val="32"/>
          <w:szCs w:val="32"/>
        </w:rPr>
      </w:pPr>
      <w:bookmarkStart w:id="49" w:name="_Toc15396620"/>
      <w:r>
        <w:rPr>
          <w:rFonts w:eastAsia="仿宋_GB2312" w:cs="仿宋_GB2312" w:hint="eastAsia"/>
          <w:sz w:val="32"/>
          <w:szCs w:val="32"/>
        </w:rPr>
        <w:t>二、收入决算表</w:t>
      </w:r>
      <w:bookmarkEnd w:id="49"/>
    </w:p>
    <w:p>
      <w:pPr>
        <w:pStyle w:val="24"/>
        <w:tabs>
          <w:tab w:val="right" w:leader="dot" w:pos="8296"/>
        </w:tabs>
        <w:adjustRightInd w:val="0"/>
        <w:snapToGrid w:val="0"/>
        <w:spacing w:line="576" w:lineRule="exact"/>
        <w:jc w:val="left"/>
        <w:rPr>
          <w:rFonts w:eastAsia="仿宋_GB2312" w:cs="仿宋_GB2312"/>
          <w:sz w:val="32"/>
          <w:szCs w:val="32"/>
        </w:rPr>
      </w:pPr>
      <w:bookmarkStart w:id="50" w:name="_Toc15396621"/>
      <w:r>
        <w:rPr>
          <w:rFonts w:eastAsia="仿宋_GB2312" w:cs="仿宋_GB2312" w:hint="eastAsia"/>
          <w:sz w:val="32"/>
          <w:szCs w:val="32"/>
        </w:rPr>
        <w:t>三、支出决算表</w:t>
      </w:r>
      <w:bookmarkEnd w:id="50"/>
    </w:p>
    <w:p>
      <w:pPr>
        <w:pStyle w:val="24"/>
        <w:tabs>
          <w:tab w:val="right" w:leader="dot" w:pos="8296"/>
        </w:tabs>
        <w:adjustRightInd w:val="0"/>
        <w:snapToGrid w:val="0"/>
        <w:spacing w:line="576" w:lineRule="exact"/>
        <w:jc w:val="left"/>
        <w:rPr>
          <w:rFonts w:eastAsia="仿宋_GB2312" w:cs="仿宋_GB2312"/>
          <w:sz w:val="32"/>
          <w:szCs w:val="32"/>
        </w:rPr>
      </w:pPr>
      <w:bookmarkStart w:id="51" w:name="_Toc15396622"/>
      <w:r>
        <w:rPr>
          <w:rFonts w:eastAsia="仿宋_GB2312" w:cs="仿宋_GB2312" w:hint="eastAsia"/>
          <w:sz w:val="32"/>
          <w:szCs w:val="32"/>
        </w:rPr>
        <w:t>四、财政拨款收入支出决算总表</w:t>
      </w:r>
      <w:bookmarkEnd w:id="51"/>
    </w:p>
    <w:p>
      <w:pPr>
        <w:pStyle w:val="24"/>
        <w:tabs>
          <w:tab w:val="right" w:leader="dot" w:pos="8296"/>
        </w:tabs>
        <w:adjustRightInd w:val="0"/>
        <w:snapToGrid w:val="0"/>
        <w:spacing w:line="576" w:lineRule="exact"/>
        <w:jc w:val="left"/>
        <w:rPr>
          <w:rFonts w:eastAsia="仿宋_GB2312" w:cs="仿宋_GB2312"/>
          <w:sz w:val="32"/>
          <w:szCs w:val="32"/>
        </w:rPr>
      </w:pPr>
      <w:bookmarkStart w:id="52" w:name="_Toc15396623"/>
      <w:r>
        <w:rPr>
          <w:rFonts w:eastAsia="仿宋_GB2312" w:cs="仿宋_GB2312" w:hint="eastAsia"/>
          <w:sz w:val="32"/>
          <w:szCs w:val="32"/>
        </w:rPr>
        <w:t>五、财政拨款支出决算明细表</w:t>
      </w:r>
      <w:bookmarkStart w:id="53" w:name="_Toc15396624"/>
      <w:bookmarkEnd w:id="52"/>
    </w:p>
    <w:p>
      <w:pPr>
        <w:pStyle w:val="24"/>
        <w:tabs>
          <w:tab w:val="right" w:leader="dot" w:pos="8296"/>
        </w:tabs>
        <w:adjustRightInd w:val="0"/>
        <w:snapToGrid w:val="0"/>
        <w:spacing w:line="576" w:lineRule="exact"/>
        <w:jc w:val="left"/>
        <w:rPr>
          <w:rFonts w:eastAsia="仿宋_GB2312" w:cs="仿宋_GB2312"/>
          <w:sz w:val="32"/>
          <w:szCs w:val="32"/>
        </w:rPr>
      </w:pPr>
      <w:r>
        <w:rPr>
          <w:rFonts w:eastAsia="仿宋_GB2312" w:cs="仿宋_GB2312" w:hint="eastAsia"/>
          <w:sz w:val="32"/>
          <w:szCs w:val="32"/>
        </w:rPr>
        <w:t>六、一般公共预算财政拨款支出决算表</w:t>
      </w:r>
      <w:bookmarkEnd w:id="53"/>
    </w:p>
    <w:p>
      <w:pPr>
        <w:pStyle w:val="24"/>
        <w:tabs>
          <w:tab w:val="right" w:leader="dot" w:pos="8296"/>
        </w:tabs>
        <w:adjustRightInd w:val="0"/>
        <w:snapToGrid w:val="0"/>
        <w:spacing w:line="576" w:lineRule="exact"/>
        <w:jc w:val="left"/>
        <w:rPr>
          <w:rFonts w:eastAsia="仿宋_GB2312" w:cs="仿宋_GB2312"/>
          <w:sz w:val="32"/>
          <w:szCs w:val="32"/>
        </w:rPr>
      </w:pPr>
      <w:bookmarkStart w:id="54" w:name="_Toc15396625"/>
      <w:r>
        <w:rPr>
          <w:rFonts w:eastAsia="仿宋_GB2312" w:cs="仿宋_GB2312" w:hint="eastAsia"/>
          <w:sz w:val="32"/>
          <w:szCs w:val="32"/>
        </w:rPr>
        <w:t>七、一般公共预算财政拨款支出决算明细表</w:t>
      </w:r>
      <w:bookmarkEnd w:id="54"/>
    </w:p>
    <w:p>
      <w:pPr>
        <w:pStyle w:val="24"/>
        <w:tabs>
          <w:tab w:val="right" w:leader="dot" w:pos="8296"/>
        </w:tabs>
        <w:adjustRightInd w:val="0"/>
        <w:snapToGrid w:val="0"/>
        <w:spacing w:line="576" w:lineRule="exact"/>
        <w:jc w:val="left"/>
        <w:rPr>
          <w:rFonts w:eastAsia="仿宋_GB2312" w:cs="仿宋_GB2312"/>
          <w:sz w:val="32"/>
          <w:szCs w:val="32"/>
        </w:rPr>
      </w:pPr>
      <w:bookmarkStart w:id="55" w:name="_Toc15396626"/>
      <w:r>
        <w:rPr>
          <w:rFonts w:eastAsia="仿宋_GB2312" w:cs="仿宋_GB2312" w:hint="eastAsia"/>
          <w:sz w:val="32"/>
          <w:szCs w:val="32"/>
        </w:rPr>
        <w:t>八、一般公共预算财政拨款基本支出决算表</w:t>
      </w:r>
      <w:bookmarkEnd w:id="55"/>
    </w:p>
    <w:p>
      <w:pPr>
        <w:pStyle w:val="24"/>
        <w:tabs>
          <w:tab w:val="right" w:leader="dot" w:pos="8296"/>
        </w:tabs>
        <w:adjustRightInd w:val="0"/>
        <w:snapToGrid w:val="0"/>
        <w:spacing w:line="576" w:lineRule="exact"/>
        <w:jc w:val="left"/>
        <w:rPr>
          <w:rFonts w:eastAsia="仿宋_GB2312" w:cs="仿宋_GB2312"/>
          <w:sz w:val="32"/>
          <w:szCs w:val="32"/>
        </w:rPr>
      </w:pPr>
      <w:bookmarkStart w:id="56" w:name="_Toc15396627"/>
      <w:r>
        <w:rPr>
          <w:rFonts w:eastAsia="仿宋_GB2312" w:cs="仿宋_GB2312" w:hint="eastAsia"/>
          <w:sz w:val="32"/>
          <w:szCs w:val="32"/>
        </w:rPr>
        <w:t>九、一般公共预算财政拨款项目支出决算表</w:t>
      </w:r>
      <w:bookmarkEnd w:id="56"/>
    </w:p>
    <w:p>
      <w:pPr>
        <w:pStyle w:val="24"/>
        <w:tabs>
          <w:tab w:val="right" w:leader="dot" w:pos="8296"/>
        </w:tabs>
        <w:adjustRightInd w:val="0"/>
        <w:snapToGrid w:val="0"/>
        <w:spacing w:line="576" w:lineRule="exact"/>
        <w:jc w:val="left"/>
        <w:rPr>
          <w:rFonts w:eastAsia="仿宋_GB2312" w:cs="仿宋_GB2312"/>
          <w:sz w:val="32"/>
          <w:szCs w:val="32"/>
        </w:rPr>
      </w:pPr>
      <w:bookmarkStart w:id="57" w:name="_Toc15396628"/>
      <w:r>
        <w:rPr>
          <w:rFonts w:eastAsia="仿宋_GB2312" w:cs="仿宋_GB2312" w:hint="eastAsia"/>
          <w:sz w:val="32"/>
          <w:szCs w:val="32"/>
        </w:rPr>
        <w:t>十、</w:t>
      </w:r>
      <w:bookmarkEnd w:id="57"/>
      <w:r>
        <w:rPr>
          <w:rFonts w:eastAsia="仿宋_GB2312" w:cs="仿宋_GB2312" w:hint="eastAsia"/>
          <w:sz w:val="32"/>
          <w:szCs w:val="32"/>
        </w:rPr>
        <w:t>政府性基金预算财政拨款收入支出决算表</w:t>
      </w:r>
    </w:p>
    <w:p>
      <w:pPr>
        <w:pStyle w:val="24"/>
        <w:tabs>
          <w:tab w:val="right" w:leader="dot" w:pos="8296"/>
        </w:tabs>
        <w:adjustRightInd w:val="0"/>
        <w:snapToGrid w:val="0"/>
        <w:spacing w:line="576" w:lineRule="exact"/>
        <w:jc w:val="left"/>
        <w:rPr>
          <w:rFonts w:eastAsia="仿宋_GB2312" w:cs="仿宋_GB2312"/>
          <w:sz w:val="32"/>
          <w:szCs w:val="32"/>
        </w:rPr>
      </w:pPr>
      <w:bookmarkStart w:id="58" w:name="_Toc15396629"/>
      <w:r>
        <w:rPr>
          <w:rFonts w:eastAsia="仿宋_GB2312" w:cs="仿宋_GB2312" w:hint="eastAsia"/>
          <w:sz w:val="32"/>
          <w:szCs w:val="32"/>
        </w:rPr>
        <w:t>十一、</w:t>
      </w:r>
      <w:bookmarkEnd w:id="58"/>
      <w:r>
        <w:rPr>
          <w:rFonts w:eastAsia="仿宋_GB2312" w:cs="仿宋_GB2312" w:hint="eastAsia"/>
          <w:sz w:val="32"/>
          <w:szCs w:val="32"/>
        </w:rPr>
        <w:t>国有资本经营预算财政拨款收入支出决算表</w:t>
      </w:r>
    </w:p>
    <w:p>
      <w:pPr>
        <w:pStyle w:val="24"/>
        <w:tabs>
          <w:tab w:val="right" w:leader="dot" w:pos="8296"/>
        </w:tabs>
        <w:adjustRightInd w:val="0"/>
        <w:snapToGrid w:val="0"/>
        <w:spacing w:line="576" w:lineRule="exact"/>
        <w:jc w:val="left"/>
        <w:rPr>
          <w:rFonts w:eastAsia="仿宋_GB2312" w:cs="仿宋_GB2312"/>
          <w:sz w:val="32"/>
          <w:szCs w:val="32"/>
        </w:rPr>
      </w:pPr>
      <w:bookmarkStart w:id="59" w:name="_Toc15396630"/>
      <w:r>
        <w:rPr>
          <w:rFonts w:eastAsia="仿宋_GB2312" w:cs="仿宋_GB2312" w:hint="eastAsia"/>
          <w:sz w:val="32"/>
          <w:szCs w:val="32"/>
        </w:rPr>
        <w:t>十二、</w:t>
      </w:r>
      <w:bookmarkEnd w:id="59"/>
      <w:r>
        <w:rPr>
          <w:rFonts w:eastAsia="仿宋_GB2312" w:cs="仿宋_GB2312" w:hint="eastAsia"/>
          <w:sz w:val="32"/>
          <w:szCs w:val="32"/>
        </w:rPr>
        <w:t>国有资本经营预算财政拨款支出决算表</w:t>
      </w:r>
    </w:p>
    <w:p>
      <w:pPr>
        <w:pStyle w:val="24"/>
        <w:tabs>
          <w:tab w:val="right" w:leader="dot" w:pos="8296"/>
        </w:tabs>
        <w:adjustRightInd w:val="0"/>
        <w:snapToGrid w:val="0"/>
        <w:spacing w:line="576" w:lineRule="exact"/>
        <w:jc w:val="left"/>
        <w:rPr>
          <w:rFonts w:eastAsia="仿宋_GB2312" w:cs="仿宋_GB2312"/>
          <w:sz w:val="32"/>
          <w:szCs w:val="32"/>
        </w:rPr>
      </w:pPr>
      <w:bookmarkStart w:id="60" w:name="_Toc15396631"/>
      <w:r>
        <w:rPr>
          <w:rFonts w:eastAsia="仿宋_GB2312" w:cs="仿宋_GB2312" w:hint="eastAsia"/>
          <w:sz w:val="32"/>
          <w:szCs w:val="32"/>
        </w:rPr>
        <w:t>十三、</w:t>
      </w:r>
      <w:bookmarkEnd w:id="60"/>
      <w:r>
        <w:rPr>
          <w:rFonts w:eastAsia="仿宋_GB2312" w:cs="仿宋_GB2312" w:hint="eastAsia"/>
          <w:sz w:val="32"/>
          <w:szCs w:val="32"/>
        </w:rPr>
        <w:t>财政拨款“三公”经费支出决算表</w:t>
      </w:r>
    </w:p>
    <w:p>
      <w:pPr>
        <w:spacing w:line="576" w:lineRule="exact"/>
      </w:pPr>
    </w:p>
    <w:sectPr>
      <w:footerReference w:type="default" r:id="rId9"/>
      <w:pgSz w:w="11906" w:h="16838"/>
      <w:pgMar w:top="1440" w:right="1800" w:bottom="1440" w:left="1800" w:header="851" w:footer="992" w:gutter="0"/>
      <w:pgNumType w:fmt="numberInDash" w:start="1"/>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小标宋简体">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仿宋_GB2312">
    <w:altName w:val="仿宋"/>
    <w:panose1 w:val="00000000000000000000"/>
    <w:charset w:val="86"/>
    <w:family w:val="modern"/>
    <w:pitch w:val="variable"/>
    <w:sig w:usb0="00000000" w:usb1="00000000" w:usb2="00000010" w:usb3="00000000" w:csb0="00040000" w:csb1="00000000"/>
  </w:font>
  <w:font w:name="黑体">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楷体">
    <w:panose1 w:val="02010609060101010101"/>
    <w:charset w:val="86"/>
    <w:family w:val="modern"/>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楷体_GB2312">
    <w:altName w:val="楷体"/>
    <w:panose1 w:val="00000000000000000000"/>
    <w:charset w:val="86"/>
    <w:family w:val="modern"/>
    <w:pitch w:val="variable"/>
    <w:sig w:usb0="00000000" w:usb1="00000000" w:usb2="00000010" w:usb3="00000000" w:csb0="00040000"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Times New Roman"/>
    <w:panose1 w:val="020F0502020204030204"/>
    <w:charset w:val="00"/>
    <w:family w:val="swiss"/>
    <w:pitch w:val="variable"/>
    <w:sig w:usb0="E10002FF" w:usb1="4000ACFF" w:usb2="00000009" w:usb3="00000000" w:csb0="2000019F" w:csb1="00000000"/>
  </w:font>
  <w:font w:name="??">
    <w:altName w:val="DejaVu Sans"/>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p>
  <w:p>
    <w:pPr>
      <w:pStyle w:val="21"/>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p>
  <w:p>
    <w:pPr>
      <w:pStyle w:val="21"/>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p>
  <w:p>
    <w:pPr>
      <w:pStyle w:val="21"/>
      <w:tabs>
        <w:tab w:val="center" w:pos="4153"/>
        <w:tab w:val="right" w:pos="8306"/>
      </w:tabs>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pPr>
    <w:r>
      <w:rPr>
        <w:sz w:val="18"/>
      </w:rPr>
      <mc:AlternateContent>
        <mc:Choice Requires="wps">
          <w:drawing>
            <wp:anchor distT="0" distB="0" distL="114298" distR="114298" simplePos="0" relativeHeight="34" behindDoc="0" locked="0" layoutInCell="1" hidden="0" allowOverlap="1">
              <wp:simplePos x="0" y="0"/>
              <wp:positionH relativeFrom="margin">
                <wp:align>right</wp:align>
              </wp:positionH>
              <wp:positionV relativeFrom="paragraph">
                <wp:posOffset>0</wp:posOffset>
              </wp:positionV>
              <wp:extent cx="190423" cy="131559"/>
              <wp:effectExtent l="0" t="0" r="0" b="0"/>
              <wp:wrapNone/>
              <wp:docPr id="1" name="文本框 15"/>
              <wp:cNvGraphicFramePr>
                <a:graphicFrameLocks noChangeAspect="0"/>
              </wp:cNvGraphicFramePr>
              <a:graphic>
                <a:graphicData uri="http://schemas.microsoft.com/office/word/2010/wordprocessingShape">
                  <wps:wsp>
                    <wps:cNvSpPr/>
                    <wps:spPr>
                      <a:xfrm rot="0">
                        <a:off x="0" y="0"/>
                        <a:ext cx="190423" cy="131559"/>
                      </a:xfrm>
                      <a:prstGeom prst="rect"/>
                      <a:noFill/>
                      <a:ln w="6350" cmpd="sng" cap="flat">
                        <a:noFill/>
                        <a:prstDash val="solid"/>
                        <a:round/>
                      </a:ln>
                    </wps:spPr>
                    <wps:txbx id="2">
                      <w:txbxContent>
                        <w:p>
                          <w:pPr>
                            <w:pStyle w:val="21"/>
                            <w:tabs>
                              <w:tab w:val="center" w:pos="4153"/>
                              <w:tab w:val="right" w:pos="8306"/>
                            </w:tabs>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type="#_x0000_t202" id="文本框 15 3" o:spid="_x0000_s3" filled="f" stroked="f" strokeweight="0.5pt" style="position:absolute;margin-left:0.0pt;margin-top:0.0pt;width:14.994004pt;height:10.359pt;z-index:34;mso-position-horizontal:right;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tabs>
        <w:tab w:val="center" w:pos="4153"/>
        <w:tab w:val="right" w:pos="8306"/>
      </w:tabs>
      <w:jc w:val="center"/>
    </w:pPr>
    <w:r>
      <w:rPr>
        <w:sz w:val="18"/>
      </w:rPr>
      <mc:AlternateContent>
        <mc:Choice Requires="wps">
          <w:drawing>
            <wp:anchor distT="0" distB="0" distL="114298" distR="114298" simplePos="0" relativeHeight="36" behindDoc="0" locked="0" layoutInCell="1" hidden="0" allowOverlap="1">
              <wp:simplePos x="0" y="0"/>
              <wp:positionH relativeFrom="margin">
                <wp:align>right</wp:align>
              </wp:positionH>
              <wp:positionV relativeFrom="paragraph">
                <wp:posOffset>0</wp:posOffset>
              </wp:positionV>
              <wp:extent cx="247573" cy="131559"/>
              <wp:effectExtent l="0" t="0" r="0" b="0"/>
              <wp:wrapNone/>
              <wp:docPr id="4" name="文本框 8"/>
              <wp:cNvGraphicFramePr>
                <a:graphicFrameLocks noChangeAspect="0"/>
              </wp:cNvGraphicFramePr>
              <a:graphic>
                <a:graphicData uri="http://schemas.microsoft.com/office/word/2010/wordprocessingShape">
                  <wps:wsp>
                    <wps:cNvSpPr/>
                    <wps:spPr>
                      <a:xfrm rot="0">
                        <a:off x="0" y="0"/>
                        <a:ext cx="247573" cy="131559"/>
                      </a:xfrm>
                      <a:prstGeom prst="rect"/>
                      <a:noFill/>
                      <a:ln w="6350" cmpd="sng" cap="flat">
                        <a:noFill/>
                        <a:prstDash val="solid"/>
                        <a:round/>
                      </a:ln>
                    </wps:spPr>
                    <wps:txbx id="5">
                      <w:txbxContent>
                        <w:p>
                          <w:pPr>
                            <w:pStyle w:val="21"/>
                            <w:tabs>
                              <w:tab w:val="center" w:pos="4153"/>
                              <w:tab w:val="right" w:pos="8306"/>
                            </w:tabs>
                          </w:pPr>
                          <w:r>
                            <w:fldChar w:fldCharType="begin"/>
                          </w:r>
                          <w:r>
                            <w:instrText xml:space="preserve"> PAGE  \* MERGEFORMAT </w:instrText>
                          </w:r>
                          <w:r>
                            <w:fldChar w:fldCharType="separate"/>
                          </w:r>
                          <w:r>
                            <w:t>- 2 -</w:t>
                          </w:r>
                          <w:r>
                            <w:fldChar w:fldCharType="end"/>
                          </w:r>
                        </w:p>
                      </w:txbxContent>
                    </wps:txbx>
                    <wps:bodyPr vert="horz" wrap="none" lIns="0" tIns="0" rIns="0" bIns="0" anchor="t" anchorCtr="0" upright="0">
                      <a:spAutoFit/>
                    </wps:bodyPr>
                  </wps:wsp>
                </a:graphicData>
              </a:graphic>
            </wp:anchor>
          </w:drawing>
        </mc:Choice>
        <mc:Fallback>
          <w:pict>
            <v:shape type="#_x0000_t202" id="文本框 8 6" o:spid="_x0000_s6" filled="f" stroked="f" strokeweight="0.5pt" style="position:absolute;margin-left:0.0pt;margin-top:0.0pt;width:19.49398pt;height:10.359035pt;z-index:36;mso-position-horizontal:right;mso-position-horizontal-relative:margin;mso-position-vertical:absolute;mso-wrap-distance-left:8.999863pt;mso-wrap-distance-right:8.999863pt;mso-wrap-style:none;">
              <v:stroke color="#000000"/>
              <v:textbox id="856" inset="0mm,0mm,0mm,0mm" o:insetmode="custom" style="layout-flow:horizontal;v-text-anchor:top;mso-fit-shape-to-text:t;">
                <w:txbxContent>
                  <w:p>
                    <w:pPr>
                      <w:pStyle w:val="21"/>
                      <w:tabs>
                        <w:tab w:val="center" w:pos="4153"/>
                        <w:tab w:val="right" w:pos="8306"/>
                      </w:tabs>
                    </w:pPr>
                    <w:r>
                      <w:fldChar w:fldCharType="begin"/>
                    </w:r>
                    <w:r>
                      <w:instrText xml:space="preserve"> PAGE  \* MERGEFORMAT </w:instrText>
                    </w:r>
                    <w:r>
                      <w:fldChar w:fldCharType="separate"/>
                    </w:r>
                    <w:r>
                      <w:t>- 2 -</w:t>
                    </w:r>
                    <w:r>
                      <w:fldChar w:fldCharType="end"/>
                    </w:r>
                  </w:p>
                </w:txbxContent>
              </v:textbox>
            </v:shape>
          </w:pict>
        </mc:Fallback>
      </mc:AlternateContent>
    </w:r>
  </w:p>
  <w:p>
    <w:pPr>
      <w:pStyle w:val="21"/>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2"/>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3BF9DE7"/>
    <w:multiLevelType w:val="singleLevel"/>
    <w:tmpl w:val="83BF9DE7"/>
    <w:lvl w:ilvl="0">
      <w:start w:val="2"/>
      <w:numFmt w:val="chineseCounting"/>
      <w:lvlRestart w:val="0"/>
      <w:suff w:val="nothing"/>
      <w:lvlText w:val="（%1）"/>
      <w:lvlJc w:val="left"/>
      <w:pPr>
        <w:ind w:left="0" w:hanging="0"/>
      </w:pPr>
      <w:rPr>
        <w:rFonts w:hint="eastAsia"/>
      </w:rPr>
    </w:lvl>
  </w:abstractNum>
  <w:abstractNum w:abstractNumId="1">
    <w:nsid w:val="F1EF8BA0"/>
    <w:multiLevelType w:val="singleLevel"/>
    <w:tmpl w:val="F1EF8BA0"/>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6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footnote text"/>
    <w:basedOn w:val="0"/>
    <w:next w:val="17"/>
    <w:pPr>
      <w:snapToGrid w:val="0"/>
      <w:jc w:val="left"/>
    </w:pPr>
    <w:rPr>
      <w:sz w:val="18"/>
      <w:szCs w:val="18"/>
    </w:rPr>
  </w:style>
  <w:style w:type="paragraph" w:styleId="16">
    <w:name w:val="Body Text Indent"/>
    <w:basedOn w:val="0"/>
    <w:next w:val="17"/>
    <w:pPr>
      <w:spacing w:after="120"/>
      <w:ind w:leftChars="200" w:left="200"/>
    </w:pPr>
    <w:rPr>
      <w:rFonts w:ascii="仿宋_GB2312" w:hAnsi="仿宋_GB2312"/>
      <w:szCs w:val="32"/>
    </w:rPr>
  </w:style>
  <w:style w:type="paragraph" w:styleId="17">
    <w:name w:val="Body Text First Indent 2"/>
    <w:basedOn w:val="16"/>
    <w:pPr>
      <w:ind w:firstLineChars="200" w:firstLine="200"/>
    </w:pPr>
  </w:style>
  <w:style w:type="paragraph" w:styleId="18">
    <w:name w:val="Body Text"/>
    <w:basedOn w:val="0"/>
    <w:pPr>
      <w:spacing w:beforeLines="30" w:before="30"/>
    </w:pPr>
    <w:rPr>
      <w:rFonts w:ascii="仿宋_GB2312" w:eastAsia="仿宋_GB2312"/>
      <w:kern w:val="0"/>
      <w:sz w:val="30"/>
    </w:rPr>
  </w:style>
  <w:style w:type="paragraph" w:styleId="19">
    <w:name w:val="toc 3"/>
    <w:basedOn w:val="0"/>
    <w:next w:val="0"/>
    <w:pPr>
      <w:tabs>
        <w:tab w:val="right" w:leader="dot" w:pos="8296"/>
      </w:tabs>
      <w:ind w:leftChars="400" w:left="400"/>
    </w:pPr>
  </w:style>
  <w:style w:type="paragraph" w:styleId="20">
    <w:name w:val="Balloon Text"/>
    <w:basedOn w:val="0"/>
    <w:rPr>
      <w:sz w:val="18"/>
      <w:szCs w:val="18"/>
    </w:rPr>
  </w:style>
  <w:style w:type="paragraph" w:styleId="21">
    <w:name w:val="footer"/>
    <w:basedOn w:val="0"/>
    <w:pPr>
      <w:tabs>
        <w:tab w:val="center" w:pos="4153"/>
        <w:tab w:val="right" w:pos="8306"/>
      </w:tabs>
      <w:snapToGrid w:val="0"/>
      <w:jc w:val="left"/>
    </w:pPr>
    <w:rPr>
      <w:rFonts w:ascii="Calibri" w:hAnsi="Calibri"/>
      <w:kern w:val="0"/>
      <w:sz w:val="18"/>
      <w:szCs w:val="18"/>
    </w:rPr>
  </w:style>
  <w:style w:type="paragraph" w:styleId="22">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3">
    <w:name w:val="toc 1"/>
    <w:basedOn w:val="0"/>
    <w:next w:val="0"/>
    <w:pPr>
      <w:tabs>
        <w:tab w:val="right" w:leader="dot" w:pos="8296"/>
      </w:tabs>
      <w:spacing w:before="93"/>
      <w:jc w:val="center"/>
    </w:pPr>
    <w:rPr>
      <w:rFonts w:ascii="仿宋" w:eastAsia="仿宋"/>
      <w:sz w:val="28"/>
      <w:szCs w:val="28"/>
    </w:rPr>
  </w:style>
  <w:style w:type="paragraph" w:styleId="24">
    <w:name w:val="toc 2"/>
    <w:basedOn w:val="0"/>
    <w:next w:val="0"/>
    <w:pPr>
      <w:tabs>
        <w:tab w:val="right" w:leader="dot" w:pos="8296"/>
      </w:tabs>
      <w:ind w:leftChars="200" w:left="200"/>
    </w:pPr>
  </w:style>
  <w:style w:type="character" w:styleId="25">
    <w:name w:val="Strong"/>
    <w:basedOn w:val="10"/>
    <w:rPr>
      <w:b/>
    </w:rPr>
  </w:style>
  <w:style w:type="character" w:styleId="26">
    <w:name w:val="Hyperlink"/>
    <w:basedOn w:val="10"/>
    <w:rPr>
      <w:color w:val="0000FF"/>
      <w:u w:val="single"/>
    </w:rPr>
  </w:style>
  <w:style w:type="paragraph" w:customStyle="1" w:styleId="27">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4">
    <w:name w:val="TOC 标题2"/>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5">
    <w:name w:val="四号正文"/>
    <w:basedOn w:val="0"/>
    <w:pPr>
      <w:spacing w:line="360" w:lineRule="auto"/>
    </w:pPr>
    <w:rPr>
      <w:rFonts w:ascii="??" w:hAnsi="??"/>
      <w:color w:val="000000"/>
      <w:kern w:val="0"/>
      <w:sz w:val="28"/>
      <w:szCs w:val="21"/>
      <w:lang w:val="zh-CN"/>
    </w:rPr>
  </w:style>
  <w:style w:type="paragraph" w:customStyle="1" w:styleId="36">
    <w:name w:val="toc 11"/>
    <w:next w:val="0"/>
    <w:pPr>
      <w:wordWrap w:val="0"/>
      <w:jc w:val="both"/>
    </w:pPr>
    <w:rPr>
      <w:rFonts w:ascii="宋体" w:eastAsia="Times New Roman" w:cs="Times New Roman" w:hAnsi="宋体"/>
      <w:sz w:val="21"/>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footer" Target="footer5.xml"/><Relationship Id="rId9" Type="http://schemas.openxmlformats.org/officeDocument/2006/relationships/footer" Target="footer6.xml"/><Relationship Id="rId10" Type="http://schemas.openxmlformats.org/officeDocument/2006/relationships/chart" Target="charts/chart1.xml"/><Relationship Id="rId11" Type="http://schemas.openxmlformats.org/officeDocument/2006/relationships/chart" Target="charts/chart2.xml"/><Relationship Id="rId12" Type="http://schemas.openxmlformats.org/officeDocument/2006/relationships/chart" Target="charts/chart3.xml"/><Relationship Id="rId13" Type="http://schemas.openxmlformats.org/officeDocument/2006/relationships/chart" Target="charts/chart4.xml"/><Relationship Id="rId14" Type="http://schemas.openxmlformats.org/officeDocument/2006/relationships/chart" Target="charts/chart5.xml"/><Relationship Id="rId15" Type="http://schemas.openxmlformats.org/officeDocument/2006/relationships/chart" Target="charts/chart6.xml"/><Relationship Id="rId16" Type="http://schemas.openxmlformats.org/officeDocument/2006/relationships/chart" Target="charts/chart7.xml"/><Relationship Id="rId17" Type="http://schemas.openxmlformats.org/officeDocument/2006/relationships/styles" Target="styles.xml"/><Relationship Id="rId18" Type="http://schemas.openxmlformats.org/officeDocument/2006/relationships/numbering" Target="numbering.xml"/><Relationship Id="rId1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收入、支出决算总计变动情况图</a:t>
            </a:r>
          </a:p>
        </c:rich>
      </c:tx>
      <c:layout/>
      <c:overlay val="0"/>
      <c:spPr>
        <a:noFill/>
        <a:ln>
          <a:noFill/>
        </a:ln>
      </c:spPr>
    </c:title>
    <c:autoTitleDeleted val="1"/>
    <c:plotArea>
      <c:layout/>
      <c:barChart>
        <c:barDir val="col"/>
        <c:grouping val="clustered"/>
        <c:varyColors val="0"/>
        <c:ser>
          <c:idx val="0"/>
          <c:order val="0"/>
          <c:tx>
            <c:strRef>
              <c:f>'Sheet1'!$B$1</c:f>
              <c:strCache>
                <c:ptCount val="1"/>
                <c:pt idx="0">
                  <c:v>2023年</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收入决算数</c:v>
                </c:pt>
                <c:pt idx="1">
                  <c:v>支出决算数</c:v>
                </c:pt>
              </c:strCache>
            </c:strRef>
          </c:cat>
          <c:val>
            <c:numRef>
              <c:f>'Sheet1'!$B$2:$B$3</c:f>
              <c:numCache>
                <c:formatCode>General</c:formatCode>
                <c:ptCount val="2"/>
                <c:pt idx="0">
                  <c:v>31279.8</c:v>
                </c:pt>
                <c:pt idx="1">
                  <c:v>31279.8</c:v>
                </c:pt>
              </c:numCache>
            </c:numRef>
          </c:val>
        </c:ser>
        <c:ser>
          <c:idx val="1"/>
          <c:order val="1"/>
          <c:tx>
            <c:strRef>
              <c:f>'Sheet1'!$C$1</c:f>
              <c:strCache>
                <c:ptCount val="1"/>
                <c:pt idx="0">
                  <c:v>2024年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收入决算数</c:v>
                </c:pt>
                <c:pt idx="1">
                  <c:v>支出决算数</c:v>
                </c:pt>
              </c:strCache>
            </c:strRef>
          </c:cat>
          <c:val>
            <c:numRef>
              <c:f>'Sheet1'!$C$2:$C$3</c:f>
              <c:numCache>
                <c:formatCode>General</c:formatCode>
                <c:ptCount val="2"/>
                <c:pt idx="0">
                  <c:v>33561.04</c:v>
                </c:pt>
                <c:pt idx="1">
                  <c:v>33561.04</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收入决算数</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Pos val="outEnd"/>
            <c:showLegendKey val="0"/>
            <c:showVal val="1"/>
            <c:showCatName val="0"/>
            <c:showSerName val="0"/>
            <c:showPercent val="1"/>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33256.31</c:v>
                </c:pt>
                <c:pt idx="1">
                  <c:v>13.95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支出决算数</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dLblPos val="outEnd"/>
            <c:showLegendKey val="0"/>
            <c:showVal val="1"/>
            <c:showCatName val="0"/>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23168.27</c:v>
                </c:pt>
                <c:pt idx="1">
                  <c:v>10096.38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strRef>
              <c:f>'Sheet1 (4)'!$B$1</c:f>
              <c:strCache>
                <c:ptCount val="1"/>
                <c:pt idx="0">
                  <c:v>2023年</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财政拨款收入决算数</c:v>
                </c:pt>
                <c:pt idx="1">
                  <c:v>财政拨款支出决算数</c:v>
                </c:pt>
              </c:strCache>
            </c:strRef>
          </c:cat>
          <c:val>
            <c:numRef>
              <c:f>'Sheet1 (4)'!$B$2:$B$3</c:f>
              <c:numCache>
                <c:formatCode>General</c:formatCode>
                <c:ptCount val="2"/>
                <c:pt idx="0">
                  <c:v>30939.63</c:v>
                </c:pt>
                <c:pt idx="1">
                  <c:v>30939.63</c:v>
                </c:pt>
              </c:numCache>
            </c:numRef>
          </c:val>
        </c:ser>
        <c:ser>
          <c:idx val="1"/>
          <c:order val="1"/>
          <c:tx>
            <c:strRef>
              <c:f>'Sheet1 (4)'!$C$1</c:f>
              <c:strCache>
                <c:ptCount val="1"/>
                <c:pt idx="0">
                  <c:v>2024年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(4)'!$A$2:$A$3</c:f>
              <c:strCache>
                <c:ptCount val="2"/>
                <c:pt idx="0">
                  <c:v>财政拨款收入决算数</c:v>
                </c:pt>
                <c:pt idx="1">
                  <c:v>财政拨款支出决算数</c:v>
                </c:pt>
              </c:strCache>
            </c:strRef>
          </c:cat>
          <c:val>
            <c:numRef>
              <c:f>'Sheet1 (4)'!$C$2:$C$3</c:f>
              <c:numCache>
                <c:formatCode>General</c:formatCode>
                <c:ptCount val="2"/>
                <c:pt idx="0">
                  <c:v>33256.31</c:v>
                </c:pt>
                <c:pt idx="1">
                  <c:v>33256.31</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一般公共预算财政拨款支出决算变动情况</a:t>
            </a:r>
          </a:p>
        </c:rich>
      </c:tx>
      <c:layout/>
      <c:overlay val="0"/>
      <c:spPr>
        <a:noFill/>
        <a:ln>
          <a:noFill/>
        </a:ln>
      </c:spPr>
    </c:title>
    <c:autoTitleDeleted val="1"/>
    <c:plotArea>
      <c:layout/>
      <c:barChart>
        <c:barDir val="col"/>
        <c:grouping val="clustered"/>
        <c:varyColors val="0"/>
        <c:ser>
          <c:idx val="0"/>
          <c:order val="0"/>
          <c:tx>
            <c:strRef>
              <c:f>'Sheet1 (5)'!$B$1</c:f>
              <c:strCache>
                <c:ptCount val="1"/>
                <c:pt idx="0">
                  <c:v>2023年</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(5)'!$A$2</c:f>
              <c:numCache>
                <c:ptCount val="1"/>
              </c:numCache>
            </c:numRef>
          </c:cat>
          <c:val>
            <c:numRef>
              <c:f>Sheet1 (5)!$B$2</c:f>
              <c:numCache>
                <c:formatCode>General</c:formatCode>
                <c:ptCount val="1"/>
                <c:pt idx="0">
                  <c:v>30939.63</c:v>
                </c:pt>
              </c:numCache>
            </c:numRef>
          </c:val>
        </c:ser>
        <c:ser>
          <c:idx val="1"/>
          <c:order val="1"/>
          <c:tx>
            <c:strRef>
              <c:f>'Sheet1 (5)'!$C$1</c:f>
              <c:strCache>
                <c:ptCount val="1"/>
                <c:pt idx="0">
                  <c:v>2024年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(5)'!$A$2</c:f>
              <c:numCache>
                <c:ptCount val="1"/>
              </c:numCache>
            </c:numRef>
          </c:cat>
          <c:val>
            <c:numRef>
              <c:f>Sheet1 (5)!$C$2</c:f>
              <c:numCache>
                <c:formatCode>General</c:formatCode>
                <c:ptCount val="1"/>
                <c:pt idx="0">
                  <c:v>33256.31</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列1</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pPr>
              <a:solidFill>
                <a:srgbClr val="FFFFFF"/>
              </a:solidFill>
              <a:ln w="6350">
                <a:solidFill>
                  <a:srgbClr val="BFBFBF"/>
                </a:solidFill>
                <a:prstDash val="solid"/>
              </a:ln>
            </c:spPr>
            <c:txPr>
              <a:bodyPr vert="horz"/>
              <a:lstStyle/>
              <a:p>
                <a:pPr>
                  <a:defRPr sz="900" b="0" i="0" u="none" strike="noStrike" baseline="0">
                    <a:solidFill>
                      <a:srgbClr val="595959"/>
                    </a:solidFill>
                    <a:latin typeface="Times New Roman"/>
                    <a:ea typeface="宋体"/>
                    <a:cs typeface="Lucida Sans"/>
                  </a:defRPr>
                </a:pPr>
                <a:endParaRPr lang="zh-CN"/>
              </a:p>
            </c:txPr>
            <c:numFmt formatCode="0%" sourceLinked="0"/>
            <c:dLbl>
              <c:idx val="1"/>
              <c:layout>
                <c:manualLayout>
                  <c:x val="-0.055381652"/>
                  <c:y val="0.090815276"/>
                </c:manualLayout>
              </c:layout>
              <c:spPr>
                <a:solidFill>
                  <a:srgbClr val="FFFFFF"/>
                </a:solidFill>
                <a:ln w="6350">
                  <a:solidFill>
                    <a:srgbClr val="BFBFBF"/>
                  </a:solidFill>
                  <a:prstDash val="solid"/>
                </a:ln>
              </c:spPr>
              <c:txPr>
                <a:bodyPr vert="horz"/>
                <a:lstStyle/>
                <a:p>
                  <a:pPr>
                    <a:defRPr sz="900" b="0" i="0" u="none" strike="noStrike" baseline="0">
                      <a:solidFill>
                        <a:srgbClr val="595959"/>
                      </a:solidFill>
                      <a:latin typeface="Times New Roman"/>
                      <a:ea typeface="宋体"/>
                      <a:cs typeface="Lucida Sans"/>
                    </a:defRPr>
                  </a:pPr>
                  <a:endParaRPr lang="zh-CN"/>
                </a:p>
              </c:txPr>
              <c:dLblPos val="bestFit"/>
              <c:showLegendKey val="0"/>
              <c:showVal val="0"/>
              <c:showCatName val="1"/>
              <c:showSerName val="0"/>
              <c:showPercent val="1"/>
              <c:showBubbleSize val="0"/>
              <c:separator>
</c:separator>
            </c:dLbl>
            <c:dLbl>
              <c:idx val="3"/>
              <c:layout>
                <c:manualLayout>
                  <c:x val="0.10353961"/>
                  <c:y val="0.004127967"/>
                </c:manualLayout>
              </c:layout>
              <c:spPr>
                <a:solidFill>
                  <a:srgbClr val="FFFFFF"/>
                </a:solidFill>
                <a:ln w="6350">
                  <a:solidFill>
                    <a:srgbClr val="BFBFBF"/>
                  </a:solidFill>
                  <a:prstDash val="solid"/>
                </a:ln>
              </c:spPr>
              <c:txPr>
                <a:bodyPr vert="horz"/>
                <a:lstStyle/>
                <a:p>
                  <a:pPr>
                    <a:defRPr sz="900" b="0" i="0" u="none" strike="noStrike" baseline="0">
                      <a:solidFill>
                        <a:srgbClr val="595959"/>
                      </a:solidFill>
                      <a:latin typeface="Times New Roman"/>
                      <a:ea typeface="宋体"/>
                      <a:cs typeface="Lucida Sans"/>
                    </a:defRPr>
                  </a:pPr>
                  <a:endParaRPr lang="zh-CN"/>
                </a:p>
              </c:txPr>
              <c:dLblPos val="bestFit"/>
              <c:showLegendKey val="0"/>
              <c:showVal val="0"/>
              <c:showCatName val="1"/>
              <c:showSerName val="0"/>
              <c:showPercent val="1"/>
              <c:showBubbleSize val="0"/>
              <c:separator>
</c:separator>
            </c:dLbl>
            <c:dLblPos val="outEnd"/>
            <c:showLegendKey val="0"/>
            <c:showVal val="0"/>
            <c:showCatName val="1"/>
            <c:showSerName val="0"/>
            <c:showPercent val="1"/>
            <c:showBubbleSize val="0"/>
            <c:showLeaderLines val="0"/>
          </c:dLbls>
          <c:cat>
            <c:strRef>
              <c:f>'Sheet1 (6)'!$A$2:$A$5</c:f>
              <c:strCache>
                <c:ptCount val="4"/>
                <c:pt idx="0">
                  <c:v>公共安全支出</c:v>
                </c:pt>
                <c:pt idx="1">
                  <c:v>社会保障和就业支出</c:v>
                </c:pt>
                <c:pt idx="2">
                  <c:v>卫生健康支出</c:v>
                </c:pt>
                <c:pt idx="3">
                  <c:v>住房保障支出</c:v>
                </c:pt>
              </c:strCache>
            </c:strRef>
          </c:cat>
          <c:val>
            <c:numRef>
              <c:f>'Sheet1 (6)'!$B$2:$B$5</c:f>
              <c:numCache>
                <c:formatCode>General</c:formatCode>
                <c:ptCount val="4"/>
                <c:pt idx="0">
                  <c:v>28248.68</c:v>
                </c:pt>
                <c:pt idx="1">
                  <c:v>2454.63</c:v>
                </c:pt>
                <c:pt idx="2">
                  <c:v>1077.04</c:v>
                </c:pt>
                <c:pt idx="3">
                  <c:v>1475.95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列1</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numFmt formatCode="0%" sourceLinked="0"/>
            <c:showLegendKey val="0"/>
            <c:showVal val="1"/>
            <c:showCatName val="0"/>
            <c:showSerName val="0"/>
            <c:showPercent val="1"/>
            <c:showBubbleSize val="0"/>
            <c:showLeaderLines val="1"/>
          </c:dLbls>
          <c:cat>
            <c:strRef>
              <c:f>'Sheet1 (7)'!$A$2:$A$4</c:f>
              <c:strCache>
                <c:ptCount val="3"/>
                <c:pt idx="0">
                  <c:v>公务用车购置</c:v>
                </c:pt>
                <c:pt idx="1">
                  <c:v>公务用车运行维护</c:v>
                </c:pt>
                <c:pt idx="2">
                  <c:v>公务接待</c:v>
                </c:pt>
              </c:strCache>
            </c:strRef>
          </c:cat>
          <c:val>
            <c:numRef>
              <c:f>'Sheet1 (7)'!$B$2:$B$4</c:f>
              <c:numCache>
                <c:formatCode>General</c:formatCode>
                <c:ptCount val="3"/>
                <c:pt idx="0">
                  <c:v>429.48</c:v>
                </c:pt>
                <c:pt idx="1">
                  <c:v>486.08</c:v>
                </c:pt>
                <c:pt idx="2">
                  <c:v>1.62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30</TotalTime>
  <Application>Yozo_Office27021597764231179</Application>
  <Pages>38</Pages>
  <Words>15254</Words>
  <Characters>17391</Characters>
  <Lines>954</Lines>
  <Paragraphs>349</Paragraphs>
  <CharactersWithSpaces>17539</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user</cp:lastModifiedBy>
  <cp:revision>2</cp:revision>
  <cp:lastPrinted>2025-08-06T17:34:00Z</cp:lastPrinted>
  <dcterms:created xsi:type="dcterms:W3CDTF">2025-09-17T09:29:00Z</dcterms:created>
  <dcterms:modified xsi:type="dcterms:W3CDTF">2025-09-23T07:43:21Z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2052-12.1.0.19302</vt:lpwstr>
  </property>
  <property fmtid="{D5CDD505-2E9C-101B-9397-08002B2CF9AE}" pid="3" name="ICV">
    <vt:lpwstr>04787F2533EB45DC91BCDE4AB213247F</vt:lpwstr>
  </property>
</Properties>
</file>