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93"/>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pStyle w:val="2"/>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15378441"/>
      <w:bookmarkStart w:id="3" w:name="_Toc15396475"/>
      <w:bookmarkStart w:id="4" w:name="_Toc15377425"/>
      <w:bookmarkStart w:id="5" w:name="_Toc15377193"/>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96598"/>
      <w:bookmarkStart w:id="7" w:name="_Toc15378442"/>
      <w:bookmarkStart w:id="8" w:name="_Toc15377194"/>
      <w:bookmarkStart w:id="9" w:name="_Toc15377426"/>
      <w:bookmarkStart w:id="10" w:name="_Toc15396476"/>
      <w:r>
        <w:rPr>
          <w:rFonts w:hint="eastAsia" w:ascii="方正小标宋简体" w:hAnsi="方正小标宋简体" w:eastAsia="方正小标宋简体" w:cs="方正小标宋简体"/>
          <w:sz w:val="72"/>
          <w:szCs w:val="72"/>
        </w:rPr>
        <w:t>四川省</w:t>
      </w:r>
      <w:bookmarkEnd w:id="0"/>
      <w:bookmarkStart w:id="11" w:name="_Toc15306268"/>
      <w:r>
        <w:rPr>
          <w:rFonts w:hint="eastAsia" w:ascii="方正小标宋简体" w:hAnsi="方正小标宋简体" w:eastAsia="方正小标宋简体" w:cs="方正小标宋简体"/>
          <w:sz w:val="72"/>
          <w:szCs w:val="72"/>
          <w:lang w:eastAsia="zh-CN"/>
        </w:rPr>
        <w:t>阿坝州强制隔离戒毒所（戒毒人员康复中心）</w:t>
      </w: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p>
    <w:p>
      <w:pPr>
        <w:widowControl/>
        <w:jc w:val="center"/>
        <w:rPr>
          <w:rFonts w:ascii="方正小标宋简体" w:hAnsi="宋体" w:eastAsia="方正小标宋简体"/>
          <w:sz w:val="36"/>
          <w:szCs w:val="36"/>
        </w:rPr>
      </w:pPr>
    </w:p>
    <w:p>
      <w:pPr>
        <w:widowControl/>
        <w:jc w:val="center"/>
        <w:rPr>
          <w:rFonts w:ascii="方正小标宋简体" w:hAnsi="宋体" w:eastAsia="方正小标宋简体"/>
          <w:sz w:val="36"/>
          <w:szCs w:val="36"/>
        </w:rPr>
      </w:pPr>
      <w:bookmarkStart w:id="67" w:name="_GoBack"/>
    </w:p>
    <w:p>
      <w:pPr>
        <w:pStyle w:val="33"/>
        <w:spacing w:before="0" w:beforeAutospacing="0"/>
        <w:jc w:val="center"/>
        <w:rPr>
          <w:rFonts w:hint="eastAsia" w:ascii="宋体" w:hAnsi="宋体" w:eastAsia="宋体" w:cs="宋体"/>
          <w:kern w:val="0"/>
          <w:sz w:val="28"/>
          <w:szCs w:val="28"/>
        </w:rPr>
      </w:pPr>
      <w:r>
        <w:rPr>
          <w:rFonts w:hint="eastAsia" w:ascii="宋体" w:hAnsi="宋体" w:eastAsia="宋体" w:cs="宋体"/>
          <w:kern w:val="0"/>
          <w:sz w:val="28"/>
          <w:szCs w:val="28"/>
          <w:shd w:val="clear" w:color="auto" w:fill="FFFFFF"/>
        </w:rPr>
        <w:t>已经保密审查、内容审定，同意对外公开</w:t>
      </w:r>
    </w:p>
    <w:bookmarkEnd w:id="67"/>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2"/>
      </w:pPr>
      <w:r>
        <w:rPr>
          <w:rFonts w:hint="eastAsia"/>
        </w:rPr>
        <w:t>公开时间：202</w:t>
      </w:r>
      <w:r>
        <w:rPr>
          <w:rFonts w:hint="eastAsia"/>
          <w:lang w:val="en-US" w:eastAsia="zh-CN"/>
        </w:rPr>
        <w:t>4</w:t>
      </w:r>
      <w:r>
        <w:rPr>
          <w:rFonts w:hint="eastAsia"/>
        </w:rPr>
        <w:t>年9月</w:t>
      </w:r>
      <w:r>
        <w:rPr>
          <w:rFonts w:hint="eastAsia"/>
          <w:lang w:val="en-US" w:eastAsia="zh-CN"/>
        </w:rPr>
        <w:t>10</w:t>
      </w:r>
      <w:r>
        <w:rPr>
          <w:rFonts w:hint="eastAsia"/>
        </w:rPr>
        <w:t>日</w:t>
      </w:r>
    </w:p>
    <w:p/>
    <w:p>
      <w:pPr>
        <w:pStyle w:val="12"/>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3"/>
        <w:adjustRightInd w:val="0"/>
        <w:snapToGrid w:val="0"/>
        <w:spacing w:line="440" w:lineRule="exact"/>
        <w:jc w:val="left"/>
        <w:rPr>
          <w:sz w:val="24"/>
        </w:rPr>
      </w:pPr>
      <w:r>
        <w:rPr>
          <w:rFonts w:hint="eastAsia"/>
          <w:sz w:val="24"/>
        </w:rPr>
        <w:t>一、主要职责</w:t>
      </w:r>
    </w:p>
    <w:p>
      <w:pPr>
        <w:pStyle w:val="13"/>
        <w:adjustRightInd w:val="0"/>
        <w:snapToGrid w:val="0"/>
        <w:spacing w:line="440" w:lineRule="exact"/>
        <w:jc w:val="left"/>
      </w:pPr>
      <w:r>
        <w:rPr>
          <w:rFonts w:hint="eastAsia"/>
          <w:sz w:val="24"/>
        </w:rPr>
        <w:t>二、机构设置</w:t>
      </w:r>
    </w:p>
    <w:p>
      <w:pPr>
        <w:pStyle w:val="12"/>
        <w:adjustRightInd w:val="0"/>
        <w:snapToGrid w:val="0"/>
        <w:spacing w:before="0" w:line="440" w:lineRule="exact"/>
        <w:jc w:val="left"/>
        <w:rPr>
          <w:sz w:val="24"/>
          <w:szCs w:val="24"/>
        </w:rPr>
      </w:pPr>
      <w:r>
        <w:rPr>
          <w:rFonts w:hint="eastAsia"/>
          <w:sz w:val="24"/>
        </w:rPr>
        <w:t>第二部分 2023年度单位决算情况说明</w:t>
      </w:r>
    </w:p>
    <w:p>
      <w:pPr>
        <w:pStyle w:val="13"/>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pPr>
        <w:pStyle w:val="13"/>
        <w:adjustRightInd w:val="0"/>
        <w:snapToGrid w:val="0"/>
        <w:spacing w:line="440" w:lineRule="exact"/>
        <w:jc w:val="left"/>
        <w:rPr>
          <w:rFonts w:ascii="仿宋" w:hAnsi="仿宋" w:eastAsia="仿宋" w:cstheme="minorBidi"/>
          <w:sz w:val="24"/>
        </w:rPr>
      </w:pPr>
      <w:r>
        <w:rPr>
          <w:rFonts w:hint="eastAsia"/>
          <w:sz w:val="24"/>
        </w:rPr>
        <w:t>二、收入决算情况说明</w:t>
      </w:r>
    </w:p>
    <w:p>
      <w:pPr>
        <w:pStyle w:val="13"/>
        <w:adjustRightInd w:val="0"/>
        <w:snapToGrid w:val="0"/>
        <w:spacing w:line="440" w:lineRule="exact"/>
        <w:jc w:val="left"/>
        <w:rPr>
          <w:rFonts w:ascii="仿宋" w:hAnsi="仿宋" w:eastAsia="仿宋" w:cstheme="minorBidi"/>
          <w:sz w:val="24"/>
        </w:rPr>
      </w:pPr>
      <w:r>
        <w:rPr>
          <w:rFonts w:hint="eastAsia"/>
          <w:sz w:val="24"/>
        </w:rPr>
        <w:t>三、支出决算情况说明</w:t>
      </w:r>
    </w:p>
    <w:p>
      <w:pPr>
        <w:pStyle w:val="13"/>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3"/>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pPr>
        <w:pStyle w:val="13"/>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pPr>
        <w:pStyle w:val="13"/>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pPr>
        <w:pStyle w:val="13"/>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pPr>
        <w:pStyle w:val="13"/>
        <w:adjustRightInd w:val="0"/>
        <w:snapToGrid w:val="0"/>
        <w:spacing w:line="440" w:lineRule="exact"/>
        <w:jc w:val="left"/>
        <w:rPr>
          <w:sz w:val="24"/>
        </w:rPr>
      </w:pPr>
      <w:r>
        <w:rPr>
          <w:rFonts w:hint="eastAsia"/>
          <w:sz w:val="24"/>
        </w:rPr>
        <w:t>九、国有资本经营预算支出决算情况说明</w:t>
      </w:r>
    </w:p>
    <w:p>
      <w:pPr>
        <w:pStyle w:val="13"/>
        <w:adjustRightInd w:val="0"/>
        <w:snapToGrid w:val="0"/>
        <w:spacing w:line="440" w:lineRule="exact"/>
        <w:jc w:val="left"/>
        <w:rPr>
          <w:sz w:val="24"/>
        </w:rPr>
      </w:pPr>
      <w:r>
        <w:rPr>
          <w:rFonts w:hint="eastAsia"/>
          <w:sz w:val="24"/>
        </w:rPr>
        <w:t>十、其他重要事项的情况说明</w:t>
      </w:r>
    </w:p>
    <w:p>
      <w:pPr>
        <w:pStyle w:val="12"/>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2"/>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2"/>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3"/>
        <w:adjustRightInd w:val="0"/>
        <w:snapToGrid w:val="0"/>
        <w:spacing w:line="440" w:lineRule="exact"/>
        <w:jc w:val="left"/>
        <w:rPr>
          <w:sz w:val="24"/>
        </w:rPr>
      </w:pPr>
      <w:r>
        <w:rPr>
          <w:rFonts w:hint="eastAsia"/>
          <w:sz w:val="24"/>
        </w:rPr>
        <w:t>一、收入支出决算总表</w:t>
      </w:r>
    </w:p>
    <w:p>
      <w:pPr>
        <w:pStyle w:val="13"/>
        <w:adjustRightInd w:val="0"/>
        <w:snapToGrid w:val="0"/>
        <w:spacing w:line="440" w:lineRule="exact"/>
        <w:jc w:val="left"/>
        <w:rPr>
          <w:sz w:val="24"/>
        </w:rPr>
      </w:pPr>
      <w:r>
        <w:rPr>
          <w:rFonts w:hint="eastAsia"/>
          <w:sz w:val="24"/>
        </w:rPr>
        <w:t>二、收入决算表</w:t>
      </w:r>
    </w:p>
    <w:p>
      <w:pPr>
        <w:pStyle w:val="13"/>
        <w:adjustRightInd w:val="0"/>
        <w:snapToGrid w:val="0"/>
        <w:spacing w:line="440" w:lineRule="exact"/>
        <w:jc w:val="left"/>
        <w:rPr>
          <w:sz w:val="24"/>
        </w:rPr>
      </w:pPr>
      <w:r>
        <w:rPr>
          <w:rFonts w:hint="eastAsia"/>
          <w:sz w:val="24"/>
        </w:rPr>
        <w:t>三、支出决算表</w:t>
      </w:r>
    </w:p>
    <w:p>
      <w:pPr>
        <w:pStyle w:val="13"/>
        <w:adjustRightInd w:val="0"/>
        <w:snapToGrid w:val="0"/>
        <w:spacing w:line="440" w:lineRule="exact"/>
        <w:jc w:val="left"/>
        <w:rPr>
          <w:sz w:val="24"/>
        </w:rPr>
      </w:pPr>
      <w:r>
        <w:rPr>
          <w:rFonts w:hint="eastAsia"/>
          <w:sz w:val="24"/>
        </w:rPr>
        <w:t>四、财政拨款收入支出决算总表</w:t>
      </w:r>
    </w:p>
    <w:p>
      <w:pPr>
        <w:pStyle w:val="13"/>
        <w:adjustRightInd w:val="0"/>
        <w:snapToGrid w:val="0"/>
        <w:spacing w:line="440" w:lineRule="exact"/>
        <w:jc w:val="left"/>
        <w:rPr>
          <w:sz w:val="24"/>
        </w:rPr>
      </w:pPr>
      <w:r>
        <w:rPr>
          <w:rFonts w:hint="eastAsia"/>
          <w:sz w:val="24"/>
        </w:rPr>
        <w:t>五、财政拨款支出决算明细表</w:t>
      </w:r>
    </w:p>
    <w:p>
      <w:pPr>
        <w:pStyle w:val="13"/>
        <w:adjustRightInd w:val="0"/>
        <w:snapToGrid w:val="0"/>
        <w:spacing w:line="440" w:lineRule="exact"/>
        <w:jc w:val="left"/>
        <w:rPr>
          <w:sz w:val="24"/>
        </w:rPr>
      </w:pPr>
      <w:r>
        <w:rPr>
          <w:rFonts w:hint="eastAsia"/>
          <w:sz w:val="24"/>
        </w:rPr>
        <w:t>六、一般公共预算财政拨款支出决算表</w:t>
      </w:r>
    </w:p>
    <w:p>
      <w:pPr>
        <w:pStyle w:val="13"/>
        <w:adjustRightInd w:val="0"/>
        <w:snapToGrid w:val="0"/>
        <w:spacing w:line="440" w:lineRule="exact"/>
        <w:jc w:val="left"/>
        <w:rPr>
          <w:sz w:val="24"/>
        </w:rPr>
      </w:pPr>
      <w:r>
        <w:rPr>
          <w:rFonts w:hint="eastAsia"/>
          <w:sz w:val="24"/>
        </w:rPr>
        <w:t>七、一般公共预算财政拨款支出决算明细表</w:t>
      </w:r>
    </w:p>
    <w:p>
      <w:pPr>
        <w:pStyle w:val="13"/>
        <w:adjustRightInd w:val="0"/>
        <w:snapToGrid w:val="0"/>
        <w:spacing w:line="440" w:lineRule="exact"/>
        <w:jc w:val="left"/>
        <w:rPr>
          <w:sz w:val="24"/>
        </w:rPr>
      </w:pPr>
      <w:r>
        <w:rPr>
          <w:rFonts w:hint="eastAsia"/>
          <w:sz w:val="24"/>
        </w:rPr>
        <w:t>八、一般公共预算财政拨款基本支出决算明细表</w:t>
      </w:r>
    </w:p>
    <w:p>
      <w:pPr>
        <w:pStyle w:val="13"/>
        <w:adjustRightInd w:val="0"/>
        <w:snapToGrid w:val="0"/>
        <w:spacing w:line="440" w:lineRule="exact"/>
        <w:jc w:val="left"/>
        <w:rPr>
          <w:sz w:val="24"/>
        </w:rPr>
      </w:pPr>
      <w:r>
        <w:rPr>
          <w:rFonts w:hint="eastAsia"/>
          <w:sz w:val="24"/>
        </w:rPr>
        <w:t>九、一般公共预算财政拨款项目支出决算表</w:t>
      </w:r>
    </w:p>
    <w:p>
      <w:pPr>
        <w:pStyle w:val="13"/>
        <w:adjustRightInd w:val="0"/>
        <w:snapToGrid w:val="0"/>
        <w:spacing w:line="440" w:lineRule="exact"/>
        <w:jc w:val="left"/>
        <w:rPr>
          <w:sz w:val="24"/>
        </w:rPr>
      </w:pPr>
      <w:r>
        <w:rPr>
          <w:rFonts w:hint="eastAsia"/>
          <w:sz w:val="24"/>
        </w:rPr>
        <w:t>十、政府性基金预算财政拨款收入支出决算表</w:t>
      </w:r>
    </w:p>
    <w:p>
      <w:pPr>
        <w:pStyle w:val="13"/>
        <w:adjustRightInd w:val="0"/>
        <w:snapToGrid w:val="0"/>
        <w:spacing w:line="440" w:lineRule="exact"/>
        <w:jc w:val="left"/>
        <w:rPr>
          <w:sz w:val="24"/>
        </w:rPr>
      </w:pPr>
      <w:r>
        <w:rPr>
          <w:rFonts w:hint="eastAsia"/>
          <w:sz w:val="24"/>
        </w:rPr>
        <w:t>十一、国有资本经营预算财政拨款收入支出决算表</w:t>
      </w:r>
    </w:p>
    <w:p>
      <w:pPr>
        <w:pStyle w:val="13"/>
        <w:adjustRightInd w:val="0"/>
        <w:snapToGrid w:val="0"/>
        <w:spacing w:line="440" w:lineRule="exact"/>
        <w:jc w:val="left"/>
        <w:rPr>
          <w:sz w:val="24"/>
        </w:rPr>
      </w:pPr>
      <w:r>
        <w:rPr>
          <w:rFonts w:hint="eastAsia"/>
          <w:sz w:val="24"/>
        </w:rPr>
        <w:t>十二、国有资本经营预算财政拨款支出决算表</w:t>
      </w:r>
    </w:p>
    <w:p>
      <w:pPr>
        <w:pStyle w:val="13"/>
        <w:adjustRightInd w:val="0"/>
        <w:snapToGrid w:val="0"/>
        <w:spacing w:line="440" w:lineRule="exact"/>
        <w:jc w:val="left"/>
        <w:rPr>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pageBreakBefore w:val="0"/>
        <w:kinsoku/>
        <w:wordWrap/>
        <w:overflowPunct/>
        <w:topLinePunct w:val="0"/>
        <w:bidi w:val="0"/>
        <w:adjustRightInd w:val="0"/>
        <w:spacing w:before="0" w:after="0" w:afterAutospacing="0" w:line="576" w:lineRule="exact"/>
        <w:jc w:val="center"/>
        <w:textAlignment w:val="auto"/>
        <w:rPr>
          <w:rStyle w:val="27"/>
          <w:rFonts w:ascii="黑体" w:hAnsi="黑体" w:eastAsia="黑体"/>
          <w:b/>
          <w:bCs w:val="0"/>
        </w:rPr>
      </w:pPr>
      <w:r>
        <w:rPr>
          <w:rFonts w:hint="eastAsia" w:ascii="黑体" w:hAnsi="黑体" w:eastAsia="黑体"/>
          <w:b w:val="0"/>
        </w:rPr>
        <w:t>第一部分 单位</w:t>
      </w:r>
      <w:r>
        <w:rPr>
          <w:rStyle w:val="27"/>
          <w:rFonts w:hint="eastAsia" w:ascii="黑体" w:hAnsi="黑体" w:eastAsia="黑体"/>
          <w:b w:val="0"/>
          <w:bCs w:val="0"/>
        </w:rPr>
        <w:t>概况</w:t>
      </w:r>
      <w:bookmarkEnd w:id="12"/>
      <w:bookmarkEnd w:id="13"/>
    </w:p>
    <w:p>
      <w:pPr>
        <w:pStyle w:val="4"/>
        <w:pageBreakBefore w:val="0"/>
        <w:numPr>
          <w:ilvl w:val="0"/>
          <w:numId w:val="0"/>
        </w:numPr>
        <w:kinsoku/>
        <w:wordWrap/>
        <w:overflowPunct/>
        <w:topLinePunct w:val="0"/>
        <w:autoSpaceDE w:val="0"/>
        <w:autoSpaceDN w:val="0"/>
        <w:bidi w:val="0"/>
        <w:adjustRightInd w:val="0"/>
        <w:spacing w:before="0" w:after="0" w:afterAutospacing="0" w:line="576" w:lineRule="exact"/>
        <w:ind w:firstLine="640" w:firstLineChars="200"/>
        <w:textAlignment w:val="auto"/>
        <w:rPr>
          <w:rStyle w:val="28"/>
          <w:rFonts w:ascii="黑体" w:hAnsi="黑体" w:eastAsia="黑体"/>
          <w:b w:val="0"/>
          <w:bCs w:val="0"/>
        </w:rPr>
      </w:pPr>
      <w:bookmarkStart w:id="14" w:name="_Toc15396600"/>
      <w:bookmarkStart w:id="15" w:name="_Toc15377197"/>
      <w:r>
        <w:rPr>
          <w:rStyle w:val="28"/>
          <w:rFonts w:hint="eastAsia" w:ascii="黑体" w:hAnsi="黑体" w:eastAsia="黑体"/>
          <w:b w:val="0"/>
          <w:bCs w:val="0"/>
          <w:lang w:eastAsia="zh-CN"/>
        </w:rPr>
        <w:t>一、</w:t>
      </w:r>
      <w:r>
        <w:rPr>
          <w:rStyle w:val="28"/>
          <w:rFonts w:hint="eastAsia" w:ascii="黑体" w:hAnsi="黑体" w:eastAsia="黑体"/>
          <w:b w:val="0"/>
          <w:bCs w:val="0"/>
        </w:rPr>
        <w:t>主要职责</w:t>
      </w:r>
    </w:p>
    <w:p>
      <w:pPr>
        <w:pStyle w:val="33"/>
        <w:keepNext w:val="0"/>
        <w:keepLines w:val="0"/>
        <w:pageBreakBefore w:val="0"/>
        <w:widowControl/>
        <w:suppressLineNumbers w:val="0"/>
        <w:kinsoku/>
        <w:wordWrap/>
        <w:overflowPunct/>
        <w:topLinePunct w:val="0"/>
        <w:bidi w:val="0"/>
        <w:adjustRightInd w:val="0"/>
        <w:spacing w:before="0" w:beforeAutospacing="0" w:after="0" w:afterAutospacing="0" w:line="576" w:lineRule="exact"/>
        <w:ind w:left="0" w:firstLine="321" w:firstLineChars="100"/>
        <w:jc w:val="left"/>
        <w:textAlignment w:val="auto"/>
        <w:outlineLvl w:val="2"/>
        <w:rPr>
          <w:rFonts w:hint="eastAsia" w:ascii="楷体" w:hAnsi="楷体" w:eastAsia="楷体" w:cs="楷体"/>
          <w:b/>
          <w:bCs/>
          <w:kern w:val="0"/>
          <w:sz w:val="32"/>
          <w:szCs w:val="32"/>
          <w:shd w:val="clear" w:color="auto" w:fill="FFFFFF"/>
        </w:rPr>
      </w:pPr>
      <w:r>
        <w:rPr>
          <w:rFonts w:hint="eastAsia" w:ascii="楷体" w:hAnsi="楷体" w:eastAsia="楷体" w:cs="楷体"/>
          <w:b/>
          <w:bCs/>
          <w:kern w:val="0"/>
          <w:sz w:val="32"/>
          <w:szCs w:val="32"/>
          <w:shd w:val="clear" w:color="auto" w:fill="FFFFFF"/>
        </w:rPr>
        <w:t>（一）主要职能</w:t>
      </w:r>
    </w:p>
    <w:p>
      <w:pPr>
        <w:pStyle w:val="33"/>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576" w:lineRule="exact"/>
        <w:ind w:left="0" w:right="0" w:firstLine="640" w:firstLineChars="200"/>
        <w:jc w:val="left"/>
        <w:textAlignment w:val="auto"/>
        <w:rPr>
          <w:rFonts w:hint="eastAsia" w:ascii="仿宋" w:hAnsi="仿宋" w:eastAsia="仿宋"/>
          <w:sz w:val="32"/>
          <w:szCs w:val="32"/>
        </w:rPr>
      </w:pPr>
      <w:r>
        <w:rPr>
          <w:rFonts w:hint="eastAsia" w:ascii="仿宋" w:hAnsi="仿宋" w:eastAsia="仿宋"/>
          <w:sz w:val="32"/>
          <w:szCs w:val="32"/>
        </w:rPr>
        <w:t>1.负责吸毒人员查处、收戒、管控工作，做好吸毒人员动态管控；</w:t>
      </w:r>
    </w:p>
    <w:p>
      <w:pPr>
        <w:pStyle w:val="33"/>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576" w:lineRule="exact"/>
        <w:ind w:left="0" w:right="0" w:firstLine="640" w:firstLineChars="200"/>
        <w:jc w:val="left"/>
        <w:textAlignment w:val="auto"/>
        <w:rPr>
          <w:rFonts w:hint="eastAsia" w:ascii="仿宋" w:hAnsi="仿宋" w:eastAsia="仿宋"/>
          <w:sz w:val="32"/>
          <w:szCs w:val="32"/>
        </w:rPr>
      </w:pPr>
      <w:r>
        <w:rPr>
          <w:rFonts w:hint="eastAsia" w:ascii="仿宋" w:hAnsi="仿宋" w:eastAsia="仿宋"/>
          <w:sz w:val="32"/>
          <w:szCs w:val="32"/>
        </w:rPr>
        <w:t>2.负责吸毒人员服务管理工作，做好自愿戒毒、强制隔离戒毒工作，落实戒毒康复工作；</w:t>
      </w:r>
    </w:p>
    <w:p>
      <w:pPr>
        <w:pStyle w:val="33"/>
        <w:keepNext w:val="0"/>
        <w:keepLines w:val="0"/>
        <w:pageBreakBefore w:val="0"/>
        <w:widowControl/>
        <w:suppressLineNumbers w:val="0"/>
        <w:kinsoku/>
        <w:wordWrap/>
        <w:overflowPunct/>
        <w:topLinePunct w:val="0"/>
        <w:bidi w:val="0"/>
        <w:adjustRightInd w:val="0"/>
        <w:snapToGrid w:val="0"/>
        <w:spacing w:before="0" w:beforeAutospacing="0" w:after="0" w:afterAutospacing="0" w:line="576" w:lineRule="exact"/>
        <w:ind w:left="0" w:right="0" w:firstLine="640" w:firstLineChars="200"/>
        <w:jc w:val="left"/>
        <w:textAlignment w:val="auto"/>
        <w:rPr>
          <w:rFonts w:hint="eastAsia" w:ascii="仿宋" w:hAnsi="仿宋" w:eastAsia="仿宋"/>
          <w:sz w:val="32"/>
          <w:szCs w:val="32"/>
        </w:rPr>
      </w:pPr>
      <w:r>
        <w:rPr>
          <w:rFonts w:hint="eastAsia" w:ascii="仿宋" w:hAnsi="仿宋" w:eastAsia="仿宋"/>
          <w:sz w:val="32"/>
          <w:szCs w:val="32"/>
        </w:rPr>
        <w:t>3.负责特殊人群服务管理工作，做好病残吸毒人员的收戒工作；</w:t>
      </w:r>
    </w:p>
    <w:p>
      <w:pPr>
        <w:pStyle w:val="33"/>
        <w:keepNext w:val="0"/>
        <w:keepLines w:val="0"/>
        <w:pageBreakBefore w:val="0"/>
        <w:widowControl/>
        <w:suppressLineNumbers w:val="0"/>
        <w:kinsoku/>
        <w:wordWrap/>
        <w:overflowPunct/>
        <w:topLinePunct w:val="0"/>
        <w:bidi w:val="0"/>
        <w:adjustRightInd w:val="0"/>
        <w:snapToGrid w:val="0"/>
        <w:spacing w:before="0" w:beforeAutospacing="0" w:after="0" w:afterAutospacing="0" w:line="576" w:lineRule="exact"/>
        <w:ind w:left="0" w:right="0" w:firstLine="640" w:firstLineChars="200"/>
        <w:jc w:val="left"/>
        <w:textAlignment w:val="auto"/>
        <w:rPr>
          <w:rFonts w:hint="eastAsia" w:ascii="仿宋" w:hAnsi="仿宋" w:eastAsia="仿宋"/>
          <w:sz w:val="32"/>
          <w:szCs w:val="32"/>
        </w:rPr>
      </w:pPr>
      <w:r>
        <w:rPr>
          <w:rFonts w:hint="eastAsia" w:ascii="仿宋" w:hAnsi="仿宋" w:eastAsia="仿宋"/>
          <w:sz w:val="32"/>
          <w:szCs w:val="32"/>
        </w:rPr>
        <w:t>4.做好吸毒人员信息的维护、更新工作。</w:t>
      </w:r>
    </w:p>
    <w:p>
      <w:pPr>
        <w:pStyle w:val="33"/>
        <w:keepNext w:val="0"/>
        <w:keepLines w:val="0"/>
        <w:pageBreakBefore w:val="0"/>
        <w:widowControl/>
        <w:suppressLineNumbers w:val="0"/>
        <w:kinsoku/>
        <w:wordWrap/>
        <w:overflowPunct/>
        <w:topLinePunct w:val="0"/>
        <w:bidi w:val="0"/>
        <w:adjustRightInd w:val="0"/>
        <w:spacing w:before="0" w:beforeAutospacing="0" w:after="0" w:afterAutospacing="0" w:line="576" w:lineRule="exact"/>
        <w:ind w:left="0" w:firstLine="321" w:firstLineChars="100"/>
        <w:jc w:val="left"/>
        <w:textAlignment w:val="auto"/>
        <w:outlineLvl w:val="2"/>
        <w:rPr>
          <w:rFonts w:hint="eastAsia" w:ascii="楷体" w:hAnsi="楷体" w:eastAsia="楷体" w:cs="楷体"/>
          <w:b/>
          <w:bCs/>
          <w:kern w:val="0"/>
          <w:sz w:val="32"/>
          <w:szCs w:val="32"/>
          <w:shd w:val="clear" w:color="auto" w:fill="FFFFFF"/>
        </w:rPr>
      </w:pPr>
      <w:r>
        <w:rPr>
          <w:rFonts w:hint="eastAsia" w:ascii="楷体" w:hAnsi="楷体" w:eastAsia="楷体" w:cs="楷体"/>
          <w:b/>
          <w:bCs/>
          <w:kern w:val="0"/>
          <w:sz w:val="32"/>
          <w:szCs w:val="32"/>
          <w:shd w:val="clear" w:color="auto" w:fill="FFFFFF"/>
        </w:rPr>
        <w:t>（二）202</w:t>
      </w:r>
      <w:r>
        <w:rPr>
          <w:rFonts w:hint="eastAsia" w:ascii="楷体" w:hAnsi="楷体" w:eastAsia="楷体" w:cs="楷体"/>
          <w:b/>
          <w:bCs/>
          <w:kern w:val="0"/>
          <w:sz w:val="32"/>
          <w:szCs w:val="32"/>
          <w:shd w:val="clear" w:color="auto" w:fill="FFFFFF"/>
          <w:lang w:val="en-US" w:eastAsia="zh-CN"/>
        </w:rPr>
        <w:t>3</w:t>
      </w:r>
      <w:r>
        <w:rPr>
          <w:rFonts w:hint="eastAsia" w:ascii="楷体" w:hAnsi="楷体" w:eastAsia="楷体" w:cs="楷体"/>
          <w:b/>
          <w:bCs/>
          <w:kern w:val="0"/>
          <w:sz w:val="32"/>
          <w:szCs w:val="32"/>
          <w:shd w:val="clear" w:color="auto" w:fill="FFFFFF"/>
        </w:rPr>
        <w:t>年重点工作完成情况</w:t>
      </w:r>
    </w:p>
    <w:p>
      <w:pPr>
        <w:pStyle w:val="33"/>
        <w:keepNext w:val="0"/>
        <w:keepLines w:val="0"/>
        <w:pageBreakBefore w:val="0"/>
        <w:widowControl/>
        <w:suppressLineNumbers w:val="0"/>
        <w:kinsoku/>
        <w:wordWrap/>
        <w:overflowPunct/>
        <w:topLinePunct w:val="0"/>
        <w:bidi w:val="0"/>
        <w:adjustRightInd w:val="0"/>
        <w:spacing w:before="0" w:beforeAutospacing="0" w:after="0" w:afterAutospacing="0" w:line="576" w:lineRule="exact"/>
        <w:ind w:left="0" w:firstLine="640" w:firstLineChars="200"/>
        <w:jc w:val="left"/>
        <w:textAlignment w:val="auto"/>
        <w:outlineLvl w:val="2"/>
      </w:pPr>
      <w:r>
        <w:rPr>
          <w:rFonts w:hint="eastAsia" w:ascii="仿宋" w:hAnsi="仿宋" w:eastAsia="仿宋"/>
          <w:sz w:val="32"/>
          <w:szCs w:val="32"/>
          <w:lang w:val="en-US" w:eastAsia="zh-CN"/>
        </w:rPr>
        <w:t>2023年州强制隔离戒毒所在阿坝州公安局党委的领导下，始终</w:t>
      </w:r>
      <w:r>
        <w:rPr>
          <w:rFonts w:hint="eastAsia" w:ascii="仿宋" w:hAnsi="仿宋" w:eastAsia="仿宋"/>
          <w:sz w:val="32"/>
          <w:szCs w:val="32"/>
        </w:rPr>
        <w:t>把戒毒、康复作为推进禁毒社会化的基础工作深入推进，全面落实戒毒、康复规划，进一步压实工作责任、创新戒毒模式、抓好措施落实，实现</w:t>
      </w:r>
      <w:r>
        <w:rPr>
          <w:rFonts w:hint="eastAsia" w:ascii="仿宋" w:hAnsi="仿宋" w:eastAsia="仿宋"/>
          <w:sz w:val="32"/>
          <w:szCs w:val="32"/>
          <w:lang w:eastAsia="zh-CN"/>
        </w:rPr>
        <w:t>了</w:t>
      </w:r>
      <w:r>
        <w:rPr>
          <w:rFonts w:hint="eastAsia" w:ascii="仿宋" w:hAnsi="仿宋" w:eastAsia="仿宋"/>
          <w:sz w:val="32"/>
          <w:szCs w:val="32"/>
        </w:rPr>
        <w:t xml:space="preserve">戒毒、康复全覆盖和戒毒、康复执行率、管控率、戒毒巩固率大幅提升的目标，努力提升全州戒毒、康复规范化、信息化、社会化和专业化水平。 </w:t>
      </w:r>
    </w:p>
    <w:p>
      <w:pPr>
        <w:pStyle w:val="4"/>
        <w:pageBreakBefore w:val="0"/>
        <w:kinsoku/>
        <w:wordWrap/>
        <w:overflowPunct/>
        <w:topLinePunct w:val="0"/>
        <w:bidi w:val="0"/>
        <w:adjustRightInd w:val="0"/>
        <w:spacing w:before="0" w:after="0" w:afterAutospacing="0" w:line="576" w:lineRule="exact"/>
        <w:ind w:firstLine="640" w:firstLineChars="200"/>
        <w:textAlignment w:val="auto"/>
        <w:rPr>
          <w:rFonts w:ascii="黑体" w:hAnsi="黑体" w:eastAsia="黑体"/>
          <w:b w:val="0"/>
        </w:rPr>
      </w:pPr>
      <w:r>
        <w:rPr>
          <w:rFonts w:hint="eastAsia" w:ascii="黑体" w:hAnsi="黑体" w:eastAsia="黑体"/>
          <w:b w:val="0"/>
        </w:rPr>
        <w:t>二、机构设置</w:t>
      </w:r>
    </w:p>
    <w:bookmarkEnd w:id="14"/>
    <w:bookmarkEnd w:id="15"/>
    <w:p>
      <w:pPr>
        <w:pStyle w:val="33"/>
        <w:keepNext w:val="0"/>
        <w:keepLines w:val="0"/>
        <w:pageBreakBefore w:val="0"/>
        <w:widowControl/>
        <w:suppressLineNumbers w:val="0"/>
        <w:kinsoku/>
        <w:wordWrap/>
        <w:overflowPunct/>
        <w:topLinePunct w:val="0"/>
        <w:bidi w:val="0"/>
        <w:adjustRightInd w:val="0"/>
        <w:spacing w:before="0" w:beforeAutospacing="0" w:after="0" w:afterAutospacing="0" w:line="576" w:lineRule="exact"/>
        <w:ind w:firstLine="723" w:firstLineChars="200"/>
        <w:jc w:val="left"/>
        <w:textAlignment w:val="auto"/>
        <w:outlineLvl w:val="2"/>
        <w:rPr>
          <w:rFonts w:hint="eastAsia" w:ascii="仿宋" w:hAnsi="仿宋" w:eastAsia="仿宋"/>
          <w:sz w:val="32"/>
          <w:szCs w:val="32"/>
        </w:rPr>
      </w:pPr>
      <w:r>
        <w:rPr>
          <w:rFonts w:hint="eastAsia" w:ascii="楷体" w:hAnsi="楷体" w:eastAsia="楷体" w:cs="楷体"/>
          <w:b/>
          <w:bCs/>
          <w:kern w:val="0"/>
          <w:sz w:val="36"/>
          <w:szCs w:val="36"/>
          <w:shd w:val="clear" w:color="auto" w:fill="FFFFFF"/>
          <w:lang w:eastAsia="zh-CN"/>
        </w:rPr>
        <w:t>（一）</w:t>
      </w:r>
      <w:r>
        <w:rPr>
          <w:rFonts w:hint="eastAsia" w:ascii="仿宋" w:hAnsi="仿宋" w:eastAsia="仿宋"/>
          <w:sz w:val="32"/>
          <w:szCs w:val="32"/>
        </w:rPr>
        <w:t xml:space="preserve">本单位本年度纳入本套决算编制范围的独立编制机构数共1个，比上年增加0个；独立核算机构数共1个，比上年增加0个。 </w:t>
      </w:r>
    </w:p>
    <w:p>
      <w:pPr>
        <w:pStyle w:val="33"/>
        <w:keepNext w:val="0"/>
        <w:keepLines w:val="0"/>
        <w:pageBreakBefore w:val="0"/>
        <w:widowControl/>
        <w:suppressLineNumbers w:val="0"/>
        <w:kinsoku/>
        <w:wordWrap/>
        <w:overflowPunct/>
        <w:topLinePunct w:val="0"/>
        <w:bidi w:val="0"/>
        <w:adjustRightInd w:val="0"/>
        <w:spacing w:before="0" w:beforeAutospacing="0" w:after="0" w:afterAutospacing="0" w:line="576" w:lineRule="exact"/>
        <w:ind w:firstLine="723" w:firstLineChars="200"/>
        <w:jc w:val="left"/>
        <w:textAlignment w:val="auto"/>
        <w:outlineLvl w:val="2"/>
        <w:rPr>
          <w:rFonts w:hint="eastAsia" w:ascii="仿宋" w:hAnsi="仿宋" w:eastAsia="仿宋"/>
          <w:sz w:val="32"/>
          <w:szCs w:val="32"/>
        </w:rPr>
      </w:pPr>
      <w:r>
        <w:rPr>
          <w:rFonts w:hint="eastAsia" w:ascii="楷体" w:hAnsi="楷体" w:eastAsia="楷体" w:cs="楷体"/>
          <w:b/>
          <w:bCs/>
          <w:kern w:val="0"/>
          <w:sz w:val="36"/>
          <w:szCs w:val="36"/>
          <w:shd w:val="clear" w:color="auto" w:fill="FFFFFF"/>
          <w:lang w:eastAsia="zh-CN"/>
        </w:rPr>
        <w:t>（二）</w:t>
      </w:r>
      <w:r>
        <w:rPr>
          <w:rFonts w:hint="eastAsia" w:ascii="仿宋" w:hAnsi="仿宋" w:eastAsia="仿宋"/>
          <w:sz w:val="32"/>
          <w:szCs w:val="32"/>
        </w:rPr>
        <w:t>本单位本年度年末实有人数为</w:t>
      </w:r>
      <w:r>
        <w:rPr>
          <w:rFonts w:hint="eastAsia" w:ascii="仿宋" w:hAnsi="仿宋" w:eastAsia="仿宋"/>
          <w:sz w:val="32"/>
          <w:szCs w:val="32"/>
          <w:lang w:val="en-US" w:eastAsia="zh-CN"/>
        </w:rPr>
        <w:t>X</w:t>
      </w:r>
      <w:r>
        <w:rPr>
          <w:rFonts w:hint="eastAsia" w:ascii="仿宋" w:hAnsi="仿宋" w:eastAsia="仿宋"/>
          <w:sz w:val="32"/>
          <w:szCs w:val="32"/>
        </w:rPr>
        <w:t>人，比上年增加0人；年末实有离退休人数为0人，比上年增加0人。年末实有其他人数为0人，比上年增加0人。</w:t>
      </w:r>
    </w:p>
    <w:p>
      <w:pPr>
        <w:pStyle w:val="3"/>
        <w:pageBreakBefore w:val="0"/>
        <w:kinsoku/>
        <w:wordWrap/>
        <w:overflowPunct/>
        <w:topLinePunct w:val="0"/>
        <w:bidi w:val="0"/>
        <w:adjustRightInd w:val="0"/>
        <w:spacing w:before="0" w:after="0" w:afterAutospacing="0" w:line="576" w:lineRule="exact"/>
        <w:ind w:right="440"/>
        <w:jc w:val="center"/>
        <w:textAlignment w:val="auto"/>
        <w:rPr>
          <w:rFonts w:hint="eastAsia" w:ascii="黑体" w:hAnsi="黑体" w:eastAsia="黑体"/>
          <w:b w:val="0"/>
        </w:rPr>
      </w:pPr>
      <w:bookmarkStart w:id="16" w:name="_Toc15396602"/>
      <w:bookmarkStart w:id="17" w:name="_Toc15377204"/>
    </w:p>
    <w:p>
      <w:pPr>
        <w:rPr>
          <w:rFonts w:hint="eastAsia" w:ascii="黑体" w:hAnsi="黑体" w:eastAsia="黑体"/>
          <w:b w:val="0"/>
        </w:rPr>
      </w:pPr>
    </w:p>
    <w:p>
      <w:pPr>
        <w:pStyle w:val="2"/>
        <w:rPr>
          <w:rFonts w:hint="eastAsia" w:ascii="黑体" w:hAnsi="黑体" w:eastAsia="黑体"/>
          <w:b w:val="0"/>
        </w:rPr>
      </w:pPr>
    </w:p>
    <w:p>
      <w:pPr>
        <w:rPr>
          <w:rFonts w:hint="eastAsia" w:ascii="黑体" w:hAnsi="黑体" w:eastAsia="黑体"/>
          <w:b w:val="0"/>
        </w:rPr>
      </w:pPr>
    </w:p>
    <w:p>
      <w:pPr>
        <w:pStyle w:val="2"/>
        <w:rPr>
          <w:rFonts w:hint="eastAsia" w:ascii="黑体" w:hAnsi="黑体" w:eastAsia="黑体"/>
          <w:b w:val="0"/>
        </w:rPr>
      </w:pPr>
    </w:p>
    <w:p>
      <w:pPr>
        <w:rPr>
          <w:rFonts w:hint="eastAsia" w:ascii="黑体" w:hAnsi="黑体" w:eastAsia="黑体"/>
          <w:b w:val="0"/>
        </w:rPr>
      </w:pPr>
    </w:p>
    <w:p>
      <w:pPr>
        <w:pStyle w:val="3"/>
        <w:pageBreakBefore w:val="0"/>
        <w:kinsoku/>
        <w:wordWrap/>
        <w:overflowPunct/>
        <w:topLinePunct w:val="0"/>
        <w:bidi w:val="0"/>
        <w:adjustRightInd w:val="0"/>
        <w:spacing w:before="0" w:after="0" w:afterAutospacing="0" w:line="576" w:lineRule="exact"/>
        <w:ind w:right="440"/>
        <w:jc w:val="center"/>
        <w:textAlignment w:val="auto"/>
        <w:rPr>
          <w:rFonts w:hint="eastAsia" w:ascii="黑体" w:hAnsi="黑体" w:eastAsia="黑体"/>
          <w:b w:val="0"/>
        </w:rPr>
      </w:pPr>
    </w:p>
    <w:p>
      <w:pPr>
        <w:rPr>
          <w:rFonts w:hint="eastAsia" w:ascii="黑体" w:hAnsi="黑体" w:eastAsia="黑体"/>
          <w:b w:val="0"/>
        </w:rPr>
      </w:pPr>
    </w:p>
    <w:p>
      <w:pPr>
        <w:pStyle w:val="2"/>
        <w:rPr>
          <w:rFonts w:hint="eastAsia" w:ascii="黑体" w:hAnsi="黑体" w:eastAsia="黑体"/>
          <w:b w:val="0"/>
        </w:rPr>
      </w:pPr>
    </w:p>
    <w:p>
      <w:pPr>
        <w:rPr>
          <w:rFonts w:hint="eastAsia" w:ascii="黑体" w:hAnsi="黑体" w:eastAsia="黑体"/>
          <w:b w:val="0"/>
        </w:rPr>
      </w:pPr>
    </w:p>
    <w:p>
      <w:pPr>
        <w:pStyle w:val="2"/>
        <w:rPr>
          <w:rFonts w:hint="eastAsia" w:ascii="黑体" w:hAnsi="黑体" w:eastAsia="黑体"/>
          <w:b w:val="0"/>
        </w:rPr>
      </w:pPr>
    </w:p>
    <w:p>
      <w:pPr>
        <w:rPr>
          <w:rFonts w:hint="eastAsia" w:ascii="黑体" w:hAnsi="黑体" w:eastAsia="黑体"/>
          <w:b w:val="0"/>
        </w:rPr>
      </w:pPr>
    </w:p>
    <w:p>
      <w:pPr>
        <w:pStyle w:val="2"/>
        <w:rPr>
          <w:rFonts w:hint="eastAsia" w:ascii="黑体" w:hAnsi="黑体" w:eastAsia="黑体"/>
          <w:b w:val="0"/>
        </w:rPr>
      </w:pPr>
    </w:p>
    <w:p>
      <w:pPr>
        <w:rPr>
          <w:rFonts w:hint="eastAsia" w:ascii="黑体" w:hAnsi="黑体" w:eastAsia="黑体"/>
          <w:b w:val="0"/>
        </w:rPr>
      </w:pPr>
    </w:p>
    <w:p>
      <w:pPr>
        <w:pStyle w:val="3"/>
        <w:pageBreakBefore w:val="0"/>
        <w:kinsoku/>
        <w:wordWrap/>
        <w:overflowPunct/>
        <w:topLinePunct w:val="0"/>
        <w:bidi w:val="0"/>
        <w:adjustRightInd w:val="0"/>
        <w:spacing w:before="0" w:after="0" w:afterAutospacing="0" w:line="576" w:lineRule="exact"/>
        <w:ind w:right="440"/>
        <w:jc w:val="center"/>
        <w:textAlignment w:val="auto"/>
        <w:rPr>
          <w:rFonts w:hint="eastAsia" w:ascii="黑体" w:hAnsi="黑体" w:eastAsia="黑体"/>
          <w:b w:val="0"/>
        </w:rPr>
      </w:pPr>
    </w:p>
    <w:p>
      <w:pPr>
        <w:rPr>
          <w:rFonts w:hint="eastAsia" w:ascii="黑体" w:hAnsi="黑体" w:eastAsia="黑体"/>
          <w:b w:val="0"/>
        </w:rPr>
      </w:pPr>
    </w:p>
    <w:p>
      <w:pPr>
        <w:pStyle w:val="2"/>
        <w:rPr>
          <w:rFonts w:hint="eastAsia" w:ascii="黑体" w:hAnsi="黑体" w:eastAsia="黑体"/>
          <w:b w:val="0"/>
        </w:rPr>
      </w:pPr>
    </w:p>
    <w:p>
      <w:pPr>
        <w:rPr>
          <w:rFonts w:hint="eastAsia"/>
        </w:rPr>
      </w:pPr>
    </w:p>
    <w:p>
      <w:pPr>
        <w:pStyle w:val="3"/>
        <w:pageBreakBefore w:val="0"/>
        <w:kinsoku/>
        <w:wordWrap/>
        <w:overflowPunct/>
        <w:topLinePunct w:val="0"/>
        <w:bidi w:val="0"/>
        <w:adjustRightInd w:val="0"/>
        <w:spacing w:before="0" w:after="0" w:afterAutospacing="0" w:line="576" w:lineRule="exact"/>
        <w:ind w:right="440"/>
        <w:jc w:val="center"/>
        <w:textAlignment w:val="auto"/>
        <w:rPr>
          <w:rFonts w:hint="eastAsia" w:ascii="黑体" w:hAnsi="黑体" w:eastAsia="黑体"/>
          <w:b w:val="0"/>
        </w:rPr>
      </w:pPr>
    </w:p>
    <w:p>
      <w:pPr>
        <w:pStyle w:val="3"/>
        <w:pageBreakBefore w:val="0"/>
        <w:kinsoku/>
        <w:wordWrap/>
        <w:overflowPunct/>
        <w:topLinePunct w:val="0"/>
        <w:bidi w:val="0"/>
        <w:adjustRightInd w:val="0"/>
        <w:spacing w:before="0" w:after="0" w:afterAutospacing="0" w:line="576" w:lineRule="exact"/>
        <w:ind w:right="440"/>
        <w:jc w:val="center"/>
        <w:textAlignment w:val="auto"/>
        <w:rPr>
          <w:rFonts w:hint="eastAsia" w:ascii="黑体" w:hAnsi="黑体" w:eastAsia="黑体"/>
          <w:b w:val="0"/>
        </w:rPr>
      </w:pPr>
    </w:p>
    <w:p>
      <w:pPr>
        <w:rPr>
          <w:rFonts w:hint="eastAsia" w:ascii="黑体" w:hAnsi="黑体" w:eastAsia="黑体"/>
          <w:b w:val="0"/>
        </w:rPr>
      </w:pPr>
    </w:p>
    <w:p>
      <w:pPr>
        <w:pStyle w:val="3"/>
        <w:pageBreakBefore w:val="0"/>
        <w:kinsoku/>
        <w:wordWrap/>
        <w:overflowPunct/>
        <w:topLinePunct w:val="0"/>
        <w:bidi w:val="0"/>
        <w:adjustRightInd w:val="0"/>
        <w:spacing w:before="0" w:after="0" w:afterAutospacing="0" w:line="576" w:lineRule="exact"/>
        <w:ind w:right="440"/>
        <w:jc w:val="center"/>
        <w:textAlignment w:val="auto"/>
        <w:rPr>
          <w:rFonts w:hint="eastAsia" w:ascii="黑体" w:hAnsi="黑体" w:eastAsia="黑体"/>
          <w:b w:val="0"/>
        </w:rPr>
      </w:pPr>
    </w:p>
    <w:p>
      <w:pPr>
        <w:pStyle w:val="3"/>
        <w:pageBreakBefore w:val="0"/>
        <w:kinsoku/>
        <w:wordWrap/>
        <w:overflowPunct/>
        <w:topLinePunct w:val="0"/>
        <w:bidi w:val="0"/>
        <w:adjustRightInd w:val="0"/>
        <w:spacing w:before="0" w:after="0" w:afterAutospacing="0" w:line="576" w:lineRule="exact"/>
        <w:ind w:right="440"/>
        <w:jc w:val="center"/>
        <w:textAlignment w:val="auto"/>
        <w:rPr>
          <w:rStyle w:val="27"/>
          <w:rFonts w:ascii="黑体" w:hAnsi="黑体" w:eastAsia="黑体"/>
          <w:b w:val="0"/>
          <w:bCs/>
        </w:rPr>
      </w:pPr>
      <w:r>
        <w:rPr>
          <w:rFonts w:hint="eastAsia" w:ascii="黑体" w:hAnsi="黑体" w:eastAsia="黑体"/>
          <w:b w:val="0"/>
        </w:rPr>
        <w:t>第二部分 2023年度</w:t>
      </w:r>
      <w:r>
        <w:rPr>
          <w:rStyle w:val="27"/>
          <w:rFonts w:hint="eastAsia" w:ascii="黑体" w:hAnsi="黑体" w:eastAsia="黑体"/>
          <w:b w:val="0"/>
          <w:bCs/>
        </w:rPr>
        <w:t>单位决算情况说明</w:t>
      </w:r>
      <w:bookmarkEnd w:id="16"/>
      <w:bookmarkEnd w:id="17"/>
    </w:p>
    <w:p>
      <w:pPr>
        <w:pageBreakBefore w:val="0"/>
        <w:kinsoku/>
        <w:wordWrap/>
        <w:overflowPunct/>
        <w:topLinePunct w:val="0"/>
        <w:bidi w:val="0"/>
        <w:adjustRightInd w:val="0"/>
        <w:spacing w:afterAutospacing="0" w:line="576" w:lineRule="exact"/>
        <w:textAlignment w:val="auto"/>
      </w:pPr>
    </w:p>
    <w:p>
      <w:pPr>
        <w:pStyle w:val="26"/>
        <w:pageBreakBefore w:val="0"/>
        <w:numPr>
          <w:ilvl w:val="0"/>
          <w:numId w:val="1"/>
        </w:numPr>
        <w:kinsoku/>
        <w:wordWrap/>
        <w:overflowPunct/>
        <w:topLinePunct w:val="0"/>
        <w:bidi w:val="0"/>
        <w:adjustRightInd w:val="0"/>
        <w:spacing w:afterAutospacing="0" w:line="576" w:lineRule="exact"/>
        <w:ind w:firstLineChars="0"/>
        <w:textAlignment w:val="auto"/>
        <w:outlineLvl w:val="1"/>
        <w:rPr>
          <w:rStyle w:val="28"/>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28"/>
          <w:rFonts w:hint="eastAsia" w:ascii="黑体" w:hAnsi="黑体" w:eastAsia="黑体"/>
          <w:b w:val="0"/>
        </w:rPr>
        <w:t>入支出决算总体情况说明</w:t>
      </w:r>
      <w:bookmarkEnd w:id="18"/>
      <w:bookmarkEnd w:id="19"/>
    </w:p>
    <w:p>
      <w:pPr>
        <w:pStyle w:val="33"/>
        <w:keepNext w:val="0"/>
        <w:keepLines w:val="0"/>
        <w:pageBreakBefore w:val="0"/>
        <w:widowControl/>
        <w:suppressLineNumbers w:val="0"/>
        <w:kinsoku/>
        <w:wordWrap/>
        <w:overflowPunct/>
        <w:topLinePunct w:val="0"/>
        <w:bidi w:val="0"/>
        <w:adjustRightInd w:val="0"/>
        <w:snapToGrid w:val="0"/>
        <w:spacing w:before="0" w:beforeAutospacing="0" w:after="0" w:afterAutospacing="0" w:line="576" w:lineRule="exact"/>
        <w:ind w:left="0" w:right="0" w:firstLine="640" w:firstLineChars="200"/>
        <w:jc w:val="left"/>
        <w:textAlignment w:val="auto"/>
        <w:rPr>
          <w:rFonts w:hint="eastAsia"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93.71</w:t>
      </w:r>
      <w:r>
        <w:rPr>
          <w:rFonts w:hint="eastAsia" w:ascii="仿宋" w:hAnsi="仿宋" w:eastAsia="仿宋"/>
          <w:sz w:val="32"/>
          <w:szCs w:val="32"/>
        </w:rPr>
        <w:t>万元。与2022年度相比，收</w:t>
      </w:r>
      <w:r>
        <w:rPr>
          <w:rFonts w:hint="eastAsia" w:ascii="仿宋" w:hAnsi="仿宋" w:eastAsia="仿宋"/>
          <w:sz w:val="32"/>
          <w:szCs w:val="32"/>
          <w:lang w:eastAsia="zh-CN"/>
        </w:rPr>
        <w:t>入</w:t>
      </w:r>
      <w:r>
        <w:rPr>
          <w:rFonts w:hint="eastAsia" w:ascii="仿宋" w:hAnsi="仿宋" w:eastAsia="仿宋"/>
          <w:sz w:val="32"/>
          <w:szCs w:val="32"/>
        </w:rPr>
        <w:t>总计增加</w:t>
      </w:r>
      <w:r>
        <w:rPr>
          <w:rFonts w:hint="eastAsia" w:ascii="仿宋" w:hAnsi="仿宋" w:eastAsia="仿宋"/>
          <w:sz w:val="32"/>
          <w:szCs w:val="32"/>
          <w:lang w:val="en-US" w:eastAsia="zh-CN"/>
        </w:rPr>
        <w:t>8.38万元，</w:t>
      </w:r>
      <w:r>
        <w:rPr>
          <w:rFonts w:hint="eastAsia" w:ascii="仿宋" w:hAnsi="仿宋" w:eastAsia="仿宋"/>
          <w:sz w:val="32"/>
          <w:szCs w:val="32"/>
        </w:rPr>
        <w:t>增长</w:t>
      </w:r>
      <w:r>
        <w:rPr>
          <w:rFonts w:hint="eastAsia" w:ascii="仿宋" w:hAnsi="仿宋" w:eastAsia="仿宋"/>
          <w:sz w:val="32"/>
          <w:szCs w:val="32"/>
          <w:lang w:val="en-US" w:eastAsia="zh-CN"/>
        </w:rPr>
        <w:t>9.82%；</w:t>
      </w:r>
      <w:r>
        <w:rPr>
          <w:rFonts w:hint="eastAsia" w:ascii="仿宋" w:hAnsi="仿宋" w:eastAsia="仿宋"/>
          <w:sz w:val="32"/>
          <w:szCs w:val="32"/>
        </w:rPr>
        <w:t>支</w:t>
      </w:r>
      <w:r>
        <w:rPr>
          <w:rFonts w:hint="eastAsia" w:ascii="仿宋" w:hAnsi="仿宋" w:eastAsia="仿宋"/>
          <w:sz w:val="32"/>
          <w:szCs w:val="32"/>
          <w:lang w:eastAsia="zh-CN"/>
        </w:rPr>
        <w:t>出</w:t>
      </w:r>
      <w:r>
        <w:rPr>
          <w:rFonts w:hint="eastAsia" w:ascii="仿宋" w:hAnsi="仿宋" w:eastAsia="仿宋"/>
          <w:sz w:val="32"/>
          <w:szCs w:val="32"/>
        </w:rPr>
        <w:t>总计增加</w:t>
      </w:r>
      <w:r>
        <w:rPr>
          <w:rFonts w:hint="eastAsia" w:ascii="仿宋" w:hAnsi="仿宋" w:eastAsia="仿宋"/>
          <w:sz w:val="32"/>
          <w:szCs w:val="32"/>
          <w:lang w:val="en-US" w:eastAsia="zh-CN"/>
        </w:rPr>
        <w:t>8.38万元，</w:t>
      </w:r>
      <w:r>
        <w:rPr>
          <w:rFonts w:hint="eastAsia" w:ascii="仿宋" w:hAnsi="仿宋" w:eastAsia="仿宋"/>
          <w:sz w:val="32"/>
          <w:szCs w:val="32"/>
        </w:rPr>
        <w:t>增长</w:t>
      </w:r>
      <w:r>
        <w:rPr>
          <w:rFonts w:hint="eastAsia" w:ascii="仿宋" w:hAnsi="仿宋" w:eastAsia="仿宋"/>
          <w:sz w:val="32"/>
          <w:szCs w:val="32"/>
          <w:lang w:val="en-US" w:eastAsia="zh-CN"/>
        </w:rPr>
        <w:t>9.82%</w:t>
      </w:r>
      <w:r>
        <w:rPr>
          <w:rFonts w:hint="eastAsia" w:ascii="仿宋" w:hAnsi="仿宋" w:eastAsia="仿宋"/>
          <w:sz w:val="32"/>
          <w:szCs w:val="32"/>
        </w:rPr>
        <w:t>。主要变动原因是</w:t>
      </w:r>
      <w:r>
        <w:rPr>
          <w:rFonts w:hint="eastAsia" w:ascii="仿宋" w:hAnsi="仿宋" w:eastAsia="仿宋"/>
          <w:sz w:val="32"/>
          <w:szCs w:val="32"/>
          <w:lang w:eastAsia="zh-CN"/>
        </w:rPr>
        <w:t>：</w:t>
      </w:r>
      <w:r>
        <w:rPr>
          <w:rFonts w:hint="eastAsia" w:ascii="仿宋" w:hAnsi="仿宋" w:eastAsia="仿宋"/>
          <w:sz w:val="32"/>
          <w:szCs w:val="32"/>
        </w:rPr>
        <w:t xml:space="preserve">职工社保缴费基数提高，增加社保缴费及绩效工资的发放。 </w:t>
      </w:r>
    </w:p>
    <w:p>
      <w:pPr>
        <w:pageBreakBefore w:val="0"/>
        <w:kinsoku/>
        <w:wordWrap/>
        <w:overflowPunct/>
        <w:topLinePunct w:val="0"/>
        <w:bidi w:val="0"/>
        <w:adjustRightInd w:val="0"/>
        <w:spacing w:afterAutospacing="0" w:line="576" w:lineRule="exact"/>
        <w:ind w:firstLine="1600" w:firstLineChars="500"/>
        <w:textAlignment w:val="auto"/>
        <w:rPr>
          <w:rFonts w:hint="eastAsia" w:ascii="仿宋" w:hAnsi="仿宋" w:eastAsia="仿宋"/>
          <w:sz w:val="32"/>
          <w:szCs w:val="32"/>
        </w:rPr>
      </w:pPr>
      <w:r>
        <w:rPr>
          <w:rFonts w:hint="eastAsia" w:ascii="仿宋" w:hAnsi="仿宋" w:eastAsia="仿宋"/>
          <w:sz w:val="32"/>
          <w:szCs w:val="32"/>
          <w:lang w:eastAsia="zh-CN"/>
        </w:rPr>
        <w:drawing>
          <wp:anchor distT="0" distB="0" distL="114300" distR="114300" simplePos="0" relativeHeight="251659264" behindDoc="0" locked="0" layoutInCell="1" allowOverlap="1">
            <wp:simplePos x="0" y="0"/>
            <wp:positionH relativeFrom="column">
              <wp:posOffset>-9525</wp:posOffset>
            </wp:positionH>
            <wp:positionV relativeFrom="paragraph">
              <wp:posOffset>281940</wp:posOffset>
            </wp:positionV>
            <wp:extent cx="5213350" cy="3872865"/>
            <wp:effectExtent l="4445" t="4445" r="20955" b="889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lang w:eastAsia="zh-CN"/>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Style w:val="2"/>
        <w:pageBreakBefore w:val="0"/>
        <w:kinsoku/>
        <w:wordWrap/>
        <w:overflowPunct/>
        <w:topLinePunct w:val="0"/>
        <w:bidi w:val="0"/>
        <w:adjustRightInd w:val="0"/>
        <w:spacing w:before="0" w:after="0" w:afterAutospacing="0" w:line="576" w:lineRule="exact"/>
        <w:textAlignment w:val="auto"/>
        <w:rPr>
          <w:rFonts w:hint="eastAsia"/>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pStyle w:val="26"/>
        <w:pageBreakBefore w:val="0"/>
        <w:numPr>
          <w:ilvl w:val="0"/>
          <w:numId w:val="0"/>
        </w:numPr>
        <w:kinsoku/>
        <w:wordWrap/>
        <w:overflowPunct/>
        <w:topLinePunct w:val="0"/>
        <w:bidi w:val="0"/>
        <w:adjustRightInd w:val="0"/>
        <w:spacing w:afterAutospacing="0" w:line="576" w:lineRule="exact"/>
        <w:ind w:firstLine="640" w:firstLineChars="200"/>
        <w:textAlignment w:val="auto"/>
        <w:outlineLvl w:val="1"/>
        <w:rPr>
          <w:rStyle w:val="28"/>
          <w:rFonts w:ascii="黑体" w:hAnsi="黑体" w:eastAsia="黑体"/>
          <w:b w:val="0"/>
        </w:rPr>
      </w:pPr>
      <w:bookmarkStart w:id="20" w:name="_Toc15396604"/>
      <w:bookmarkStart w:id="21" w:name="_Toc15377206"/>
      <w:r>
        <w:rPr>
          <w:rFonts w:hint="eastAsia" w:ascii="黑体" w:hAnsi="黑体" w:eastAsia="黑体"/>
          <w:sz w:val="32"/>
          <w:szCs w:val="32"/>
          <w:lang w:eastAsia="zh-CN"/>
        </w:rPr>
        <w:t>二、</w:t>
      </w:r>
      <w:r>
        <w:rPr>
          <w:rFonts w:hint="eastAsia" w:ascii="黑体" w:hAnsi="黑体" w:eastAsia="黑体"/>
          <w:sz w:val="32"/>
          <w:szCs w:val="32"/>
        </w:rPr>
        <w:t>收</w:t>
      </w:r>
      <w:r>
        <w:rPr>
          <w:rStyle w:val="28"/>
          <w:rFonts w:hint="eastAsia" w:ascii="黑体" w:hAnsi="黑体" w:eastAsia="黑体"/>
          <w:b w:val="0"/>
        </w:rPr>
        <w:t>入决算情况说明</w:t>
      </w:r>
      <w:bookmarkEnd w:id="20"/>
      <w:bookmarkEnd w:id="21"/>
    </w:p>
    <w:p>
      <w:pPr>
        <w:pageBreakBefore w:val="0"/>
        <w:kinsoku/>
        <w:wordWrap/>
        <w:overflowPunct/>
        <w:topLinePunct w:val="0"/>
        <w:bidi w:val="0"/>
        <w:adjustRightInd w:val="0"/>
        <w:spacing w:afterAutospacing="0" w:line="576" w:lineRule="exact"/>
        <w:ind w:firstLine="640" w:firstLineChars="200"/>
        <w:textAlignment w:val="auto"/>
        <w:outlineLvl w:val="1"/>
        <w:rPr>
          <w:rFonts w:hint="eastAsia" w:ascii="仿宋" w:hAnsi="仿宋" w:eastAsia="仿宋"/>
          <w:sz w:val="32"/>
          <w:szCs w:val="32"/>
          <w:lang w:eastAsia="zh-CN"/>
        </w:rPr>
      </w:pPr>
      <w:r>
        <w:rPr>
          <w:rFonts w:hint="eastAsia" w:ascii="仿宋" w:hAnsi="仿宋" w:eastAsia="仿宋"/>
          <w:sz w:val="32"/>
          <w:szCs w:val="32"/>
        </w:rPr>
        <w:t>2023年度本年收入合计</w:t>
      </w:r>
      <w:r>
        <w:rPr>
          <w:rFonts w:ascii="仿宋" w:hAnsi="仿宋" w:eastAsia="仿宋"/>
          <w:b/>
          <w:sz w:val="32"/>
          <w:szCs w:val="32"/>
        </w:rPr>
        <w:t>93.71</w:t>
      </w:r>
      <w:r>
        <w:rPr>
          <w:rFonts w:hint="eastAsia" w:ascii="仿宋" w:hAnsi="仿宋" w:eastAsia="仿宋"/>
          <w:sz w:val="32"/>
          <w:szCs w:val="32"/>
        </w:rPr>
        <w:t>万元，其中：一般公共预算财政拨款收入</w:t>
      </w:r>
      <w:r>
        <w:rPr>
          <w:rFonts w:ascii="仿宋" w:hAnsi="仿宋" w:eastAsia="仿宋"/>
          <w:b/>
          <w:sz w:val="32"/>
          <w:szCs w:val="32"/>
        </w:rPr>
        <w:t>93.71</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lang w:eastAsia="zh-CN"/>
        </w:rPr>
        <w:t>。</w:t>
      </w:r>
    </w:p>
    <w:p>
      <w:pPr>
        <w:pStyle w:val="2"/>
        <w:pageBreakBefore w:val="0"/>
        <w:kinsoku/>
        <w:wordWrap/>
        <w:overflowPunct/>
        <w:topLinePunct w:val="0"/>
        <w:bidi w:val="0"/>
        <w:adjustRightInd w:val="0"/>
        <w:spacing w:before="0" w:after="0" w:afterAutospacing="0" w:line="576" w:lineRule="exact"/>
        <w:textAlignment w:val="auto"/>
        <w:rPr>
          <w:rFonts w:hint="eastAsia"/>
          <w:lang w:eastAsia="zh-CN"/>
        </w:rPr>
      </w:pPr>
      <w:r>
        <w:rPr>
          <w:rFonts w:hint="eastAsia"/>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154305</wp:posOffset>
            </wp:positionV>
            <wp:extent cx="5080000" cy="3810000"/>
            <wp:effectExtent l="4445" t="4445" r="20955" b="1460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pPr>
        <w:pageBreakBefore w:val="0"/>
        <w:kinsoku/>
        <w:wordWrap/>
        <w:overflowPunct/>
        <w:topLinePunct w:val="0"/>
        <w:bidi w:val="0"/>
        <w:adjustRightInd w:val="0"/>
        <w:spacing w:afterAutospacing="0" w:line="576" w:lineRule="exact"/>
        <w:textAlignment w:val="auto"/>
        <w:rPr>
          <w:rFonts w:ascii="仿宋" w:hAnsi="仿宋" w:eastAsia="仿宋"/>
          <w:sz w:val="32"/>
          <w:szCs w:val="32"/>
        </w:rPr>
      </w:pPr>
      <w:r>
        <w:rPr>
          <w:rFonts w:hint="eastAsia" w:ascii="仿宋" w:hAnsi="仿宋" w:eastAsia="仿宋"/>
          <w:sz w:val="32"/>
          <w:szCs w:val="32"/>
        </w:rPr>
        <w:t>（图2：收入决算结构图）（饼状图）</w:t>
      </w:r>
    </w:p>
    <w:p>
      <w:pPr>
        <w:pStyle w:val="26"/>
        <w:pageBreakBefore w:val="0"/>
        <w:numPr>
          <w:ilvl w:val="0"/>
          <w:numId w:val="0"/>
        </w:numPr>
        <w:kinsoku/>
        <w:wordWrap/>
        <w:overflowPunct/>
        <w:topLinePunct w:val="0"/>
        <w:bidi w:val="0"/>
        <w:adjustRightInd w:val="0"/>
        <w:spacing w:afterAutospacing="0" w:line="576" w:lineRule="exact"/>
        <w:ind w:left="640" w:leftChars="0"/>
        <w:textAlignment w:val="auto"/>
        <w:outlineLvl w:val="1"/>
        <w:rPr>
          <w:rStyle w:val="28"/>
          <w:rFonts w:ascii="黑体" w:hAnsi="黑体" w:eastAsia="黑体"/>
          <w:b w:val="0"/>
        </w:rPr>
      </w:pPr>
      <w:bookmarkStart w:id="22" w:name="_Toc15377207"/>
      <w:bookmarkStart w:id="23" w:name="_Toc15396605"/>
      <w:r>
        <w:rPr>
          <w:rFonts w:hint="eastAsia" w:ascii="黑体" w:hAnsi="黑体" w:eastAsia="黑体"/>
          <w:sz w:val="32"/>
          <w:szCs w:val="32"/>
          <w:lang w:eastAsia="zh-CN"/>
        </w:rPr>
        <w:t>三、</w:t>
      </w:r>
      <w:r>
        <w:rPr>
          <w:rFonts w:hint="eastAsia" w:ascii="黑体" w:hAnsi="黑体" w:eastAsia="黑体"/>
          <w:sz w:val="32"/>
          <w:szCs w:val="32"/>
        </w:rPr>
        <w:t>支</w:t>
      </w:r>
      <w:r>
        <w:rPr>
          <w:rStyle w:val="28"/>
          <w:rFonts w:hint="eastAsia" w:ascii="黑体" w:hAnsi="黑体" w:eastAsia="黑体"/>
          <w:b w:val="0"/>
        </w:rPr>
        <w:t>出决算情况说明</w:t>
      </w:r>
      <w:bookmarkEnd w:id="22"/>
      <w:bookmarkEnd w:id="23"/>
    </w:p>
    <w:p>
      <w:pPr>
        <w:pageBreakBefore w:val="0"/>
        <w:kinsoku/>
        <w:wordWrap/>
        <w:overflowPunct/>
        <w:topLinePunct w:val="0"/>
        <w:bidi w:val="0"/>
        <w:adjustRightInd w:val="0"/>
        <w:spacing w:afterAutospacing="0" w:line="576" w:lineRule="exact"/>
        <w:ind w:firstLine="640" w:firstLineChars="200"/>
        <w:textAlignment w:val="auto"/>
        <w:outlineLvl w:val="1"/>
        <w:rPr>
          <w:rFonts w:hint="eastAsia" w:ascii="仿宋" w:hAnsi="仿宋" w:eastAsia="仿宋"/>
          <w:sz w:val="32"/>
          <w:szCs w:val="32"/>
        </w:rPr>
      </w:pPr>
      <w:r>
        <w:rPr>
          <w:rFonts w:hint="eastAsia" w:ascii="仿宋" w:hAnsi="仿宋" w:eastAsia="仿宋"/>
          <w:sz w:val="32"/>
          <w:szCs w:val="32"/>
        </w:rPr>
        <w:t>2023年度本年支出合计</w:t>
      </w:r>
      <w:r>
        <w:rPr>
          <w:rFonts w:ascii="仿宋" w:hAnsi="仿宋" w:eastAsia="仿宋"/>
          <w:b/>
          <w:sz w:val="32"/>
          <w:szCs w:val="32"/>
        </w:rPr>
        <w:t>93.71</w:t>
      </w:r>
      <w:r>
        <w:rPr>
          <w:rFonts w:hint="eastAsia" w:ascii="仿宋" w:hAnsi="仿宋" w:eastAsia="仿宋"/>
          <w:sz w:val="32"/>
          <w:szCs w:val="32"/>
        </w:rPr>
        <w:t>万元，其中：基本支出</w:t>
      </w:r>
      <w:r>
        <w:rPr>
          <w:rFonts w:ascii="仿宋" w:hAnsi="仿宋" w:eastAsia="仿宋"/>
          <w:b/>
          <w:sz w:val="32"/>
          <w:szCs w:val="32"/>
        </w:rPr>
        <w:t>93.71</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w:t>
      </w:r>
      <w:r>
        <w:rPr>
          <w:rFonts w:hint="eastAsia" w:ascii="仿宋" w:hAnsi="仿宋" w:eastAsia="仿宋"/>
          <w:sz w:val="32"/>
          <w:szCs w:val="32"/>
          <w:lang w:eastAsia="zh-CN"/>
        </w:rPr>
        <w:t>支出</w:t>
      </w:r>
      <w:r>
        <w:rPr>
          <w:rFonts w:hint="eastAsia" w:ascii="仿宋" w:hAnsi="仿宋" w:eastAsia="仿宋"/>
          <w:sz w:val="32"/>
          <w:szCs w:val="32"/>
        </w:rPr>
        <w:t>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pPr>
        <w:pStyle w:val="2"/>
        <w:pageBreakBefore w:val="0"/>
        <w:kinsoku/>
        <w:wordWrap/>
        <w:overflowPunct/>
        <w:topLinePunct w:val="0"/>
        <w:bidi w:val="0"/>
        <w:adjustRightInd w:val="0"/>
        <w:spacing w:before="0" w:after="0" w:afterAutospacing="0" w:line="576" w:lineRule="exact"/>
        <w:textAlignment w:val="auto"/>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r>
        <w:rPr>
          <w:rFonts w:hint="eastAsia" w:ascii="仿宋" w:hAnsi="仿宋" w:eastAsia="仿宋"/>
          <w:sz w:val="32"/>
          <w:szCs w:val="32"/>
          <w:lang w:eastAsia="zh-CN"/>
        </w:rPr>
        <w:drawing>
          <wp:anchor distT="0" distB="0" distL="114300" distR="114300" simplePos="0" relativeHeight="251663360" behindDoc="0" locked="0" layoutInCell="1" allowOverlap="1">
            <wp:simplePos x="0" y="0"/>
            <wp:positionH relativeFrom="column">
              <wp:posOffset>50165</wp:posOffset>
            </wp:positionH>
            <wp:positionV relativeFrom="paragraph">
              <wp:posOffset>47625</wp:posOffset>
            </wp:positionV>
            <wp:extent cx="5080000" cy="3810000"/>
            <wp:effectExtent l="4445" t="4445" r="20955" b="1460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textAlignment w:val="auto"/>
        <w:outlineLvl w:val="1"/>
        <w:rPr>
          <w:rFonts w:ascii="仿宋" w:hAnsi="仿宋" w:eastAsia="仿宋"/>
          <w:sz w:val="32"/>
          <w:szCs w:val="32"/>
          <w:shd w:val="pct10" w:color="auto" w:fill="FFFFFF"/>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pPr>
        <w:pageBreakBefore w:val="0"/>
        <w:kinsoku/>
        <w:wordWrap/>
        <w:overflowPunct/>
        <w:topLinePunct w:val="0"/>
        <w:bidi w:val="0"/>
        <w:adjustRightInd w:val="0"/>
        <w:spacing w:afterAutospacing="0" w:line="576" w:lineRule="exact"/>
        <w:textAlignment w:val="auto"/>
        <w:rPr>
          <w:rFonts w:ascii="仿宋" w:hAnsi="仿宋" w:eastAsia="仿宋"/>
          <w:sz w:val="32"/>
          <w:szCs w:val="32"/>
        </w:rPr>
      </w:pPr>
      <w:r>
        <w:rPr>
          <w:rFonts w:hint="eastAsia" w:ascii="仿宋" w:hAnsi="仿宋" w:eastAsia="仿宋"/>
          <w:sz w:val="32"/>
          <w:szCs w:val="32"/>
        </w:rPr>
        <w:t>（图3：支出决算结构图）（饼状图）</w:t>
      </w:r>
    </w:p>
    <w:p>
      <w:pPr>
        <w:pageBreakBefore w:val="0"/>
        <w:kinsoku/>
        <w:wordWrap/>
        <w:overflowPunct/>
        <w:topLinePunct w:val="0"/>
        <w:bidi w:val="0"/>
        <w:adjustRightInd w:val="0"/>
        <w:spacing w:afterAutospacing="0" w:line="576" w:lineRule="exact"/>
        <w:ind w:firstLine="640" w:firstLineChars="200"/>
        <w:textAlignment w:val="auto"/>
        <w:outlineLvl w:val="1"/>
        <w:rPr>
          <w:rStyle w:val="28"/>
          <w:rFonts w:ascii="黑体" w:hAnsi="黑体" w:eastAsia="黑体"/>
          <w:b w:val="0"/>
        </w:rPr>
      </w:pPr>
      <w:bookmarkStart w:id="24" w:name="_Toc15396606"/>
      <w:bookmarkStart w:id="25" w:name="_Toc15377208"/>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24"/>
      <w:bookmarkEnd w:id="25"/>
    </w:p>
    <w:p>
      <w:pPr>
        <w:pStyle w:val="33"/>
        <w:keepNext w:val="0"/>
        <w:keepLines w:val="0"/>
        <w:pageBreakBefore w:val="0"/>
        <w:widowControl/>
        <w:suppressLineNumbers w:val="0"/>
        <w:kinsoku/>
        <w:wordWrap/>
        <w:overflowPunct/>
        <w:topLinePunct w:val="0"/>
        <w:bidi w:val="0"/>
        <w:adjustRightInd w:val="0"/>
        <w:snapToGrid w:val="0"/>
        <w:spacing w:before="0" w:beforeAutospacing="0" w:after="0" w:afterAutospacing="0" w:line="576" w:lineRule="exact"/>
        <w:ind w:left="0" w:right="0" w:firstLine="640" w:firstLineChars="200"/>
        <w:jc w:val="left"/>
        <w:textAlignment w:val="auto"/>
        <w:rPr>
          <w:rFonts w:hint="eastAsia" w:ascii="仿宋" w:hAnsi="仿宋" w:eastAsia="仿宋"/>
          <w:sz w:val="32"/>
          <w:szCs w:val="32"/>
        </w:rPr>
      </w:pPr>
      <w:r>
        <w:rPr>
          <w:rFonts w:hint="eastAsia" w:ascii="仿宋" w:hAnsi="仿宋" w:eastAsia="仿宋"/>
          <w:sz w:val="32"/>
          <w:szCs w:val="32"/>
        </w:rPr>
        <w:t>2023年度财政拨款收、支总计均为</w:t>
      </w:r>
      <w:r>
        <w:rPr>
          <w:rFonts w:ascii="仿宋" w:hAnsi="仿宋" w:eastAsia="仿宋"/>
          <w:b/>
          <w:sz w:val="32"/>
          <w:szCs w:val="32"/>
        </w:rPr>
        <w:t>93.71</w:t>
      </w:r>
      <w:r>
        <w:rPr>
          <w:rFonts w:hint="eastAsia" w:ascii="仿宋" w:hAnsi="仿宋" w:eastAsia="仿宋"/>
          <w:sz w:val="32"/>
          <w:szCs w:val="32"/>
        </w:rPr>
        <w:t>万元。与2022年度相比，财政拨款收</w:t>
      </w:r>
      <w:r>
        <w:rPr>
          <w:rFonts w:hint="eastAsia" w:ascii="仿宋" w:hAnsi="仿宋" w:eastAsia="仿宋"/>
          <w:sz w:val="32"/>
          <w:szCs w:val="32"/>
          <w:lang w:eastAsia="zh-CN"/>
        </w:rPr>
        <w:t>入</w:t>
      </w:r>
      <w:r>
        <w:rPr>
          <w:rFonts w:hint="eastAsia" w:ascii="仿宋" w:hAnsi="仿宋" w:eastAsia="仿宋"/>
          <w:sz w:val="32"/>
          <w:szCs w:val="32"/>
        </w:rPr>
        <w:t>总计增加</w:t>
      </w:r>
      <w:r>
        <w:rPr>
          <w:rFonts w:hint="eastAsia" w:ascii="仿宋" w:hAnsi="仿宋" w:eastAsia="仿宋"/>
          <w:sz w:val="32"/>
          <w:szCs w:val="32"/>
          <w:lang w:val="en-US" w:eastAsia="zh-CN"/>
        </w:rPr>
        <w:t>8.38万元，</w:t>
      </w:r>
      <w:r>
        <w:rPr>
          <w:rFonts w:hint="eastAsia" w:ascii="仿宋" w:hAnsi="仿宋" w:eastAsia="仿宋"/>
          <w:sz w:val="32"/>
          <w:szCs w:val="32"/>
        </w:rPr>
        <w:t>增长</w:t>
      </w:r>
      <w:r>
        <w:rPr>
          <w:rFonts w:hint="eastAsia" w:ascii="仿宋" w:hAnsi="仿宋" w:eastAsia="仿宋"/>
          <w:sz w:val="32"/>
          <w:szCs w:val="32"/>
          <w:lang w:val="en-US" w:eastAsia="zh-CN"/>
        </w:rPr>
        <w:t>9.82%；</w:t>
      </w:r>
      <w:r>
        <w:rPr>
          <w:rFonts w:hint="eastAsia" w:ascii="仿宋" w:hAnsi="仿宋" w:eastAsia="仿宋"/>
          <w:sz w:val="32"/>
          <w:szCs w:val="32"/>
        </w:rPr>
        <w:t>支</w:t>
      </w:r>
      <w:r>
        <w:rPr>
          <w:rFonts w:hint="eastAsia" w:ascii="仿宋" w:hAnsi="仿宋" w:eastAsia="仿宋"/>
          <w:sz w:val="32"/>
          <w:szCs w:val="32"/>
          <w:lang w:eastAsia="zh-CN"/>
        </w:rPr>
        <w:t>出</w:t>
      </w:r>
      <w:r>
        <w:rPr>
          <w:rFonts w:hint="eastAsia" w:ascii="仿宋" w:hAnsi="仿宋" w:eastAsia="仿宋"/>
          <w:sz w:val="32"/>
          <w:szCs w:val="32"/>
        </w:rPr>
        <w:t>总计增加</w:t>
      </w:r>
      <w:r>
        <w:rPr>
          <w:rFonts w:hint="eastAsia" w:ascii="仿宋" w:hAnsi="仿宋" w:eastAsia="仿宋"/>
          <w:sz w:val="32"/>
          <w:szCs w:val="32"/>
          <w:lang w:val="en-US" w:eastAsia="zh-CN"/>
        </w:rPr>
        <w:t>8.38万元，</w:t>
      </w:r>
      <w:r>
        <w:rPr>
          <w:rFonts w:hint="eastAsia" w:ascii="仿宋" w:hAnsi="仿宋" w:eastAsia="仿宋"/>
          <w:sz w:val="32"/>
          <w:szCs w:val="32"/>
        </w:rPr>
        <w:t>增长</w:t>
      </w:r>
      <w:r>
        <w:rPr>
          <w:rFonts w:hint="eastAsia" w:ascii="仿宋" w:hAnsi="仿宋" w:eastAsia="仿宋"/>
          <w:sz w:val="32"/>
          <w:szCs w:val="32"/>
          <w:lang w:val="en-US" w:eastAsia="zh-CN"/>
        </w:rPr>
        <w:t>9.82%</w:t>
      </w:r>
      <w:r>
        <w:rPr>
          <w:rFonts w:hint="eastAsia" w:ascii="仿宋" w:hAnsi="仿宋" w:eastAsia="仿宋"/>
          <w:sz w:val="32"/>
          <w:szCs w:val="32"/>
        </w:rPr>
        <w:t>。主要变动原因是</w:t>
      </w:r>
      <w:r>
        <w:rPr>
          <w:rFonts w:hint="eastAsia" w:ascii="仿宋" w:hAnsi="仿宋" w:eastAsia="仿宋"/>
          <w:sz w:val="32"/>
          <w:szCs w:val="32"/>
          <w:lang w:eastAsia="zh-CN"/>
        </w:rPr>
        <w:t>：</w:t>
      </w:r>
      <w:r>
        <w:rPr>
          <w:rFonts w:hint="eastAsia" w:ascii="仿宋" w:hAnsi="仿宋" w:eastAsia="仿宋"/>
          <w:sz w:val="32"/>
          <w:szCs w:val="32"/>
        </w:rPr>
        <w:t xml:space="preserve">职工社保缴费基数提高，增加社保缴费及绩效工资的发放。 </w:t>
      </w: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lang w:eastAsia="zh-CN"/>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lang w:eastAsia="zh-CN"/>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r>
        <w:rPr>
          <w:rFonts w:hint="eastAsia" w:ascii="仿宋" w:hAnsi="仿宋" w:eastAsia="仿宋"/>
          <w:b/>
          <w:sz w:val="32"/>
          <w:szCs w:val="32"/>
          <w:lang w:eastAsia="zh-CN"/>
        </w:rPr>
        <w:drawing>
          <wp:anchor distT="0" distB="0" distL="114300" distR="114300" simplePos="0" relativeHeight="251660288" behindDoc="0" locked="0" layoutInCell="1" allowOverlap="1">
            <wp:simplePos x="0" y="0"/>
            <wp:positionH relativeFrom="column">
              <wp:posOffset>61595</wp:posOffset>
            </wp:positionH>
            <wp:positionV relativeFrom="paragraph">
              <wp:posOffset>76200</wp:posOffset>
            </wp:positionV>
            <wp:extent cx="5080000" cy="3810000"/>
            <wp:effectExtent l="4445" t="4445" r="20955" b="14605"/>
            <wp:wrapNone/>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b/>
          <w:sz w:val="32"/>
          <w:szCs w:val="32"/>
        </w:rPr>
      </w:pPr>
    </w:p>
    <w:p>
      <w:pPr>
        <w:pageBreakBefore w:val="0"/>
        <w:kinsoku/>
        <w:wordWrap/>
        <w:overflowPunct/>
        <w:topLinePunct w:val="0"/>
        <w:bidi w:val="0"/>
        <w:adjustRightInd w:val="0"/>
        <w:spacing w:afterAutospacing="0" w:line="576" w:lineRule="exact"/>
        <w:ind w:firstLine="640"/>
        <w:textAlignment w:val="auto"/>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pPr>
        <w:pageBreakBefore w:val="0"/>
        <w:kinsoku/>
        <w:wordWrap/>
        <w:overflowPunct/>
        <w:topLinePunct w:val="0"/>
        <w:bidi w:val="0"/>
        <w:adjustRightInd w:val="0"/>
        <w:spacing w:afterAutospacing="0" w:line="576" w:lineRule="exact"/>
        <w:ind w:firstLine="640" w:firstLineChars="200"/>
        <w:textAlignment w:val="auto"/>
        <w:rPr>
          <w:rFonts w:ascii="仿宋" w:hAnsi="仿宋" w:eastAsia="仿宋"/>
          <w:sz w:val="32"/>
          <w:szCs w:val="32"/>
        </w:rPr>
      </w:pPr>
      <w:r>
        <w:rPr>
          <w:rFonts w:hint="eastAsia" w:ascii="仿宋" w:hAnsi="仿宋" w:eastAsia="仿宋"/>
          <w:sz w:val="32"/>
          <w:szCs w:val="32"/>
        </w:rPr>
        <w:t>（图4：财政拨款收、支决算总计变动情况）（柱状图）</w:t>
      </w:r>
    </w:p>
    <w:p>
      <w:pPr>
        <w:pageBreakBefore w:val="0"/>
        <w:kinsoku/>
        <w:wordWrap/>
        <w:overflowPunct/>
        <w:topLinePunct w:val="0"/>
        <w:bidi w:val="0"/>
        <w:adjustRightInd w:val="0"/>
        <w:spacing w:afterAutospacing="0" w:line="576" w:lineRule="exact"/>
        <w:ind w:firstLine="640" w:firstLineChars="200"/>
        <w:textAlignment w:val="auto"/>
        <w:outlineLvl w:val="1"/>
        <w:rPr>
          <w:rStyle w:val="28"/>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26"/>
      <w:bookmarkEnd w:id="27"/>
    </w:p>
    <w:p>
      <w:pPr>
        <w:pStyle w:val="33"/>
        <w:keepNext w:val="0"/>
        <w:keepLines w:val="0"/>
        <w:pageBreakBefore w:val="0"/>
        <w:widowControl/>
        <w:suppressLineNumbers w:val="0"/>
        <w:kinsoku/>
        <w:wordWrap/>
        <w:overflowPunct/>
        <w:topLinePunct w:val="0"/>
        <w:bidi w:val="0"/>
        <w:adjustRightInd w:val="0"/>
        <w:spacing w:before="0" w:beforeAutospacing="0" w:after="0" w:afterAutospacing="0" w:line="576" w:lineRule="exact"/>
        <w:ind w:left="0" w:firstLine="321" w:firstLineChars="100"/>
        <w:jc w:val="left"/>
        <w:textAlignment w:val="auto"/>
        <w:outlineLvl w:val="2"/>
        <w:rPr>
          <w:rFonts w:hint="eastAsia" w:ascii="楷体" w:hAnsi="楷体" w:eastAsia="楷体" w:cs="楷体"/>
          <w:b/>
          <w:bCs/>
          <w:kern w:val="0"/>
          <w:sz w:val="32"/>
          <w:szCs w:val="32"/>
          <w:shd w:val="clear" w:color="auto" w:fill="FFFFFF"/>
        </w:rPr>
      </w:pPr>
      <w:bookmarkStart w:id="28" w:name="_Toc15377210"/>
      <w:r>
        <w:rPr>
          <w:rFonts w:hint="eastAsia" w:ascii="楷体" w:hAnsi="楷体" w:eastAsia="楷体" w:cs="楷体"/>
          <w:b/>
          <w:bCs/>
          <w:kern w:val="0"/>
          <w:sz w:val="32"/>
          <w:szCs w:val="32"/>
          <w:shd w:val="clear" w:color="auto" w:fill="FFFFFF"/>
        </w:rPr>
        <w:t>（一）一般公共预算财政拨款支出决算总体情况</w:t>
      </w:r>
      <w:bookmarkEnd w:id="28"/>
    </w:p>
    <w:p>
      <w:pPr>
        <w:pStyle w:val="33"/>
        <w:keepNext w:val="0"/>
        <w:keepLines w:val="0"/>
        <w:pageBreakBefore w:val="0"/>
        <w:widowControl/>
        <w:suppressLineNumbers w:val="0"/>
        <w:kinsoku/>
        <w:wordWrap/>
        <w:overflowPunct/>
        <w:topLinePunct w:val="0"/>
        <w:bidi w:val="0"/>
        <w:adjustRightInd w:val="0"/>
        <w:snapToGrid w:val="0"/>
        <w:spacing w:before="0" w:beforeAutospacing="0" w:after="0" w:afterAutospacing="0" w:line="576" w:lineRule="exact"/>
        <w:ind w:left="0" w:right="0" w:firstLine="640" w:firstLineChars="200"/>
        <w:jc w:val="left"/>
        <w:textAlignment w:val="auto"/>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93.71</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8.38万元，</w:t>
      </w:r>
      <w:r>
        <w:rPr>
          <w:rFonts w:hint="eastAsia" w:ascii="仿宋" w:hAnsi="仿宋" w:eastAsia="仿宋"/>
          <w:sz w:val="32"/>
          <w:szCs w:val="32"/>
        </w:rPr>
        <w:t>增长</w:t>
      </w:r>
      <w:r>
        <w:rPr>
          <w:rFonts w:hint="eastAsia" w:ascii="仿宋" w:hAnsi="仿宋" w:eastAsia="仿宋"/>
          <w:sz w:val="32"/>
          <w:szCs w:val="32"/>
          <w:lang w:val="en-US" w:eastAsia="zh-CN"/>
        </w:rPr>
        <w:t>9.82%</w:t>
      </w:r>
      <w:r>
        <w:rPr>
          <w:rFonts w:hint="eastAsia" w:ascii="仿宋" w:hAnsi="仿宋" w:eastAsia="仿宋"/>
          <w:sz w:val="32"/>
          <w:szCs w:val="32"/>
        </w:rPr>
        <w:t>。主要变动原因是</w:t>
      </w:r>
      <w:r>
        <w:rPr>
          <w:rFonts w:hint="eastAsia" w:ascii="仿宋" w:hAnsi="仿宋" w:eastAsia="仿宋"/>
          <w:sz w:val="32"/>
          <w:szCs w:val="32"/>
          <w:lang w:eastAsia="zh-CN"/>
        </w:rPr>
        <w:t>：</w:t>
      </w:r>
      <w:r>
        <w:rPr>
          <w:rFonts w:hint="eastAsia" w:ascii="仿宋" w:hAnsi="仿宋" w:eastAsia="仿宋"/>
          <w:sz w:val="32"/>
          <w:szCs w:val="32"/>
        </w:rPr>
        <w:t xml:space="preserve">职工社保缴费基数提高，增加社保缴费及绩效工资的发放。 </w:t>
      </w:r>
    </w:p>
    <w:p>
      <w:pPr>
        <w:pageBreakBefore w:val="0"/>
        <w:kinsoku/>
        <w:wordWrap/>
        <w:overflowPunct/>
        <w:topLinePunct w:val="0"/>
        <w:bidi w:val="0"/>
        <w:adjustRightInd w:val="0"/>
        <w:spacing w:afterAutospacing="0" w:line="576" w:lineRule="exact"/>
        <w:ind w:firstLine="640" w:firstLineChars="200"/>
        <w:textAlignment w:val="auto"/>
        <w:rPr>
          <w:rFonts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ascii="仿宋" w:hAnsi="仿宋" w:eastAsia="仿宋"/>
          <w:sz w:val="32"/>
          <w:szCs w:val="32"/>
        </w:rPr>
      </w:pPr>
    </w:p>
    <w:p>
      <w:pPr>
        <w:pStyle w:val="2"/>
        <w:pageBreakBefore w:val="0"/>
        <w:kinsoku/>
        <w:wordWrap/>
        <w:overflowPunct/>
        <w:topLinePunct w:val="0"/>
        <w:bidi w:val="0"/>
        <w:adjustRightInd w:val="0"/>
        <w:spacing w:before="0" w:after="0" w:afterAutospacing="0" w:line="576" w:lineRule="exact"/>
        <w:textAlignment w:val="auto"/>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1312" behindDoc="0" locked="0" layoutInCell="1" allowOverlap="1">
            <wp:simplePos x="0" y="0"/>
            <wp:positionH relativeFrom="column">
              <wp:posOffset>92075</wp:posOffset>
            </wp:positionH>
            <wp:positionV relativeFrom="paragraph">
              <wp:posOffset>73025</wp:posOffset>
            </wp:positionV>
            <wp:extent cx="5080000" cy="3810000"/>
            <wp:effectExtent l="4445" t="4445" r="20955" b="14605"/>
            <wp:wrapNone/>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textAlignment w:val="auto"/>
        <w:rPr>
          <w:rFonts w:ascii="仿宋" w:hAnsi="仿宋" w:eastAsia="仿宋"/>
          <w:sz w:val="32"/>
          <w:szCs w:val="32"/>
        </w:rPr>
      </w:pPr>
      <w:r>
        <w:rPr>
          <w:rFonts w:hint="eastAsia" w:ascii="仿宋" w:hAnsi="仿宋" w:eastAsia="仿宋"/>
          <w:sz w:val="32"/>
          <w:szCs w:val="32"/>
        </w:rPr>
        <w:t>（图5：一般公共预算财政拨款支出决算变动情况）（柱状图）</w:t>
      </w:r>
    </w:p>
    <w:p>
      <w:pPr>
        <w:pStyle w:val="33"/>
        <w:keepNext w:val="0"/>
        <w:keepLines w:val="0"/>
        <w:pageBreakBefore w:val="0"/>
        <w:widowControl/>
        <w:suppressLineNumbers w:val="0"/>
        <w:kinsoku/>
        <w:wordWrap/>
        <w:overflowPunct/>
        <w:topLinePunct w:val="0"/>
        <w:bidi w:val="0"/>
        <w:adjustRightInd w:val="0"/>
        <w:spacing w:before="0" w:beforeAutospacing="0" w:after="0" w:afterAutospacing="0" w:line="576" w:lineRule="exact"/>
        <w:ind w:left="0" w:firstLine="321" w:firstLineChars="100"/>
        <w:jc w:val="left"/>
        <w:textAlignment w:val="auto"/>
        <w:outlineLvl w:val="2"/>
        <w:rPr>
          <w:rFonts w:hint="eastAsia" w:ascii="楷体" w:hAnsi="楷体" w:eastAsia="楷体" w:cs="楷体"/>
          <w:b/>
          <w:bCs/>
          <w:kern w:val="0"/>
          <w:sz w:val="32"/>
          <w:szCs w:val="32"/>
          <w:shd w:val="clear" w:color="auto" w:fill="FFFFFF"/>
        </w:rPr>
      </w:pPr>
      <w:bookmarkStart w:id="29" w:name="_Toc15377211"/>
      <w:r>
        <w:rPr>
          <w:rFonts w:hint="eastAsia" w:ascii="楷体" w:hAnsi="楷体" w:eastAsia="楷体" w:cs="楷体"/>
          <w:b/>
          <w:bCs/>
          <w:kern w:val="0"/>
          <w:sz w:val="32"/>
          <w:szCs w:val="32"/>
          <w:shd w:val="clear" w:color="auto" w:fill="FFFFFF"/>
        </w:rPr>
        <w:t>（二）一般公共预算财政拨款支出决算结构情况</w:t>
      </w:r>
      <w:bookmarkEnd w:id="29"/>
    </w:p>
    <w:p>
      <w:pPr>
        <w:pageBreakBefore w:val="0"/>
        <w:kinsoku/>
        <w:wordWrap/>
        <w:overflowPunct/>
        <w:topLinePunct w:val="0"/>
        <w:bidi w:val="0"/>
        <w:adjustRightInd w:val="0"/>
        <w:spacing w:afterAutospacing="0" w:line="576" w:lineRule="exact"/>
        <w:ind w:firstLine="640"/>
        <w:textAlignment w:val="auto"/>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93.71</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bCs/>
          <w:sz w:val="32"/>
          <w:szCs w:val="32"/>
          <w:lang w:eastAsia="zh-CN"/>
        </w:rPr>
        <w:t>公共安全支出</w:t>
      </w:r>
      <w:r>
        <w:rPr>
          <w:rFonts w:hint="eastAsia" w:ascii="仿宋" w:hAnsi="仿宋" w:eastAsia="仿宋"/>
          <w:sz w:val="32"/>
          <w:szCs w:val="32"/>
          <w:lang w:val="en-US" w:eastAsia="zh-CN"/>
        </w:rPr>
        <w:t>69.58万元，占74.25%；</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12.54</w:t>
      </w:r>
      <w:r>
        <w:rPr>
          <w:rFonts w:hint="eastAsia" w:ascii="仿宋" w:hAnsi="仿宋" w:eastAsia="仿宋"/>
          <w:sz w:val="32"/>
          <w:szCs w:val="32"/>
        </w:rPr>
        <w:t>万元，占</w:t>
      </w:r>
      <w:r>
        <w:rPr>
          <w:rFonts w:hint="eastAsia" w:ascii="仿宋" w:hAnsi="仿宋" w:eastAsia="仿宋"/>
          <w:sz w:val="32"/>
          <w:szCs w:val="32"/>
          <w:lang w:val="en-US" w:eastAsia="zh-CN"/>
        </w:rPr>
        <w:t>13.38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5.16</w:t>
      </w:r>
      <w:r>
        <w:rPr>
          <w:rFonts w:hint="eastAsia" w:ascii="仿宋" w:hAnsi="仿宋" w:eastAsia="仿宋"/>
          <w:sz w:val="32"/>
          <w:szCs w:val="32"/>
        </w:rPr>
        <w:t>万元，占</w:t>
      </w:r>
      <w:r>
        <w:rPr>
          <w:rFonts w:hint="eastAsia" w:ascii="仿宋" w:hAnsi="仿宋" w:eastAsia="仿宋"/>
          <w:sz w:val="32"/>
          <w:szCs w:val="32"/>
          <w:lang w:val="en-US" w:eastAsia="zh-CN"/>
        </w:rPr>
        <w:t>5.51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6.43</w:t>
      </w:r>
      <w:r>
        <w:rPr>
          <w:rFonts w:hint="eastAsia" w:ascii="仿宋" w:hAnsi="仿宋" w:eastAsia="仿宋"/>
          <w:sz w:val="32"/>
          <w:szCs w:val="32"/>
        </w:rPr>
        <w:t>万元，占</w:t>
      </w:r>
      <w:r>
        <w:rPr>
          <w:rFonts w:hint="eastAsia" w:ascii="仿宋" w:hAnsi="仿宋" w:eastAsia="仿宋"/>
          <w:sz w:val="32"/>
          <w:szCs w:val="32"/>
          <w:lang w:val="en-US" w:eastAsia="zh-CN"/>
        </w:rPr>
        <w:t>6.86</w:t>
      </w:r>
      <w:r>
        <w:rPr>
          <w:rFonts w:ascii="仿宋" w:hAnsi="仿宋" w:eastAsia="仿宋"/>
          <w:sz w:val="32"/>
          <w:szCs w:val="32"/>
        </w:rPr>
        <w:t>%</w:t>
      </w:r>
      <w:r>
        <w:rPr>
          <w:rFonts w:hint="eastAsia" w:ascii="仿宋" w:hAnsi="仿宋" w:eastAsia="仿宋"/>
          <w:sz w:val="32"/>
          <w:szCs w:val="32"/>
        </w:rPr>
        <w:t>。</w:t>
      </w:r>
    </w:p>
    <w:p>
      <w:pPr>
        <w:pageBreakBefore w:val="0"/>
        <w:kinsoku/>
        <w:wordWrap/>
        <w:overflowPunct/>
        <w:topLinePunct w:val="0"/>
        <w:bidi w:val="0"/>
        <w:adjustRightInd w:val="0"/>
        <w:spacing w:afterAutospacing="0" w:line="576" w:lineRule="exact"/>
        <w:ind w:firstLine="640"/>
        <w:textAlignment w:val="auto"/>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pageBreakBefore w:val="0"/>
        <w:kinsoku/>
        <w:wordWrap/>
        <w:overflowPunct/>
        <w:topLinePunct w:val="0"/>
        <w:bidi w:val="0"/>
        <w:adjustRightInd w:val="0"/>
        <w:spacing w:afterAutospacing="0" w:line="576" w:lineRule="exact"/>
        <w:ind w:firstLine="640"/>
        <w:textAlignment w:val="auto"/>
        <w:rPr>
          <w:rFonts w:ascii="仿宋" w:hAnsi="仿宋" w:eastAsia="仿宋"/>
          <w:sz w:val="32"/>
          <w:szCs w:val="32"/>
        </w:rPr>
      </w:pPr>
    </w:p>
    <w:p>
      <w:pPr>
        <w:pStyle w:val="2"/>
        <w:rPr>
          <w:rFonts w:ascii="仿宋" w:hAnsi="仿宋" w:eastAsia="仿宋"/>
          <w:sz w:val="32"/>
          <w:szCs w:val="32"/>
        </w:rPr>
      </w:pPr>
      <w:r>
        <w:rPr>
          <w:rFonts w:hint="eastAsia" w:ascii="仿宋" w:hAnsi="仿宋" w:eastAsia="仿宋"/>
          <w:sz w:val="32"/>
          <w:szCs w:val="32"/>
          <w:lang w:eastAsia="zh-CN"/>
        </w:rPr>
        <w:drawing>
          <wp:anchor distT="0" distB="0" distL="114300" distR="114300" simplePos="0" relativeHeight="251664384" behindDoc="0" locked="0" layoutInCell="1" allowOverlap="1">
            <wp:simplePos x="0" y="0"/>
            <wp:positionH relativeFrom="column">
              <wp:posOffset>107950</wp:posOffset>
            </wp:positionH>
            <wp:positionV relativeFrom="paragraph">
              <wp:posOffset>153670</wp:posOffset>
            </wp:positionV>
            <wp:extent cx="5080000" cy="3810000"/>
            <wp:effectExtent l="4445" t="4445" r="20955" b="14605"/>
            <wp:wrapNone/>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rPr>
          <w:rFonts w:hint="eastAsia" w:ascii="仿宋" w:hAnsi="仿宋" w:eastAsia="仿宋"/>
          <w:sz w:val="32"/>
          <w:szCs w:val="32"/>
          <w:lang w:eastAsia="zh-CN"/>
        </w:rPr>
      </w:pPr>
    </w:p>
    <w:p>
      <w:pPr>
        <w:pStyle w:val="2"/>
        <w:rPr>
          <w:rFonts w:ascii="仿宋" w:hAnsi="仿宋" w:eastAsia="仿宋"/>
          <w:sz w:val="32"/>
          <w:szCs w:val="32"/>
        </w:rPr>
      </w:pPr>
    </w:p>
    <w:p>
      <w:pPr>
        <w:rPr>
          <w:rFonts w:ascii="仿宋" w:hAnsi="仿宋" w:eastAsia="仿宋"/>
          <w:sz w:val="32"/>
          <w:szCs w:val="32"/>
        </w:rPr>
      </w:pPr>
    </w:p>
    <w:p>
      <w:pPr>
        <w:pStyle w:val="2"/>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firstLineChars="200"/>
        <w:textAlignment w:val="auto"/>
        <w:rPr>
          <w:rFonts w:ascii="仿宋" w:hAnsi="仿宋" w:eastAsia="仿宋"/>
          <w:sz w:val="32"/>
          <w:szCs w:val="32"/>
        </w:rPr>
      </w:pPr>
      <w:r>
        <w:rPr>
          <w:rFonts w:hint="eastAsia" w:ascii="仿宋" w:hAnsi="仿宋" w:eastAsia="仿宋"/>
          <w:sz w:val="32"/>
          <w:szCs w:val="32"/>
        </w:rPr>
        <w:t>（图6：一般公共预算财政拨款支出决算结构）（饼状图）</w:t>
      </w:r>
    </w:p>
    <w:p>
      <w:pPr>
        <w:pStyle w:val="33"/>
        <w:keepNext w:val="0"/>
        <w:keepLines w:val="0"/>
        <w:pageBreakBefore w:val="0"/>
        <w:widowControl/>
        <w:suppressLineNumbers w:val="0"/>
        <w:kinsoku/>
        <w:wordWrap/>
        <w:overflowPunct/>
        <w:topLinePunct w:val="0"/>
        <w:bidi w:val="0"/>
        <w:adjustRightInd w:val="0"/>
        <w:spacing w:before="0" w:beforeAutospacing="0" w:after="0" w:afterAutospacing="0" w:line="576" w:lineRule="exact"/>
        <w:ind w:left="0" w:firstLine="321" w:firstLineChars="100"/>
        <w:jc w:val="left"/>
        <w:textAlignment w:val="auto"/>
        <w:outlineLvl w:val="2"/>
        <w:rPr>
          <w:rFonts w:hint="eastAsia" w:ascii="楷体" w:hAnsi="楷体" w:eastAsia="楷体" w:cs="楷体"/>
          <w:b/>
          <w:bCs/>
          <w:kern w:val="0"/>
          <w:sz w:val="32"/>
          <w:szCs w:val="32"/>
          <w:shd w:val="clear" w:color="auto" w:fill="FFFFFF"/>
        </w:rPr>
      </w:pPr>
      <w:bookmarkStart w:id="30" w:name="_Toc15377212"/>
      <w:r>
        <w:rPr>
          <w:rFonts w:hint="eastAsia" w:ascii="楷体" w:hAnsi="楷体" w:eastAsia="楷体" w:cs="楷体"/>
          <w:b/>
          <w:bCs/>
          <w:kern w:val="0"/>
          <w:sz w:val="32"/>
          <w:szCs w:val="32"/>
          <w:shd w:val="clear" w:color="auto" w:fill="FFFFFF"/>
        </w:rPr>
        <w:t>（三）一般公共预算财政拨款支出决算具体情况</w:t>
      </w:r>
      <w:bookmarkEnd w:id="30"/>
    </w:p>
    <w:p>
      <w:pPr>
        <w:pageBreakBefore w:val="0"/>
        <w:kinsoku/>
        <w:wordWrap/>
        <w:overflowPunct/>
        <w:topLinePunct w:val="0"/>
        <w:bidi w:val="0"/>
        <w:adjustRightInd w:val="0"/>
        <w:spacing w:afterAutospacing="0" w:line="576" w:lineRule="exact"/>
        <w:ind w:firstLine="643" w:firstLineChars="200"/>
        <w:textAlignment w:val="auto"/>
        <w:outlineLvl w:val="2"/>
        <w:rPr>
          <w:rFonts w:ascii="仿宋" w:hAnsi="仿宋" w:eastAsia="仿宋"/>
          <w:sz w:val="32"/>
          <w:szCs w:val="32"/>
        </w:rPr>
      </w:pPr>
      <w:bookmarkStart w:id="31" w:name="_Toc15377213"/>
      <w:bookmarkStart w:id="32" w:name="_Toc15377444"/>
      <w:bookmarkStart w:id="33" w:name="_Toc15378460"/>
      <w:r>
        <w:rPr>
          <w:rFonts w:hint="eastAsia" w:ascii="仿宋" w:hAnsi="仿宋" w:eastAsia="仿宋"/>
          <w:b/>
          <w:sz w:val="32"/>
          <w:szCs w:val="32"/>
        </w:rPr>
        <w:t>2023年度一般公共预算支出决算数为</w:t>
      </w:r>
      <w:r>
        <w:rPr>
          <w:rFonts w:ascii="仿宋" w:hAnsi="仿宋" w:eastAsia="仿宋"/>
          <w:b/>
          <w:sz w:val="32"/>
          <w:szCs w:val="32"/>
        </w:rPr>
        <w:t>93.71</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31"/>
      <w:bookmarkEnd w:id="32"/>
      <w:bookmarkEnd w:id="33"/>
    </w:p>
    <w:p>
      <w:pPr>
        <w:pageBreakBefore w:val="0"/>
        <w:kinsoku/>
        <w:wordWrap/>
        <w:overflowPunct/>
        <w:topLinePunct w:val="0"/>
        <w:bidi w:val="0"/>
        <w:adjustRightInd w:val="0"/>
        <w:spacing w:afterAutospacing="0" w:line="576" w:lineRule="exact"/>
        <w:ind w:firstLine="643" w:firstLineChars="200"/>
        <w:textAlignment w:val="auto"/>
        <w:rPr>
          <w:rFonts w:ascii="仿宋" w:hAnsi="仿宋" w:eastAsia="仿宋"/>
          <w:b/>
          <w:sz w:val="32"/>
          <w:szCs w:val="32"/>
        </w:rPr>
      </w:pPr>
      <w:r>
        <w:rPr>
          <w:rStyle w:val="17"/>
          <w:rFonts w:ascii="仿宋" w:hAnsi="仿宋" w:eastAsia="仿宋"/>
          <w:bCs/>
          <w:sz w:val="32"/>
          <w:szCs w:val="32"/>
        </w:rPr>
        <w:t>1.</w:t>
      </w:r>
      <w:r>
        <w:rPr>
          <w:rStyle w:val="17"/>
          <w:rFonts w:hint="eastAsia" w:ascii="仿宋" w:hAnsi="仿宋" w:eastAsia="仿宋"/>
          <w:bCs/>
          <w:sz w:val="32"/>
          <w:szCs w:val="32"/>
        </w:rPr>
        <w:t>一般公共服务（类）</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lang w:eastAsia="zh-CN"/>
        </w:rPr>
        <w:t>本单位</w:t>
      </w:r>
      <w:r>
        <w:rPr>
          <w:rStyle w:val="17"/>
          <w:rFonts w:hint="eastAsia" w:ascii="仿宋" w:hAnsi="仿宋" w:eastAsia="仿宋"/>
          <w:b w:val="0"/>
          <w:bCs/>
          <w:sz w:val="32"/>
          <w:szCs w:val="32"/>
          <w:lang w:val="en-US" w:eastAsia="zh-CN"/>
        </w:rPr>
        <w:t>2023年度一般公共服务支出为0</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Fonts w:ascii="仿宋" w:hAnsi="仿宋" w:eastAsia="仿宋"/>
          <w:b/>
          <w:sz w:val="32"/>
          <w:szCs w:val="32"/>
        </w:rPr>
      </w:pPr>
      <w:r>
        <w:rPr>
          <w:rStyle w:val="17"/>
          <w:rFonts w:ascii="仿宋" w:hAnsi="仿宋" w:eastAsia="仿宋"/>
          <w:bCs/>
          <w:sz w:val="32"/>
          <w:szCs w:val="32"/>
        </w:rPr>
        <w:t>2.</w:t>
      </w:r>
      <w:r>
        <w:rPr>
          <w:rStyle w:val="17"/>
          <w:rFonts w:hint="eastAsia" w:ascii="仿宋" w:hAnsi="仿宋" w:eastAsia="仿宋"/>
          <w:bCs/>
          <w:sz w:val="32"/>
          <w:szCs w:val="32"/>
        </w:rPr>
        <w:t>教育（类）</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lang w:eastAsia="zh-CN"/>
        </w:rPr>
        <w:t>本单位</w:t>
      </w:r>
      <w:r>
        <w:rPr>
          <w:rStyle w:val="17"/>
          <w:rFonts w:hint="eastAsia" w:ascii="仿宋" w:hAnsi="仿宋" w:eastAsia="仿宋"/>
          <w:b w:val="0"/>
          <w:bCs/>
          <w:sz w:val="32"/>
          <w:szCs w:val="32"/>
          <w:lang w:val="en-US" w:eastAsia="zh-CN"/>
        </w:rPr>
        <w:t>2023年度教育支出为0</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Style w:val="17"/>
          <w:rFonts w:hint="eastAsia" w:ascii="仿宋" w:hAnsi="仿宋" w:eastAsia="仿宋"/>
          <w:b w:val="0"/>
          <w:bCs/>
          <w:sz w:val="32"/>
          <w:szCs w:val="32"/>
          <w:lang w:val="en-US" w:eastAsia="zh-CN"/>
        </w:rPr>
      </w:pPr>
      <w:r>
        <w:rPr>
          <w:rStyle w:val="17"/>
          <w:rFonts w:ascii="仿宋" w:hAnsi="仿宋" w:eastAsia="仿宋"/>
          <w:bCs/>
          <w:sz w:val="32"/>
          <w:szCs w:val="32"/>
        </w:rPr>
        <w:t>3.</w:t>
      </w:r>
      <w:r>
        <w:rPr>
          <w:rStyle w:val="17"/>
          <w:rFonts w:hint="eastAsia" w:ascii="仿宋" w:hAnsi="仿宋" w:eastAsia="仿宋"/>
          <w:bCs/>
          <w:sz w:val="32"/>
          <w:szCs w:val="32"/>
        </w:rPr>
        <w:t>科学技术（类）</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hint="eastAsia" w:ascii="仿宋" w:hAnsi="仿宋" w:eastAsia="仿宋"/>
          <w:b w:val="0"/>
          <w:bCs/>
          <w:sz w:val="32"/>
          <w:szCs w:val="32"/>
          <w:lang w:eastAsia="zh-CN"/>
        </w:rPr>
        <w:t>本单位</w:t>
      </w:r>
      <w:r>
        <w:rPr>
          <w:rStyle w:val="17"/>
          <w:rFonts w:hint="eastAsia" w:ascii="仿宋" w:hAnsi="仿宋" w:eastAsia="仿宋"/>
          <w:b w:val="0"/>
          <w:bCs/>
          <w:sz w:val="32"/>
          <w:szCs w:val="32"/>
          <w:lang w:val="en-US" w:eastAsia="zh-CN"/>
        </w:rPr>
        <w:t>2023年度科学技术支出为0。</w:t>
      </w:r>
    </w:p>
    <w:p>
      <w:pPr>
        <w:pageBreakBefore w:val="0"/>
        <w:kinsoku/>
        <w:wordWrap/>
        <w:overflowPunct/>
        <w:topLinePunct w:val="0"/>
        <w:bidi w:val="0"/>
        <w:adjustRightInd w:val="0"/>
        <w:spacing w:afterAutospacing="0" w:line="576" w:lineRule="exact"/>
        <w:ind w:firstLine="643" w:firstLineChars="200"/>
        <w:textAlignment w:val="auto"/>
        <w:rPr>
          <w:rFonts w:ascii="仿宋" w:hAnsi="仿宋" w:eastAsia="仿宋"/>
          <w:b/>
          <w:sz w:val="32"/>
          <w:szCs w:val="32"/>
        </w:rPr>
      </w:pPr>
      <w:r>
        <w:rPr>
          <w:rStyle w:val="17"/>
          <w:rFonts w:ascii="仿宋" w:hAnsi="仿宋" w:eastAsia="仿宋"/>
          <w:bCs/>
          <w:sz w:val="32"/>
          <w:szCs w:val="32"/>
        </w:rPr>
        <w:t>4.</w:t>
      </w:r>
      <w:r>
        <w:rPr>
          <w:rStyle w:val="17"/>
          <w:rFonts w:hint="eastAsia" w:ascii="仿宋" w:hAnsi="仿宋" w:eastAsia="仿宋"/>
          <w:bCs/>
          <w:sz w:val="32"/>
          <w:szCs w:val="32"/>
        </w:rPr>
        <w:t>文化旅游体育与传媒（类）</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lang w:eastAsia="zh-CN"/>
        </w:rPr>
        <w:t>本单位</w:t>
      </w:r>
      <w:r>
        <w:rPr>
          <w:rStyle w:val="17"/>
          <w:rFonts w:hint="eastAsia" w:ascii="仿宋" w:hAnsi="仿宋" w:eastAsia="仿宋"/>
          <w:b w:val="0"/>
          <w:bCs/>
          <w:sz w:val="32"/>
          <w:szCs w:val="32"/>
          <w:lang w:val="en-US" w:eastAsia="zh-CN"/>
        </w:rPr>
        <w:t>2023年度文化旅游体育与传媒支出为0</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Style w:val="17"/>
          <w:rFonts w:ascii="仿宋" w:hAnsi="仿宋" w:eastAsia="仿宋"/>
          <w:bCs/>
          <w:sz w:val="32"/>
          <w:szCs w:val="32"/>
        </w:rPr>
      </w:pPr>
      <w:r>
        <w:rPr>
          <w:rStyle w:val="17"/>
          <w:rFonts w:ascii="仿宋" w:hAnsi="仿宋" w:eastAsia="仿宋"/>
          <w:bCs/>
          <w:sz w:val="32"/>
          <w:szCs w:val="32"/>
        </w:rPr>
        <w:t>5.</w:t>
      </w:r>
      <w:r>
        <w:rPr>
          <w:rStyle w:val="17"/>
          <w:rFonts w:hint="eastAsia" w:ascii="仿宋" w:hAnsi="仿宋" w:eastAsia="仿宋"/>
          <w:bCs/>
          <w:sz w:val="32"/>
          <w:szCs w:val="32"/>
          <w:lang w:eastAsia="zh-CN"/>
        </w:rPr>
        <w:t>公共安全支出</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204</w:t>
      </w:r>
      <w:r>
        <w:rPr>
          <w:rStyle w:val="17"/>
          <w:rFonts w:hint="eastAsia" w:ascii="仿宋" w:hAnsi="仿宋" w:eastAsia="仿宋"/>
          <w:bCs/>
          <w:sz w:val="32"/>
          <w:szCs w:val="32"/>
        </w:rPr>
        <w:t>）</w:t>
      </w:r>
      <w:r>
        <w:rPr>
          <w:rStyle w:val="17"/>
          <w:rFonts w:hint="eastAsia" w:ascii="仿宋" w:hAnsi="仿宋" w:eastAsia="仿宋"/>
          <w:bCs/>
          <w:sz w:val="32"/>
          <w:szCs w:val="32"/>
          <w:lang w:eastAsia="zh-CN"/>
        </w:rPr>
        <w:t>公安</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02</w:t>
      </w:r>
      <w:r>
        <w:rPr>
          <w:rStyle w:val="17"/>
          <w:rFonts w:hint="eastAsia" w:ascii="仿宋" w:hAnsi="仿宋" w:eastAsia="仿宋"/>
          <w:bCs/>
          <w:sz w:val="32"/>
          <w:szCs w:val="32"/>
        </w:rPr>
        <w:t>）</w:t>
      </w:r>
      <w:r>
        <w:rPr>
          <w:rStyle w:val="17"/>
          <w:rFonts w:hint="eastAsia" w:ascii="仿宋" w:hAnsi="仿宋" w:eastAsia="仿宋"/>
          <w:bCs/>
          <w:sz w:val="32"/>
          <w:szCs w:val="32"/>
          <w:lang w:eastAsia="zh-CN"/>
        </w:rPr>
        <w:t>事业运行</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50</w:t>
      </w:r>
      <w:r>
        <w:rPr>
          <w:rStyle w:val="17"/>
          <w:rFonts w:hint="eastAsia" w:ascii="仿宋" w:hAnsi="仿宋" w:eastAsia="仿宋"/>
          <w:bCs/>
          <w:sz w:val="32"/>
          <w:szCs w:val="32"/>
        </w:rPr>
        <w:t>）</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69.58</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eastAsia="zh-CN"/>
        </w:rPr>
        <w:t>等于预算数</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Style w:val="17"/>
          <w:rFonts w:ascii="仿宋" w:hAnsi="仿宋" w:eastAsia="仿宋"/>
          <w:bCs/>
          <w:sz w:val="32"/>
          <w:szCs w:val="32"/>
        </w:rPr>
      </w:pPr>
      <w:r>
        <w:rPr>
          <w:rStyle w:val="17"/>
          <w:rFonts w:hint="eastAsia" w:ascii="仿宋" w:hAnsi="仿宋" w:eastAsia="仿宋"/>
          <w:bCs/>
          <w:sz w:val="32"/>
          <w:szCs w:val="32"/>
          <w:lang w:val="en-US" w:eastAsia="zh-CN"/>
        </w:rPr>
        <w:t>6.</w:t>
      </w:r>
      <w:r>
        <w:rPr>
          <w:rStyle w:val="17"/>
          <w:rFonts w:hint="eastAsia" w:ascii="仿宋" w:hAnsi="仿宋" w:eastAsia="仿宋"/>
          <w:bCs/>
          <w:sz w:val="32"/>
          <w:szCs w:val="32"/>
        </w:rPr>
        <w:t>社会保障和就业（</w:t>
      </w:r>
      <w:r>
        <w:rPr>
          <w:rStyle w:val="17"/>
          <w:rFonts w:hint="eastAsia" w:ascii="仿宋" w:hAnsi="仿宋" w:eastAsia="仿宋"/>
          <w:bCs/>
          <w:sz w:val="32"/>
          <w:szCs w:val="32"/>
          <w:lang w:val="en-US" w:eastAsia="zh-CN"/>
        </w:rPr>
        <w:t>208</w:t>
      </w:r>
      <w:r>
        <w:rPr>
          <w:rStyle w:val="17"/>
          <w:rFonts w:hint="eastAsia" w:ascii="仿宋" w:hAnsi="仿宋" w:eastAsia="仿宋"/>
          <w:bCs/>
          <w:sz w:val="32"/>
          <w:szCs w:val="32"/>
        </w:rPr>
        <w:t>）</w:t>
      </w:r>
      <w:r>
        <w:rPr>
          <w:rStyle w:val="17"/>
          <w:rFonts w:hint="eastAsia" w:ascii="仿宋" w:hAnsi="仿宋" w:eastAsia="仿宋"/>
          <w:bCs/>
          <w:sz w:val="32"/>
          <w:szCs w:val="32"/>
          <w:lang w:eastAsia="zh-CN"/>
        </w:rPr>
        <w:t>行政事业单位养老支出</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05</w:t>
      </w:r>
      <w:r>
        <w:rPr>
          <w:rStyle w:val="17"/>
          <w:rFonts w:hint="eastAsia" w:ascii="仿宋" w:hAnsi="仿宋" w:eastAsia="仿宋"/>
          <w:bCs/>
          <w:sz w:val="32"/>
          <w:szCs w:val="32"/>
        </w:rPr>
        <w:t>）</w:t>
      </w:r>
      <w:r>
        <w:rPr>
          <w:rStyle w:val="17"/>
          <w:rFonts w:hint="eastAsia" w:ascii="仿宋" w:hAnsi="仿宋" w:eastAsia="仿宋"/>
          <w:bCs/>
          <w:sz w:val="32"/>
          <w:szCs w:val="32"/>
          <w:lang w:eastAsia="zh-CN"/>
        </w:rPr>
        <w:t>机关事业单位基本养老保险缴费支出</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05</w:t>
      </w:r>
      <w:r>
        <w:rPr>
          <w:rStyle w:val="17"/>
          <w:rFonts w:hint="eastAsia" w:ascii="仿宋" w:hAnsi="仿宋" w:eastAsia="仿宋"/>
          <w:bCs/>
          <w:sz w:val="32"/>
          <w:szCs w:val="32"/>
        </w:rPr>
        <w:t>）</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8.76</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eastAsia="zh-CN"/>
        </w:rPr>
        <w:t>等于预算数</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Style w:val="17"/>
          <w:rFonts w:ascii="仿宋" w:hAnsi="仿宋" w:eastAsia="仿宋"/>
          <w:bCs/>
          <w:sz w:val="32"/>
          <w:szCs w:val="32"/>
        </w:rPr>
      </w:pPr>
      <w:r>
        <w:rPr>
          <w:rStyle w:val="17"/>
          <w:rFonts w:hint="eastAsia" w:ascii="仿宋" w:hAnsi="仿宋" w:eastAsia="仿宋"/>
          <w:bCs/>
          <w:sz w:val="32"/>
          <w:szCs w:val="32"/>
          <w:lang w:val="en-US" w:eastAsia="zh-CN"/>
        </w:rPr>
        <w:t>7</w:t>
      </w:r>
      <w:r>
        <w:rPr>
          <w:rStyle w:val="17"/>
          <w:rFonts w:ascii="仿宋" w:hAnsi="仿宋" w:eastAsia="仿宋"/>
          <w:bCs/>
          <w:sz w:val="32"/>
          <w:szCs w:val="32"/>
        </w:rPr>
        <w:t>.</w:t>
      </w:r>
      <w:r>
        <w:rPr>
          <w:rStyle w:val="17"/>
          <w:rFonts w:hint="eastAsia" w:ascii="仿宋" w:hAnsi="仿宋" w:eastAsia="仿宋"/>
          <w:bCs/>
          <w:sz w:val="32"/>
          <w:szCs w:val="32"/>
        </w:rPr>
        <w:t>社会保障和就业（</w:t>
      </w:r>
      <w:r>
        <w:rPr>
          <w:rStyle w:val="17"/>
          <w:rFonts w:hint="eastAsia" w:ascii="仿宋" w:hAnsi="仿宋" w:eastAsia="仿宋"/>
          <w:bCs/>
          <w:sz w:val="32"/>
          <w:szCs w:val="32"/>
          <w:lang w:val="en-US" w:eastAsia="zh-CN"/>
        </w:rPr>
        <w:t>208</w:t>
      </w:r>
      <w:r>
        <w:rPr>
          <w:rStyle w:val="17"/>
          <w:rFonts w:hint="eastAsia" w:ascii="仿宋" w:hAnsi="仿宋" w:eastAsia="仿宋"/>
          <w:bCs/>
          <w:sz w:val="32"/>
          <w:szCs w:val="32"/>
        </w:rPr>
        <w:t>）</w:t>
      </w:r>
      <w:r>
        <w:rPr>
          <w:rStyle w:val="17"/>
          <w:rFonts w:hint="eastAsia" w:ascii="仿宋" w:hAnsi="仿宋" w:eastAsia="仿宋"/>
          <w:bCs/>
          <w:sz w:val="32"/>
          <w:szCs w:val="32"/>
          <w:lang w:eastAsia="zh-CN"/>
        </w:rPr>
        <w:t>行政事业单位养老支出</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05</w:t>
      </w:r>
      <w:r>
        <w:rPr>
          <w:rStyle w:val="17"/>
          <w:rFonts w:hint="eastAsia" w:ascii="仿宋" w:hAnsi="仿宋" w:eastAsia="仿宋"/>
          <w:bCs/>
          <w:sz w:val="32"/>
          <w:szCs w:val="32"/>
        </w:rPr>
        <w:t>）</w:t>
      </w:r>
      <w:r>
        <w:rPr>
          <w:rStyle w:val="17"/>
          <w:rFonts w:hint="eastAsia" w:ascii="仿宋" w:hAnsi="仿宋" w:eastAsia="仿宋"/>
          <w:bCs/>
          <w:sz w:val="32"/>
          <w:szCs w:val="32"/>
          <w:lang w:eastAsia="zh-CN"/>
        </w:rPr>
        <w:t>机关事业单位职业年金缴费支出</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06</w:t>
      </w:r>
      <w:r>
        <w:rPr>
          <w:rStyle w:val="17"/>
          <w:rFonts w:hint="eastAsia" w:ascii="仿宋" w:hAnsi="仿宋" w:eastAsia="仿宋"/>
          <w:bCs/>
          <w:sz w:val="32"/>
          <w:szCs w:val="32"/>
        </w:rPr>
        <w:t>）</w:t>
      </w:r>
      <w:r>
        <w:rPr>
          <w:rStyle w:val="17"/>
          <w:rFonts w:ascii="仿宋" w:hAnsi="仿宋" w:eastAsia="仿宋"/>
          <w:bCs/>
          <w:sz w:val="32"/>
          <w:szCs w:val="32"/>
        </w:rPr>
        <w:t>:</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3.77</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eastAsia="zh-CN"/>
        </w:rPr>
        <w:t>等于预算数</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Style w:val="17"/>
          <w:rFonts w:ascii="仿宋" w:hAnsi="仿宋" w:eastAsia="仿宋"/>
          <w:bCs/>
          <w:sz w:val="32"/>
          <w:szCs w:val="32"/>
        </w:rPr>
      </w:pPr>
      <w:r>
        <w:rPr>
          <w:rStyle w:val="17"/>
          <w:rFonts w:hint="eastAsia" w:ascii="仿宋" w:hAnsi="仿宋" w:eastAsia="仿宋"/>
          <w:bCs/>
          <w:sz w:val="32"/>
          <w:szCs w:val="32"/>
          <w:lang w:val="en-US" w:eastAsia="zh-CN"/>
        </w:rPr>
        <w:t>8</w:t>
      </w:r>
      <w:r>
        <w:rPr>
          <w:rStyle w:val="17"/>
          <w:rFonts w:ascii="仿宋" w:hAnsi="仿宋" w:eastAsia="仿宋"/>
          <w:bCs/>
          <w:sz w:val="32"/>
          <w:szCs w:val="32"/>
        </w:rPr>
        <w:t>.</w:t>
      </w:r>
      <w:r>
        <w:rPr>
          <w:rFonts w:hint="eastAsia" w:ascii="仿宋" w:hAnsi="仿宋" w:eastAsia="仿宋"/>
          <w:b/>
          <w:bCs/>
          <w:sz w:val="32"/>
          <w:szCs w:val="32"/>
        </w:rPr>
        <w:t>卫生健康</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210</w:t>
      </w:r>
      <w:r>
        <w:rPr>
          <w:rStyle w:val="17"/>
          <w:rFonts w:hint="eastAsia" w:ascii="仿宋" w:hAnsi="仿宋" w:eastAsia="仿宋"/>
          <w:bCs/>
          <w:sz w:val="32"/>
          <w:szCs w:val="32"/>
        </w:rPr>
        <w:t>）</w:t>
      </w:r>
      <w:r>
        <w:rPr>
          <w:rStyle w:val="17"/>
          <w:rFonts w:hint="eastAsia" w:ascii="仿宋" w:hAnsi="仿宋" w:eastAsia="仿宋"/>
          <w:bCs/>
          <w:sz w:val="32"/>
          <w:szCs w:val="32"/>
          <w:lang w:eastAsia="zh-CN"/>
        </w:rPr>
        <w:t>行政事业单位医疗</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11</w:t>
      </w:r>
      <w:r>
        <w:rPr>
          <w:rStyle w:val="17"/>
          <w:rFonts w:hint="eastAsia" w:ascii="仿宋" w:hAnsi="仿宋" w:eastAsia="仿宋"/>
          <w:bCs/>
          <w:sz w:val="32"/>
          <w:szCs w:val="32"/>
        </w:rPr>
        <w:t>）</w:t>
      </w:r>
      <w:r>
        <w:rPr>
          <w:rStyle w:val="17"/>
          <w:rFonts w:hint="eastAsia" w:ascii="仿宋" w:hAnsi="仿宋" w:eastAsia="仿宋"/>
          <w:bCs/>
          <w:sz w:val="32"/>
          <w:szCs w:val="32"/>
          <w:lang w:eastAsia="zh-CN"/>
        </w:rPr>
        <w:t>事业单位医疗</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02</w:t>
      </w:r>
      <w:r>
        <w:rPr>
          <w:rStyle w:val="17"/>
          <w:rFonts w:hint="eastAsia" w:ascii="仿宋" w:hAnsi="仿宋" w:eastAsia="仿宋"/>
          <w:bCs/>
          <w:sz w:val="32"/>
          <w:szCs w:val="32"/>
        </w:rPr>
        <w:t>）</w:t>
      </w:r>
      <w:r>
        <w:rPr>
          <w:rStyle w:val="17"/>
          <w:rFonts w:ascii="仿宋" w:hAnsi="仿宋" w:eastAsia="仿宋"/>
          <w:bCs/>
          <w:sz w:val="32"/>
          <w:szCs w:val="32"/>
        </w:rPr>
        <w:t>:</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4.29</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eastAsia="zh-CN"/>
        </w:rPr>
        <w:t>等于预算数</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Style w:val="17"/>
          <w:rFonts w:ascii="仿宋" w:hAnsi="仿宋" w:eastAsia="仿宋"/>
          <w:bCs/>
          <w:sz w:val="32"/>
          <w:szCs w:val="32"/>
        </w:rPr>
      </w:pPr>
      <w:r>
        <w:rPr>
          <w:rStyle w:val="17"/>
          <w:rFonts w:hint="eastAsia" w:ascii="仿宋" w:hAnsi="仿宋" w:eastAsia="仿宋"/>
          <w:bCs/>
          <w:sz w:val="32"/>
          <w:szCs w:val="32"/>
          <w:lang w:val="en-US" w:eastAsia="zh-CN"/>
        </w:rPr>
        <w:t>9</w:t>
      </w:r>
      <w:r>
        <w:rPr>
          <w:rStyle w:val="17"/>
          <w:rFonts w:ascii="仿宋" w:hAnsi="仿宋" w:eastAsia="仿宋"/>
          <w:bCs/>
          <w:sz w:val="32"/>
          <w:szCs w:val="32"/>
        </w:rPr>
        <w:t>.</w:t>
      </w:r>
      <w:r>
        <w:rPr>
          <w:rFonts w:hint="eastAsia" w:ascii="仿宋" w:hAnsi="仿宋" w:eastAsia="仿宋"/>
          <w:b/>
          <w:bCs/>
          <w:sz w:val="32"/>
          <w:szCs w:val="32"/>
        </w:rPr>
        <w:t>卫生健康</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210</w:t>
      </w:r>
      <w:r>
        <w:rPr>
          <w:rStyle w:val="17"/>
          <w:rFonts w:hint="eastAsia" w:ascii="仿宋" w:hAnsi="仿宋" w:eastAsia="仿宋"/>
          <w:bCs/>
          <w:sz w:val="32"/>
          <w:szCs w:val="32"/>
        </w:rPr>
        <w:t>）</w:t>
      </w:r>
      <w:r>
        <w:rPr>
          <w:rStyle w:val="17"/>
          <w:rFonts w:hint="eastAsia" w:ascii="仿宋" w:hAnsi="仿宋" w:eastAsia="仿宋"/>
          <w:bCs/>
          <w:sz w:val="32"/>
          <w:szCs w:val="32"/>
          <w:lang w:eastAsia="zh-CN"/>
        </w:rPr>
        <w:t>行政事业单位医疗</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11</w:t>
      </w:r>
      <w:r>
        <w:rPr>
          <w:rStyle w:val="17"/>
          <w:rFonts w:hint="eastAsia" w:ascii="仿宋" w:hAnsi="仿宋" w:eastAsia="仿宋"/>
          <w:bCs/>
          <w:sz w:val="32"/>
          <w:szCs w:val="32"/>
        </w:rPr>
        <w:t>）</w:t>
      </w:r>
      <w:r>
        <w:rPr>
          <w:rStyle w:val="17"/>
          <w:rFonts w:hint="eastAsia" w:ascii="仿宋" w:hAnsi="仿宋" w:eastAsia="仿宋"/>
          <w:bCs/>
          <w:sz w:val="32"/>
          <w:szCs w:val="32"/>
          <w:lang w:eastAsia="zh-CN"/>
        </w:rPr>
        <w:t>其他行政事业单位医疗支出</w:t>
      </w:r>
      <w:r>
        <w:rPr>
          <w:rStyle w:val="17"/>
          <w:rFonts w:ascii="仿宋" w:hAnsi="仿宋" w:eastAsia="仿宋"/>
          <w:bCs/>
          <w:sz w:val="32"/>
          <w:szCs w:val="32"/>
        </w:rPr>
        <w:t>:</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0.87</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eastAsia="zh-CN"/>
        </w:rPr>
        <w:t>等于预算数</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Style w:val="17"/>
          <w:rFonts w:ascii="仿宋" w:hAnsi="仿宋" w:eastAsia="仿宋"/>
          <w:bCs/>
          <w:sz w:val="32"/>
          <w:szCs w:val="32"/>
        </w:rPr>
      </w:pPr>
      <w:r>
        <w:rPr>
          <w:rStyle w:val="17"/>
          <w:rFonts w:hint="eastAsia" w:ascii="仿宋" w:hAnsi="仿宋" w:eastAsia="仿宋"/>
          <w:bCs/>
          <w:sz w:val="32"/>
          <w:szCs w:val="32"/>
          <w:lang w:val="en-US" w:eastAsia="zh-CN"/>
        </w:rPr>
        <w:t>10</w:t>
      </w:r>
      <w:r>
        <w:rPr>
          <w:rStyle w:val="17"/>
          <w:rFonts w:ascii="仿宋" w:hAnsi="仿宋" w:eastAsia="仿宋"/>
          <w:bCs/>
          <w:sz w:val="32"/>
          <w:szCs w:val="32"/>
        </w:rPr>
        <w:t>.</w:t>
      </w:r>
      <w:r>
        <w:rPr>
          <w:rStyle w:val="17"/>
          <w:rFonts w:hint="eastAsia" w:ascii="仿宋" w:hAnsi="仿宋" w:eastAsia="仿宋"/>
          <w:bCs/>
          <w:sz w:val="32"/>
          <w:szCs w:val="32"/>
          <w:lang w:eastAsia="zh-CN"/>
        </w:rPr>
        <w:t>住房保障支出</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221</w:t>
      </w:r>
      <w:r>
        <w:rPr>
          <w:rStyle w:val="17"/>
          <w:rFonts w:hint="eastAsia" w:ascii="仿宋" w:hAnsi="仿宋" w:eastAsia="仿宋"/>
          <w:bCs/>
          <w:sz w:val="32"/>
          <w:szCs w:val="32"/>
        </w:rPr>
        <w:t>）</w:t>
      </w:r>
      <w:r>
        <w:rPr>
          <w:rStyle w:val="17"/>
          <w:rFonts w:hint="eastAsia" w:ascii="仿宋" w:hAnsi="仿宋" w:eastAsia="仿宋"/>
          <w:bCs/>
          <w:sz w:val="32"/>
          <w:szCs w:val="32"/>
          <w:lang w:eastAsia="zh-CN"/>
        </w:rPr>
        <w:t>住房改革支出</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02</w:t>
      </w:r>
      <w:r>
        <w:rPr>
          <w:rStyle w:val="17"/>
          <w:rFonts w:hint="eastAsia" w:ascii="仿宋" w:hAnsi="仿宋" w:eastAsia="仿宋"/>
          <w:bCs/>
          <w:sz w:val="32"/>
          <w:szCs w:val="32"/>
        </w:rPr>
        <w:t>）</w:t>
      </w:r>
      <w:r>
        <w:rPr>
          <w:rStyle w:val="17"/>
          <w:rFonts w:hint="eastAsia" w:ascii="仿宋" w:hAnsi="仿宋" w:eastAsia="仿宋"/>
          <w:bCs/>
          <w:sz w:val="32"/>
          <w:szCs w:val="32"/>
          <w:lang w:eastAsia="zh-CN"/>
        </w:rPr>
        <w:t>住房公积金</w:t>
      </w:r>
      <w:r>
        <w:rPr>
          <w:rStyle w:val="17"/>
          <w:rFonts w:hint="eastAsia" w:ascii="仿宋" w:hAnsi="仿宋" w:eastAsia="仿宋"/>
          <w:bCs/>
          <w:sz w:val="32"/>
          <w:szCs w:val="32"/>
        </w:rPr>
        <w:t>（</w:t>
      </w:r>
      <w:r>
        <w:rPr>
          <w:rStyle w:val="17"/>
          <w:rFonts w:hint="eastAsia" w:ascii="仿宋" w:hAnsi="仿宋" w:eastAsia="仿宋"/>
          <w:bCs/>
          <w:sz w:val="32"/>
          <w:szCs w:val="32"/>
          <w:lang w:val="en-US" w:eastAsia="zh-CN"/>
        </w:rPr>
        <w:t>01</w:t>
      </w:r>
      <w:r>
        <w:rPr>
          <w:rStyle w:val="17"/>
          <w:rFonts w:hint="eastAsia" w:ascii="仿宋" w:hAnsi="仿宋" w:eastAsia="仿宋"/>
          <w:bCs/>
          <w:sz w:val="32"/>
          <w:szCs w:val="32"/>
        </w:rPr>
        <w:t>）</w:t>
      </w:r>
      <w:r>
        <w:rPr>
          <w:rStyle w:val="17"/>
          <w:rFonts w:ascii="仿宋" w:hAnsi="仿宋" w:eastAsia="仿宋"/>
          <w:bCs/>
          <w:sz w:val="32"/>
          <w:szCs w:val="32"/>
        </w:rPr>
        <w:t>:</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6.43</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eastAsia="zh-CN"/>
        </w:rPr>
        <w:t>等于预算数</w:t>
      </w:r>
      <w:r>
        <w:rPr>
          <w:rStyle w:val="17"/>
          <w:rFonts w:hint="eastAsia" w:ascii="仿宋" w:hAnsi="仿宋" w:eastAsia="仿宋"/>
          <w:b w:val="0"/>
          <w:bCs/>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pPr>
        <w:pageBreakBefore w:val="0"/>
        <w:tabs>
          <w:tab w:val="right" w:pos="8306"/>
        </w:tabs>
        <w:kinsoku/>
        <w:wordWrap/>
        <w:overflowPunct/>
        <w:topLinePunct w:val="0"/>
        <w:bidi w:val="0"/>
        <w:adjustRightInd w:val="0"/>
        <w:spacing w:afterAutospacing="0" w:line="576" w:lineRule="exact"/>
        <w:ind w:firstLine="640"/>
        <w:textAlignment w:val="auto"/>
        <w:outlineLvl w:val="1"/>
        <w:rPr>
          <w:rStyle w:val="28"/>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34"/>
      <w:bookmarkEnd w:id="35"/>
      <w:r>
        <w:rPr>
          <w:rStyle w:val="28"/>
          <w:rFonts w:ascii="黑体" w:hAnsi="黑体" w:eastAsia="黑体"/>
          <w:b w:val="0"/>
        </w:rPr>
        <w:tab/>
      </w:r>
    </w:p>
    <w:p>
      <w:pPr>
        <w:pageBreakBefore w:val="0"/>
        <w:kinsoku/>
        <w:wordWrap/>
        <w:overflowPunct/>
        <w:topLinePunct w:val="0"/>
        <w:bidi w:val="0"/>
        <w:adjustRightInd w:val="0"/>
        <w:spacing w:afterAutospacing="0" w:line="576" w:lineRule="exact"/>
        <w:ind w:firstLine="645"/>
        <w:textAlignment w:val="auto"/>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93.71</w:t>
      </w:r>
      <w:r>
        <w:rPr>
          <w:rFonts w:hint="eastAsia" w:ascii="仿宋" w:hAnsi="仿宋" w:eastAsia="仿宋"/>
          <w:sz w:val="32"/>
          <w:szCs w:val="32"/>
        </w:rPr>
        <w:t>万元，其中：</w:t>
      </w:r>
    </w:p>
    <w:p>
      <w:pPr>
        <w:pageBreakBefore w:val="0"/>
        <w:kinsoku/>
        <w:wordWrap/>
        <w:overflowPunct/>
        <w:topLinePunct w:val="0"/>
        <w:bidi w:val="0"/>
        <w:adjustRightInd w:val="0"/>
        <w:spacing w:afterAutospacing="0" w:line="576" w:lineRule="exact"/>
        <w:ind w:firstLine="645"/>
        <w:textAlignment w:val="auto"/>
        <w:rPr>
          <w:rFonts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86.27</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7.44</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pageBreakBefore w:val="0"/>
        <w:kinsoku/>
        <w:wordWrap/>
        <w:overflowPunct/>
        <w:topLinePunct w:val="0"/>
        <w:bidi w:val="0"/>
        <w:adjustRightInd w:val="0"/>
        <w:spacing w:afterAutospacing="0" w:line="576" w:lineRule="exact"/>
        <w:ind w:firstLine="645"/>
        <w:textAlignment w:val="auto"/>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pPr>
        <w:pageBreakBefore w:val="0"/>
        <w:kinsoku/>
        <w:wordWrap/>
        <w:overflowPunct/>
        <w:topLinePunct w:val="0"/>
        <w:bidi w:val="0"/>
        <w:adjustRightInd w:val="0"/>
        <w:spacing w:afterAutospacing="0" w:line="576" w:lineRule="exact"/>
        <w:ind w:firstLine="640"/>
        <w:textAlignment w:val="auto"/>
        <w:outlineLvl w:val="1"/>
        <w:rPr>
          <w:rStyle w:val="28"/>
          <w:rFonts w:ascii="黑体" w:hAnsi="黑体" w:eastAsia="黑体"/>
          <w:b w:val="0"/>
        </w:rPr>
      </w:pPr>
      <w:bookmarkStart w:id="36" w:name="_Toc15396609"/>
      <w:bookmarkStart w:id="37" w:name="_Toc15377215"/>
      <w:r>
        <w:rPr>
          <w:rFonts w:hint="eastAsia" w:ascii="黑体" w:eastAsia="黑体"/>
          <w:sz w:val="32"/>
          <w:szCs w:val="32"/>
        </w:rPr>
        <w:t>七、</w:t>
      </w:r>
      <w:r>
        <w:rPr>
          <w:rStyle w:val="28"/>
          <w:rFonts w:hint="eastAsia" w:ascii="黑体" w:hAnsi="黑体" w:eastAsia="黑体"/>
          <w:b w:val="0"/>
        </w:rPr>
        <w:t>财政拨款</w:t>
      </w:r>
      <w:r>
        <w:rPr>
          <w:rStyle w:val="28"/>
          <w:rFonts w:hint="eastAsia" w:ascii="黑体" w:hAnsi="黑体" w:eastAsia="黑体"/>
        </w:rPr>
        <w:t>“</w:t>
      </w:r>
      <w:r>
        <w:rPr>
          <w:rStyle w:val="28"/>
          <w:rFonts w:hint="eastAsia" w:ascii="黑体" w:hAnsi="黑体" w:eastAsia="黑体"/>
          <w:b w:val="0"/>
        </w:rPr>
        <w:t>三公”经费支出决算情况说明</w:t>
      </w:r>
      <w:bookmarkEnd w:id="36"/>
      <w:bookmarkEnd w:id="37"/>
    </w:p>
    <w:p>
      <w:pPr>
        <w:pageBreakBefore w:val="0"/>
        <w:kinsoku/>
        <w:wordWrap/>
        <w:overflowPunct/>
        <w:topLinePunct w:val="0"/>
        <w:bidi w:val="0"/>
        <w:adjustRightInd w:val="0"/>
        <w:spacing w:afterAutospacing="0" w:line="576" w:lineRule="exact"/>
        <w:ind w:firstLine="640"/>
        <w:textAlignment w:val="auto"/>
        <w:outlineLvl w:val="2"/>
        <w:rPr>
          <w:rFonts w:hint="eastAsia" w:ascii="楷体" w:hAnsi="楷体" w:eastAsia="楷体" w:cs="楷体"/>
          <w:b/>
          <w:sz w:val="32"/>
          <w:szCs w:val="32"/>
        </w:rPr>
      </w:pPr>
      <w:bookmarkStart w:id="38" w:name="_Toc15377216"/>
      <w:r>
        <w:rPr>
          <w:rFonts w:hint="eastAsia" w:ascii="楷体" w:hAnsi="楷体" w:eastAsia="楷体" w:cs="楷体"/>
          <w:b/>
          <w:sz w:val="32"/>
          <w:szCs w:val="32"/>
        </w:rPr>
        <w:t>（一）“三公”经费财政拨款支出决算总体情况说明</w:t>
      </w:r>
      <w:bookmarkEnd w:id="38"/>
    </w:p>
    <w:p>
      <w:pPr>
        <w:pageBreakBefore w:val="0"/>
        <w:kinsoku/>
        <w:wordWrap/>
        <w:overflowPunct/>
        <w:topLinePunct w:val="0"/>
        <w:bidi w:val="0"/>
        <w:adjustRightInd w:val="0"/>
        <w:spacing w:afterAutospacing="0" w:line="576" w:lineRule="exact"/>
        <w:ind w:firstLine="640"/>
        <w:textAlignment w:val="auto"/>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，较上年度</w:t>
      </w:r>
      <w:r>
        <w:rPr>
          <w:rFonts w:hint="eastAsia" w:ascii="仿宋" w:hAnsi="仿宋" w:eastAsia="仿宋"/>
          <w:sz w:val="32"/>
          <w:szCs w:val="32"/>
          <w:lang w:eastAsia="zh-CN"/>
        </w:rPr>
        <w:t>持平</w:t>
      </w:r>
      <w:r>
        <w:rPr>
          <w:rFonts w:hint="eastAsia" w:ascii="仿宋" w:hAnsi="仿宋" w:eastAsia="仿宋"/>
          <w:sz w:val="32"/>
          <w:szCs w:val="32"/>
        </w:rPr>
        <w:t>。决算数小于预算数的主要原因是</w:t>
      </w:r>
      <w:r>
        <w:rPr>
          <w:rFonts w:hint="eastAsia" w:ascii="仿宋" w:hAnsi="仿宋" w:eastAsia="仿宋"/>
          <w:sz w:val="32"/>
          <w:szCs w:val="32"/>
          <w:lang w:eastAsia="zh-CN"/>
        </w:rPr>
        <w:t>：我单位按照相关规定厉行节俭，从严控制“三公经费”支出</w:t>
      </w:r>
      <w:r>
        <w:rPr>
          <w:rFonts w:hint="eastAsia" w:ascii="仿宋" w:hAnsi="仿宋" w:eastAsia="仿宋"/>
          <w:sz w:val="32"/>
          <w:szCs w:val="32"/>
        </w:rPr>
        <w:t>。</w:t>
      </w:r>
    </w:p>
    <w:p>
      <w:pPr>
        <w:pageBreakBefore w:val="0"/>
        <w:kinsoku/>
        <w:wordWrap/>
        <w:overflowPunct/>
        <w:topLinePunct w:val="0"/>
        <w:bidi w:val="0"/>
        <w:adjustRightInd w:val="0"/>
        <w:spacing w:afterAutospacing="0" w:line="576" w:lineRule="exact"/>
        <w:ind w:firstLine="640"/>
        <w:textAlignment w:val="auto"/>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pPr>
        <w:pageBreakBefore w:val="0"/>
        <w:kinsoku/>
        <w:wordWrap/>
        <w:overflowPunct/>
        <w:topLinePunct w:val="0"/>
        <w:bidi w:val="0"/>
        <w:adjustRightInd w:val="0"/>
        <w:spacing w:afterAutospacing="0" w:line="576" w:lineRule="exact"/>
        <w:ind w:firstLine="640"/>
        <w:textAlignment w:val="auto"/>
        <w:outlineLvl w:val="2"/>
        <w:rPr>
          <w:rFonts w:hint="eastAsia" w:ascii="楷体" w:hAnsi="楷体" w:eastAsia="楷体" w:cs="楷体"/>
          <w:b/>
          <w:sz w:val="32"/>
          <w:szCs w:val="32"/>
        </w:rPr>
      </w:pPr>
      <w:bookmarkStart w:id="39" w:name="_Toc15377217"/>
      <w:r>
        <w:rPr>
          <w:rFonts w:hint="eastAsia" w:ascii="楷体" w:hAnsi="楷体" w:eastAsia="楷体" w:cs="楷体"/>
          <w:b/>
          <w:sz w:val="32"/>
          <w:szCs w:val="32"/>
        </w:rPr>
        <w:t>（二）“三公”经费财政拨款支出决算具体情况说明</w:t>
      </w:r>
      <w:bookmarkEnd w:id="39"/>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sz w:val="32"/>
          <w:szCs w:val="32"/>
          <w:lang w:eastAsia="zh-CN"/>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pPr>
        <w:pStyle w:val="2"/>
        <w:rPr>
          <w:rFonts w:hint="eastAsia" w:ascii="仿宋" w:hAnsi="仿宋" w:eastAsia="仿宋"/>
          <w:sz w:val="32"/>
          <w:szCs w:val="32"/>
        </w:rPr>
      </w:pPr>
      <w:r>
        <w:rPr>
          <w:rFonts w:hint="eastAsia" w:eastAsia="仿宋"/>
          <w:lang w:eastAsia="zh-CN"/>
        </w:rPr>
        <w:drawing>
          <wp:anchor distT="0" distB="0" distL="114300" distR="114300" simplePos="0" relativeHeight="251665408" behindDoc="0" locked="0" layoutInCell="1" allowOverlap="1">
            <wp:simplePos x="0" y="0"/>
            <wp:positionH relativeFrom="column">
              <wp:posOffset>12065</wp:posOffset>
            </wp:positionH>
            <wp:positionV relativeFrom="paragraph">
              <wp:posOffset>109855</wp:posOffset>
            </wp:positionV>
            <wp:extent cx="5080000" cy="3762375"/>
            <wp:effectExtent l="4445" t="4445" r="20955" b="5080"/>
            <wp:wrapNone/>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rPr>
          <w:rFonts w:hint="eastAsia" w:ascii="仿宋" w:hAnsi="仿宋" w:eastAsia="仿宋"/>
          <w:sz w:val="32"/>
          <w:szCs w:val="32"/>
        </w:rPr>
      </w:pPr>
    </w:p>
    <w:p>
      <w:pPr>
        <w:pStyle w:val="2"/>
        <w:rPr>
          <w:rFonts w:hint="eastAsia" w:ascii="仿宋" w:hAnsi="仿宋" w:eastAsia="仿宋"/>
          <w:sz w:val="32"/>
          <w:szCs w:val="32"/>
        </w:rPr>
      </w:pPr>
    </w:p>
    <w:p>
      <w:pPr>
        <w:rPr>
          <w:rFonts w:hint="eastAsia" w:ascii="仿宋" w:hAnsi="仿宋" w:eastAsia="仿宋"/>
          <w:sz w:val="32"/>
          <w:szCs w:val="32"/>
        </w:rPr>
      </w:pPr>
    </w:p>
    <w:p>
      <w:pPr>
        <w:pStyle w:val="2"/>
        <w:rPr>
          <w:rFonts w:hint="eastAsia" w:eastAsia="仿宋"/>
          <w:lang w:eastAsia="zh-CN"/>
        </w:rPr>
      </w:pPr>
    </w:p>
    <w:p>
      <w:pPr>
        <w:pStyle w:val="2"/>
        <w:rPr>
          <w:rFonts w:hint="eastAsia" w:ascii="仿宋" w:hAnsi="仿宋" w:eastAsia="仿宋"/>
          <w:sz w:val="32"/>
          <w:szCs w:val="32"/>
        </w:rPr>
      </w:pPr>
    </w:p>
    <w:p>
      <w:pPr>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textAlignment w:val="auto"/>
        <w:rPr>
          <w:rFonts w:hint="eastAsia" w:ascii="仿宋" w:hAnsi="仿宋" w:eastAsia="仿宋"/>
          <w:sz w:val="32"/>
          <w:szCs w:val="32"/>
        </w:rPr>
      </w:pPr>
    </w:p>
    <w:p>
      <w:pPr>
        <w:pageBreakBefore w:val="0"/>
        <w:kinsoku/>
        <w:wordWrap/>
        <w:overflowPunct/>
        <w:topLinePunct w:val="0"/>
        <w:bidi w:val="0"/>
        <w:adjustRightInd w:val="0"/>
        <w:spacing w:afterAutospacing="0" w:line="576" w:lineRule="exact"/>
        <w:ind w:firstLine="640"/>
        <w:textAlignment w:val="auto"/>
        <w:rPr>
          <w:rFonts w:ascii="仿宋" w:hAnsi="仿宋" w:eastAsia="仿宋"/>
          <w:sz w:val="32"/>
          <w:szCs w:val="32"/>
        </w:rPr>
      </w:pPr>
      <w:r>
        <w:rPr>
          <w:rFonts w:hint="eastAsia" w:ascii="仿宋" w:hAnsi="仿宋" w:eastAsia="仿宋"/>
          <w:sz w:val="32"/>
          <w:szCs w:val="32"/>
        </w:rPr>
        <w:t>（图7：“三公”经费财政拨款支出结构）（饼状图）</w:t>
      </w:r>
    </w:p>
    <w:p>
      <w:pPr>
        <w:pageBreakBefore w:val="0"/>
        <w:numPr>
          <w:ilvl w:val="0"/>
          <w:numId w:val="0"/>
        </w:numPr>
        <w:kinsoku/>
        <w:wordWrap/>
        <w:overflowPunct/>
        <w:topLinePunct w:val="0"/>
        <w:bidi w:val="0"/>
        <w:adjustRightInd w:val="0"/>
        <w:spacing w:afterAutospacing="0" w:line="576" w:lineRule="exact"/>
        <w:ind w:firstLine="643" w:firstLineChars="200"/>
        <w:textAlignment w:val="auto"/>
        <w:rPr>
          <w:rFonts w:hint="eastAsia" w:ascii="仿宋_GB2312" w:eastAsia="仿宋_GB2312"/>
          <w:sz w:val="32"/>
          <w:szCs w:val="32"/>
          <w:lang w:val="en-US" w:eastAsia="zh-CN"/>
        </w:rPr>
      </w:pPr>
      <w:bookmarkStart w:id="40" w:name="_Toc15396610"/>
      <w:bookmarkStart w:id="41" w:name="_Toc15377218"/>
      <w:r>
        <w:rPr>
          <w:rFonts w:hint="eastAsia" w:ascii="仿宋_GB2312" w:eastAsia="仿宋_GB2312"/>
          <w:b/>
          <w:sz w:val="32"/>
          <w:szCs w:val="32"/>
          <w:lang w:val="en-US" w:eastAsia="zh-CN"/>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w:t>
      </w:r>
      <w:r>
        <w:rPr>
          <w:rFonts w:hint="eastAsia" w:ascii="仿宋_GB2312" w:eastAsia="仿宋_GB2312"/>
          <w:sz w:val="32"/>
          <w:szCs w:val="32"/>
          <w:lang w:eastAsia="zh-CN"/>
        </w:rPr>
        <w:t>与</w:t>
      </w:r>
      <w:r>
        <w:rPr>
          <w:rFonts w:hint="eastAsia" w:ascii="仿宋_GB2312" w:eastAsia="仿宋_GB2312"/>
          <w:sz w:val="32"/>
          <w:szCs w:val="32"/>
        </w:rPr>
        <w:t>2022年</w:t>
      </w:r>
      <w:r>
        <w:rPr>
          <w:rFonts w:hint="eastAsia" w:ascii="仿宋_GB2312" w:eastAsia="仿宋_GB2312"/>
          <w:sz w:val="32"/>
          <w:szCs w:val="32"/>
          <w:lang w:eastAsia="zh-CN"/>
        </w:rPr>
        <w:t>持平，均为</w:t>
      </w:r>
      <w:r>
        <w:rPr>
          <w:rFonts w:hint="eastAsia" w:ascii="仿宋_GB2312" w:eastAsia="仿宋_GB2312"/>
          <w:sz w:val="32"/>
          <w:szCs w:val="32"/>
          <w:lang w:val="en-US" w:eastAsia="zh-CN"/>
        </w:rPr>
        <w:t>0。</w:t>
      </w:r>
    </w:p>
    <w:p>
      <w:pPr>
        <w:pageBreakBefore w:val="0"/>
        <w:kinsoku/>
        <w:wordWrap/>
        <w:overflowPunct/>
        <w:topLinePunct w:val="0"/>
        <w:bidi w:val="0"/>
        <w:adjustRightInd w:val="0"/>
        <w:spacing w:afterAutospacing="0" w:line="576" w:lineRule="exact"/>
        <w:ind w:firstLine="643" w:firstLineChars="200"/>
        <w:textAlignment w:val="auto"/>
        <w:rPr>
          <w:rFonts w:ascii="仿宋_GB2312" w:eastAsia="仿宋_GB2312"/>
          <w:sz w:val="32"/>
          <w:szCs w:val="32"/>
        </w:rPr>
      </w:pPr>
      <w:r>
        <w:rPr>
          <w:rFonts w:ascii="仿宋_GB2312" w:eastAsia="仿宋_GB2312"/>
          <w:b/>
          <w:sz w:val="32"/>
          <w:szCs w:val="32"/>
        </w:rPr>
        <w:t>2.</w:t>
      </w:r>
      <w:r>
        <w:rPr>
          <w:rFonts w:hint="eastAsia" w:ascii="仿宋_GB2312" w:eastAsia="仿宋_GB2312"/>
          <w:b/>
          <w:sz w:val="32"/>
          <w:szCs w:val="32"/>
        </w:rPr>
        <w:t>公务用车购置</w:t>
      </w:r>
      <w:r>
        <w:rPr>
          <w:rFonts w:hint="eastAsia" w:ascii="仿宋_GB2312" w:eastAsia="仿宋_GB2312"/>
          <w:b/>
          <w:sz w:val="32"/>
          <w:szCs w:val="32"/>
          <w:lang w:eastAsia="zh-CN"/>
        </w:rPr>
        <w:t>及</w:t>
      </w: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公务用车购置费支出决算</w:t>
      </w:r>
      <w:r>
        <w:rPr>
          <w:rFonts w:hint="eastAsia" w:ascii="仿宋_GB2312" w:eastAsia="仿宋_GB2312"/>
          <w:sz w:val="32"/>
          <w:szCs w:val="32"/>
          <w:lang w:eastAsia="zh-CN"/>
        </w:rPr>
        <w:t>与</w:t>
      </w:r>
      <w:r>
        <w:rPr>
          <w:rFonts w:hint="eastAsia" w:ascii="仿宋_GB2312" w:eastAsia="仿宋_GB2312"/>
          <w:sz w:val="32"/>
          <w:szCs w:val="32"/>
          <w:lang w:val="en-US" w:eastAsia="zh-CN"/>
        </w:rPr>
        <w:t>2022年度持平，均为0。</w:t>
      </w: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pPr>
        <w:pageBreakBefore w:val="0"/>
        <w:kinsoku/>
        <w:wordWrap/>
        <w:overflowPunct/>
        <w:topLinePunct w:val="0"/>
        <w:bidi w:val="0"/>
        <w:adjustRightInd w:val="0"/>
        <w:spacing w:afterAutospacing="0" w:line="576" w:lineRule="exact"/>
        <w:ind w:firstLine="640"/>
        <w:textAlignment w:val="auto"/>
        <w:rPr>
          <w:rFonts w:hint="eastAsia" w:ascii="仿宋_GB2312" w:eastAsia="仿宋_GB2312"/>
          <w:sz w:val="32"/>
          <w:szCs w:val="32"/>
          <w:lang w:val="en-US" w:eastAsia="zh-CN"/>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w:t>
      </w:r>
      <w:r>
        <w:rPr>
          <w:rFonts w:hint="eastAsia" w:ascii="仿宋_GB2312" w:eastAsia="仿宋_GB2312"/>
          <w:sz w:val="32"/>
          <w:szCs w:val="32"/>
          <w:lang w:eastAsia="zh-CN"/>
        </w:rPr>
        <w:t>与</w:t>
      </w:r>
      <w:r>
        <w:rPr>
          <w:rFonts w:hint="eastAsia" w:ascii="仿宋_GB2312" w:eastAsia="仿宋_GB2312"/>
          <w:sz w:val="32"/>
          <w:szCs w:val="32"/>
        </w:rPr>
        <w:t>2022年度</w:t>
      </w:r>
      <w:r>
        <w:rPr>
          <w:rFonts w:hint="eastAsia" w:ascii="仿宋_GB2312" w:eastAsia="仿宋_GB2312"/>
          <w:sz w:val="32"/>
          <w:szCs w:val="32"/>
          <w:lang w:val="en-US" w:eastAsia="zh-CN"/>
        </w:rPr>
        <w:t>持平，均为0。</w:t>
      </w:r>
    </w:p>
    <w:p>
      <w:pPr>
        <w:pageBreakBefore w:val="0"/>
        <w:kinsoku/>
        <w:wordWrap/>
        <w:overflowPunct/>
        <w:topLinePunct w:val="0"/>
        <w:bidi w:val="0"/>
        <w:adjustRightInd w:val="0"/>
        <w:spacing w:afterAutospacing="0" w:line="576" w:lineRule="exact"/>
        <w:ind w:firstLine="640"/>
        <w:textAlignment w:val="auto"/>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w:t>
      </w:r>
    </w:p>
    <w:p>
      <w:pPr>
        <w:pageBreakBefore w:val="0"/>
        <w:kinsoku/>
        <w:wordWrap/>
        <w:overflowPunct/>
        <w:topLinePunct w:val="0"/>
        <w:bidi w:val="0"/>
        <w:adjustRightInd w:val="0"/>
        <w:spacing w:afterAutospacing="0" w:line="576" w:lineRule="exact"/>
        <w:ind w:firstLine="643" w:firstLineChars="200"/>
        <w:textAlignment w:val="auto"/>
        <w:rPr>
          <w:rFonts w:ascii="黑体" w:eastAsia="黑体"/>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w:t>
      </w:r>
    </w:p>
    <w:p>
      <w:pPr>
        <w:pageBreakBefore w:val="0"/>
        <w:kinsoku/>
        <w:wordWrap/>
        <w:overflowPunct/>
        <w:topLinePunct w:val="0"/>
        <w:bidi w:val="0"/>
        <w:adjustRightInd w:val="0"/>
        <w:spacing w:afterAutospacing="0" w:line="576" w:lineRule="exact"/>
        <w:ind w:firstLine="640"/>
        <w:textAlignment w:val="auto"/>
        <w:outlineLvl w:val="1"/>
        <w:rPr>
          <w:rStyle w:val="28"/>
          <w:rFonts w:ascii="黑体" w:hAnsi="黑体" w:eastAsia="黑体"/>
        </w:rPr>
      </w:pPr>
      <w:r>
        <w:rPr>
          <w:rFonts w:hint="eastAsia" w:ascii="黑体" w:eastAsia="黑体"/>
          <w:sz w:val="32"/>
          <w:szCs w:val="32"/>
        </w:rPr>
        <w:t>八、</w:t>
      </w:r>
      <w:r>
        <w:rPr>
          <w:rStyle w:val="28"/>
          <w:rFonts w:hint="eastAsia" w:ascii="黑体" w:hAnsi="黑体" w:eastAsia="黑体"/>
          <w:b w:val="0"/>
        </w:rPr>
        <w:t>政府性基金预算支出决算情况说明</w:t>
      </w:r>
      <w:bookmarkEnd w:id="40"/>
      <w:bookmarkEnd w:id="41"/>
    </w:p>
    <w:p>
      <w:pPr>
        <w:pageBreakBefore w:val="0"/>
        <w:kinsoku/>
        <w:wordWrap/>
        <w:overflowPunct/>
        <w:topLinePunct w:val="0"/>
        <w:bidi w:val="0"/>
        <w:adjustRightInd w:val="0"/>
        <w:spacing w:afterAutospacing="0" w:line="576" w:lineRule="exact"/>
        <w:ind w:firstLine="640"/>
        <w:textAlignment w:val="auto"/>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pPr>
        <w:pageBreakBefore w:val="0"/>
        <w:numPr>
          <w:ilvl w:val="0"/>
          <w:numId w:val="2"/>
        </w:numPr>
        <w:kinsoku/>
        <w:wordWrap/>
        <w:overflowPunct/>
        <w:topLinePunct w:val="0"/>
        <w:bidi w:val="0"/>
        <w:adjustRightInd w:val="0"/>
        <w:spacing w:afterAutospacing="0" w:line="576" w:lineRule="exact"/>
        <w:ind w:firstLine="640"/>
        <w:textAlignment w:val="auto"/>
        <w:outlineLvl w:val="1"/>
        <w:rPr>
          <w:rStyle w:val="28"/>
          <w:rFonts w:ascii="黑体" w:hAnsi="黑体" w:eastAsia="黑体"/>
          <w:b w:val="0"/>
        </w:rPr>
      </w:pPr>
      <w:bookmarkStart w:id="42" w:name="_Toc15377219"/>
      <w:bookmarkStart w:id="43" w:name="_Toc15396611"/>
      <w:r>
        <w:rPr>
          <w:rStyle w:val="28"/>
          <w:rFonts w:hint="eastAsia" w:ascii="黑体" w:hAnsi="黑体" w:eastAsia="黑体"/>
          <w:b w:val="0"/>
        </w:rPr>
        <w:t>国有资本经营预算支出决算情况说明</w:t>
      </w:r>
      <w:bookmarkEnd w:id="42"/>
      <w:bookmarkEnd w:id="43"/>
    </w:p>
    <w:p>
      <w:pPr>
        <w:pageBreakBefore w:val="0"/>
        <w:kinsoku/>
        <w:wordWrap/>
        <w:overflowPunct/>
        <w:topLinePunct w:val="0"/>
        <w:bidi w:val="0"/>
        <w:adjustRightInd w:val="0"/>
        <w:spacing w:afterAutospacing="0" w:line="576" w:lineRule="exact"/>
        <w:ind w:firstLine="640"/>
        <w:textAlignment w:val="auto"/>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pageBreakBefore w:val="0"/>
        <w:numPr>
          <w:ilvl w:val="0"/>
          <w:numId w:val="2"/>
        </w:numPr>
        <w:kinsoku/>
        <w:wordWrap/>
        <w:overflowPunct/>
        <w:topLinePunct w:val="0"/>
        <w:bidi w:val="0"/>
        <w:adjustRightInd w:val="0"/>
        <w:spacing w:afterAutospacing="0" w:line="576" w:lineRule="exact"/>
        <w:ind w:firstLine="640"/>
        <w:textAlignment w:val="auto"/>
        <w:outlineLvl w:val="1"/>
        <w:rPr>
          <w:rStyle w:val="28"/>
          <w:rFonts w:hint="eastAsia" w:ascii="黑体" w:hAnsi="黑体" w:eastAsia="黑体"/>
          <w:b w:val="0"/>
        </w:rPr>
      </w:pPr>
      <w:bookmarkStart w:id="44" w:name="_Toc15377221"/>
      <w:bookmarkStart w:id="45" w:name="_Toc15396612"/>
      <w:r>
        <w:rPr>
          <w:rStyle w:val="28"/>
          <w:rFonts w:hint="eastAsia" w:ascii="黑体" w:hAnsi="黑体" w:eastAsia="黑体"/>
          <w:b w:val="0"/>
        </w:rPr>
        <w:t>其他重要事项的情况说明</w:t>
      </w:r>
      <w:bookmarkEnd w:id="44"/>
      <w:bookmarkEnd w:id="45"/>
    </w:p>
    <w:p>
      <w:pPr>
        <w:pageBreakBefore w:val="0"/>
        <w:kinsoku/>
        <w:wordWrap/>
        <w:overflowPunct/>
        <w:topLinePunct w:val="0"/>
        <w:bidi w:val="0"/>
        <w:adjustRightInd w:val="0"/>
        <w:spacing w:afterAutospacing="0" w:line="576" w:lineRule="exact"/>
        <w:ind w:firstLine="643" w:firstLineChars="200"/>
        <w:textAlignment w:val="auto"/>
        <w:outlineLvl w:val="2"/>
        <w:rPr>
          <w:rFonts w:hint="eastAsia" w:ascii="楷体" w:hAnsi="楷体" w:eastAsia="楷体" w:cs="楷体"/>
          <w:sz w:val="32"/>
          <w:szCs w:val="32"/>
        </w:rPr>
      </w:pPr>
      <w:bookmarkStart w:id="46" w:name="_Toc15377222"/>
      <w:r>
        <w:rPr>
          <w:rFonts w:hint="eastAsia" w:ascii="楷体" w:hAnsi="楷体" w:eastAsia="楷体" w:cs="楷体"/>
          <w:b/>
          <w:sz w:val="32"/>
          <w:szCs w:val="32"/>
        </w:rPr>
        <w:t>（一）机关运行经费支出情况</w:t>
      </w:r>
      <w:bookmarkEnd w:id="46"/>
    </w:p>
    <w:p>
      <w:pPr>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四川省阿坝州强制隔离戒毒所（戒毒人员康复中心）</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2022年度</w:t>
      </w:r>
      <w:r>
        <w:rPr>
          <w:rFonts w:hint="eastAsia" w:ascii="仿宋_GB2312" w:eastAsia="仿宋_GB2312"/>
          <w:sz w:val="32"/>
          <w:szCs w:val="32"/>
          <w:lang w:val="en-US" w:eastAsia="zh-CN"/>
        </w:rPr>
        <w:t>持平，均为0。</w:t>
      </w:r>
    </w:p>
    <w:p>
      <w:pPr>
        <w:pageBreakBefore w:val="0"/>
        <w:kinsoku/>
        <w:wordWrap/>
        <w:overflowPunct/>
        <w:topLinePunct w:val="0"/>
        <w:bidi w:val="0"/>
        <w:adjustRightInd w:val="0"/>
        <w:spacing w:afterAutospacing="0" w:line="576" w:lineRule="exact"/>
        <w:ind w:firstLine="643" w:firstLineChars="200"/>
        <w:textAlignment w:val="auto"/>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pageBreakBefore w:val="0"/>
        <w:kinsoku/>
        <w:wordWrap/>
        <w:overflowPunct/>
        <w:topLinePunct w:val="0"/>
        <w:bidi w:val="0"/>
        <w:adjustRightInd w:val="0"/>
        <w:spacing w:afterAutospacing="0" w:line="576" w:lineRule="exact"/>
        <w:ind w:firstLine="643" w:firstLineChars="200"/>
        <w:textAlignment w:val="auto"/>
        <w:outlineLvl w:val="2"/>
        <w:rPr>
          <w:rFonts w:hint="eastAsia" w:ascii="楷体" w:hAnsi="楷体" w:eastAsia="楷体" w:cs="楷体"/>
          <w:b/>
          <w:sz w:val="32"/>
          <w:szCs w:val="32"/>
        </w:rPr>
      </w:pPr>
      <w:bookmarkStart w:id="47" w:name="_Toc15377223"/>
      <w:r>
        <w:rPr>
          <w:rFonts w:hint="eastAsia" w:ascii="楷体" w:hAnsi="楷体" w:eastAsia="楷体" w:cs="楷体"/>
          <w:b/>
          <w:sz w:val="32"/>
          <w:szCs w:val="32"/>
        </w:rPr>
        <w:t>（二）政府采购支出情况</w:t>
      </w:r>
      <w:bookmarkEnd w:id="47"/>
    </w:p>
    <w:p>
      <w:pPr>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四川省阿坝州强制隔离戒毒所（戒毒人员康复中心）</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pPr>
        <w:pageBreakBefore w:val="0"/>
        <w:kinsoku/>
        <w:wordWrap/>
        <w:overflowPunct/>
        <w:topLinePunct w:val="0"/>
        <w:bidi w:val="0"/>
        <w:adjustRightInd w:val="0"/>
        <w:spacing w:afterAutospacing="0" w:line="576" w:lineRule="exact"/>
        <w:ind w:firstLine="643" w:firstLineChars="200"/>
        <w:textAlignment w:val="auto"/>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pageBreakBefore w:val="0"/>
        <w:kinsoku/>
        <w:wordWrap/>
        <w:overflowPunct/>
        <w:topLinePunct w:val="0"/>
        <w:bidi w:val="0"/>
        <w:adjustRightInd w:val="0"/>
        <w:spacing w:afterAutospacing="0" w:line="576" w:lineRule="exact"/>
        <w:ind w:firstLine="643" w:firstLineChars="200"/>
        <w:textAlignment w:val="auto"/>
        <w:outlineLvl w:val="2"/>
        <w:rPr>
          <w:rFonts w:hint="eastAsia" w:ascii="楷体" w:hAnsi="楷体" w:eastAsia="楷体" w:cs="楷体"/>
          <w:b/>
          <w:sz w:val="32"/>
          <w:szCs w:val="32"/>
        </w:rPr>
      </w:pPr>
      <w:bookmarkStart w:id="48" w:name="_Toc15377224"/>
      <w:r>
        <w:rPr>
          <w:rFonts w:hint="eastAsia" w:ascii="楷体" w:hAnsi="楷体" w:eastAsia="楷体" w:cs="楷体"/>
          <w:b/>
          <w:sz w:val="32"/>
          <w:szCs w:val="32"/>
        </w:rPr>
        <w:t>（三）国有资产占有使用情况</w:t>
      </w:r>
      <w:bookmarkEnd w:id="48"/>
    </w:p>
    <w:p>
      <w:pPr>
        <w:pageBreakBefore w:val="0"/>
        <w:kinsoku/>
        <w:wordWrap/>
        <w:overflowPunct/>
        <w:topLinePunct w:val="0"/>
        <w:autoSpaceDE w:val="0"/>
        <w:autoSpaceDN w:val="0"/>
        <w:bidi w:val="0"/>
        <w:adjustRightInd w:val="0"/>
        <w:spacing w:afterAutospacing="0" w:line="576"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四川省阿坝州强制隔离戒毒所（戒毒人员康复中心）</w:t>
      </w:r>
      <w:r>
        <w:rPr>
          <w:rFonts w:hint="eastAsia" w:ascii="仿宋_GB2312" w:eastAsia="仿宋_GB2312"/>
          <w:sz w:val="32"/>
          <w:szCs w:val="32"/>
        </w:rPr>
        <w:t>共有车辆</w:t>
      </w:r>
      <w:r>
        <w:rPr>
          <w:rFonts w:hint="eastAsia" w:ascii="仿宋_GB2312" w:eastAsia="仿宋_GB2312"/>
          <w:b/>
          <w:sz w:val="32"/>
          <w:szCs w:val="32"/>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val="en-US" w:eastAsia="zh-CN"/>
        </w:rPr>
        <w:t>0</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pageBreakBefore w:val="0"/>
        <w:kinsoku/>
        <w:wordWrap/>
        <w:overflowPunct/>
        <w:topLinePunct w:val="0"/>
        <w:autoSpaceDE w:val="0"/>
        <w:autoSpaceDN w:val="0"/>
        <w:bidi w:val="0"/>
        <w:adjustRightInd w:val="0"/>
        <w:spacing w:afterAutospacing="0" w:line="576" w:lineRule="exact"/>
        <w:ind w:firstLine="643" w:firstLineChars="200"/>
        <w:jc w:val="left"/>
        <w:textAlignment w:val="auto"/>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pageBreakBefore w:val="0"/>
        <w:kinsoku/>
        <w:wordWrap/>
        <w:overflowPunct/>
        <w:topLinePunct w:val="0"/>
        <w:bidi w:val="0"/>
        <w:adjustRightInd w:val="0"/>
        <w:spacing w:afterAutospacing="0" w:line="576" w:lineRule="exact"/>
        <w:ind w:firstLine="643" w:firstLineChars="200"/>
        <w:textAlignment w:val="auto"/>
        <w:outlineLvl w:val="2"/>
        <w:rPr>
          <w:rFonts w:hint="eastAsia" w:ascii="楷体" w:hAnsi="楷体" w:eastAsia="楷体" w:cs="楷体"/>
          <w:b/>
          <w:sz w:val="32"/>
          <w:szCs w:val="32"/>
        </w:rPr>
      </w:pPr>
      <w:r>
        <w:rPr>
          <w:rFonts w:hint="eastAsia" w:ascii="楷体" w:hAnsi="楷体" w:eastAsia="楷体" w:cs="楷体"/>
          <w:b/>
          <w:sz w:val="32"/>
          <w:szCs w:val="32"/>
        </w:rPr>
        <w:t>（四）预算绩效管理情况</w:t>
      </w:r>
    </w:p>
    <w:p>
      <w:pPr>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eastAsia="仿宋_GB2312"/>
          <w:sz w:val="32"/>
          <w:szCs w:val="32"/>
          <w:lang w:val="en-US" w:eastAsia="zh-CN"/>
        </w:rPr>
        <w:t>工资性支出、目标绩效奖、单位缴费</w:t>
      </w:r>
      <w:r>
        <w:rPr>
          <w:rFonts w:hint="eastAsia" w:ascii="仿宋_GB2312" w:eastAsia="仿宋_GB2312"/>
          <w:sz w:val="32"/>
          <w:szCs w:val="32"/>
        </w:rPr>
        <w:t>等</w:t>
      </w:r>
      <w:r>
        <w:rPr>
          <w:rFonts w:hint="eastAsia" w:ascii="仿宋_GB2312" w:eastAsia="仿宋_GB2312"/>
          <w:sz w:val="32"/>
          <w:szCs w:val="32"/>
          <w:lang w:val="en-US" w:eastAsia="zh-CN"/>
        </w:rPr>
        <w:t>7</w:t>
      </w:r>
      <w:r>
        <w:rPr>
          <w:rFonts w:hint="eastAsia" w:ascii="仿宋_GB2312" w:eastAsia="仿宋_GB2312"/>
          <w:sz w:val="32"/>
          <w:szCs w:val="32"/>
        </w:rPr>
        <w:t>个</w:t>
      </w:r>
      <w:r>
        <w:rPr>
          <w:rFonts w:hint="eastAsia" w:ascii="仿宋_GB2312" w:eastAsia="仿宋_GB2312"/>
          <w:sz w:val="32"/>
          <w:szCs w:val="32"/>
          <w:lang w:eastAsia="zh-CN"/>
        </w:rPr>
        <w:t>人员类</w:t>
      </w:r>
      <w:r>
        <w:rPr>
          <w:rFonts w:hint="eastAsia" w:ascii="仿宋_GB2312" w:eastAsia="仿宋_GB2312"/>
          <w:sz w:val="32"/>
          <w:szCs w:val="32"/>
        </w:rPr>
        <w:t>项目编制了绩效目标，预算执行过程中，</w:t>
      </w:r>
      <w:r>
        <w:rPr>
          <w:rFonts w:hint="eastAsia" w:ascii="仿宋_GB2312" w:eastAsia="仿宋_GB2312"/>
          <w:sz w:val="32"/>
          <w:szCs w:val="32"/>
          <w:lang w:eastAsia="zh-CN"/>
        </w:rPr>
        <w:t>对</w:t>
      </w:r>
      <w:r>
        <w:rPr>
          <w:rFonts w:hint="eastAsia" w:ascii="仿宋_GB2312" w:eastAsia="仿宋_GB2312"/>
          <w:sz w:val="32"/>
          <w:szCs w:val="32"/>
          <w:lang w:val="en-US" w:eastAsia="zh-CN"/>
        </w:rPr>
        <w:t>7</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7</w:t>
      </w:r>
      <w:r>
        <w:rPr>
          <w:rFonts w:hint="eastAsia" w:ascii="仿宋_GB2312" w:eastAsia="仿宋_GB2312"/>
          <w:sz w:val="32"/>
          <w:szCs w:val="32"/>
        </w:rPr>
        <w:t>个项目开展绩效自评，绩效自评表详见第四部分附件。</w:t>
      </w:r>
    </w:p>
    <w:p>
      <w:pPr>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sz w:val="32"/>
          <w:szCs w:val="32"/>
        </w:rPr>
      </w:pPr>
      <w:r>
        <w:rPr>
          <w:rFonts w:hint="eastAsia" w:ascii="仿宋_GB2312" w:eastAsia="仿宋_GB2312"/>
          <w:sz w:val="32"/>
          <w:szCs w:val="32"/>
        </w:rPr>
        <w:br w:type="page"/>
      </w:r>
    </w:p>
    <w:p>
      <w:pPr>
        <w:pageBreakBefore w:val="0"/>
        <w:numPr>
          <w:ilvl w:val="0"/>
          <w:numId w:val="3"/>
        </w:numPr>
        <w:kinsoku/>
        <w:wordWrap/>
        <w:overflowPunct/>
        <w:topLinePunct w:val="0"/>
        <w:bidi w:val="0"/>
        <w:adjustRightInd w:val="0"/>
        <w:spacing w:afterAutospacing="0" w:line="576" w:lineRule="exact"/>
        <w:ind w:firstLine="660" w:firstLineChars="150"/>
        <w:jc w:val="center"/>
        <w:textAlignment w:val="auto"/>
        <w:outlineLvl w:val="0"/>
        <w:rPr>
          <w:rStyle w:val="27"/>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7"/>
          <w:rFonts w:hint="eastAsia" w:ascii="黑体" w:hAnsi="黑体" w:eastAsia="黑体"/>
          <w:b w:val="0"/>
        </w:rPr>
        <w:t>词解释</w:t>
      </w:r>
      <w:bookmarkEnd w:id="49"/>
      <w:bookmarkEnd w:id="50"/>
    </w:p>
    <w:p>
      <w:pPr>
        <w:pageBreakBefore w:val="0"/>
        <w:kinsoku/>
        <w:wordWrap/>
        <w:overflowPunct/>
        <w:topLinePunct w:val="0"/>
        <w:bidi w:val="0"/>
        <w:adjustRightInd w:val="0"/>
        <w:spacing w:afterAutospacing="0" w:line="576" w:lineRule="exact"/>
        <w:jc w:val="left"/>
        <w:textAlignment w:val="auto"/>
        <w:rPr>
          <w:rFonts w:ascii="宋体"/>
          <w:b/>
          <w:sz w:val="44"/>
          <w:szCs w:val="44"/>
        </w:rPr>
      </w:pP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w:t>
      </w:r>
      <w:r>
        <w:rPr>
          <w:rFonts w:hint="eastAsia" w:ascii="仿宋_GB2312" w:eastAsia="仿宋_GB2312"/>
          <w:color w:val="auto"/>
          <w:sz w:val="32"/>
          <w:szCs w:val="32"/>
          <w:lang w:eastAsia="zh-CN"/>
        </w:rPr>
        <w:t>：四川省阿坝州强制隔离戒毒所（戒毒人员康复中心）</w:t>
      </w:r>
      <w:r>
        <w:rPr>
          <w:rFonts w:hint="eastAsia" w:ascii="仿宋_GB2312" w:eastAsia="仿宋_GB2312"/>
          <w:color w:val="auto"/>
          <w:sz w:val="32"/>
          <w:szCs w:val="32"/>
        </w:rPr>
        <w:t>（二级预算单位事业收入情况）等。</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r>
        <w:rPr>
          <w:rFonts w:hint="eastAsia" w:ascii="仿宋_GB2312" w:eastAsia="仿宋_GB2312"/>
          <w:color w:val="auto"/>
          <w:sz w:val="32"/>
          <w:szCs w:val="32"/>
          <w:lang w:eastAsia="zh-CN"/>
        </w:rPr>
        <w:t>本单位其他收入为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w:t>
      </w:r>
      <w:r>
        <w:rPr>
          <w:rFonts w:ascii="仿宋_GB2312" w:eastAsia="仿宋_GB2312"/>
          <w:color w:val="auto"/>
          <w:sz w:val="32"/>
          <w:szCs w:val="32"/>
        </w:rPr>
        <w:t xml:space="preserve"> </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pageBreakBefore w:val="0"/>
        <w:kinsoku/>
        <w:wordWrap/>
        <w:overflowPunct/>
        <w:topLinePunct w:val="0"/>
        <w:bidi w:val="0"/>
        <w:adjustRightInd w:val="0"/>
        <w:spacing w:afterAutospacing="0" w:line="576" w:lineRule="exact"/>
        <w:ind w:firstLine="640" w:firstLineChars="200"/>
        <w:textAlignment w:val="auto"/>
        <w:rPr>
          <w:rFonts w:hint="eastAsia" w:ascii="仿宋_GB2312" w:eastAsia="仿宋_GB2312"/>
          <w:sz w:val="32"/>
          <w:szCs w:val="32"/>
        </w:rPr>
      </w:pPr>
      <w:r>
        <w:rPr>
          <w:rFonts w:ascii="仿宋_GB2312" w:eastAsia="仿宋_GB2312"/>
          <w:sz w:val="32"/>
          <w:szCs w:val="32"/>
        </w:rPr>
        <w:t>9.</w:t>
      </w:r>
      <w:r>
        <w:rPr>
          <w:rFonts w:hint="eastAsia" w:ascii="仿宋_GB2312" w:eastAsia="仿宋_GB2312"/>
          <w:sz w:val="32"/>
          <w:szCs w:val="32"/>
        </w:rPr>
        <w:t>公共安全（</w:t>
      </w:r>
      <w:r>
        <w:rPr>
          <w:rFonts w:hint="eastAsia" w:ascii="仿宋_GB2312" w:eastAsia="仿宋_GB2312"/>
          <w:sz w:val="32"/>
          <w:szCs w:val="32"/>
          <w:lang w:val="en-US" w:eastAsia="zh-CN"/>
        </w:rPr>
        <w:t>204</w:t>
      </w:r>
      <w:r>
        <w:rPr>
          <w:rFonts w:hint="eastAsia" w:ascii="仿宋_GB2312" w:eastAsia="仿宋_GB2312"/>
          <w:sz w:val="32"/>
          <w:szCs w:val="32"/>
        </w:rPr>
        <w:t>）公安（</w:t>
      </w:r>
      <w:r>
        <w:rPr>
          <w:rFonts w:hint="eastAsia" w:ascii="仿宋_GB2312" w:eastAsia="仿宋_GB2312"/>
          <w:sz w:val="32"/>
          <w:szCs w:val="32"/>
          <w:lang w:val="en-US" w:eastAsia="zh-CN"/>
        </w:rPr>
        <w:t>02</w:t>
      </w:r>
      <w:r>
        <w:rPr>
          <w:rFonts w:hint="eastAsia" w:ascii="仿宋_GB2312" w:eastAsia="仿宋_GB2312"/>
          <w:sz w:val="32"/>
          <w:szCs w:val="32"/>
        </w:rPr>
        <w:t>）事业运行（</w:t>
      </w:r>
      <w:r>
        <w:rPr>
          <w:rFonts w:hint="eastAsia" w:ascii="仿宋_GB2312" w:eastAsia="仿宋_GB2312"/>
          <w:sz w:val="32"/>
          <w:szCs w:val="32"/>
          <w:lang w:val="en-US" w:eastAsia="zh-CN"/>
        </w:rPr>
        <w:t>50</w:t>
      </w:r>
      <w:r>
        <w:rPr>
          <w:rFonts w:hint="eastAsia" w:ascii="仿宋_GB2312" w:eastAsia="仿宋_GB2312"/>
          <w:sz w:val="32"/>
          <w:szCs w:val="32"/>
        </w:rPr>
        <w:t>）：指事业单位的基本支出。</w:t>
      </w:r>
    </w:p>
    <w:p>
      <w:pPr>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社会保障和就业支出（</w:t>
      </w:r>
      <w:r>
        <w:rPr>
          <w:rFonts w:hint="eastAsia" w:ascii="仿宋_GB2312" w:eastAsia="仿宋_GB2312"/>
          <w:sz w:val="32"/>
          <w:szCs w:val="32"/>
          <w:lang w:val="en-US" w:eastAsia="zh-CN"/>
        </w:rPr>
        <w:t>208</w:t>
      </w:r>
      <w:r>
        <w:rPr>
          <w:rFonts w:hint="eastAsia" w:ascii="仿宋_GB2312" w:eastAsia="仿宋_GB2312"/>
          <w:sz w:val="32"/>
          <w:szCs w:val="32"/>
        </w:rPr>
        <w:t>）行政事业单位养老支出（</w:t>
      </w:r>
      <w:r>
        <w:rPr>
          <w:rFonts w:hint="eastAsia" w:ascii="仿宋_GB2312" w:eastAsia="仿宋_GB2312"/>
          <w:sz w:val="32"/>
          <w:szCs w:val="32"/>
          <w:lang w:val="en-US" w:eastAsia="zh-CN"/>
        </w:rPr>
        <w:t>05</w:t>
      </w:r>
      <w:r>
        <w:rPr>
          <w:rFonts w:hint="eastAsia" w:ascii="仿宋_GB2312" w:eastAsia="仿宋_GB2312"/>
          <w:sz w:val="32"/>
          <w:szCs w:val="32"/>
        </w:rPr>
        <w:t>）机关事业单位基本养老保险缴费支出（</w:t>
      </w:r>
      <w:r>
        <w:rPr>
          <w:rFonts w:hint="eastAsia" w:ascii="仿宋_GB2312" w:eastAsia="仿宋_GB2312"/>
          <w:sz w:val="32"/>
          <w:szCs w:val="32"/>
          <w:lang w:val="en-US" w:eastAsia="zh-CN"/>
        </w:rPr>
        <w:t>05</w:t>
      </w:r>
      <w:r>
        <w:rPr>
          <w:rFonts w:hint="eastAsia" w:ascii="仿宋_GB2312" w:eastAsia="仿宋_GB2312"/>
          <w:sz w:val="32"/>
          <w:szCs w:val="32"/>
        </w:rPr>
        <w:t>）</w:t>
      </w:r>
      <w:r>
        <w:rPr>
          <w:rFonts w:hint="eastAsia" w:ascii="仿宋_GB2312" w:eastAsia="仿宋_GB2312"/>
          <w:sz w:val="32"/>
          <w:szCs w:val="32"/>
          <w:lang w:eastAsia="zh-CN"/>
        </w:rPr>
        <w:t>：指机关事业单位实施养老保险制度由单位缴纳的基本养老保险支出</w:t>
      </w:r>
      <w:r>
        <w:rPr>
          <w:rFonts w:hint="eastAsia" w:ascii="仿宋_GB2312" w:eastAsia="仿宋_GB2312"/>
          <w:sz w:val="32"/>
          <w:szCs w:val="32"/>
        </w:rPr>
        <w:t>。</w:t>
      </w:r>
    </w:p>
    <w:p>
      <w:pPr>
        <w:pageBreakBefore w:val="0"/>
        <w:kinsoku/>
        <w:wordWrap/>
        <w:overflowPunct/>
        <w:topLinePunct w:val="0"/>
        <w:bidi w:val="0"/>
        <w:adjustRightInd w:val="0"/>
        <w:spacing w:afterAutospacing="0" w:line="576" w:lineRule="exact"/>
        <w:ind w:firstLine="640" w:firstLineChars="200"/>
        <w:textAlignment w:val="auto"/>
        <w:rPr>
          <w:rFonts w:hint="eastAsia"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1</w:t>
      </w:r>
      <w:r>
        <w:rPr>
          <w:rFonts w:ascii="仿宋_GB2312" w:eastAsia="仿宋_GB2312"/>
          <w:sz w:val="32"/>
          <w:szCs w:val="32"/>
        </w:rPr>
        <w:t>.</w:t>
      </w:r>
      <w:r>
        <w:rPr>
          <w:rFonts w:hint="eastAsia" w:ascii="仿宋_GB2312" w:eastAsia="仿宋_GB2312"/>
          <w:sz w:val="32"/>
          <w:szCs w:val="32"/>
        </w:rPr>
        <w:t>社会保障和就业支出（</w:t>
      </w:r>
      <w:r>
        <w:rPr>
          <w:rFonts w:hint="eastAsia" w:ascii="仿宋_GB2312" w:eastAsia="仿宋_GB2312"/>
          <w:sz w:val="32"/>
          <w:szCs w:val="32"/>
          <w:lang w:val="en-US" w:eastAsia="zh-CN"/>
        </w:rPr>
        <w:t>208</w:t>
      </w:r>
      <w:r>
        <w:rPr>
          <w:rFonts w:hint="eastAsia" w:ascii="仿宋_GB2312" w:eastAsia="仿宋_GB2312"/>
          <w:sz w:val="32"/>
          <w:szCs w:val="32"/>
        </w:rPr>
        <w:t>）行政事业单位养老支出（</w:t>
      </w:r>
      <w:r>
        <w:rPr>
          <w:rFonts w:hint="eastAsia" w:ascii="仿宋_GB2312" w:eastAsia="仿宋_GB2312"/>
          <w:sz w:val="32"/>
          <w:szCs w:val="32"/>
          <w:lang w:val="en-US" w:eastAsia="zh-CN"/>
        </w:rPr>
        <w:t>05</w:t>
      </w:r>
      <w:r>
        <w:rPr>
          <w:rFonts w:hint="eastAsia" w:ascii="仿宋_GB2312" w:eastAsia="仿宋_GB2312"/>
          <w:sz w:val="32"/>
          <w:szCs w:val="32"/>
        </w:rPr>
        <w:t>）机关事业单位职业年金缴费支出（</w:t>
      </w:r>
      <w:r>
        <w:rPr>
          <w:rFonts w:hint="eastAsia" w:ascii="仿宋_GB2312" w:eastAsia="仿宋_GB2312"/>
          <w:sz w:val="32"/>
          <w:szCs w:val="32"/>
          <w:lang w:val="en-US" w:eastAsia="zh-CN"/>
        </w:rPr>
        <w:t>06</w:t>
      </w:r>
      <w:r>
        <w:rPr>
          <w:rFonts w:hint="eastAsia" w:ascii="仿宋_GB2312" w:eastAsia="仿宋_GB2312"/>
          <w:sz w:val="32"/>
          <w:szCs w:val="32"/>
        </w:rPr>
        <w:t>）：指机关事业单位实施养老保险制度由单位缴纳的职业年金支出。</w:t>
      </w:r>
    </w:p>
    <w:p>
      <w:pPr>
        <w:pageBreakBefore w:val="0"/>
        <w:kinsoku/>
        <w:wordWrap/>
        <w:overflowPunct/>
        <w:topLinePunct w:val="0"/>
        <w:bidi w:val="0"/>
        <w:adjustRightInd w:val="0"/>
        <w:spacing w:afterAutospacing="0" w:line="576" w:lineRule="exact"/>
        <w:ind w:firstLine="640" w:firstLineChars="200"/>
        <w:textAlignment w:val="auto"/>
        <w:rPr>
          <w:rFonts w:hint="eastAsia"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卫生健康支出（</w:t>
      </w:r>
      <w:r>
        <w:rPr>
          <w:rFonts w:hint="eastAsia" w:ascii="仿宋_GB2312" w:eastAsia="仿宋_GB2312"/>
          <w:sz w:val="32"/>
          <w:szCs w:val="32"/>
          <w:lang w:val="en-US" w:eastAsia="zh-CN"/>
        </w:rPr>
        <w:t>210</w:t>
      </w:r>
      <w:r>
        <w:rPr>
          <w:rFonts w:hint="eastAsia" w:ascii="仿宋_GB2312" w:eastAsia="仿宋_GB2312"/>
          <w:sz w:val="32"/>
          <w:szCs w:val="32"/>
        </w:rPr>
        <w:t>）行政事业单位医疗（</w:t>
      </w:r>
      <w:r>
        <w:rPr>
          <w:rFonts w:hint="eastAsia" w:ascii="仿宋_GB2312" w:eastAsia="仿宋_GB2312"/>
          <w:sz w:val="32"/>
          <w:szCs w:val="32"/>
          <w:lang w:val="en-US" w:eastAsia="zh-CN"/>
        </w:rPr>
        <w:t>11</w:t>
      </w:r>
      <w:r>
        <w:rPr>
          <w:rFonts w:hint="eastAsia" w:ascii="仿宋_GB2312" w:eastAsia="仿宋_GB2312"/>
          <w:sz w:val="32"/>
          <w:szCs w:val="32"/>
        </w:rPr>
        <w:t>）事业单位医疗（</w:t>
      </w:r>
      <w:r>
        <w:rPr>
          <w:rFonts w:hint="eastAsia" w:ascii="仿宋_GB2312" w:eastAsia="仿宋_GB2312"/>
          <w:sz w:val="32"/>
          <w:szCs w:val="32"/>
          <w:lang w:val="en-US" w:eastAsia="zh-CN"/>
        </w:rPr>
        <w:t>02</w:t>
      </w:r>
      <w:r>
        <w:rPr>
          <w:rFonts w:hint="eastAsia" w:ascii="仿宋_GB2312" w:eastAsia="仿宋_GB2312"/>
          <w:sz w:val="32"/>
          <w:szCs w:val="32"/>
        </w:rPr>
        <w:t>）：指财政部门安排的事业单位基本医疗保险缴费经费，未参加医疗保险的事业单位的公费医疗经费，按国家规定享受离休人员、红军老战士待遇人员的医疗经费。</w:t>
      </w:r>
    </w:p>
    <w:p>
      <w:pPr>
        <w:pageBreakBefore w:val="0"/>
        <w:kinsoku/>
        <w:wordWrap/>
        <w:overflowPunct/>
        <w:topLinePunct w:val="0"/>
        <w:bidi w:val="0"/>
        <w:adjustRightInd w:val="0"/>
        <w:spacing w:afterAutospacing="0"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13.卫生健康支出（</w:t>
      </w:r>
      <w:r>
        <w:rPr>
          <w:rFonts w:hint="eastAsia" w:ascii="仿宋_GB2312" w:eastAsia="仿宋_GB2312"/>
          <w:sz w:val="32"/>
          <w:szCs w:val="32"/>
          <w:lang w:val="en-US" w:eastAsia="zh-CN"/>
        </w:rPr>
        <w:t>210</w:t>
      </w:r>
      <w:r>
        <w:rPr>
          <w:rFonts w:hint="eastAsia" w:ascii="仿宋_GB2312" w:eastAsia="仿宋_GB2312"/>
          <w:sz w:val="32"/>
          <w:szCs w:val="32"/>
        </w:rPr>
        <w:t>）行政事业单位医疗（</w:t>
      </w:r>
      <w:r>
        <w:rPr>
          <w:rFonts w:hint="eastAsia" w:ascii="仿宋_GB2312" w:eastAsia="仿宋_GB2312"/>
          <w:sz w:val="32"/>
          <w:szCs w:val="32"/>
          <w:lang w:val="en-US" w:eastAsia="zh-CN"/>
        </w:rPr>
        <w:t>11</w:t>
      </w:r>
      <w:r>
        <w:rPr>
          <w:rFonts w:hint="eastAsia" w:ascii="仿宋_GB2312" w:eastAsia="仿宋_GB2312"/>
          <w:sz w:val="32"/>
          <w:szCs w:val="32"/>
        </w:rPr>
        <w:t>）其他行政事业单位医疗支出（</w:t>
      </w:r>
      <w:r>
        <w:rPr>
          <w:rFonts w:hint="eastAsia" w:ascii="仿宋_GB2312" w:eastAsia="仿宋_GB2312"/>
          <w:sz w:val="32"/>
          <w:szCs w:val="32"/>
          <w:lang w:val="en-US" w:eastAsia="zh-CN"/>
        </w:rPr>
        <w:t>99</w:t>
      </w:r>
      <w:r>
        <w:rPr>
          <w:rFonts w:hint="eastAsia" w:ascii="仿宋_GB2312" w:eastAsia="仿宋_GB2312"/>
          <w:sz w:val="32"/>
          <w:szCs w:val="32"/>
        </w:rPr>
        <w:t>）：其他用于行政事业单位医疗方面的支出。</w:t>
      </w:r>
    </w:p>
    <w:p>
      <w:pPr>
        <w:pageBreakBefore w:val="0"/>
        <w:kinsoku/>
        <w:wordWrap/>
        <w:overflowPunct/>
        <w:topLinePunct w:val="0"/>
        <w:bidi w:val="0"/>
        <w:adjustRightInd w:val="0"/>
        <w:spacing w:afterAutospacing="0"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14.住房保障支出（</w:t>
      </w:r>
      <w:r>
        <w:rPr>
          <w:rFonts w:hint="eastAsia" w:ascii="仿宋_GB2312" w:eastAsia="仿宋_GB2312"/>
          <w:sz w:val="32"/>
          <w:szCs w:val="32"/>
          <w:lang w:val="en-US" w:eastAsia="zh-CN"/>
        </w:rPr>
        <w:t>221</w:t>
      </w:r>
      <w:r>
        <w:rPr>
          <w:rFonts w:hint="eastAsia" w:ascii="仿宋_GB2312" w:eastAsia="仿宋_GB2312"/>
          <w:sz w:val="32"/>
          <w:szCs w:val="32"/>
        </w:rPr>
        <w:t>）住房改革支出（</w:t>
      </w:r>
      <w:r>
        <w:rPr>
          <w:rFonts w:hint="eastAsia" w:ascii="仿宋_GB2312" w:eastAsia="仿宋_GB2312"/>
          <w:sz w:val="32"/>
          <w:szCs w:val="32"/>
          <w:lang w:val="en-US" w:eastAsia="zh-CN"/>
        </w:rPr>
        <w:t>02</w:t>
      </w:r>
      <w:r>
        <w:rPr>
          <w:rFonts w:hint="eastAsia" w:ascii="仿宋_GB2312" w:eastAsia="仿宋_GB2312"/>
          <w:sz w:val="32"/>
          <w:szCs w:val="32"/>
        </w:rPr>
        <w:t>）住房公积金（</w:t>
      </w:r>
      <w:r>
        <w:rPr>
          <w:rFonts w:hint="eastAsia" w:ascii="仿宋_GB2312" w:eastAsia="仿宋_GB2312"/>
          <w:sz w:val="32"/>
          <w:szCs w:val="32"/>
          <w:lang w:val="en-US" w:eastAsia="zh-CN"/>
        </w:rPr>
        <w:t>01</w:t>
      </w:r>
      <w:r>
        <w:rPr>
          <w:rFonts w:hint="eastAsia" w:ascii="仿宋_GB2312" w:eastAsia="仿宋_GB2312"/>
          <w:sz w:val="32"/>
          <w:szCs w:val="32"/>
        </w:rPr>
        <w:t>）:指行政事业单位按人力资源和社会保障部、财政部规定的基本工资和津贴补贴以及规定比例为职工缴纳的住房公积金。</w:t>
      </w:r>
    </w:p>
    <w:p>
      <w:pPr>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15</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16</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17</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lang w:val="en-US" w:eastAsia="zh-CN"/>
        </w:rPr>
        <w:t>18</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pageBreakBefore w:val="0"/>
        <w:kinsoku/>
        <w:wordWrap/>
        <w:overflowPunct/>
        <w:topLinePunct w:val="0"/>
        <w:bidi w:val="0"/>
        <w:adjustRightInd w:val="0"/>
        <w:spacing w:afterAutospacing="0" w:line="576"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lang w:val="en-US" w:eastAsia="zh-CN"/>
        </w:rPr>
        <w:t>19</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adjustRightInd w:val="0"/>
        <w:spacing w:afterAutospacing="0" w:line="576" w:lineRule="exact"/>
        <w:jc w:val="center"/>
        <w:textAlignment w:val="auto"/>
        <w:outlineLvl w:val="0"/>
        <w:rPr>
          <w:rStyle w:val="27"/>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7"/>
          <w:rFonts w:hint="eastAsia" w:ascii="黑体" w:hAnsi="黑体" w:eastAsia="黑体"/>
          <w:b w:val="0"/>
        </w:rPr>
        <w:t>四部分 附件</w:t>
      </w:r>
      <w:bookmarkEnd w:id="52"/>
    </w:p>
    <w:p>
      <w:pPr>
        <w:pageBreakBefore w:val="0"/>
        <w:kinsoku/>
        <w:wordWrap/>
        <w:overflowPunct/>
        <w:topLinePunct w:val="0"/>
        <w:bidi w:val="0"/>
        <w:adjustRightInd w:val="0"/>
        <w:spacing w:afterAutospacing="0" w:line="576" w:lineRule="exact"/>
        <w:ind w:firstLine="320" w:firstLineChars="100"/>
        <w:jc w:val="left"/>
        <w:textAlignment w:val="auto"/>
        <w:outlineLvl w:val="0"/>
        <w:rPr>
          <w:rFonts w:ascii="仿宋_GB2312" w:hAnsi="仿宋_GB2312" w:eastAsia="仿宋_GB2312" w:cs="仿宋_GB2312"/>
          <w:sz w:val="32"/>
          <w:szCs w:val="32"/>
        </w:rPr>
      </w:pPr>
      <w:r>
        <w:rPr>
          <w:rFonts w:hint="eastAsia"/>
          <w:sz w:val="32"/>
          <w:szCs w:val="32"/>
        </w:rPr>
        <w:t>部门预算项目支出绩效自评表（2023年度）</w:t>
      </w:r>
    </w:p>
    <w:tbl>
      <w:tblPr>
        <w:tblStyle w:val="15"/>
        <w:tblpPr w:leftFromText="180" w:rightFromText="180" w:vertAnchor="text" w:horzAnchor="page" w:tblpX="1236" w:tblpY="787"/>
        <w:tblOverlap w:val="never"/>
        <w:tblW w:w="100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1"/>
        <w:gridCol w:w="1449"/>
        <w:gridCol w:w="1348"/>
        <w:gridCol w:w="1492"/>
        <w:gridCol w:w="303"/>
        <w:gridCol w:w="486"/>
        <w:gridCol w:w="434"/>
        <w:gridCol w:w="1085"/>
        <w:gridCol w:w="505"/>
        <w:gridCol w:w="486"/>
        <w:gridCol w:w="1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0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53"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州公安局部门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州强制隔离戒毒所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严格执行相关政策，保障工资及时、足额发放，预算编制科学合理，减少结余资金。</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严格执行相关政策，保障工资及时、足额发放，预算编制科学合理，减少结余资金，目标完成100%。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在项目实施过程中，严格按照预算相关规定，及时、足额发放工资。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37.67</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37.21</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37.21</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37.67</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37.21</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37.21</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通过项目的实施，确保及时、足额发放工资。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2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项目负责人：王树平</w:t>
            </w:r>
          </w:p>
        </w:tc>
        <w:tc>
          <w:tcPr>
            <w:tcW w:w="48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财务负责人：娜斯基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4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2" w:type="dxa"/>
            <w:tcBorders>
              <w:top w:val="nil"/>
              <w:left w:val="nil"/>
              <w:bottom w:val="nil"/>
              <w:right w:val="nil"/>
            </w:tcBorders>
            <w:shd w:val="clear" w:color="auto" w:fill="auto"/>
            <w:vAlign w:val="center"/>
          </w:tcPr>
          <w:p>
            <w:pPr>
              <w:rPr>
                <w:rFonts w:hint="eastAsia"/>
              </w:rPr>
            </w:pPr>
          </w:p>
          <w:p>
            <w:pPr>
              <w:pStyle w:val="2"/>
              <w:rPr>
                <w:rFonts w:hint="eastAsia"/>
              </w:rPr>
            </w:pPr>
          </w:p>
        </w:tc>
        <w:tc>
          <w:tcPr>
            <w:tcW w:w="3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3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2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0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51000021R000000019953-单位缴费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州公安局部门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州强制隔离戒毒所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严格执行相关政策，确保及时、足额缴纳社保，预算编制科学合理，减少结余资金。</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严格执行相关政策，确保及时、足额缴纳社保，预算编制科学合理，减少结余资金；目标完成100%。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在预算执行过程中，严格执行相关政策，确保及时、足额缴纳社保，预算编制科学合理，减少结余资金。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24.07</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24.07</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24.07</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24.07</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通过该预算资金的支付，确保及时、足额缴纳社保。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2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项目负责人：王树平</w:t>
            </w:r>
          </w:p>
        </w:tc>
        <w:tc>
          <w:tcPr>
            <w:tcW w:w="48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财务负责人：娜斯基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rPr>
            </w:pPr>
          </w:p>
          <w:p>
            <w:pPr>
              <w:rPr>
                <w:rFonts w:hint="eastAsia"/>
              </w:rPr>
            </w:pPr>
          </w:p>
        </w:tc>
        <w:tc>
          <w:tcPr>
            <w:tcW w:w="14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4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2" w:type="dxa"/>
            <w:tcBorders>
              <w:top w:val="nil"/>
              <w:left w:val="nil"/>
              <w:bottom w:val="nil"/>
              <w:right w:val="nil"/>
            </w:tcBorders>
            <w:shd w:val="clear" w:color="auto" w:fill="auto"/>
            <w:vAlign w:val="center"/>
          </w:tcPr>
          <w:p>
            <w:pPr>
              <w:rPr>
                <w:rFonts w:hint="eastAsia"/>
              </w:rPr>
            </w:pPr>
          </w:p>
          <w:p>
            <w:pPr>
              <w:pStyle w:val="2"/>
              <w:rPr>
                <w:rFonts w:hint="eastAsia"/>
              </w:rPr>
            </w:pPr>
          </w:p>
        </w:tc>
        <w:tc>
          <w:tcPr>
            <w:tcW w:w="3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3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2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10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州公安局部门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州强制隔离戒毒所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严格执行日常公用经费预算，保障单位日常运转，年底目标完成100%。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通过该预算资金的执行，有效确保了单位日常运转。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10.62</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7.44</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7.44</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10.62</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7.44</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7.44</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通过该预算资金的执行，有效确保了单位日常运转。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2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项目负责人：王树平</w:t>
            </w:r>
          </w:p>
        </w:tc>
        <w:tc>
          <w:tcPr>
            <w:tcW w:w="48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财务负责人：娜斯基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4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3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2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0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51320023R000007728618-目标绩效奖（按月随工资发放70%部分）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州公安局部门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州强制隔离戒毒所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严格执行相关政策，确保目标绩效及时、足额发放，预算编制科学合理，减少结余资金。</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严格执行相关政策，确保目标绩效及时、足额发放，预算编制科学合理，减少结余资金，年底目标完成100%。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通过该预算资金的执行，有效确保了目标绩效及时、足额发放。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8.79</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通过该预算资金的执行，有效确保了目标绩效及时、足额发放。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2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项目负责人：王树平</w:t>
            </w:r>
          </w:p>
        </w:tc>
        <w:tc>
          <w:tcPr>
            <w:tcW w:w="48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财务负责人：娜斯基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48" w:type="dxa"/>
            <w:tcBorders>
              <w:top w:val="nil"/>
              <w:left w:val="nil"/>
              <w:bottom w:val="nil"/>
              <w:right w:val="nil"/>
            </w:tcBorders>
            <w:shd w:val="clear" w:color="auto" w:fill="auto"/>
            <w:vAlign w:val="center"/>
          </w:tcPr>
          <w:p>
            <w:pPr>
              <w:rPr>
                <w:rFonts w:hint="eastAsia"/>
              </w:rPr>
            </w:pPr>
          </w:p>
          <w:p>
            <w:pPr>
              <w:pStyle w:val="2"/>
              <w:rPr>
                <w:rFonts w:hint="eastAsia"/>
              </w:rPr>
            </w:pPr>
          </w:p>
          <w:p>
            <w:pPr>
              <w:rPr>
                <w:rFonts w:hint="eastAsia"/>
              </w:rPr>
            </w:pPr>
          </w:p>
        </w:tc>
        <w:tc>
          <w:tcPr>
            <w:tcW w:w="14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3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2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0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51320023R000008958406-年度考核奖预发（30%）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州公安局部门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州强制隔离戒毒所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严格执行相关政策，确保及时、足额发放年度考核奖，预算编制科学合理，减少结余资金。</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严格执行相关政策，确保及时、足额发放年度考核奖，预算编制科学合理，减少结余资金，年底目标完成100%。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通过预算资金的执行，确保及时、足额发放年度考核奖。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7.32</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7.32</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通过预算资金的执行，确保及时、足额发放年度考核奖。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2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项目负责人：王树平</w:t>
            </w:r>
          </w:p>
        </w:tc>
        <w:tc>
          <w:tcPr>
            <w:tcW w:w="48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财务负责人：娜斯基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48" w:type="dxa"/>
            <w:tcBorders>
              <w:top w:val="nil"/>
              <w:left w:val="nil"/>
              <w:bottom w:val="nil"/>
              <w:right w:val="nil"/>
            </w:tcBorders>
            <w:shd w:val="clear" w:color="auto" w:fill="auto"/>
            <w:vAlign w:val="center"/>
          </w:tcPr>
          <w:p>
            <w:pPr>
              <w:rPr>
                <w:rFonts w:hint="eastAsia"/>
              </w:rPr>
            </w:pPr>
          </w:p>
          <w:p>
            <w:pPr>
              <w:pStyle w:val="2"/>
              <w:rPr>
                <w:rFonts w:hint="eastAsia"/>
              </w:rPr>
            </w:pPr>
          </w:p>
          <w:p>
            <w:pPr>
              <w:rPr>
                <w:rFonts w:hint="eastAsia"/>
              </w:rPr>
            </w:pPr>
          </w:p>
        </w:tc>
        <w:tc>
          <w:tcPr>
            <w:tcW w:w="14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3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2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0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51320023R000009914893-工资性支出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州公安局部门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州强制隔离戒毒所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严格执行相关政策，保障工资及时、足额发放，预算编制科学合理，减少结余资金。</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严格执行相关政策，保障工资及时、足额发放，预算编制科学合理，减少结余资金，目标完成100%。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在项目实施过程中，严格按照预算相关规定，及时、足额发放工资。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7.63</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7.63</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7.63</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7.63</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通过项目的实施，确保及时、足额发放工资。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52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kern w:val="0"/>
                <w:sz w:val="18"/>
                <w:szCs w:val="18"/>
                <w:u w:val="none"/>
                <w:lang w:val="en-US" w:eastAsia="zh-CN" w:bidi="ar"/>
              </w:rPr>
              <w:t>项目负责人：王树平</w:t>
            </w:r>
          </w:p>
        </w:tc>
        <w:tc>
          <w:tcPr>
            <w:tcW w:w="48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财务负责人：娜斯基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nil"/>
              <w:left w:val="nil"/>
              <w:bottom w:val="nil"/>
              <w:right w:val="nil"/>
            </w:tcBorders>
            <w:shd w:val="clear" w:color="auto" w:fill="auto"/>
            <w:vAlign w:val="center"/>
          </w:tcPr>
          <w:p>
            <w:pPr>
              <w:rPr>
                <w:rFonts w:hint="eastAsia"/>
              </w:rPr>
            </w:pPr>
          </w:p>
          <w:p>
            <w:pPr>
              <w:pStyle w:val="2"/>
              <w:rPr>
                <w:rFonts w:hint="eastAsia"/>
              </w:rPr>
            </w:pPr>
          </w:p>
          <w:p>
            <w:pPr>
              <w:rPr>
                <w:rFonts w:hint="eastAsia"/>
              </w:rPr>
            </w:pPr>
          </w:p>
        </w:tc>
        <w:tc>
          <w:tcPr>
            <w:tcW w:w="134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0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3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2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00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51320023R000009915221-单位缴费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州公安局部门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8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州强制隔离戒毒所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严格执行相关政策，确保及时、足额缴纳社保，预算编制科学合理，减少结余资金。</w:t>
            </w:r>
          </w:p>
        </w:tc>
        <w:tc>
          <w:tcPr>
            <w:tcW w:w="3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严格执行相关政策，确保及时、足额缴纳社保，预算编制科学合理，减少结余资金；目标完成100%。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在预算执行过程中，严格执行相关政策，确保及时、足额缴纳社保，预算编制科学合理，减少结余资金。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通过该预算资金的支付，确保及时、足额缴纳社保。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41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2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项目负责人：王树平</w:t>
            </w:r>
          </w:p>
        </w:tc>
        <w:tc>
          <w:tcPr>
            <w:tcW w:w="48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财务负责人：娜斯基</w:t>
            </w:r>
          </w:p>
        </w:tc>
      </w:tr>
    </w:tbl>
    <w:p>
      <w:pPr>
        <w:pStyle w:val="2"/>
      </w:pPr>
    </w:p>
    <w:p>
      <w:pPr>
        <w:pStyle w:val="6"/>
        <w:pageBreakBefore w:val="0"/>
        <w:kinsoku/>
        <w:wordWrap/>
        <w:overflowPunct/>
        <w:topLinePunct w:val="0"/>
        <w:bidi w:val="0"/>
        <w:adjustRightInd w:val="0"/>
        <w:spacing w:beforeLines="0" w:afterAutospacing="0" w:line="576" w:lineRule="exact"/>
        <w:textAlignment w:val="auto"/>
        <w:rPr>
          <w:rFonts w:hAnsi="Calibri" w:cs="仿宋"/>
          <w:sz w:val="32"/>
          <w:szCs w:val="32"/>
        </w:rPr>
      </w:pPr>
    </w:p>
    <w:p>
      <w:pPr>
        <w:pStyle w:val="6"/>
        <w:pageBreakBefore w:val="0"/>
        <w:kinsoku/>
        <w:wordWrap/>
        <w:overflowPunct/>
        <w:topLinePunct w:val="0"/>
        <w:bidi w:val="0"/>
        <w:adjustRightInd w:val="0"/>
        <w:spacing w:beforeLines="0" w:afterAutospacing="0" w:line="576" w:lineRule="exact"/>
        <w:textAlignment w:val="auto"/>
        <w:rPr>
          <w:rFonts w:hAnsi="Calibri" w:cs="仿宋"/>
          <w:sz w:val="32"/>
          <w:szCs w:val="32"/>
        </w:rPr>
      </w:pPr>
    </w:p>
    <w:p>
      <w:pPr>
        <w:pageBreakBefore w:val="0"/>
        <w:kinsoku/>
        <w:wordWrap/>
        <w:overflowPunct/>
        <w:topLinePunct w:val="0"/>
        <w:bidi w:val="0"/>
        <w:adjustRightInd w:val="0"/>
        <w:spacing w:afterAutospacing="0" w:line="576" w:lineRule="exact"/>
        <w:jc w:val="center"/>
        <w:textAlignment w:val="auto"/>
        <w:outlineLvl w:val="0"/>
        <w:rPr>
          <w:rFonts w:ascii="仿宋" w:hAnsi="仿宋" w:eastAsia="仿宋"/>
        </w:rPr>
      </w:pPr>
      <w:r>
        <w:rPr>
          <w:rFonts w:hint="eastAsia" w:ascii="黑体" w:hAnsi="黑体" w:eastAsia="黑体"/>
          <w:sz w:val="44"/>
          <w:szCs w:val="44"/>
        </w:rPr>
        <w:t>第</w:t>
      </w:r>
      <w:r>
        <w:rPr>
          <w:rStyle w:val="27"/>
          <w:rFonts w:hint="eastAsia" w:ascii="黑体" w:hAnsi="黑体" w:eastAsia="黑体"/>
          <w:b w:val="0"/>
        </w:rPr>
        <w:t>五部分 附表</w:t>
      </w:r>
      <w:bookmarkEnd w:id="51"/>
      <w:bookmarkEnd w:id="53"/>
      <w:bookmarkStart w:id="54" w:name="_Toc15396619"/>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r>
        <w:rPr>
          <w:rFonts w:hint="eastAsia" w:ascii="仿宋" w:hAnsi="仿宋" w:eastAsia="仿宋"/>
          <w:b w:val="0"/>
        </w:rPr>
        <w:t>一、收</w:t>
      </w:r>
      <w:r>
        <w:rPr>
          <w:rStyle w:val="28"/>
          <w:rFonts w:hint="eastAsia" w:ascii="仿宋" w:hAnsi="仿宋" w:eastAsia="仿宋"/>
          <w:b w:val="0"/>
          <w:bCs w:val="0"/>
        </w:rPr>
        <w:t>入支出决算总表</w:t>
      </w:r>
      <w:bookmarkEnd w:id="54"/>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bookmarkStart w:id="55" w:name="_Toc15396620"/>
      <w:r>
        <w:rPr>
          <w:rFonts w:hint="eastAsia" w:ascii="仿宋" w:hAnsi="仿宋" w:eastAsia="仿宋"/>
          <w:b w:val="0"/>
        </w:rPr>
        <w:t>二、收</w:t>
      </w:r>
      <w:r>
        <w:rPr>
          <w:rStyle w:val="28"/>
          <w:rFonts w:hint="eastAsia" w:ascii="仿宋" w:hAnsi="仿宋" w:eastAsia="仿宋"/>
          <w:b w:val="0"/>
          <w:bCs w:val="0"/>
        </w:rPr>
        <w:t>入决算表</w:t>
      </w:r>
      <w:bookmarkEnd w:id="55"/>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bookmarkStart w:id="56" w:name="_Toc15396621"/>
      <w:r>
        <w:rPr>
          <w:rStyle w:val="28"/>
          <w:rFonts w:hint="eastAsia" w:ascii="仿宋" w:hAnsi="仿宋" w:eastAsia="仿宋"/>
          <w:b w:val="0"/>
          <w:bCs w:val="0"/>
        </w:rPr>
        <w:t>三、</w:t>
      </w:r>
      <w:r>
        <w:rPr>
          <w:rFonts w:hint="eastAsia" w:ascii="仿宋" w:hAnsi="仿宋" w:eastAsia="仿宋"/>
          <w:b w:val="0"/>
        </w:rPr>
        <w:t>支</w:t>
      </w:r>
      <w:r>
        <w:rPr>
          <w:rStyle w:val="28"/>
          <w:rFonts w:hint="eastAsia" w:ascii="仿宋" w:hAnsi="仿宋" w:eastAsia="仿宋"/>
          <w:b w:val="0"/>
          <w:bCs w:val="0"/>
        </w:rPr>
        <w:t>出决算表</w:t>
      </w:r>
      <w:bookmarkEnd w:id="56"/>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b w:val="0"/>
        </w:rPr>
      </w:pPr>
      <w:bookmarkStart w:id="57" w:name="_Toc15396622"/>
      <w:r>
        <w:rPr>
          <w:rStyle w:val="28"/>
          <w:rFonts w:hint="eastAsia" w:ascii="仿宋" w:hAnsi="仿宋" w:eastAsia="仿宋"/>
          <w:b w:val="0"/>
          <w:bCs w:val="0"/>
        </w:rPr>
        <w:t>四、</w:t>
      </w:r>
      <w:r>
        <w:rPr>
          <w:rFonts w:hint="eastAsia" w:ascii="仿宋" w:hAnsi="仿宋" w:eastAsia="仿宋"/>
          <w:b w:val="0"/>
        </w:rPr>
        <w:t>财</w:t>
      </w:r>
      <w:r>
        <w:rPr>
          <w:rStyle w:val="28"/>
          <w:rFonts w:hint="eastAsia" w:ascii="仿宋" w:hAnsi="仿宋" w:eastAsia="仿宋"/>
          <w:b w:val="0"/>
          <w:bCs w:val="0"/>
        </w:rPr>
        <w:t>政拨款收入支出决算总表</w:t>
      </w:r>
      <w:bookmarkEnd w:id="57"/>
    </w:p>
    <w:p>
      <w:pPr>
        <w:pStyle w:val="4"/>
        <w:pageBreakBefore w:val="0"/>
        <w:kinsoku/>
        <w:wordWrap/>
        <w:overflowPunct/>
        <w:topLinePunct w:val="0"/>
        <w:bidi w:val="0"/>
        <w:adjustRightInd w:val="0"/>
        <w:spacing w:before="0" w:after="0" w:afterAutospacing="0" w:line="576" w:lineRule="exact"/>
        <w:textAlignment w:val="auto"/>
        <w:rPr>
          <w:rStyle w:val="28"/>
          <w:rFonts w:ascii="仿宋" w:hAnsi="仿宋" w:eastAsia="仿宋"/>
          <w:b w:val="0"/>
          <w:bCs w:val="0"/>
        </w:rPr>
      </w:pPr>
      <w:bookmarkStart w:id="58" w:name="_Toc15396623"/>
      <w:r>
        <w:rPr>
          <w:rStyle w:val="28"/>
          <w:rFonts w:hint="eastAsia" w:ascii="仿宋" w:hAnsi="仿宋" w:eastAsia="仿宋"/>
          <w:b w:val="0"/>
          <w:bCs w:val="0"/>
        </w:rPr>
        <w:t>五、</w:t>
      </w:r>
      <w:r>
        <w:rPr>
          <w:rFonts w:hint="eastAsia" w:ascii="仿宋" w:hAnsi="仿宋" w:eastAsia="仿宋"/>
          <w:b w:val="0"/>
        </w:rPr>
        <w:t>财</w:t>
      </w:r>
      <w:r>
        <w:rPr>
          <w:rStyle w:val="28"/>
          <w:rFonts w:hint="eastAsia" w:ascii="仿宋" w:hAnsi="仿宋" w:eastAsia="仿宋"/>
          <w:b w:val="0"/>
          <w:bCs w:val="0"/>
        </w:rPr>
        <w:t>政拨款支出决算明细表</w:t>
      </w:r>
      <w:bookmarkEnd w:id="58"/>
      <w:bookmarkStart w:id="59" w:name="_Toc15396624"/>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r>
        <w:rPr>
          <w:rStyle w:val="28"/>
          <w:rFonts w:hint="eastAsia" w:ascii="仿宋" w:hAnsi="仿宋" w:eastAsia="仿宋"/>
          <w:b w:val="0"/>
          <w:bCs w:val="0"/>
        </w:rPr>
        <w:t>六、</w:t>
      </w:r>
      <w:r>
        <w:rPr>
          <w:rFonts w:hint="eastAsia" w:ascii="仿宋" w:hAnsi="仿宋" w:eastAsia="仿宋"/>
          <w:b w:val="0"/>
        </w:rPr>
        <w:t>一</w:t>
      </w:r>
      <w:r>
        <w:rPr>
          <w:rStyle w:val="28"/>
          <w:rFonts w:hint="eastAsia" w:ascii="仿宋" w:hAnsi="仿宋" w:eastAsia="仿宋"/>
          <w:b w:val="0"/>
          <w:bCs w:val="0"/>
        </w:rPr>
        <w:t>般公共预算财政拨款支出决算表</w:t>
      </w:r>
      <w:bookmarkEnd w:id="59"/>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bookmarkStart w:id="60" w:name="_Toc15396625"/>
      <w:r>
        <w:rPr>
          <w:rStyle w:val="28"/>
          <w:rFonts w:hint="eastAsia" w:ascii="仿宋" w:hAnsi="仿宋" w:eastAsia="仿宋"/>
          <w:b w:val="0"/>
          <w:bCs w:val="0"/>
        </w:rPr>
        <w:t>七、</w:t>
      </w:r>
      <w:r>
        <w:rPr>
          <w:rFonts w:hint="eastAsia" w:ascii="仿宋" w:hAnsi="仿宋" w:eastAsia="仿宋"/>
          <w:b w:val="0"/>
        </w:rPr>
        <w:t>一</w:t>
      </w:r>
      <w:r>
        <w:rPr>
          <w:rStyle w:val="28"/>
          <w:rFonts w:hint="eastAsia" w:ascii="仿宋" w:hAnsi="仿宋" w:eastAsia="仿宋"/>
          <w:b w:val="0"/>
          <w:bCs w:val="0"/>
        </w:rPr>
        <w:t>般公共预算财政拨款支出决算明细表</w:t>
      </w:r>
      <w:bookmarkEnd w:id="60"/>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bookmarkStart w:id="61" w:name="_Toc15396626"/>
      <w:r>
        <w:rPr>
          <w:rStyle w:val="28"/>
          <w:rFonts w:hint="eastAsia" w:ascii="仿宋" w:hAnsi="仿宋" w:eastAsia="仿宋"/>
          <w:b w:val="0"/>
          <w:bCs w:val="0"/>
        </w:rPr>
        <w:t>八、</w:t>
      </w:r>
      <w:r>
        <w:rPr>
          <w:rFonts w:hint="eastAsia" w:ascii="仿宋" w:hAnsi="仿宋" w:eastAsia="仿宋"/>
          <w:b w:val="0"/>
        </w:rPr>
        <w:t>一</w:t>
      </w:r>
      <w:r>
        <w:rPr>
          <w:rStyle w:val="28"/>
          <w:rFonts w:hint="eastAsia" w:ascii="仿宋" w:hAnsi="仿宋" w:eastAsia="仿宋"/>
          <w:b w:val="0"/>
          <w:bCs w:val="0"/>
        </w:rPr>
        <w:t>般公共预算财政拨款基本支出决算表</w:t>
      </w:r>
      <w:bookmarkEnd w:id="61"/>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bookmarkStart w:id="62" w:name="_Toc15396627"/>
      <w:r>
        <w:rPr>
          <w:rStyle w:val="28"/>
          <w:rFonts w:hint="eastAsia" w:ascii="仿宋" w:hAnsi="仿宋" w:eastAsia="仿宋"/>
          <w:b w:val="0"/>
          <w:bCs w:val="0"/>
        </w:rPr>
        <w:t>九、</w:t>
      </w:r>
      <w:r>
        <w:rPr>
          <w:rFonts w:hint="eastAsia" w:ascii="仿宋" w:hAnsi="仿宋" w:eastAsia="仿宋"/>
          <w:b w:val="0"/>
        </w:rPr>
        <w:t>一</w:t>
      </w:r>
      <w:r>
        <w:rPr>
          <w:rStyle w:val="28"/>
          <w:rFonts w:hint="eastAsia" w:ascii="仿宋" w:hAnsi="仿宋" w:eastAsia="仿宋"/>
          <w:b w:val="0"/>
          <w:bCs w:val="0"/>
        </w:rPr>
        <w:t>般公共预算财政拨款项目支出决算表</w:t>
      </w:r>
      <w:bookmarkEnd w:id="62"/>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bookmarkStart w:id="63" w:name="_Toc15396628"/>
      <w:r>
        <w:rPr>
          <w:rStyle w:val="28"/>
          <w:rFonts w:hint="eastAsia" w:ascii="仿宋" w:hAnsi="仿宋" w:eastAsia="仿宋"/>
          <w:b w:val="0"/>
          <w:bCs w:val="0"/>
        </w:rPr>
        <w:t>十、</w:t>
      </w:r>
      <w:bookmarkEnd w:id="63"/>
      <w:r>
        <w:rPr>
          <w:rFonts w:hint="eastAsia" w:ascii="仿宋" w:hAnsi="仿宋" w:eastAsia="仿宋"/>
          <w:b w:val="0"/>
        </w:rPr>
        <w:t>政</w:t>
      </w:r>
      <w:r>
        <w:rPr>
          <w:rStyle w:val="28"/>
          <w:rFonts w:hint="eastAsia" w:ascii="仿宋" w:hAnsi="仿宋" w:eastAsia="仿宋"/>
          <w:b w:val="0"/>
          <w:bCs w:val="0"/>
        </w:rPr>
        <w:t>府性基金预算财政拨款收入支出决算表</w:t>
      </w:r>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bookmarkStart w:id="64" w:name="_Toc15396629"/>
      <w:r>
        <w:rPr>
          <w:rStyle w:val="28"/>
          <w:rFonts w:hint="eastAsia" w:ascii="仿宋" w:hAnsi="仿宋" w:eastAsia="仿宋"/>
          <w:b w:val="0"/>
          <w:bCs w:val="0"/>
        </w:rPr>
        <w:t>十一、</w:t>
      </w:r>
      <w:bookmarkEnd w:id="64"/>
      <w:r>
        <w:rPr>
          <w:rFonts w:hint="eastAsia" w:ascii="仿宋" w:hAnsi="仿宋" w:eastAsia="仿宋"/>
          <w:b w:val="0"/>
        </w:rPr>
        <w:t>国</w:t>
      </w:r>
      <w:r>
        <w:rPr>
          <w:rStyle w:val="28"/>
          <w:rFonts w:hint="eastAsia" w:ascii="仿宋" w:hAnsi="仿宋" w:eastAsia="仿宋"/>
          <w:b w:val="0"/>
          <w:bCs w:val="0"/>
        </w:rPr>
        <w:t>有资本经营预算财政拨款收入支出决算表</w:t>
      </w:r>
    </w:p>
    <w:p>
      <w:pPr>
        <w:pStyle w:val="4"/>
        <w:pageBreakBefore w:val="0"/>
        <w:kinsoku/>
        <w:wordWrap/>
        <w:overflowPunct/>
        <w:topLinePunct w:val="0"/>
        <w:bidi w:val="0"/>
        <w:adjustRightInd w:val="0"/>
        <w:spacing w:before="0" w:after="0" w:afterAutospacing="0" w:line="576" w:lineRule="exact"/>
        <w:textAlignment w:val="auto"/>
        <w:rPr>
          <w:rFonts w:ascii="仿宋" w:hAnsi="仿宋" w:eastAsia="仿宋"/>
        </w:rPr>
      </w:pPr>
      <w:bookmarkStart w:id="65" w:name="_Toc15396630"/>
      <w:r>
        <w:rPr>
          <w:rStyle w:val="28"/>
          <w:rFonts w:hint="eastAsia" w:ascii="仿宋" w:hAnsi="仿宋" w:eastAsia="仿宋"/>
          <w:b w:val="0"/>
          <w:bCs w:val="0"/>
        </w:rPr>
        <w:t>十二、</w:t>
      </w:r>
      <w:bookmarkEnd w:id="65"/>
      <w:r>
        <w:rPr>
          <w:rStyle w:val="28"/>
          <w:rFonts w:hint="eastAsia" w:ascii="仿宋" w:hAnsi="仿宋" w:eastAsia="仿宋"/>
          <w:b w:val="0"/>
          <w:bCs w:val="0"/>
        </w:rPr>
        <w:t>国有资本经营预算财政拨款支出决算表</w:t>
      </w:r>
    </w:p>
    <w:p>
      <w:pPr>
        <w:pStyle w:val="4"/>
        <w:pageBreakBefore w:val="0"/>
        <w:kinsoku/>
        <w:wordWrap/>
        <w:overflowPunct/>
        <w:topLinePunct w:val="0"/>
        <w:bidi w:val="0"/>
        <w:adjustRightInd w:val="0"/>
        <w:spacing w:before="0" w:after="0" w:afterAutospacing="0" w:line="576" w:lineRule="exact"/>
        <w:textAlignment w:val="auto"/>
        <w:rPr>
          <w:rFonts w:eastAsia="仿宋"/>
        </w:rPr>
      </w:pPr>
      <w:bookmarkStart w:id="66" w:name="_Toc15396631"/>
      <w:r>
        <w:rPr>
          <w:rStyle w:val="28"/>
          <w:rFonts w:hint="eastAsia" w:ascii="仿宋" w:hAnsi="仿宋" w:eastAsia="仿宋"/>
          <w:b w:val="0"/>
          <w:bCs w:val="0"/>
        </w:rPr>
        <w:t>十三、</w:t>
      </w:r>
      <w:bookmarkEnd w:id="66"/>
      <w:r>
        <w:rPr>
          <w:rStyle w:val="28"/>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F5FFB2F"/>
    <w:rsid w:val="0FFFCF60"/>
    <w:rsid w:val="10C055FF"/>
    <w:rsid w:val="118107EC"/>
    <w:rsid w:val="11DD6519"/>
    <w:rsid w:val="16BB723D"/>
    <w:rsid w:val="18015F3F"/>
    <w:rsid w:val="1BE8440E"/>
    <w:rsid w:val="1D155CEE"/>
    <w:rsid w:val="1FDBBF84"/>
    <w:rsid w:val="20F57F95"/>
    <w:rsid w:val="240371BF"/>
    <w:rsid w:val="246C386C"/>
    <w:rsid w:val="25711CC6"/>
    <w:rsid w:val="25C741E6"/>
    <w:rsid w:val="276F80C0"/>
    <w:rsid w:val="27842671"/>
    <w:rsid w:val="29FD04D3"/>
    <w:rsid w:val="2ABE7A3E"/>
    <w:rsid w:val="2AFF09B6"/>
    <w:rsid w:val="2C154D84"/>
    <w:rsid w:val="2CA234A8"/>
    <w:rsid w:val="2EFA178C"/>
    <w:rsid w:val="2EFDF86C"/>
    <w:rsid w:val="2F9D17E1"/>
    <w:rsid w:val="30B46D73"/>
    <w:rsid w:val="319F7F4E"/>
    <w:rsid w:val="356A28F1"/>
    <w:rsid w:val="357C035A"/>
    <w:rsid w:val="368E000D"/>
    <w:rsid w:val="377C625F"/>
    <w:rsid w:val="383D272C"/>
    <w:rsid w:val="39AE70AB"/>
    <w:rsid w:val="3A4DCE41"/>
    <w:rsid w:val="3BCB56FA"/>
    <w:rsid w:val="3C0C0783"/>
    <w:rsid w:val="3EE7C2F4"/>
    <w:rsid w:val="3F371B56"/>
    <w:rsid w:val="3F792ED8"/>
    <w:rsid w:val="3F9F3A96"/>
    <w:rsid w:val="3FECA4B2"/>
    <w:rsid w:val="3FF58C48"/>
    <w:rsid w:val="42FF6694"/>
    <w:rsid w:val="473E11E7"/>
    <w:rsid w:val="48BF60AB"/>
    <w:rsid w:val="493C27E9"/>
    <w:rsid w:val="496F39ED"/>
    <w:rsid w:val="49FF41D3"/>
    <w:rsid w:val="4BDB0E62"/>
    <w:rsid w:val="4BE068DB"/>
    <w:rsid w:val="4BF6002B"/>
    <w:rsid w:val="4BFFC6BE"/>
    <w:rsid w:val="4ECE2238"/>
    <w:rsid w:val="51DB4B86"/>
    <w:rsid w:val="51F64DB0"/>
    <w:rsid w:val="55333C3E"/>
    <w:rsid w:val="5F67802D"/>
    <w:rsid w:val="5F7DC4F2"/>
    <w:rsid w:val="5FB36814"/>
    <w:rsid w:val="5FBB8E56"/>
    <w:rsid w:val="5FFB5535"/>
    <w:rsid w:val="64CA39A1"/>
    <w:rsid w:val="69630ADE"/>
    <w:rsid w:val="69BD5F13"/>
    <w:rsid w:val="69FB0B4B"/>
    <w:rsid w:val="6A082275"/>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6A678A"/>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4"/>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Header Char"/>
    <w:basedOn w:val="16"/>
    <w:semiHidden/>
    <w:qFormat/>
    <w:uiPriority w:val="99"/>
    <w:rPr>
      <w:rFonts w:ascii="Times New Roman" w:hAnsi="Times New Roman"/>
      <w:sz w:val="18"/>
      <w:szCs w:val="18"/>
    </w:rPr>
  </w:style>
  <w:style w:type="character" w:customStyle="1" w:styleId="20">
    <w:name w:val="页眉 字符"/>
    <w:link w:val="11"/>
    <w:semiHidden/>
    <w:qFormat/>
    <w:locked/>
    <w:uiPriority w:val="99"/>
    <w:rPr>
      <w:sz w:val="18"/>
    </w:rPr>
  </w:style>
  <w:style w:type="character" w:customStyle="1" w:styleId="21">
    <w:name w:val="Footer Char"/>
    <w:basedOn w:val="16"/>
    <w:semiHidden/>
    <w:qFormat/>
    <w:uiPriority w:val="99"/>
    <w:rPr>
      <w:rFonts w:ascii="Times New Roman" w:hAnsi="Times New Roman"/>
      <w:sz w:val="18"/>
      <w:szCs w:val="18"/>
    </w:rPr>
  </w:style>
  <w:style w:type="character" w:customStyle="1" w:styleId="22">
    <w:name w:val="页脚 字符"/>
    <w:link w:val="10"/>
    <w:qFormat/>
    <w:locked/>
    <w:uiPriority w:val="99"/>
    <w:rPr>
      <w:sz w:val="18"/>
    </w:rPr>
  </w:style>
  <w:style w:type="character" w:customStyle="1" w:styleId="23">
    <w:name w:val="Body Text Char"/>
    <w:basedOn w:val="16"/>
    <w:semiHidden/>
    <w:qFormat/>
    <w:uiPriority w:val="99"/>
    <w:rPr>
      <w:rFonts w:ascii="Times New Roman" w:hAnsi="Times New Roman"/>
      <w:szCs w:val="24"/>
    </w:rPr>
  </w:style>
  <w:style w:type="character" w:customStyle="1" w:styleId="24">
    <w:name w:val="正文文本 字符"/>
    <w:link w:val="6"/>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字符"/>
    <w:basedOn w:val="16"/>
    <w:link w:val="3"/>
    <w:qFormat/>
    <w:uiPriority w:val="9"/>
    <w:rPr>
      <w:rFonts w:ascii="Times New Roman" w:hAnsi="Times New Roman"/>
      <w:b/>
      <w:bCs/>
      <w:kern w:val="44"/>
      <w:sz w:val="44"/>
      <w:szCs w:val="44"/>
    </w:rPr>
  </w:style>
  <w:style w:type="character" w:customStyle="1" w:styleId="28">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字符"/>
    <w:basedOn w:val="16"/>
    <w:link w:val="9"/>
    <w:semiHidden/>
    <w:qFormat/>
    <w:uiPriority w:val="99"/>
    <w:rPr>
      <w:rFonts w:ascii="Times New Roman" w:hAnsi="Times New Roman"/>
      <w:kern w:val="2"/>
      <w:sz w:val="18"/>
      <w:szCs w:val="18"/>
    </w:rPr>
  </w:style>
  <w:style w:type="character" w:customStyle="1" w:styleId="31">
    <w:name w:val="标题 3 字符"/>
    <w:basedOn w:val="16"/>
    <w:link w:val="5"/>
    <w:qFormat/>
    <w:uiPriority w:val="9"/>
    <w:rPr>
      <w:rFonts w:ascii="Times New Roman" w:hAnsi="Times New Roman"/>
      <w:b/>
      <w:bCs/>
      <w:kern w:val="2"/>
      <w:sz w:val="32"/>
      <w:szCs w:val="32"/>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普通(网站) Char"/>
    <w:basedOn w:val="34"/>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34">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manualLayout>
          <c:xMode val="edge"/>
          <c:yMode val="edge"/>
          <c:x val="0.273387493845396"/>
          <c:y val="0.0519389366555536"/>
        </c:manualLayout>
      </c:layout>
      <c:overlay val="0"/>
      <c:spPr>
        <a:noFill/>
        <a:ln>
          <a:noFill/>
        </a:ln>
        <a:effectLst/>
      </c:spPr>
    </c:title>
    <c:autoTitleDeleted val="0"/>
    <c:plotArea>
      <c:layout>
        <c:manualLayout>
          <c:layoutTarget val="inner"/>
          <c:xMode val="edge"/>
          <c:yMode val="edge"/>
          <c:x val="0.0464795667159035"/>
          <c:y val="0.180908931391472"/>
          <c:w val="0.916592811422944"/>
          <c:h val="0.746516932795227"/>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2022年</c:v>
                </c:pt>
                <c:pt idx="1">
                  <c:v>2023年</c:v>
                </c:pt>
              </c:strCache>
            </c:strRef>
          </c:cat>
          <c:val>
            <c:numRef>
              <c:f>Sheet1!$B$2:$C$2</c:f>
              <c:numCache>
                <c:formatCode>General</c:formatCode>
                <c:ptCount val="2"/>
                <c:pt idx="0">
                  <c:v>85.33</c:v>
                </c:pt>
                <c:pt idx="1">
                  <c:v>93.71</c:v>
                </c:pt>
              </c:numCache>
            </c:numRef>
          </c:val>
          <c:extLst>
            <c:ext xmlns:c15="http://schemas.microsoft.com/office/drawing/2012/chart" uri="{02D57815-91ED-43cb-92C2-25804820EDAC}">
              <c15:filteredSeriesTitle>
                <c15:tx>
                  <c:strRef>
                    <c:extLst>
                      <c:ext uri="{02D57815-91ED-43cb-92C2-25804820EDAC}">
                        <c15:formulaRef>
                          <c15:sqref>Sheet1!$A$2</c15:sqref>
                        </c15:formulaRef>
                      </c:ext>
                    </c:extLst>
                    <c:strCache>
                      <c:ptCount val="1"/>
                      <c:pt idx="0">
                        <c:v>类别 1</c:v>
                      </c:pt>
                    </c:strCache>
                  </c:strRef>
                </c15:tx>
              </c15:filteredSeriesTitle>
            </c:ext>
          </c:extLst>
        </c:ser>
        <c:dLbls>
          <c:showLegendKey val="0"/>
          <c:showVal val="1"/>
          <c:showCatName val="0"/>
          <c:showSerName val="0"/>
          <c:showPercent val="0"/>
          <c:showBubbleSize val="0"/>
        </c:dLbls>
        <c:gapWidth val="219"/>
        <c:overlap val="-27"/>
        <c:axId val="598306840"/>
        <c:axId val="603967103"/>
      </c:barChart>
      <c:catAx>
        <c:axId val="59830684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3967103"/>
        <c:crosses val="autoZero"/>
        <c:auto val="1"/>
        <c:lblAlgn val="ctr"/>
        <c:lblOffset val="100"/>
        <c:noMultiLvlLbl val="0"/>
      </c:catAx>
      <c:valAx>
        <c:axId val="60396710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83068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一般公共预算财政收入</c:v>
                </c:pt>
                <c:pt idx="1">
                  <c:v>其他收入</c:v>
                </c:pt>
              </c:strCache>
            </c:strRef>
          </c:cat>
          <c:val>
            <c:numRef>
              <c:f>Sheet1!$B$2:$B$3</c:f>
              <c:numCache>
                <c:formatCode>General</c:formatCode>
                <c:ptCount val="2"/>
                <c:pt idx="0">
                  <c:v>93.71</c:v>
                </c:pt>
                <c:pt idx="1">
                  <c:v>0</c:v>
                </c:pt>
              </c:numCache>
            </c:numRef>
          </c:val>
        </c:ser>
        <c:dLbls>
          <c:showLegendKey val="0"/>
          <c:showVal val="1"/>
          <c:showCatName val="0"/>
          <c:showSerName val="0"/>
          <c:showPercent val="0"/>
          <c:showBubbleSize val="0"/>
          <c:showLeaderLines val="1"/>
        </c:dLbls>
        <c:firstSliceAng val="64"/>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126325"/>
          <c:y val="0.145483333333333"/>
          <c:w val="0.8316"/>
          <c:h val="0.669533333333333"/>
        </c:manualLayout>
      </c:layout>
      <c:pie3DChart>
        <c:varyColors val="1"/>
        <c:ser>
          <c:idx val="0"/>
          <c:order val="0"/>
          <c:tx>
            <c:strRef>
              <c:f>Sheet1!$B$1</c:f>
              <c:strCache>
                <c:ptCount val="1"/>
                <c:pt idx="0">
                  <c:v>支出决算结构图</c:v>
                </c:pt>
              </c:strCache>
            </c:strRef>
          </c:tx>
          <c:spPr/>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其他支出</c:v>
                </c:pt>
              </c:strCache>
            </c:strRef>
          </c:cat>
          <c:val>
            <c:numRef>
              <c:f>Sheet1!$B$2:$B$3</c:f>
              <c:numCache>
                <c:formatCode>General</c:formatCode>
                <c:ptCount val="2"/>
                <c:pt idx="0">
                  <c:v>93.71</c:v>
                </c:pt>
                <c:pt idx="1">
                  <c:v>0</c:v>
                </c:pt>
              </c:numCache>
            </c:numRef>
          </c:val>
        </c:ser>
        <c:dLbls>
          <c:showLegendKey val="0"/>
          <c:showVal val="1"/>
          <c:showCatName val="0"/>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manualLayout>
          <c:layoutTarget val="inner"/>
          <c:xMode val="edge"/>
          <c:yMode val="edge"/>
          <c:x val="0.0472"/>
          <c:y val="0.121"/>
          <c:w val="0.927925"/>
          <c:h val="0.716566666666667"/>
        </c:manualLayout>
      </c:layout>
      <c:barChart>
        <c:barDir val="col"/>
        <c:grouping val="clustered"/>
        <c:varyColors val="0"/>
        <c:ser>
          <c:idx val="0"/>
          <c:order val="0"/>
          <c:tx>
            <c:strRef>
              <c:f>Sheet1!$A$2</c:f>
              <c:strCache>
                <c:ptCount val="1"/>
                <c:pt idx="0">
                  <c:v>财政拨款支出总计</c:v>
                </c:pt>
              </c:strCache>
            </c:strRef>
          </c:tx>
          <c:spPr>
            <a:solidFill>
              <a:schemeClr val="accent1"/>
            </a:solidFill>
            <a:ln>
              <a:noFill/>
            </a:ln>
            <a:effectLst/>
          </c:spPr>
          <c:invertIfNegative val="0"/>
          <c:dLbls>
            <c:delete val="1"/>
          </c:dLbls>
          <c:cat>
            <c:strRef>
              <c:f>Sheet1!$B$1:$C$1</c:f>
              <c:strCache>
                <c:ptCount val="2"/>
                <c:pt idx="0">
                  <c:v>2022年</c:v>
                </c:pt>
                <c:pt idx="1">
                  <c:v>2023年</c:v>
                </c:pt>
              </c:strCache>
            </c:strRef>
          </c:cat>
          <c:val>
            <c:numRef>
              <c:f>Sheet1!$B$2:$C$2</c:f>
              <c:numCache>
                <c:formatCode>General</c:formatCode>
                <c:ptCount val="2"/>
                <c:pt idx="0">
                  <c:v>85.33</c:v>
                </c:pt>
                <c:pt idx="1">
                  <c:v>93.71</c:v>
                </c:pt>
              </c:numCache>
            </c:numRef>
          </c:val>
        </c:ser>
        <c:ser>
          <c:idx val="1"/>
          <c:order val="1"/>
          <c:tx>
            <c:strRef>
              <c:f>Sheet1!$A$3</c:f>
              <c:strCache>
                <c:ptCount val="1"/>
                <c:pt idx="0">
                  <c:v>财政拨款支出总计</c:v>
                </c:pt>
              </c:strCache>
            </c:strRef>
          </c:tx>
          <c:spPr>
            <a:solidFill>
              <a:schemeClr val="accent2"/>
            </a:solidFill>
            <a:ln>
              <a:noFill/>
            </a:ln>
            <a:effectLst/>
          </c:spPr>
          <c:invertIfNegative val="0"/>
          <c:dLbls>
            <c:delete val="1"/>
          </c:dLbls>
          <c:cat>
            <c:strRef>
              <c:f>Sheet1!$B$1:$C$1</c:f>
              <c:strCache>
                <c:ptCount val="2"/>
                <c:pt idx="0">
                  <c:v>2022年</c:v>
                </c:pt>
                <c:pt idx="1">
                  <c:v>2023年</c:v>
                </c:pt>
              </c:strCache>
            </c:strRef>
          </c:cat>
          <c:val>
            <c:numRef>
              <c:f>Sheet1!$B$3:$C$3</c:f>
              <c:numCache>
                <c:formatCode>General</c:formatCode>
                <c:ptCount val="2"/>
                <c:pt idx="0">
                  <c:v>85.33</c:v>
                </c:pt>
                <c:pt idx="1">
                  <c:v>93.71</c:v>
                </c:pt>
              </c:numCache>
            </c:numRef>
          </c:val>
        </c:ser>
        <c:dLbls>
          <c:showLegendKey val="0"/>
          <c:showVal val="0"/>
          <c:showCatName val="0"/>
          <c:showSerName val="0"/>
          <c:showPercent val="0"/>
          <c:showBubbleSize val="0"/>
        </c:dLbls>
        <c:gapWidth val="219"/>
        <c:overlap val="-27"/>
        <c:axId val="328652932"/>
        <c:axId val="767610135"/>
      </c:barChart>
      <c:catAx>
        <c:axId val="32865293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7610135"/>
        <c:crosses val="autoZero"/>
        <c:auto val="1"/>
        <c:lblAlgn val="ctr"/>
        <c:lblOffset val="100"/>
        <c:noMultiLvlLbl val="0"/>
      </c:catAx>
      <c:valAx>
        <c:axId val="7676101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865293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一般公共预算财政拨款支出决算变动情况</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85.33</c:v>
                </c:pt>
                <c:pt idx="1">
                  <c:v>93.71</c:v>
                </c:pt>
              </c:numCache>
            </c:numRef>
          </c:val>
        </c:ser>
        <c:dLbls>
          <c:showLegendKey val="0"/>
          <c:showVal val="1"/>
          <c:showCatName val="0"/>
          <c:showSerName val="0"/>
          <c:showPercent val="0"/>
          <c:showBubbleSize val="0"/>
        </c:dLbls>
        <c:gapWidth val="219"/>
        <c:overlap val="-27"/>
        <c:axId val="800996819"/>
        <c:axId val="468590663"/>
      </c:barChart>
      <c:catAx>
        <c:axId val="80099681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8590663"/>
        <c:crosses val="autoZero"/>
        <c:auto val="1"/>
        <c:lblAlgn val="ctr"/>
        <c:lblOffset val="100"/>
        <c:noMultiLvlLbl val="0"/>
      </c:catAx>
      <c:valAx>
        <c:axId val="4685906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099681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公共安全支出</c:v>
                </c:pt>
                <c:pt idx="1">
                  <c:v>社会保障和就业支出</c:v>
                </c:pt>
                <c:pt idx="2">
                  <c:v>卫生健康支出</c:v>
                </c:pt>
                <c:pt idx="3">
                  <c:v>住房保障支出</c:v>
                </c:pt>
              </c:strCache>
            </c:strRef>
          </c:cat>
          <c:val>
            <c:numRef>
              <c:f>Sheet1!$B$2:$B$5</c:f>
              <c:numCache>
                <c:formatCode>General</c:formatCode>
                <c:ptCount val="4"/>
                <c:pt idx="0">
                  <c:v>69.58</c:v>
                </c:pt>
                <c:pt idx="1">
                  <c:v>12.54</c:v>
                </c:pt>
                <c:pt idx="2">
                  <c:v>5.16</c:v>
                </c:pt>
                <c:pt idx="3">
                  <c:v>6.43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因公出国（境）费支出</c:v>
                </c:pt>
                <c:pt idx="1">
                  <c:v>公务用车购置支出</c:v>
                </c:pt>
                <c:pt idx="2">
                  <c:v>公务用车运行维护费支出</c:v>
                </c:pt>
                <c:pt idx="3">
                  <c:v>公务接待费支出</c:v>
                </c:pt>
              </c:strCache>
            </c:strRef>
          </c:cat>
          <c:val>
            <c:numRef>
              <c:f>Sheet1!$B$2:$B$5</c:f>
              <c:numCache>
                <c:formatCode>General</c:formatCode>
                <c:ptCount val="4"/>
                <c:pt idx="0">
                  <c:v>0</c:v>
                </c:pt>
                <c:pt idx="1">
                  <c:v>0</c:v>
                </c:pt>
                <c:pt idx="2">
                  <c:v>0</c:v>
                </c:pt>
                <c:pt idx="3">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27</Pages>
  <Words>8821</Words>
  <Characters>9982</Characters>
  <Lines>54</Lines>
  <Paragraphs>15</Paragraphs>
  <TotalTime>0</TotalTime>
  <ScaleCrop>false</ScaleCrop>
  <LinksUpToDate>false</LinksUpToDate>
  <CharactersWithSpaces>10015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lenovo</cp:lastModifiedBy>
  <cp:lastPrinted>2023-08-03T02:35:00Z</cp:lastPrinted>
  <dcterms:modified xsi:type="dcterms:W3CDTF">2024-09-18T06:55:29Z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3954330A24A44A1CB255B55FED6E28B3</vt:lpwstr>
  </property>
</Properties>
</file>