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adjustRightInd w:val="0"/>
        <w:spacing w:line="600" w:lineRule="exact"/>
        <w:rPr>
          <w:rFonts w:eastAsia="宋体"/>
          <w:sz w:val="32"/>
          <w:szCs w:val="32"/>
        </w:rPr>
      </w:pPr>
      <w:r>
        <w:rPr>
          <w:rFonts w:eastAsia="宋体"/>
          <w:sz w:val="32"/>
          <w:szCs w:val="32"/>
        </w:rPr>
        <w:t>附件</w:t>
      </w:r>
      <w:r>
        <w:rPr>
          <w:rFonts w:eastAsia="宋体" w:hint="eastAsia"/>
          <w:sz w:val="32"/>
          <w:szCs w:val="32"/>
        </w:rPr>
        <w:t>3</w:t>
      </w:r>
    </w:p>
    <w:p>
      <w:pPr>
        <w:adjustRightInd w:val="0"/>
        <w:spacing w:line="600" w:lineRule="exact"/>
        <w:jc w:val="center"/>
        <w:rPr>
          <w:rFonts w:ascii="宋体" w:eastAsia="宋体" w:hint="eastAsia"/>
          <w:b/>
          <w:bCs/>
          <w:sz w:val="44"/>
          <w:szCs w:val="44"/>
        </w:rPr>
      </w:pPr>
      <w:r>
        <w:rPr>
          <w:rFonts w:ascii="宋体" w:eastAsia="宋体" w:hint="eastAsia"/>
          <w:b/>
          <w:bCs/>
          <w:sz w:val="44"/>
          <w:szCs w:val="44"/>
        </w:rPr>
        <w:t>部分不合格项目解读</w:t>
      </w:r>
    </w:p>
    <w:p>
      <w:pPr>
        <w:ind w:firstLineChars="200" w:firstLine="720"/>
        <w:rPr>
          <w:rStyle w:val="0"/>
          <w:rFonts w:ascii="宋体" w:cs="宋体"/>
          <w:b/>
          <w:bCs/>
          <w:sz w:val="36"/>
          <w:szCs w:val="36"/>
          <w:lang w:bidi="zh-CN"/>
        </w:rPr>
      </w:pPr>
    </w:p>
    <w:p>
      <w:pPr>
        <w:ind w:firstLineChars="200" w:firstLine="720"/>
        <w:rPr>
          <w:rStyle w:val="0"/>
          <w:rFonts w:ascii="宋体" w:cs="宋体" w:hint="eastAsia"/>
          <w:b/>
          <w:bCs/>
          <w:sz w:val="36"/>
          <w:szCs w:val="36"/>
          <w:lang w:bidi="zh-CN"/>
        </w:rPr>
      </w:pPr>
      <w:r>
        <w:rPr>
          <w:rStyle w:val="0"/>
          <w:rFonts w:ascii="宋体" w:cs="宋体" w:hint="eastAsia"/>
          <w:b/>
          <w:bCs/>
          <w:sz w:val="36"/>
          <w:szCs w:val="36"/>
          <w:lang w:bidi="zh-CN"/>
        </w:rPr>
        <w:t>一、阴离子合成洗涤剂（以十二烷基苯磺酸钠计）</w:t>
      </w:r>
    </w:p>
    <w:p>
      <w:pPr>
        <w:ind w:firstLineChars="200" w:firstLine="672"/>
        <w:rPr>
          <w:rFonts w:ascii="宋体" w:eastAsia="宋体" w:cs="宋体" w:hint="eastAsia"/>
          <w:color w:val="333333"/>
          <w:spacing w:val="8"/>
          <w:sz w:val="32"/>
          <w:szCs w:val="32"/>
          <w:lang w:bidi="zh-CN"/>
        </w:rPr>
      </w:pPr>
      <w:r>
        <w:rPr>
          <w:rFonts w:ascii="宋体" w:eastAsia="宋体" w:cs="宋体" w:hint="eastAsia"/>
          <w:color w:val="333333"/>
          <w:spacing w:val="8"/>
          <w:sz w:val="32"/>
          <w:szCs w:val="32"/>
          <w:lang w:bidi="zh-CN"/>
        </w:rPr>
        <w:t>阴离子合成洗涤剂的主要成分十二烷基磺酸钠，是我们日常生活中经常用到的洗衣粉、洗洁精、洗衣液、肥皂等洗涤剂的主要成分，因其使用方便、易溶解、稳定性好、成本低等优点，在餐饮具清洗消毒企业中广泛使用。十二烷基磺酸钠是一种低毒物质,长期摄入，会对人体健康产生不良影响。</w:t>
      </w:r>
    </w:p>
    <w:p>
      <w:pPr>
        <w:ind w:firstLineChars="200" w:firstLine="672"/>
        <w:rPr>
          <w:rFonts w:ascii="宋体" w:eastAsia="宋体" w:cs="宋体"/>
          <w:color w:val="333333"/>
          <w:spacing w:val="8"/>
          <w:sz w:val="32"/>
          <w:szCs w:val="32"/>
          <w:lang w:bidi="zh-CN"/>
        </w:rPr>
      </w:pPr>
      <w:r>
        <w:rPr>
          <w:rFonts w:ascii="宋体" w:eastAsia="宋体" w:cs="宋体" w:hint="eastAsia"/>
          <w:color w:val="333333"/>
          <w:spacing w:val="8"/>
          <w:sz w:val="32"/>
          <w:szCs w:val="32"/>
          <w:lang w:bidi="zh-CN"/>
        </w:rPr>
        <w:t>可能超标原因：一些商家对餐（饮）具清洗消毒流程控制不当，洗涤剂过量使用、未经足够量清水冲洗、清洗用水重复使用等，都会造成阴离子合成洗涤剂在餐（饮）具上的残留检出。</w:t>
      </w:r>
    </w:p>
    <w:p>
      <w:pPr>
        <w:ind w:firstLineChars="200" w:firstLine="720"/>
        <w:rPr>
          <w:rFonts w:ascii="宋体" w:cs="宋体" w:hint="eastAsia"/>
          <w:b/>
          <w:bCs/>
          <w:sz w:val="36"/>
          <w:szCs w:val="36"/>
          <w:lang w:bidi="zh-CN"/>
        </w:rPr>
      </w:pPr>
      <w:r>
        <w:rPr>
          <w:rFonts w:ascii="宋体" w:cs="宋体" w:hint="eastAsia"/>
          <w:b/>
          <w:bCs/>
          <w:sz w:val="36"/>
          <w:szCs w:val="36"/>
          <w:lang w:bidi="zh-CN"/>
        </w:rPr>
        <w:t>二、</w:t>
      </w:r>
      <w:r>
        <w:rPr>
          <w:rFonts w:ascii="宋体" w:cs="宋体" w:hint="eastAsia"/>
          <w:b/>
          <w:bCs/>
          <w:sz w:val="36"/>
          <w:szCs w:val="36"/>
        </w:rPr>
        <w:t>柠檬黄</w:t>
      </w:r>
    </w:p>
    <w:p>
      <w:pPr>
        <w:ind w:firstLineChars="200" w:firstLine="672"/>
        <w:rPr>
          <w:rFonts w:ascii="宋体" w:eastAsia="宋体" w:cs="宋体" w:hint="eastAsia"/>
          <w:color w:val="333333"/>
          <w:spacing w:val="8"/>
          <w:sz w:val="32"/>
          <w:szCs w:val="32"/>
          <w:lang w:bidi="zh-CN"/>
        </w:rPr>
      </w:pPr>
      <w:r>
        <w:rPr>
          <w:rFonts w:ascii="宋体" w:eastAsia="宋体" w:cs="宋体" w:hint="eastAsia"/>
          <w:color w:val="333333"/>
          <w:spacing w:val="8"/>
          <w:sz w:val="32"/>
          <w:szCs w:val="32"/>
          <w:lang w:bidi="zh-CN"/>
        </w:rPr>
        <w:t>柠檬黄是一种人工合成的着色剂，可以调节产品的颜色，但是合成色素食用过量对人体也有一定的危害。人如果长期或一次性大量食用柠檬黄含量超标的食品，可能会引起过敏、腹泻等症状，当摄入量过大，超过肝脏负荷时，会在体内蓄积，对肾脏、肝脏产生一定伤害，严重的还会致癌。此外，经研究表明，少儿如果摄入过多柠檬黄，还会对智力产生危害。规定了其使用范围和使用限量，针对不同的食品类别有不同的限量要求。</w:t>
      </w:r>
    </w:p>
    <w:p>
      <w:pPr>
        <w:ind w:firstLineChars="200" w:firstLine="672"/>
        <w:rPr>
          <w:rFonts w:ascii="宋体" w:eastAsia="宋体" w:cs="宋体" w:hint="eastAsia"/>
          <w:color w:val="333333"/>
          <w:spacing w:val="8"/>
          <w:sz w:val="32"/>
          <w:szCs w:val="32"/>
          <w:lang w:bidi="zh-CN"/>
        </w:rPr>
      </w:pPr>
      <w:r>
        <w:rPr>
          <w:rFonts w:ascii="宋体" w:eastAsia="宋体" w:cs="宋体" w:hint="eastAsia"/>
          <w:color w:val="333333"/>
          <w:spacing w:val="8"/>
          <w:sz w:val="32"/>
          <w:szCs w:val="32"/>
          <w:lang w:bidi="zh-CN"/>
        </w:rPr>
        <w:t>可能超标原因：有些商家为了让产品颜色看起来有吸引力，过量的使用了人工合成的柠檬黄色素。</w:t>
      </w:r>
    </w:p>
    <w:p>
      <w:pPr>
        <w:pStyle w:val="2"/>
        <w:numPr>
          <w:ilvl w:val="0"/>
          <w:numId w:val="0"/>
        </w:numPr>
        <w:ind w:left="0" w:firstLineChars="200" w:firstLine="720"/>
        <w:rPr>
          <w:rFonts w:ascii="宋体" w:eastAsia="宋体" w:cs="宋体"/>
          <w:bCs/>
          <w:szCs w:val="36"/>
        </w:rPr>
      </w:pPr>
      <w:r>
        <w:rPr>
          <w:rFonts w:ascii="宋体" w:eastAsia="宋体" w:cs="宋体"/>
          <w:bCs/>
          <w:szCs w:val="36"/>
        </w:rPr>
        <w:t>三、</w:t>
      </w:r>
      <w:r>
        <w:rPr>
          <w:rFonts w:ascii="宋体" w:eastAsia="宋体" w:cs="宋体" w:hint="eastAsia"/>
          <w:bCs/>
          <w:szCs w:val="36"/>
        </w:rPr>
        <w:t>甜蜜素（以环己基氨基磺酸计）</w:t>
      </w:r>
    </w:p>
    <w:p>
      <w:pPr>
        <w:ind w:firstLineChars="200" w:firstLine="672"/>
        <w:rPr>
          <w:rFonts w:ascii="宋体" w:eastAsia="宋体" w:cs="宋体"/>
          <w:color w:val="333333"/>
          <w:spacing w:val="8"/>
          <w:sz w:val="32"/>
          <w:szCs w:val="32"/>
          <w:lang w:bidi="zh-CN"/>
        </w:rPr>
      </w:pPr>
      <w:r>
        <w:rPr>
          <w:rFonts w:ascii="宋体" w:eastAsia="宋体" w:cs="宋体" w:hint="eastAsia"/>
          <w:color w:val="333333"/>
          <w:spacing w:val="8"/>
          <w:sz w:val="32"/>
          <w:szCs w:val="32"/>
          <w:lang w:bidi="zh-CN"/>
        </w:rPr>
        <w:t>甜蜜素学名“环已基氨基磺酸钠”，是一种无营养甜味剂，其甜度是蔗糖的30～40倍，广泛用于面包、糕点、饮料、配制酒及蜜饯等食品，甜蜜素有致癌、致畸的可能，经常食用甜蜜素含量超标的食品，就会因摄入过量对人体的肝脏和神经系统造成危害，特别是代谢排毒的能力较弱的老人、孕妇、和小孩。</w:t>
      </w:r>
    </w:p>
    <w:p>
      <w:pPr>
        <w:ind w:firstLineChars="200" w:firstLine="672"/>
        <w:rPr>
          <w:rFonts w:ascii="宋体" w:eastAsia="宋体" w:cs="宋体" w:hint="eastAsia"/>
          <w:color w:val="333333"/>
          <w:spacing w:val="8"/>
          <w:sz w:val="32"/>
          <w:szCs w:val="32"/>
          <w:lang w:bidi="zh-CN"/>
        </w:rPr>
      </w:pPr>
      <w:r>
        <w:rPr>
          <w:rFonts w:ascii="宋体" w:eastAsia="宋体" w:cs="宋体" w:hint="eastAsia"/>
          <w:color w:val="333333"/>
          <w:spacing w:val="8"/>
          <w:sz w:val="32"/>
          <w:szCs w:val="32"/>
          <w:lang w:bidi="zh-CN"/>
        </w:rPr>
        <w:t>糕点、蜜饯等甜蜜素超标原因：厂家为了降低成本，超量、超范围使用甜蜜素，或者其使用的复配添加剂中该添加剂含量较高；也可能是在添加过程中计量不准确导致终产品甜蜜素超标。</w:t>
      </w:r>
    </w:p>
    <w:p>
      <w:pPr>
        <w:pStyle w:val="2"/>
        <w:numPr>
          <w:ilvl w:val="0"/>
          <w:numId w:val="0"/>
        </w:numPr>
        <w:ind w:left="0" w:firstLineChars="200" w:firstLine="720"/>
        <w:rPr>
          <w:rFonts w:ascii="宋体" w:eastAsia="宋体" w:cs="宋体"/>
          <w:bCs/>
          <w:szCs w:val="36"/>
        </w:rPr>
      </w:pPr>
      <w:r>
        <w:rPr>
          <w:rFonts w:ascii="宋体" w:eastAsia="宋体" w:cs="宋体"/>
          <w:bCs/>
          <w:szCs w:val="36"/>
        </w:rPr>
        <w:t>四、</w:t>
      </w:r>
      <w:r>
        <w:rPr>
          <w:rFonts w:ascii="宋体" w:eastAsia="宋体" w:cs="宋体" w:hint="eastAsia"/>
          <w:bCs/>
          <w:szCs w:val="36"/>
        </w:rPr>
        <w:t>过氧化值（以脂肪计）</w:t>
      </w:r>
    </w:p>
    <w:p>
      <w:pPr>
        <w:ind w:firstLineChars="200" w:firstLine="672"/>
        <w:rPr>
          <w:rFonts w:ascii="宋体" w:eastAsia="宋体" w:cs="宋体"/>
          <w:color w:val="333333"/>
          <w:spacing w:val="8"/>
          <w:sz w:val="32"/>
          <w:szCs w:val="32"/>
          <w:lang w:bidi="zh-CN"/>
        </w:rPr>
      </w:pPr>
      <w:r>
        <w:rPr>
          <w:rFonts w:ascii="宋体" w:eastAsia="宋体" w:cs="宋体" w:hint="eastAsia"/>
          <w:color w:val="333333"/>
          <w:spacing w:val="8"/>
          <w:sz w:val="32"/>
          <w:szCs w:val="32"/>
          <w:lang w:bidi="zh-CN"/>
        </w:rPr>
        <w:t>过氧化氢对有机物有很强的氧化作用，一般作为氧化剂使用，其水溶液俗称双氧水，添加入食品中可分解放出氧，起漂白、防腐和除臭等作用。</w:t>
      </w:r>
    </w:p>
    <w:p>
      <w:pPr>
        <w:ind w:firstLineChars="200" w:firstLine="672"/>
        <w:rPr>
          <w:rFonts w:ascii="宋体" w:eastAsia="宋体" w:cs="宋体" w:hint="eastAsia"/>
          <w:color w:val="333333"/>
          <w:spacing w:val="8"/>
          <w:sz w:val="32"/>
          <w:szCs w:val="32"/>
          <w:lang w:bidi="zh-CN"/>
        </w:rPr>
      </w:pPr>
      <w:r>
        <w:rPr>
          <w:rFonts w:ascii="宋体" w:eastAsia="宋体" w:cs="宋体" w:hint="eastAsia"/>
          <w:color w:val="333333"/>
          <w:spacing w:val="8"/>
          <w:sz w:val="32"/>
          <w:szCs w:val="32"/>
          <w:lang w:bidi="zh-CN"/>
        </w:rPr>
        <w:t>因此，部分商家在一些需要增白的食品如：水发食品的牛百叶和海蜇、鱼翅、虾仁、带鱼、鱿鱼、水果罐头、和面制品等的生产过程中违禁使用双氧水，以提高产品的外观。食入过氧化氢可刺激胃肠粘膜导致胃肠道损伤及胃肠道疾病；过氧化氢与各种病变的发生关系密切，长期食用危害性巨大。另外，工业双氧水含有砷、重金属等多种有毒有害物质更是严重危害食用者的健康。</w:t>
      </w:r>
    </w:p>
    <w:p>
      <w:pPr>
        <w:pStyle w:val="2"/>
        <w:numPr>
          <w:ilvl w:val="0"/>
          <w:numId w:val="0"/>
        </w:numPr>
        <w:ind w:left="0" w:firstLineChars="200" w:firstLine="720"/>
        <w:rPr>
          <w:rFonts w:ascii="宋体" w:eastAsia="宋体" w:cs="宋体"/>
          <w:bCs/>
          <w:szCs w:val="36"/>
        </w:rPr>
      </w:pPr>
      <w:r>
        <w:rPr>
          <w:rFonts w:ascii="宋体" w:eastAsia="宋体" w:cs="宋体"/>
          <w:bCs/>
          <w:szCs w:val="36"/>
        </w:rPr>
        <w:t>五、</w:t>
      </w:r>
      <w:r>
        <w:rPr>
          <w:rFonts w:ascii="宋体" w:eastAsia="宋体" w:cs="宋体" w:hint="eastAsia"/>
          <w:bCs/>
          <w:szCs w:val="36"/>
        </w:rPr>
        <w:t>纽甜</w:t>
      </w:r>
    </w:p>
    <w:p>
      <w:pPr>
        <w:ind w:firstLineChars="200" w:firstLine="672"/>
        <w:rPr>
          <w:rFonts w:ascii="宋体" w:eastAsia="宋体" w:cs="宋体" w:hint="eastAsia"/>
          <w:color w:val="333333"/>
          <w:spacing w:val="8"/>
          <w:sz w:val="32"/>
          <w:szCs w:val="32"/>
          <w:lang w:bidi="zh-CN"/>
        </w:rPr>
      </w:pPr>
      <w:r>
        <w:rPr>
          <w:rFonts w:ascii="宋体" w:eastAsia="宋体" w:cs="宋体" w:hint="eastAsia"/>
          <w:color w:val="333333"/>
          <w:spacing w:val="8"/>
          <w:sz w:val="32"/>
          <w:szCs w:val="32"/>
          <w:lang w:bidi="zh-CN"/>
        </w:rPr>
        <w:t>纽甜是一种功能性甜味剂，目前尚无科学证据表明纽甜对人体健康有不良影响。</w:t>
      </w:r>
    </w:p>
    <w:p>
      <w:pPr>
        <w:ind w:firstLineChars="200" w:firstLine="672"/>
        <w:rPr>
          <w:rFonts w:ascii="宋体" w:eastAsia="宋体" w:cs="宋体" w:hint="eastAsia"/>
          <w:color w:val="333333"/>
          <w:spacing w:val="8"/>
          <w:sz w:val="32"/>
          <w:szCs w:val="32"/>
          <w:lang w:bidi="zh-CN"/>
        </w:rPr>
      </w:pPr>
      <w:r>
        <w:rPr>
          <w:rFonts w:ascii="宋体" w:eastAsia="宋体" w:cs="宋体" w:hint="eastAsia"/>
          <w:color w:val="333333"/>
          <w:spacing w:val="8"/>
          <w:sz w:val="32"/>
          <w:szCs w:val="32"/>
          <w:lang w:bidi="zh-CN"/>
        </w:rPr>
        <w:t>可能超标原因：厂家为了降低成本，超量、超范围使用纽甜，或者其使用的复配添加剂中该添加剂含量较高；也可能是在添加过程中未计量或计量不准确。</w:t>
      </w:r>
    </w:p>
    <w:p>
      <w:pPr>
        <w:pStyle w:val="2"/>
        <w:numPr>
          <w:ilvl w:val="0"/>
          <w:numId w:val="0"/>
        </w:numPr>
        <w:ind w:left="0" w:firstLineChars="200" w:firstLine="720"/>
        <w:rPr>
          <w:rFonts w:ascii="宋体" w:eastAsia="宋体" w:cs="宋体"/>
          <w:bCs/>
          <w:szCs w:val="36"/>
        </w:rPr>
      </w:pPr>
      <w:bookmarkStart w:id="0" w:name="_Hlk240470359"/>
      <w:r>
        <w:rPr>
          <w:rFonts w:ascii="宋体" w:eastAsia="宋体" w:cs="宋体"/>
          <w:bCs/>
          <w:szCs w:val="36"/>
        </w:rPr>
        <w:t>六、</w:t>
      </w:r>
      <w:r>
        <w:rPr>
          <w:rFonts w:ascii="宋体" w:eastAsia="宋体" w:cs="宋体" w:hint="eastAsia"/>
          <w:bCs/>
          <w:szCs w:val="36"/>
        </w:rPr>
        <w:t>氯氟氰菊酯和高效氯氟氰菊酯</w:t>
      </w:r>
    </w:p>
    <w:p>
      <w:pPr>
        <w:ind w:firstLineChars="200" w:firstLine="672"/>
        <w:rPr>
          <w:rFonts w:ascii="宋体" w:eastAsia="宋体" w:cs="宋体"/>
          <w:color w:val="333333"/>
          <w:spacing w:val="8"/>
          <w:sz w:val="32"/>
          <w:szCs w:val="32"/>
          <w:lang w:bidi="zh-CN"/>
        </w:rPr>
      </w:pPr>
      <w:r>
        <w:rPr>
          <w:rFonts w:ascii="宋体" w:eastAsia="宋体" w:cs="宋体" w:hint="eastAsia"/>
          <w:color w:val="333333"/>
          <w:spacing w:val="8"/>
          <w:sz w:val="32"/>
          <w:szCs w:val="32"/>
          <w:lang w:bidi="zh-CN"/>
        </w:rPr>
        <w:t>氯氟氰菊酯和高效氯氟氰菊酯又叫三氟氯氰菊酯，中等毒杀虫剂，可以有效的防治棉花、果树、蔬菜、大豆等作物上的多种害虫。</w:t>
      </w:r>
    </w:p>
    <w:p>
      <w:pPr>
        <w:ind w:firstLineChars="200" w:firstLine="672"/>
        <w:rPr>
          <w:rFonts w:ascii="宋体" w:eastAsia="宋体" w:cs="宋体" w:hint="eastAsia"/>
          <w:color w:val="333333"/>
          <w:spacing w:val="8"/>
          <w:sz w:val="32"/>
          <w:szCs w:val="32"/>
          <w:lang w:bidi="zh-CN"/>
        </w:rPr>
      </w:pPr>
      <w:r>
        <w:rPr>
          <w:rFonts w:ascii="宋体" w:eastAsia="宋体" w:cs="宋体" w:hint="eastAsia"/>
          <w:color w:val="333333"/>
          <w:spacing w:val="8"/>
          <w:sz w:val="32"/>
          <w:szCs w:val="32"/>
          <w:lang w:bidi="zh-CN"/>
        </w:rPr>
        <w:t>氯氟氰菊酯和高效氯氟氰菊酯超标的原因可能是种植户盲目追求防虫等效果违规滥用农药，或者未严格执行休药期有关规定，从而导致农药残留超标。</w:t>
      </w:r>
      <w:bookmarkEnd w:id="0"/>
    </w:p>
    <w:sectPr>
      <w:footerReference w:type="default" r:id="rId2"/>
      <w:footerReference w:type="even" r:id="rId3"/>
      <w:pgSz w:w="11906" w:h="16838"/>
      <w:pgMar w:top="1247" w:right="1797" w:bottom="1247" w:left="1797" w:header="851" w:footer="992" w:gutter="0"/>
      <w:docGrid w:type="linesAndChars" w:linePitch="312" w:charSpace="0"/>
    </w:sectPr>
  </w:body>
</w:document>
</file>

<file path=word/fontTable.xml><?xml version="1.0" encoding="utf-8"?>
<w:fonts xmlns:w="http://schemas.openxmlformats.org/wordprocessingml/2006/main" xmlns:r="http://schemas.openxmlformats.org/officeDocument/2006/relationships">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altName w:val="DejaVu Sans"/>
    <w:panose1 w:val="020B0604020202020204"/>
    <w:charset w:val="00"/>
    <w:family w:val="swiss"/>
    <w:pitch w:val="variable"/>
    <w:sig w:usb0="E0002EFF" w:usb1="C000785B" w:usb2="00000009" w:usb3="00000000" w:csb0="000001FF" w:csb1="00000000"/>
  </w:font>
  <w:font w:name="Calibri">
    <w:altName w:val="Times New Roman"/>
    <w:panose1 w:val="020F0502020204030204"/>
    <w:charset w:val="00"/>
    <w:family w:val="swiss"/>
    <w:pitch w:val="variable"/>
    <w:sig w:usb0="E4002EFF" w:usb1="C200247B" w:usb2="00000009" w:usb3="00000000" w:csb0="0000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framePr w:w="0" w:hRule="auto" w:wrap="around" w:vAnchor="text" w:hAnchor="margin" w:xAlign="right" w:y="1" w:anchorLock="0"/>
      <w:tabs>
        <w:tab w:val="center" w:pos="4153"/>
        <w:tab w:val="right" w:pos="8306"/>
      </w:tabs>
      <w:rPr>
        <w:rStyle w:val="22"/>
      </w:rPr>
    </w:pPr>
    <w:r>
      <w:rPr>
        <w:rStyle w:val="22"/>
      </w:rPr>
      <w:fldChar w:fldCharType="begin"/>
    </w:r>
    <w:r>
      <w:rPr>
        <w:rStyle w:val="22"/>
      </w:rPr>
      <w:instrText xml:space="preserve">PAGE  </w:instrText>
    </w:r>
    <w:r>
      <w:rPr>
        <w:rStyle w:val="22"/>
      </w:rPr>
      <w:fldChar w:fldCharType="separate"/>
    </w:r>
    <w:r>
      <w:rPr>
        <w:rStyle w:val="22"/>
      </w:rPr>
      <w:t>1</w:t>
    </w:r>
    <w:r>
      <w:rPr>
        <w:rStyle w:val="22"/>
      </w:rPr>
      <w:fldChar w:fldCharType="end"/>
    </w:r>
  </w:p>
  <w:p>
    <w:pPr>
      <w:pStyle w:val="18"/>
      <w:tabs>
        <w:tab w:val="center" w:pos="4153"/>
        <w:tab w:val="right" w:pos="8306"/>
      </w:tabs>
      <w:ind w:right="360"/>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framePr w:w="0" w:hRule="auto" w:wrap="around" w:vAnchor="text" w:hAnchor="margin" w:xAlign="right" w:y="1" w:anchorLock="0"/>
      <w:tabs>
        <w:tab w:val="center" w:pos="4153"/>
        <w:tab w:val="right" w:pos="8306"/>
      </w:tabs>
      <w:rPr>
        <w:rStyle w:val="22"/>
      </w:rPr>
    </w:pPr>
    <w:r>
      <w:rPr>
        <w:rStyle w:val="22"/>
      </w:rPr>
      <w:fldChar w:fldCharType="begin"/>
    </w:r>
    <w:r>
      <w:rPr>
        <w:rStyle w:val="22"/>
      </w:rPr>
      <w:instrText xml:space="preserve">PAGE  </w:instrText>
    </w:r>
    <w:r>
      <w:rPr>
        <w:rStyle w:val="22"/>
      </w:rPr>
      <w:fldChar w:fldCharType="separate"/>
    </w:r>
    <w:r>
      <w:rPr>
        <w:rStyle w:val="22"/>
      </w:rPr>
      <w:t xml:space="preserve"> </w:t>
    </w:r>
    <w:r>
      <w:rPr>
        <w:rStyle w:val="22"/>
      </w:rPr>
      <w:fldChar w:fldCharType="end"/>
    </w:r>
  </w:p>
  <w:p>
    <w:pPr>
      <w:pStyle w:val="18"/>
      <w:tabs>
        <w:tab w:val="center" w:pos="4153"/>
        <w:tab w:val="right" w:pos="8306"/>
      </w:tabs>
      <w:ind w:right="360"/>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58A20579"/>
    <w:multiLevelType w:val="multilevel"/>
    <w:tmpl w:val="58A20579"/>
    <w:lvl w:ilvl="0">
      <w:start w:val="1"/>
      <w:numFmt w:val="chineseCounting"/>
      <w:lvlRestart w:val="0"/>
      <w:suff w:val="nothing"/>
      <w:lvlText w:val="%1、"/>
      <w:lvlJc w:val="left"/>
      <w:pPr>
        <w:ind w:left="0" w:hanging="0"/>
      </w:pPr>
      <w:rPr>
        <w:rFonts w:hint="eastAsia"/>
      </w:rPr>
    </w:lvl>
    <w:lvl w:ilvl="1">
      <w:start w:val="1"/>
      <w:numFmt w:val="chineseCounting"/>
      <w:pStyle w:val="2"/>
      <w:suff w:val="nothing"/>
      <w:lvlText w:val="（%2）"/>
      <w:lvlJc w:val="left"/>
      <w:pPr>
        <w:ind w:left="0" w:hanging="0"/>
      </w:pPr>
      <w:rPr>
        <w:rFonts w:hint="eastAsia"/>
      </w:rPr>
    </w:lvl>
    <w:lvl w:ilvl="2">
      <w:start w:val="1"/>
      <w:numFmt w:val="decimal"/>
      <w:suff w:val="nothing"/>
      <w:lvlText w:val="%3．"/>
      <w:lvlJc w:val="left"/>
      <w:pPr>
        <w:ind w:left="451" w:firstLine="400"/>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4"/>
  </w:compat>
  <w:docVars>
    <w:docVar w:name="commondata" w:val="eyJoZGlkIjoiOWQ1MGVmYmMzZDYzMTE1NDIyZjhjYjc1Njk5MTE2NmY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widowControl/>
      <w:spacing w:before="100" w:beforeAutospacing="1" w:after="100" w:afterAutospacing="1"/>
      <w:jc w:val="left"/>
      <w:outlineLvl w:val="0"/>
    </w:pPr>
    <w:rPr>
      <w:rFonts w:ascii="宋体" w:cs="宋体"/>
      <w:b/>
      <w:bCs/>
      <w:kern w:val="36"/>
      <w:sz w:val="48"/>
      <w:szCs w:val="48"/>
    </w:rPr>
  </w:style>
  <w:style w:type="paragraph" w:styleId="2">
    <w:name w:val="heading 2"/>
    <w:basedOn w:val="0"/>
    <w:next w:val="0"/>
    <w:pPr>
      <w:keepNext/>
      <w:keepLines/>
      <w:widowControl w:val="0"/>
      <w:numPr>
        <w:ilvl w:val="1"/>
        <w:numId w:val="1"/>
      </w:numPr>
      <w:spacing w:before="260" w:after="260" w:line="413" w:lineRule="auto"/>
      <w:jc w:val="left"/>
      <w:outlineLvl w:val="1"/>
    </w:pPr>
    <w:rPr>
      <w:rFonts w:ascii="Arial" w:hAnsi="Arial"/>
      <w:b/>
      <w:sz w:val="36"/>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Body Text"/>
    <w:basedOn w:val="0"/>
    <w:autoRedefine/>
    <w:next w:val="16"/>
    <w:rPr>
      <w:rFonts w:ascii="宋体" w:cs="宋体"/>
      <w:lang w:val="zh-CN" w:bidi="zh-CN"/>
    </w:rPr>
  </w:style>
  <w:style w:type="paragraph" w:styleId="16">
    <w:name w:val="Subtitle"/>
    <w:basedOn w:val="0"/>
    <w:next w:val="0"/>
    <w:pPr>
      <w:spacing w:before="240" w:after="60" w:line="312" w:lineRule="auto"/>
      <w:jc w:val="center"/>
      <w:outlineLvl w:val="1"/>
    </w:pPr>
    <w:rPr>
      <w:rFonts w:ascii="Arial" w:hAnsi="Arial"/>
      <w:b/>
      <w:kern w:val="28"/>
      <w:sz w:val="32"/>
    </w:rPr>
  </w:style>
  <w:style w:type="paragraph" w:styleId="17">
    <w:name w:val="Balloon Text"/>
    <w:basedOn w:val="0"/>
    <w:rPr>
      <w:sz w:val="18"/>
      <w:szCs w:val="18"/>
    </w:rPr>
  </w:style>
  <w:style w:type="paragraph" w:styleId="18">
    <w:name w:val="footer"/>
    <w:basedOn w:val="0"/>
    <w:autoRedefine/>
    <w:pPr>
      <w:tabs>
        <w:tab w:val="center" w:pos="4153"/>
        <w:tab w:val="right" w:pos="8306"/>
      </w:tabs>
      <w:snapToGrid w:val="0"/>
      <w:jc w:val="left"/>
    </w:pPr>
    <w:rPr>
      <w:sz w:val="18"/>
      <w:szCs w:val="18"/>
    </w:rPr>
  </w:style>
  <w:style w:type="paragraph" w:styleId="19">
    <w:name w:val="header"/>
    <w:basedOn w:val="0"/>
    <w:autoRedefine/>
    <w:pPr>
      <w:pBdr>
        <w:bottom w:val="single" w:sz="6" w:space="1" w:color="auto"/>
      </w:pBdr>
      <w:tabs>
        <w:tab w:val="center" w:pos="4153"/>
        <w:tab w:val="right" w:pos="8306"/>
      </w:tabs>
      <w:snapToGrid w:val="0"/>
      <w:jc w:val="center"/>
    </w:pPr>
    <w:rPr>
      <w:sz w:val="18"/>
      <w:szCs w:val="18"/>
    </w:rPr>
  </w:style>
  <w:style w:type="paragraph" w:styleId="20">
    <w:name w:val="Normal (Web)"/>
    <w:basedOn w:val="0"/>
    <w:autoRedefine/>
    <w:pPr>
      <w:spacing w:beforeAutospacing="1" w:afterAutospacing="1"/>
      <w:jc w:val="left"/>
    </w:pPr>
    <w:rPr>
      <w:kern w:val="0"/>
      <w:sz w:val="24"/>
    </w:rPr>
  </w:style>
  <w:style w:type="character" w:styleId="21">
    <w:name w:val="Strong"/>
    <w:basedOn w:val="10"/>
    <w:autoRedefine/>
    <w:rPr>
      <w:b/>
    </w:rPr>
  </w:style>
  <w:style w:type="character" w:styleId="22">
    <w:name w:val="page number"/>
    <w:autoRedefine/>
  </w:style>
  <w:style w:type="character" w:styleId="23">
    <w:name w:val="Emphasis"/>
    <w:basedOn w:val="10"/>
    <w:autoRedefine/>
    <w:rPr>
      <w:i/>
      <w:iCs/>
    </w:rPr>
  </w:style>
  <w:style w:type="character" w:styleId="24">
    <w:name w:val="Hyperlink"/>
    <w:basedOn w:val="10"/>
    <w:autoRedefine/>
    <w:rPr>
      <w:color w:val="0000FF"/>
      <w:u w:val="single"/>
    </w:rPr>
  </w:style>
  <w:style w:type="paragraph" w:styleId="25">
    <w:name w:val="List Paragraph"/>
    <w:basedOn w:val="0"/>
    <w:autoRedefine/>
    <w:pPr>
      <w:ind w:firstLineChars="200" w:firstLine="200"/>
    </w:pPr>
    <w:rPr>
      <w:rFonts w:ascii="Calibri" w:eastAsia="宋体" w:cs="Arial" w:hAnsi="Calibri"/>
      <w:szCs w:val="22"/>
    </w:rPr>
  </w:style>
  <w:style w:type="character" w:customStyle="1" w:styleId="26">
    <w:name w:val="apple-converted-space"/>
    <w:basedOn w:val="10"/>
    <w:autoRedefine/>
  </w:style>
  <w:style w:type="character" w:customStyle="1" w:styleId="27">
    <w:name w:val="highlight"/>
    <w:basedOn w:val="10"/>
    <w:autoRedefine/>
  </w:style>
  <w:style w:type="paragraph" w:customStyle="1" w:styleId="28">
    <w:name w:val="Table Paragraph"/>
    <w:basedOn w:val="0"/>
    <w:autoRedefine/>
    <w:rPr>
      <w:rFonts w:ascii="宋体" w:cs="宋体"/>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numbering" Target="numbering.xml"/><Relationship Id="rId6" Type="http://schemas.openxmlformats.org/officeDocument/2006/relationships/fontTable" Target="fontTable.xml"/></Relationships>
</file>

<file path=docProps/app.xml><?xml version="1.0" encoding="utf-8"?>
<Properties xmlns="http://schemas.openxmlformats.org/officeDocument/2006/extended-properties">
  <Template>Normal.eit</Template>
  <TotalTime>14</TotalTime>
  <Application>Yozo_Office27021597764231179</Application>
  <Pages>1</Pages>
  <Words>22</Words>
  <Characters>22</Characters>
  <Lines>1</Lines>
  <Paragraphs>1</Paragraphs>
  <CharactersWithSpaces>22</CharactersWithSpaces>
  <Company>CFDA</Company>
</Properties>
</file>

<file path=docProps/core.xml><?xml version="1.0" encoding="utf-8"?>
<cp:coreProperties xmlns:cp="http://schemas.openxmlformats.org/package/2006/metadata/core-properties" xmlns:dc="http://purl.org/dc/elements/1.1/" xmlns:dcterms="http://purl.org/dc/terms/" xmlns:xsi="http://www.w3.org/2001/XMLSchema-instance">
  <dc:creator>彭小婷</dc:creator>
  <cp:lastModifiedBy>user</cp:lastModifiedBy>
  <cp:revision>101</cp:revision>
  <cp:lastPrinted>2020-12-22T09:14:00Z</cp:lastPrinted>
  <dcterms:created xsi:type="dcterms:W3CDTF">2018-03-27T03:33:00Z</dcterms:created>
  <dcterms:modified xsi:type="dcterms:W3CDTF">2026-09-24T07:43:03Z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2052-12.1.0.26895</vt:lpwstr>
  </property>
  <property fmtid="{D5CDD505-2E9C-101B-9397-08002B2CF9AE}" pid="3" name="ICV">
    <vt:lpwstr>2E4985011C2148C59950C274D74C73CE_13</vt:lpwstr>
  </property>
  <property fmtid="{D5CDD505-2E9C-101B-9397-08002B2CF9AE}" pid="4" name="KSOTemplateDocerSaveRecord">
    <vt:lpwstr>eyJoZGlkIjoiZDRhMjM5YTI0MGFhN2RjM2UwNzFiMjgzMjJhOTFlZWYiLCJ1c2VySWQiOiI0MTg4OTk3MzgifQ==</vt:lpwstr>
  </property>
</Properties>
</file>