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bookmarkStart w:id="0" w:name="_GoBack"/>
      <w:r>
        <w:rPr>
          <w:rFonts w:hint="eastAsia" w:ascii="宋体" w:hAnsi="宋体" w:cs="宋体"/>
          <w:b/>
          <w:color w:val="auto"/>
          <w:sz w:val="32"/>
          <w:u w:color="auto"/>
          <w:lang w:val="en-US" w:eastAsia="zh-CN"/>
        </w:rPr>
        <w:t>阿坝藏族羌族自治州过磷酸钙</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bookmarkEnd w:id="0"/>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27C7D453">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1kg</w:t>
      </w:r>
      <w:r>
        <w:rPr>
          <w:color w:val="000000"/>
          <w:szCs w:val="21"/>
        </w:rPr>
        <w:t>，其中</w:t>
      </w:r>
      <w:r>
        <w:rPr>
          <w:rFonts w:hint="eastAsia"/>
          <w:color w:val="auto"/>
          <w:szCs w:val="21"/>
          <w:lang w:val="en-US" w:eastAsia="zh-CN"/>
        </w:rPr>
        <w:t>500g</w:t>
      </w:r>
      <w:r>
        <w:rPr>
          <w:color w:val="000000"/>
          <w:szCs w:val="21"/>
        </w:rPr>
        <w:t>作为检验样品</w:t>
      </w:r>
      <w:r>
        <w:rPr>
          <w:rFonts w:hint="eastAsia"/>
          <w:color w:val="000000"/>
          <w:szCs w:val="21"/>
          <w:lang w:eastAsia="zh-CN"/>
        </w:rPr>
        <w:t>，</w:t>
      </w:r>
      <w:r>
        <w:rPr>
          <w:rFonts w:hint="eastAsia"/>
          <w:color w:val="auto"/>
          <w:szCs w:val="21"/>
          <w:lang w:val="en-US" w:eastAsia="zh-CN"/>
        </w:rPr>
        <w:t>500g</w:t>
      </w:r>
      <w:r>
        <w:rPr>
          <w:rFonts w:hint="eastAsia"/>
          <w:color w:val="000000"/>
          <w:szCs w:val="21"/>
          <w:lang w:val="en-US" w:eastAsia="zh-CN"/>
        </w:rPr>
        <w:t>作为</w:t>
      </w:r>
      <w:r>
        <w:rPr>
          <w:color w:val="000000"/>
          <w:szCs w:val="21"/>
        </w:rPr>
        <w:t>备用样品。</w:t>
      </w:r>
    </w:p>
    <w:p w14:paraId="3E8DD722">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有效磷的质量分数</w:t>
            </w:r>
          </w:p>
        </w:tc>
        <w:tc>
          <w:tcPr>
            <w:tcW w:w="3473" w:type="dxa"/>
            <w:vAlign w:val="center"/>
          </w:tcPr>
          <w:p w14:paraId="7F16C272">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GB/T 20413-2017</w:t>
            </w:r>
          </w:p>
        </w:tc>
      </w:tr>
      <w:tr w14:paraId="68072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CC7744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651E9CA">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水溶性磷的质量分数</w:t>
            </w:r>
          </w:p>
        </w:tc>
        <w:tc>
          <w:tcPr>
            <w:tcW w:w="3473" w:type="dxa"/>
            <w:vAlign w:val="center"/>
          </w:tcPr>
          <w:p w14:paraId="0782DFB7">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GB/T 20413-2017</w:t>
            </w:r>
          </w:p>
        </w:tc>
      </w:tr>
      <w:tr w14:paraId="7181A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119AC3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DC24FA7">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硫的质量分数</w:t>
            </w:r>
          </w:p>
        </w:tc>
        <w:tc>
          <w:tcPr>
            <w:tcW w:w="3473" w:type="dxa"/>
            <w:vAlign w:val="center"/>
          </w:tcPr>
          <w:p w14:paraId="6D71376F">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GB/T 19203-2003</w:t>
            </w:r>
          </w:p>
          <w:p w14:paraId="1AACC489">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NY/T 1117-2010</w:t>
            </w:r>
          </w:p>
        </w:tc>
      </w:tr>
      <w:tr w14:paraId="7A7F5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1C10B5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22C85AC">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游离酸的质量分数</w:t>
            </w:r>
          </w:p>
        </w:tc>
        <w:tc>
          <w:tcPr>
            <w:tcW w:w="3473" w:type="dxa"/>
            <w:vAlign w:val="center"/>
          </w:tcPr>
          <w:p w14:paraId="21EAD39A">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GB/T 20413-2017</w:t>
            </w:r>
          </w:p>
        </w:tc>
      </w:tr>
      <w:tr w14:paraId="0FDE4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17D3D7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0A7876EE">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游离</w:t>
            </w:r>
            <w:r>
              <w:rPr>
                <w:rFonts w:hint="eastAsia"/>
                <w:color w:val="000000" w:themeColor="text1"/>
                <w:szCs w:val="21"/>
                <w:lang w:val="en-US" w:eastAsia="zh-CN"/>
                <w14:textFill>
                  <w14:solidFill>
                    <w14:schemeClr w14:val="tx1"/>
                  </w14:solidFill>
                </w14:textFill>
              </w:rPr>
              <w:t>水</w:t>
            </w:r>
            <w:r>
              <w:rPr>
                <w:rFonts w:hint="default"/>
                <w:color w:val="000000" w:themeColor="text1"/>
                <w:szCs w:val="21"/>
                <w:lang w:val="en-US" w:eastAsia="zh-CN"/>
                <w14:textFill>
                  <w14:solidFill>
                    <w14:schemeClr w14:val="tx1"/>
                  </w14:solidFill>
                </w14:textFill>
              </w:rPr>
              <w:t>的质量分数</w:t>
            </w:r>
          </w:p>
        </w:tc>
        <w:tc>
          <w:tcPr>
            <w:tcW w:w="3473" w:type="dxa"/>
            <w:vAlign w:val="center"/>
          </w:tcPr>
          <w:p w14:paraId="76E1E020">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GB/T 20413-2017</w:t>
            </w:r>
          </w:p>
        </w:tc>
      </w:tr>
      <w:tr w14:paraId="12417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979686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shd w:val="clear" w:color="auto" w:fill="auto"/>
            <w:vAlign w:val="center"/>
          </w:tcPr>
          <w:p w14:paraId="473F373A">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ascii="Quote-cjk-patch" w:hAnsi="Quote-cjk-patch"/>
                <w:spacing w:val="0"/>
                <w:sz w:val="23"/>
                <w:szCs w:val="23"/>
                <w:shd w:val="clear" w:color="auto" w:fill="FFFFFF"/>
              </w:rPr>
              <w:t>总砷</w:t>
            </w:r>
          </w:p>
        </w:tc>
        <w:tc>
          <w:tcPr>
            <w:tcW w:w="3473" w:type="dxa"/>
            <w:vAlign w:val="center"/>
          </w:tcPr>
          <w:p w14:paraId="575BCA08">
            <w:pPr>
              <w:keepNext w:val="0"/>
              <w:keepLines w:val="0"/>
              <w:widowControl/>
              <w:suppressLineNumbers w:val="0"/>
              <w:jc w:val="center"/>
              <w:textAlignment w:val="center"/>
              <w:rPr>
                <w:rFonts w:hint="default"/>
                <w:color w:val="000000" w:themeColor="text1"/>
                <w:szCs w:val="21"/>
                <w:lang w:val="en-US" w:eastAsia="zh-CN"/>
                <w14:textFill>
                  <w14:solidFill>
                    <w14:schemeClr w14:val="tx1"/>
                  </w14:solidFill>
                </w14:textFill>
              </w:rPr>
            </w:pPr>
            <w:r>
              <w:rPr>
                <w:rFonts w:hint="eastAsia"/>
              </w:rPr>
              <w:t>GB/T 23349-2020</w:t>
            </w:r>
          </w:p>
        </w:tc>
      </w:tr>
      <w:tr w14:paraId="07E75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D1BFE32">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7</w:t>
            </w:r>
          </w:p>
        </w:tc>
        <w:tc>
          <w:tcPr>
            <w:tcW w:w="4110" w:type="dxa"/>
            <w:shd w:val="clear"/>
            <w:vAlign w:val="center"/>
          </w:tcPr>
          <w:p w14:paraId="42E75700">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ascii="Quote-cjk-patch" w:hAnsi="Quote-cjk-patch"/>
                <w:spacing w:val="0"/>
                <w:sz w:val="23"/>
                <w:szCs w:val="23"/>
                <w:shd w:val="clear" w:color="auto" w:fill="FFFFFF"/>
              </w:rPr>
              <w:t>总汞</w:t>
            </w:r>
          </w:p>
        </w:tc>
        <w:tc>
          <w:tcPr>
            <w:tcW w:w="3473" w:type="dxa"/>
            <w:vAlign w:val="center"/>
          </w:tcPr>
          <w:p w14:paraId="0013402C">
            <w:pPr>
              <w:keepNext w:val="0"/>
              <w:keepLines w:val="0"/>
              <w:widowControl/>
              <w:suppressLineNumbers w:val="0"/>
              <w:jc w:val="center"/>
              <w:textAlignment w:val="center"/>
              <w:rPr>
                <w:rFonts w:hint="default"/>
                <w:color w:val="000000" w:themeColor="text1"/>
                <w:szCs w:val="21"/>
                <w:lang w:val="en-US" w:eastAsia="zh-CN"/>
                <w14:textFill>
                  <w14:solidFill>
                    <w14:schemeClr w14:val="tx1"/>
                  </w14:solidFill>
                </w14:textFill>
              </w:rPr>
            </w:pPr>
            <w:r>
              <w:rPr>
                <w:rFonts w:hint="eastAsia"/>
              </w:rPr>
              <w:t>GB/T 23349-2020</w:t>
            </w:r>
          </w:p>
        </w:tc>
      </w:tr>
      <w:tr w14:paraId="202C6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7B7E866">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8</w:t>
            </w:r>
          </w:p>
        </w:tc>
        <w:tc>
          <w:tcPr>
            <w:tcW w:w="4110" w:type="dxa"/>
            <w:shd w:val="clear"/>
            <w:vAlign w:val="center"/>
          </w:tcPr>
          <w:p w14:paraId="79C26E30">
            <w:pPr>
              <w:keepNext w:val="0"/>
              <w:keepLines w:val="0"/>
              <w:widowControl/>
              <w:suppressLineNumbers w:val="0"/>
              <w:jc w:val="center"/>
              <w:textAlignment w:val="center"/>
              <w:rPr>
                <w:rFonts w:hint="default" w:ascii="Quote-cjk-patch" w:hAnsi="Quote-cjk-patch" w:eastAsia="宋体" w:cs="Times New Roman"/>
                <w:spacing w:val="0"/>
                <w:kern w:val="2"/>
                <w:sz w:val="23"/>
                <w:szCs w:val="23"/>
                <w:shd w:val="clear" w:color="auto" w:fill="FFFFFF"/>
                <w:lang w:val="en-US" w:eastAsia="zh-CN" w:bidi="ar-SA"/>
              </w:rPr>
            </w:pPr>
            <w:r>
              <w:rPr>
                <w:rFonts w:ascii="Quote-cjk-patch" w:hAnsi="Quote-cjk-patch"/>
                <w:spacing w:val="0"/>
                <w:sz w:val="23"/>
                <w:szCs w:val="23"/>
                <w:shd w:val="clear" w:color="auto" w:fill="FFFFFF"/>
              </w:rPr>
              <w:t>总铅</w:t>
            </w:r>
          </w:p>
        </w:tc>
        <w:tc>
          <w:tcPr>
            <w:tcW w:w="3473" w:type="dxa"/>
            <w:vAlign w:val="center"/>
          </w:tcPr>
          <w:p w14:paraId="317E920D">
            <w:pPr>
              <w:keepNext w:val="0"/>
              <w:keepLines w:val="0"/>
              <w:widowControl/>
              <w:suppressLineNumbers w:val="0"/>
              <w:jc w:val="center"/>
              <w:textAlignment w:val="center"/>
              <w:rPr>
                <w:rFonts w:hint="default"/>
                <w:color w:val="000000" w:themeColor="text1"/>
                <w:szCs w:val="21"/>
                <w:lang w:val="en-US" w:eastAsia="zh-CN"/>
                <w14:textFill>
                  <w14:solidFill>
                    <w14:schemeClr w14:val="tx1"/>
                  </w14:solidFill>
                </w14:textFill>
              </w:rPr>
            </w:pPr>
            <w:r>
              <w:rPr>
                <w:rFonts w:hint="eastAsia"/>
              </w:rPr>
              <w:t>GB/T 23349-2020</w:t>
            </w:r>
          </w:p>
        </w:tc>
      </w:tr>
      <w:tr w14:paraId="54AD2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8F4AF2">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9</w:t>
            </w:r>
          </w:p>
        </w:tc>
        <w:tc>
          <w:tcPr>
            <w:tcW w:w="4110" w:type="dxa"/>
            <w:shd w:val="clear"/>
            <w:vAlign w:val="center"/>
          </w:tcPr>
          <w:p w14:paraId="703232B4">
            <w:pPr>
              <w:keepNext w:val="0"/>
              <w:keepLines w:val="0"/>
              <w:widowControl/>
              <w:suppressLineNumbers w:val="0"/>
              <w:jc w:val="center"/>
              <w:textAlignment w:val="center"/>
              <w:rPr>
                <w:rFonts w:hint="default" w:ascii="Quote-cjk-patch" w:hAnsi="Quote-cjk-patch" w:eastAsia="宋体" w:cs="Times New Roman"/>
                <w:spacing w:val="0"/>
                <w:kern w:val="2"/>
                <w:sz w:val="23"/>
                <w:szCs w:val="23"/>
                <w:shd w:val="clear" w:color="auto" w:fill="FFFFFF"/>
                <w:lang w:val="en-US" w:eastAsia="zh-CN" w:bidi="ar-SA"/>
              </w:rPr>
            </w:pPr>
            <w:r>
              <w:rPr>
                <w:rFonts w:ascii="Quote-cjk-patch" w:hAnsi="Quote-cjk-patch"/>
                <w:spacing w:val="0"/>
                <w:sz w:val="23"/>
                <w:szCs w:val="23"/>
                <w:shd w:val="clear" w:color="auto" w:fill="FFFFFF"/>
              </w:rPr>
              <w:t>总铬</w:t>
            </w:r>
          </w:p>
        </w:tc>
        <w:tc>
          <w:tcPr>
            <w:tcW w:w="3473" w:type="dxa"/>
            <w:vAlign w:val="center"/>
          </w:tcPr>
          <w:p w14:paraId="4A24F6C6">
            <w:pPr>
              <w:keepNext w:val="0"/>
              <w:keepLines w:val="0"/>
              <w:widowControl/>
              <w:suppressLineNumbers w:val="0"/>
              <w:jc w:val="center"/>
              <w:textAlignment w:val="center"/>
              <w:rPr>
                <w:rFonts w:hint="default"/>
                <w:color w:val="000000" w:themeColor="text1"/>
                <w:szCs w:val="21"/>
                <w:lang w:val="en-US" w:eastAsia="zh-CN"/>
                <w14:textFill>
                  <w14:solidFill>
                    <w14:schemeClr w14:val="tx1"/>
                  </w14:solidFill>
                </w14:textFill>
              </w:rPr>
            </w:pPr>
            <w:r>
              <w:rPr>
                <w:rFonts w:hint="eastAsia"/>
              </w:rPr>
              <w:t>GB/T 23349-2020</w:t>
            </w:r>
          </w:p>
        </w:tc>
      </w:tr>
      <w:tr w14:paraId="253D8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EA307E0">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10</w:t>
            </w:r>
          </w:p>
        </w:tc>
        <w:tc>
          <w:tcPr>
            <w:tcW w:w="4110" w:type="dxa"/>
            <w:shd w:val="clear"/>
            <w:vAlign w:val="center"/>
          </w:tcPr>
          <w:p w14:paraId="0132A9E7">
            <w:pPr>
              <w:keepNext w:val="0"/>
              <w:keepLines w:val="0"/>
              <w:widowControl/>
              <w:suppressLineNumbers w:val="0"/>
              <w:jc w:val="center"/>
              <w:textAlignment w:val="center"/>
              <w:rPr>
                <w:rFonts w:hint="default" w:ascii="Quote-cjk-patch" w:hAnsi="Quote-cjk-patch" w:eastAsia="宋体" w:cs="Times New Roman"/>
                <w:spacing w:val="0"/>
                <w:kern w:val="2"/>
                <w:sz w:val="23"/>
                <w:szCs w:val="23"/>
                <w:shd w:val="clear" w:color="auto" w:fill="FFFFFF"/>
                <w:lang w:val="en-US" w:eastAsia="zh-CN" w:bidi="ar-SA"/>
              </w:rPr>
            </w:pPr>
            <w:r>
              <w:rPr>
                <w:rFonts w:ascii="Quote-cjk-patch" w:hAnsi="Quote-cjk-patch"/>
                <w:spacing w:val="0"/>
                <w:sz w:val="23"/>
                <w:szCs w:val="23"/>
                <w:shd w:val="clear" w:color="auto" w:fill="FFFFFF"/>
              </w:rPr>
              <w:t>总镉</w:t>
            </w:r>
          </w:p>
        </w:tc>
        <w:tc>
          <w:tcPr>
            <w:tcW w:w="3473" w:type="dxa"/>
            <w:vAlign w:val="center"/>
          </w:tcPr>
          <w:p w14:paraId="6F1590B3">
            <w:pPr>
              <w:keepNext w:val="0"/>
              <w:keepLines w:val="0"/>
              <w:widowControl/>
              <w:suppressLineNumbers w:val="0"/>
              <w:jc w:val="center"/>
              <w:textAlignment w:val="center"/>
              <w:rPr>
                <w:rFonts w:hint="default"/>
                <w:color w:val="000000" w:themeColor="text1"/>
                <w:szCs w:val="21"/>
                <w:lang w:val="en-US" w:eastAsia="zh-CN"/>
                <w14:textFill>
                  <w14:solidFill>
                    <w14:schemeClr w14:val="tx1"/>
                  </w14:solidFill>
                </w14:textFill>
              </w:rPr>
            </w:pPr>
            <w:r>
              <w:rPr>
                <w:rFonts w:hint="eastAsia"/>
              </w:rPr>
              <w:t>GB/T 23349-2020</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default"/>
          <w:color w:val="000000" w:themeColor="text1"/>
          <w:szCs w:val="21"/>
          <w:lang w:val="en-US" w:eastAsia="zh-CN"/>
          <w14:textFill>
            <w14:solidFill>
              <w14:schemeClr w14:val="tx1"/>
            </w14:solidFill>
          </w14:textFill>
        </w:rPr>
        <w:t>GB/T 20413-2017</w:t>
      </w:r>
      <w:r>
        <w:rPr>
          <w:rFonts w:hint="eastAsia"/>
          <w:color w:val="000000"/>
          <w:szCs w:val="21"/>
          <w:lang w:val="en-US" w:eastAsia="zh-CN"/>
        </w:rPr>
        <w:t xml:space="preserve"> 过磷酸钙</w:t>
      </w:r>
    </w:p>
    <w:p w14:paraId="11E0FB56">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38400-2019肥料中有毒有害物质的限量要求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69229F96">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7E38A36-E599-4296-B3D8-A99ED69F9B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110AEADD-869C-4CBD-A808-4E33AA37D11C}"/>
  </w:font>
  <w:font w:name="Quote-cjk-patch">
    <w:altName w:val="Noto Sans SC"/>
    <w:panose1 w:val="00000000000000000000"/>
    <w:charset w:val="00"/>
    <w:family w:val="auto"/>
    <w:pitch w:val="default"/>
    <w:sig w:usb0="00000000" w:usb1="00000000" w:usb2="00000000" w:usb3="00000000" w:csb0="00040001" w:csb1="00000000"/>
    <w:embedRegular r:id="rId3" w:fontKey="{710656F7-5F4B-4DAE-A789-C6FCBD883FB2}"/>
  </w:font>
  <w:font w:name="Noto Sans SC">
    <w:panose1 w:val="020B0200000000000000"/>
    <w:charset w:val="86"/>
    <w:family w:val="auto"/>
    <w:pitch w:val="default"/>
    <w:sig w:usb0="20000083" w:usb1="2ADF3C10" w:usb2="00000016" w:usb3="00000000" w:csb0="6006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7CA43C4"/>
    <w:rsid w:val="19E4761E"/>
    <w:rsid w:val="1B403722"/>
    <w:rsid w:val="1C0910BF"/>
    <w:rsid w:val="1CF163A7"/>
    <w:rsid w:val="21EE1107"/>
    <w:rsid w:val="25DF3AF4"/>
    <w:rsid w:val="27701672"/>
    <w:rsid w:val="27842251"/>
    <w:rsid w:val="2ACD3FAF"/>
    <w:rsid w:val="31F7570C"/>
    <w:rsid w:val="367A3BD5"/>
    <w:rsid w:val="369B4675"/>
    <w:rsid w:val="3AA82343"/>
    <w:rsid w:val="3BBD205C"/>
    <w:rsid w:val="3C9E39FD"/>
    <w:rsid w:val="3E1669F0"/>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649</Words>
  <Characters>753</Characters>
  <Lines>0</Lines>
  <Paragraphs>0</Paragraphs>
  <TotalTime>0</TotalTime>
  <ScaleCrop>false</ScaleCrop>
  <LinksUpToDate>false</LinksUpToDate>
  <CharactersWithSpaces>765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2026-06-16T02:44:11Z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E47A37BD30C54FEA85D62FC2C2EFE096_13</vt:lpwstr>
  </property>
  <property fmtid="{D5CDD505-2E9C-101B-9397-08002B2CF9AE}" pid="4" name="KSOTemplateDocerSaveRecord">
    <vt:lpwstr>eyJoZGlkIjoiYWQzZTQzYjcyY2JhN2M4NGZmOWNjMDY4NGMyN2NjMmYiLCJ1c2VySWQiOiIxNDQ1NjU1MDYxIn0=</vt:lpwstr>
  </property>
</Properties>
</file>