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adjustRightInd w:val="0"/>
        <w:snapToGrid w:val="0"/>
        <w:spacing w:line="594" w:lineRule="exact"/>
        <w:jc w:val="center"/>
        <w:rPr>
          <w:rFonts w:ascii="方正小标宋简体" w:eastAsia="方正小标宋简体" w:cs="方正小标宋简体" w:hint="eastAsia"/>
          <w:color w:val="auto"/>
          <w:sz w:val="32"/>
          <w:szCs w:val="32"/>
          <w:lang w:eastAsia="zh-CN"/>
        </w:rPr>
      </w:pPr>
      <w:r>
        <w:rPr>
          <w:rFonts w:ascii="宋体" w:eastAsia="宋体" w:cs="宋体" w:hint="eastAsia"/>
          <w:b/>
          <w:color w:val="auto"/>
          <w:sz w:val="32"/>
          <w:u w:color="auto"/>
          <w:lang w:val="en-US" w:eastAsia="zh-CN"/>
        </w:rPr>
        <w:t>阿坝藏族羌族自治州</w:t>
      </w:r>
      <w:r>
        <w:rPr>
          <w:rFonts w:ascii="方正小标宋简体" w:eastAsia="方正小标宋简体" w:cs="方正小标宋简体" w:hint="eastAsia"/>
          <w:color w:val="auto"/>
          <w:sz w:val="32"/>
          <w:szCs w:val="32"/>
        </w:rPr>
        <w:t>珠宝玉石产品质量监督抽查实施细则</w:t>
      </w:r>
      <w:r>
        <w:rPr>
          <w:rFonts w:ascii="方正小标宋简体" w:eastAsia="方正小标宋简体" w:cs="方正小标宋简体" w:hint="eastAsia"/>
          <w:color w:val="auto"/>
          <w:sz w:val="32"/>
          <w:szCs w:val="32"/>
          <w:lang w:eastAsia="zh-CN"/>
        </w:rPr>
        <w:t>（</w:t>
      </w:r>
      <w:r>
        <w:rPr>
          <w:rFonts w:ascii="方正小标宋简体" w:eastAsia="方正小标宋简体" w:cs="方正小标宋简体" w:hint="eastAsia"/>
          <w:color w:val="auto"/>
          <w:sz w:val="32"/>
          <w:szCs w:val="32"/>
          <w:lang w:val="en-US" w:eastAsia="zh-CN"/>
        </w:rPr>
        <w:t>2026版</w:t>
      </w:r>
      <w:r>
        <w:rPr>
          <w:rFonts w:ascii="方正小标宋简体" w:eastAsia="方正小标宋简体" w:cs="方正小标宋简体" w:hint="eastAsia"/>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Lines="100" w:before="312" w:afterLines="100" w:after="312" w:line="440" w:lineRule="exact"/>
        <w:textAlignment w:val="auto"/>
        <w:rPr>
          <w:rFonts w:ascii="黑体" w:eastAsia="黑体" w:cs="黑体" w:hint="eastAsia"/>
          <w:color w:val="000000"/>
          <w:szCs w:val="21"/>
        </w:rPr>
      </w:pPr>
      <w:r>
        <w:rPr>
          <w:rFonts w:ascii="黑体" w:eastAsia="黑体" w:cs="黑体" w:hint="eastAsia"/>
          <w:color w:val="000000"/>
          <w:szCs w:val="21"/>
        </w:rPr>
        <w:t>1 抽样方法</w:t>
      </w:r>
    </w:p>
    <w:p>
      <w:pPr>
        <w:adjustRightInd w:val="0"/>
        <w:snapToGrid w:val="0"/>
        <w:spacing w:line="440" w:lineRule="exact"/>
        <w:ind w:firstLineChars="200" w:firstLine="420"/>
        <w:rPr>
          <w:rFonts w:ascii="宋体" w:eastAsia="宋体" w:cs="宋体" w:hint="eastAsia"/>
          <w:color w:val="000000"/>
          <w:szCs w:val="21"/>
          <w:lang w:eastAsia="zh-CN"/>
          <w:highlight w:val="auto"/>
        </w:rPr>
      </w:pPr>
      <w:bookmarkStart w:id="0" w:name="_Hlk29541365"/>
      <w:r>
        <w:rPr>
          <w:rFonts w:ascii="宋体" w:eastAsia="宋体" w:cs="宋体" w:hint="eastAsia"/>
          <w:color w:val="000000"/>
          <w:szCs w:val="21"/>
          <w:lang w:eastAsia="zh-CN"/>
          <w:highlight w:val="auto"/>
        </w:rPr>
        <w:t>以随机抽样的方式在被抽样生产者、销售者的待销产品中抽取。</w:t>
      </w:r>
      <w:bookmarkEnd w:id="0"/>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每批次产品抽取样品1件，作为检验样品，无备用样品，复检用原样进行。抽检任务完成后，由属地市场监督管理局负责样品原样退还。</w:t>
      </w:r>
    </w:p>
    <w:p>
      <w:pPr>
        <w:snapToGrid w:val="0"/>
        <w:spacing w:line="440" w:lineRule="exact"/>
        <w:rPr>
          <w:rFonts w:eastAsia="黑体"/>
          <w:color w:val="000000"/>
          <w:szCs w:val="21"/>
        </w:rPr>
      </w:pPr>
      <w:r>
        <w:rPr>
          <w:rFonts w:eastAsia="黑体"/>
          <w:color w:val="000000"/>
          <w:szCs w:val="21"/>
        </w:rPr>
        <w:t>2 检验依据</w:t>
      </w:r>
    </w:p>
    <w:p>
      <w:pPr>
        <w:spacing w:line="360" w:lineRule="auto"/>
        <w:jc w:val="center"/>
        <w:rPr>
          <w:rFonts w:ascii="宋体" w:eastAsia="宋体" w:cs="宋体"/>
          <w:szCs w:val="21"/>
          <w:lang w:val="en-US" w:eastAsia="zh-CN"/>
        </w:rPr>
      </w:pPr>
      <w:r>
        <w:rPr>
          <w:rFonts w:ascii="宋体" w:eastAsia="宋体" w:cs="宋体" w:hint="eastAsia"/>
          <w:szCs w:val="21"/>
          <w:lang w:eastAsia="zh-CN"/>
        </w:rPr>
        <w:t>表</w:t>
      </w:r>
      <w:r>
        <w:rPr>
          <w:rFonts w:ascii="宋体" w:eastAsia="宋体" w:cs="宋体" w:hint="eastAsia"/>
          <w:szCs w:val="21"/>
          <w:lang w:val="en-US" w:eastAsia="zh-CN"/>
        </w:rPr>
        <w:t>1 产品名称及执行标准</w:t>
      </w:r>
    </w:p>
    <w:tbl>
      <w:tblPr>
        <w:jc w:val="cent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692"/>
        <w:gridCol w:w="1889"/>
        <w:gridCol w:w="2344"/>
        <w:gridCol w:w="4128"/>
      </w:tblGrid>
      <w:tr>
        <w:trPr>
          <w:trHeight w:val="427"/>
        </w:trPr>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280" w:lineRule="exact"/>
              <w:jc w:val="center"/>
              <w:rPr>
                <w:rFonts w:ascii="宋体" w:eastAsia="宋体" w:cs="宋体"/>
                <w:color w:val="auto"/>
                <w:szCs w:val="21"/>
              </w:rPr>
            </w:pPr>
            <w:r>
              <w:rPr>
                <w:rFonts w:ascii="宋体" w:eastAsia="宋体" w:cs="宋体" w:hint="eastAsia"/>
                <w:color w:val="auto"/>
                <w:szCs w:val="21"/>
              </w:rPr>
              <w:t>序号</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280" w:lineRule="exact"/>
              <w:jc w:val="center"/>
              <w:rPr>
                <w:rFonts w:ascii="宋体" w:eastAsia="宋体" w:cs="宋体"/>
                <w:color w:val="auto"/>
                <w:szCs w:val="21"/>
              </w:rPr>
            </w:pPr>
            <w:r>
              <w:rPr>
                <w:rFonts w:ascii="宋体" w:eastAsia="宋体" w:cs="宋体" w:hint="eastAsia"/>
                <w:color w:val="auto"/>
                <w:szCs w:val="21"/>
              </w:rPr>
              <w:t>产品名称</w:t>
            </w:r>
          </w:p>
        </w:tc>
        <w:tc>
          <w:tcPr>
            <w:tcW w:w="1294"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280" w:lineRule="exact"/>
              <w:jc w:val="center"/>
              <w:rPr>
                <w:rFonts w:ascii="宋体" w:eastAsia="宋体" w:cs="宋体"/>
                <w:color w:val="auto"/>
                <w:szCs w:val="21"/>
              </w:rPr>
            </w:pPr>
            <w:r>
              <w:rPr>
                <w:rFonts w:ascii="宋体" w:eastAsia="宋体" w:cs="宋体" w:hint="eastAsia"/>
                <w:color w:val="auto"/>
                <w:szCs w:val="21"/>
              </w:rPr>
              <w:t>标准编号</w:t>
            </w:r>
          </w:p>
        </w:tc>
        <w:tc>
          <w:tcPr>
            <w:tcW w:w="2279"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280" w:lineRule="exact"/>
              <w:jc w:val="center"/>
              <w:rPr>
                <w:rFonts w:ascii="宋体" w:eastAsia="宋体" w:cs="宋体"/>
                <w:color w:val="auto"/>
                <w:szCs w:val="21"/>
              </w:rPr>
            </w:pPr>
            <w:r>
              <w:rPr>
                <w:rFonts w:ascii="宋体" w:eastAsia="宋体" w:cs="宋体" w:hint="eastAsia"/>
                <w:color w:val="auto"/>
                <w:szCs w:val="21"/>
              </w:rPr>
              <w:t>标准名称</w:t>
            </w:r>
          </w:p>
        </w:tc>
      </w:tr>
      <w:tr>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1</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非镶嵌珠宝玉石饰品</w:t>
            </w:r>
          </w:p>
        </w:tc>
        <w:tc>
          <w:tcPr>
            <w:tcW w:w="1294"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GB/T 1655</w:t>
            </w:r>
            <w:r>
              <w:rPr>
                <w:rFonts w:ascii="宋体" w:cs="宋体" w:hint="eastAsia"/>
                <w:bCs/>
                <w:color w:val="000000"/>
                <w:szCs w:val="21"/>
                <w:lang w:eastAsia="zh-CN"/>
              </w:rPr>
              <w:t>2</w:t>
            </w:r>
            <w:r>
              <w:rPr>
                <w:rFonts w:ascii="宋体" w:cs="宋体" w:hint="eastAsia"/>
                <w:bCs/>
                <w:color w:val="000000"/>
                <w:szCs w:val="21"/>
              </w:rPr>
              <w:t>—2017</w:t>
            </w:r>
          </w:p>
        </w:tc>
        <w:tc>
          <w:tcPr>
            <w:tcW w:w="2279"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珠宝玉石 名称</w:t>
            </w:r>
          </w:p>
        </w:tc>
      </w:tr>
      <w:tr>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2</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贵金属镶嵌珠宝玉石饰品</w:t>
            </w:r>
          </w:p>
        </w:tc>
        <w:tc>
          <w:tcPr>
            <w:tcW w:w="1294"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 11887—2012</w:t>
            </w:r>
          </w:p>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GB/T 1655</w:t>
            </w:r>
            <w:r>
              <w:rPr>
                <w:rFonts w:ascii="宋体" w:cs="宋体" w:hint="eastAsia"/>
                <w:bCs/>
                <w:color w:val="000000"/>
                <w:szCs w:val="21"/>
                <w:lang w:eastAsia="zh-CN"/>
              </w:rPr>
              <w:t>2</w:t>
            </w:r>
            <w:r>
              <w:rPr>
                <w:rFonts w:ascii="宋体" w:cs="宋体" w:hint="eastAsia"/>
                <w:bCs/>
                <w:color w:val="000000"/>
                <w:szCs w:val="21"/>
              </w:rPr>
              <w:t>—2017</w:t>
            </w:r>
          </w:p>
        </w:tc>
        <w:tc>
          <w:tcPr>
            <w:tcW w:w="2279"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rPr>
              <w:t>首饰</w:t>
            </w:r>
            <w:r>
              <w:rPr>
                <w:rFonts w:ascii="宋体" w:cs="宋体" w:hint="eastAsia"/>
                <w:bCs/>
                <w:color w:val="000000"/>
                <w:szCs w:val="21"/>
                <w:lang w:eastAsia="zh-CN"/>
              </w:rPr>
              <w:t xml:space="preserve"> </w:t>
            </w:r>
            <w:r>
              <w:rPr>
                <w:rFonts w:ascii="宋体" w:cs="宋体" w:hint="eastAsia"/>
                <w:bCs/>
                <w:color w:val="000000"/>
                <w:szCs w:val="21"/>
              </w:rPr>
              <w:t>贵金属纯度的规定及命名方法</w:t>
            </w:r>
          </w:p>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珠宝玉石 名称</w:t>
            </w:r>
          </w:p>
        </w:tc>
      </w:tr>
      <w:tr>
        <w:tc>
          <w:tcPr>
            <w:tcW w:w="382"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3</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贵金属镶嵌钻石饰品</w:t>
            </w:r>
          </w:p>
        </w:tc>
        <w:tc>
          <w:tcPr>
            <w:tcW w:w="1294"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 11887—2012</w:t>
            </w:r>
          </w:p>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GB/T 1655</w:t>
            </w:r>
            <w:r>
              <w:rPr>
                <w:rFonts w:ascii="宋体" w:cs="宋体" w:hint="eastAsia"/>
                <w:bCs/>
                <w:color w:val="000000"/>
                <w:szCs w:val="21"/>
                <w:lang w:eastAsia="zh-CN"/>
              </w:rPr>
              <w:t>2</w:t>
            </w:r>
            <w:r>
              <w:rPr>
                <w:rFonts w:ascii="宋体" w:cs="宋体" w:hint="eastAsia"/>
                <w:bCs/>
                <w:color w:val="000000"/>
                <w:szCs w:val="21"/>
              </w:rPr>
              <w:t>—2017</w:t>
            </w:r>
          </w:p>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GB/T 16554—2017</w:t>
            </w:r>
          </w:p>
        </w:tc>
        <w:tc>
          <w:tcPr>
            <w:tcW w:w="2279" w:type="pct"/>
            <w:tcBorders>
              <w:top w:val="single" w:sz="4" w:space="0" w:color="auto"/>
              <w:left w:val="single" w:sz="4" w:space="0" w:color="auto"/>
              <w:bottom w:val="single" w:sz="4" w:space="0" w:color="auto"/>
              <w:right w:val="single" w:sz="4" w:space="0" w:color="auto"/>
            </w:tcBorders>
            <w:shd w:val="clear" w:color="auto" w:fill="auto"/>
            <w:noWrap/>
            <w:vAlign w:val="center"/>
          </w:tcPr>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rPr>
              <w:t>首饰</w:t>
            </w:r>
            <w:r>
              <w:rPr>
                <w:rFonts w:ascii="宋体" w:cs="宋体" w:hint="eastAsia"/>
                <w:bCs/>
                <w:color w:val="000000"/>
                <w:szCs w:val="21"/>
                <w:lang w:eastAsia="zh-CN"/>
              </w:rPr>
              <w:t xml:space="preserve"> </w:t>
            </w:r>
            <w:r>
              <w:rPr>
                <w:rFonts w:ascii="宋体" w:cs="宋体" w:hint="eastAsia"/>
                <w:bCs/>
                <w:color w:val="000000"/>
                <w:szCs w:val="21"/>
              </w:rPr>
              <w:t>贵金属纯度的规定及命名方法</w:t>
            </w:r>
          </w:p>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lang w:eastAsia="zh-CN"/>
              </w:rPr>
              <w:t>珠宝玉石 名称</w:t>
            </w:r>
          </w:p>
          <w:p>
            <w:pPr>
              <w:adjustRightInd w:val="0"/>
              <w:snapToGrid w:val="0"/>
              <w:spacing w:line="360" w:lineRule="exact"/>
              <w:jc w:val="center"/>
              <w:rPr>
                <w:rFonts w:ascii="宋体" w:cs="宋体" w:hint="eastAsia"/>
                <w:bCs/>
                <w:color w:val="000000"/>
                <w:szCs w:val="21"/>
                <w:lang w:eastAsia="zh-CN"/>
              </w:rPr>
            </w:pPr>
            <w:r>
              <w:rPr>
                <w:rFonts w:ascii="宋体" w:cs="宋体" w:hint="eastAsia"/>
                <w:bCs/>
                <w:color w:val="000000"/>
                <w:szCs w:val="21"/>
              </w:rPr>
              <w:t>钻石分级</w:t>
            </w:r>
          </w:p>
        </w:tc>
      </w:tr>
    </w:tbl>
    <w:p>
      <w:pPr>
        <w:keepNext w:val="0"/>
        <w:keepLines w:val="0"/>
        <w:pageBreakBefore w:val="0"/>
        <w:widowControl w:val="0"/>
        <w:kinsoku/>
        <w:wordWrap/>
        <w:overflowPunct/>
        <w:topLinePunct w:val="0"/>
        <w:autoSpaceDE/>
        <w:autoSpaceDN/>
        <w:bidi w:val="0"/>
        <w:adjustRightInd w:val="0"/>
        <w:snapToGrid w:val="0"/>
        <w:spacing w:beforeLines="100" w:before="312" w:afterLines="100" w:after="312" w:line="440" w:lineRule="exact"/>
        <w:textAlignment w:val="auto"/>
        <w:rPr>
          <w:rFonts w:ascii="黑体" w:eastAsia="黑体" w:cs="黑体" w:hint="eastAsia"/>
          <w:color w:val="000000"/>
          <w:szCs w:val="21"/>
        </w:rPr>
      </w:pPr>
      <w:r>
        <w:rPr>
          <w:rFonts w:ascii="黑体" w:eastAsia="黑体" w:cs="黑体" w:hint="eastAsia"/>
          <w:color w:val="000000"/>
          <w:szCs w:val="21"/>
        </w:rPr>
        <w:t>3 检验依据</w:t>
      </w:r>
    </w:p>
    <w:p>
      <w:pPr>
        <w:spacing w:line="360" w:lineRule="auto"/>
        <w:jc w:val="center"/>
        <w:rPr>
          <w:rFonts w:ascii="宋体" w:eastAsia="宋体" w:cs="宋体" w:hint="eastAsia"/>
          <w:szCs w:val="21"/>
          <w:lang w:eastAsia="zh-CN"/>
        </w:rPr>
      </w:pPr>
      <w:r>
        <w:rPr>
          <w:rFonts w:ascii="宋体" w:eastAsia="宋体" w:cs="宋体" w:hint="eastAsia"/>
          <w:szCs w:val="21"/>
          <w:lang w:eastAsia="zh-CN"/>
        </w:rPr>
        <w:t>表</w:t>
      </w:r>
      <w:r>
        <w:rPr>
          <w:rFonts w:ascii="宋体" w:eastAsia="宋体" w:cs="宋体" w:hint="eastAsia"/>
          <w:szCs w:val="21"/>
          <w:lang w:val="en-US" w:eastAsia="zh-CN"/>
        </w:rPr>
        <w:t xml:space="preserve">2 </w:t>
      </w:r>
      <w:r>
        <w:rPr>
          <w:rFonts w:ascii="宋体" w:eastAsia="宋体" w:cs="宋体" w:hint="eastAsia"/>
          <w:szCs w:val="21"/>
          <w:lang w:eastAsia="zh-CN"/>
        </w:rPr>
        <w:t>检验项目及依据</w:t>
      </w:r>
    </w:p>
    <w:tbl>
      <w:tblPr>
        <w:jc w:val="cente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35"/>
        <w:gridCol w:w="2736"/>
        <w:gridCol w:w="3402"/>
        <w:gridCol w:w="963"/>
        <w:gridCol w:w="1112"/>
      </w:tblGrid>
      <w:tr>
        <w:trPr>
          <w:cantSplit/>
          <w:trHeight w:val="668"/>
          <w:tblHeader/>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240" w:lineRule="atLeast"/>
              <w:jc w:val="center"/>
              <w:rPr>
                <w:rFonts w:ascii="宋体" w:eastAsia="宋体" w:cs="宋体"/>
                <w:color w:val="auto"/>
                <w:szCs w:val="21"/>
              </w:rPr>
            </w:pPr>
            <w:r>
              <w:rPr>
                <w:rFonts w:ascii="宋体" w:eastAsia="宋体" w:cs="宋体" w:hint="eastAsia"/>
                <w:color w:val="auto"/>
                <w:szCs w:val="21"/>
              </w:rPr>
              <w:t>序号</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240" w:lineRule="atLeast"/>
              <w:jc w:val="center"/>
              <w:rPr>
                <w:rFonts w:ascii="宋体" w:eastAsia="宋体" w:cs="宋体"/>
                <w:color w:val="auto"/>
                <w:szCs w:val="21"/>
              </w:rPr>
            </w:pPr>
            <w:r>
              <w:rPr>
                <w:rFonts w:ascii="宋体" w:eastAsia="宋体" w:cs="宋体" w:hint="eastAsia"/>
                <w:color w:val="auto"/>
                <w:szCs w:val="21"/>
              </w:rPr>
              <w:t>检验项目</w:t>
            </w:r>
          </w:p>
        </w:tc>
        <w:tc>
          <w:tcPr>
            <w:tcW w:w="1879"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240" w:lineRule="atLeast"/>
              <w:jc w:val="center"/>
              <w:rPr>
                <w:rFonts w:ascii="宋体" w:eastAsia="宋体" w:cs="宋体"/>
                <w:color w:val="auto"/>
                <w:szCs w:val="21"/>
              </w:rPr>
            </w:pPr>
            <w:r>
              <w:rPr>
                <w:rFonts w:ascii="宋体" w:eastAsia="宋体" w:cs="宋体" w:hint="eastAsia"/>
                <w:color w:val="auto"/>
                <w:szCs w:val="21"/>
              </w:rPr>
              <w:t>检验方法</w:t>
            </w:r>
          </w:p>
        </w:tc>
        <w:tc>
          <w:tcPr>
            <w:tcW w:w="532" w:type="pct"/>
            <w:tcBorders>
              <w:top w:val="single" w:sz="4" w:space="0" w:color="auto"/>
              <w:left w:val="single" w:sz="4" w:space="0" w:color="auto"/>
              <w:bottom w:val="single" w:sz="4" w:space="0" w:color="auto"/>
              <w:right w:val="single" w:sz="4" w:space="0" w:color="auto"/>
            </w:tcBorders>
            <w:noWrap/>
            <w:vAlign w:val="center"/>
          </w:tcPr>
          <w:p>
            <w:pPr>
              <w:widowControl/>
              <w:spacing w:line="240" w:lineRule="atLeast"/>
              <w:jc w:val="center"/>
              <w:rPr>
                <w:rFonts w:ascii="宋体" w:eastAsia="宋体" w:cs="宋体"/>
                <w:color w:val="auto"/>
                <w:kern w:val="0"/>
                <w:szCs w:val="21"/>
              </w:rPr>
            </w:pPr>
            <w:r>
              <w:rPr>
                <w:rFonts w:ascii="宋体" w:eastAsia="宋体" w:cs="宋体" w:hint="eastAsia"/>
                <w:color w:val="auto"/>
                <w:szCs w:val="21"/>
              </w:rPr>
              <w:t>重要程度分级</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eastAsia="宋体" w:cs="宋体"/>
                <w:color w:val="auto"/>
                <w:szCs w:val="21"/>
              </w:rPr>
            </w:pPr>
            <w:r>
              <w:rPr>
                <w:rFonts w:ascii="宋体" w:eastAsia="宋体" w:cs="宋体" w:hint="eastAsia"/>
                <w:color w:val="auto"/>
                <w:szCs w:val="21"/>
              </w:rPr>
              <w:t>是否为环保指标</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1</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珠宝玉石名称</w:t>
            </w:r>
          </w:p>
        </w:tc>
        <w:tc>
          <w:tcPr>
            <w:tcW w:w="1879" w:type="pct"/>
            <w:tcBorders>
              <w:top w:val="single" w:sz="4" w:space="0" w:color="auto"/>
              <w:left w:val="single" w:sz="4" w:space="0" w:color="auto"/>
              <w:bottom w:val="single" w:sz="4" w:space="0" w:color="auto"/>
              <w:right w:val="single" w:sz="4" w:space="0" w:color="auto"/>
            </w:tcBorders>
            <w:noWrap/>
            <w:vAlign w:val="center"/>
          </w:tcPr>
          <w:p>
            <w:pPr>
              <w:widowControl/>
              <w:jc w:val="center"/>
              <w:textAlignment w:val="center"/>
              <w:rPr>
                <w:rFonts w:ascii="宋体" w:cs="宋体" w:hint="eastAsia"/>
                <w:color w:val="000000"/>
                <w:szCs w:val="21"/>
                <w:lang w:val="en-US"/>
              </w:rPr>
            </w:pPr>
            <w:r>
              <w:rPr>
                <w:rFonts w:ascii="宋体" w:cs="宋体" w:hint="eastAsia"/>
                <w:color w:val="000000"/>
                <w:szCs w:val="21"/>
              </w:rPr>
              <w:t>GB/T 16553—2017</w:t>
            </w:r>
          </w:p>
        </w:tc>
        <w:tc>
          <w:tcPr>
            <w:tcW w:w="532" w:type="pct"/>
            <w:tcBorders>
              <w:top w:val="single" w:sz="4" w:space="0" w:color="auto"/>
              <w:left w:val="single" w:sz="4" w:space="0" w:color="auto"/>
              <w:bottom w:val="single" w:sz="4" w:space="0" w:color="auto"/>
              <w:right w:val="single" w:sz="4" w:space="0" w:color="auto"/>
            </w:tcBorders>
            <w:noWrap/>
            <w:vAlign w:val="center"/>
          </w:tcPr>
          <w:p>
            <w:pPr>
              <w:pStyle w:val="16"/>
              <w:adjustRightInd w:val="0"/>
              <w:snapToGrid w:val="0"/>
              <w:spacing w:line="360" w:lineRule="exact"/>
              <w:jc w:val="center"/>
              <w:rPr>
                <w:rFonts w:cs="宋体" w:hint="eastAsia"/>
                <w:bCs/>
                <w:color w:val="000000"/>
                <w:kern w:val="2"/>
                <w:sz w:val="21"/>
                <w:szCs w:val="21"/>
                <w:lang w:val="en-US"/>
              </w:rPr>
            </w:pPr>
            <w:r>
              <w:rPr>
                <w:rFonts w:cs="宋体" w:hint="eastAsia"/>
                <w:bCs/>
                <w:color w:val="000000"/>
                <w:kern w:val="2"/>
                <w:sz w:val="21"/>
                <w:szCs w:val="21"/>
                <w:lang w:val="en-US"/>
              </w:rPr>
              <w:t>B</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lang w:val="en-US"/>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2</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贵金属名称（材料及纯度）</w:t>
            </w:r>
          </w:p>
        </w:tc>
        <w:tc>
          <w:tcPr>
            <w:tcW w:w="1879" w:type="pct"/>
            <w:tcBorders>
              <w:top w:val="single" w:sz="4" w:space="0" w:color="auto"/>
              <w:left w:val="single" w:sz="4" w:space="0" w:color="auto"/>
              <w:bottom w:val="single" w:sz="4" w:space="0" w:color="auto"/>
              <w:right w:val="single" w:sz="4" w:space="0" w:color="auto"/>
            </w:tcBorders>
            <w:noWrap/>
            <w:vAlign w:val="center"/>
          </w:tcPr>
          <w:p>
            <w:pPr>
              <w:widowControl/>
              <w:jc w:val="center"/>
              <w:textAlignment w:val="center"/>
              <w:rPr>
                <w:rFonts w:ascii="宋体" w:cs="宋体" w:hint="eastAsia"/>
                <w:color w:val="000000"/>
                <w:szCs w:val="21"/>
                <w:lang w:val="en-US"/>
              </w:rPr>
            </w:pPr>
            <w:r>
              <w:rPr>
                <w:rFonts w:ascii="宋体" w:cs="宋体" w:hint="eastAsia"/>
                <w:color w:val="000000"/>
                <w:szCs w:val="21"/>
              </w:rPr>
              <w:t>GB/T 18043—2013</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tcPr>
          <w:p>
            <w:pPr>
              <w:pStyle w:val="16"/>
              <w:adjustRightInd w:val="0"/>
              <w:snapToGrid w:val="0"/>
              <w:spacing w:line="360" w:lineRule="exact"/>
              <w:jc w:val="center"/>
              <w:rPr>
                <w:rFonts w:cs="宋体" w:hint="eastAsia"/>
                <w:bCs/>
                <w:color w:val="000000"/>
                <w:kern w:val="2"/>
                <w:sz w:val="21"/>
                <w:szCs w:val="21"/>
                <w:lang w:val="en-US" w:bidi="ar-SA"/>
              </w:rPr>
            </w:pPr>
            <w:r>
              <w:rPr>
                <w:rFonts w:cs="宋体" w:hint="eastAsia"/>
                <w:bCs/>
                <w:color w:val="000000"/>
                <w:kern w:val="2"/>
                <w:sz w:val="21"/>
                <w:szCs w:val="21"/>
                <w:lang w:val="en-US"/>
              </w:rPr>
              <w:t>B</w:t>
            </w:r>
          </w:p>
        </w:tc>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tcPr>
          <w:p>
            <w:pPr>
              <w:jc w:val="center"/>
              <w:rPr>
                <w:rFonts w:ascii="宋体" w:cs="宋体" w:hint="eastAsia"/>
                <w:color w:val="000000"/>
                <w:szCs w:val="21"/>
                <w:lang w:val="en-US" w:bidi="ar-SA"/>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3</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总质量</w:t>
            </w:r>
          </w:p>
        </w:tc>
        <w:tc>
          <w:tcPr>
            <w:tcW w:w="1879" w:type="pct"/>
            <w:tcBorders>
              <w:top w:val="single" w:sz="4" w:space="0" w:color="auto"/>
              <w:left w:val="single" w:sz="4" w:space="0" w:color="auto"/>
              <w:bottom w:val="single" w:sz="4" w:space="0" w:color="auto"/>
              <w:right w:val="single" w:sz="4" w:space="0" w:color="auto"/>
            </w:tcBorders>
            <w:noWrap/>
            <w:vAlign w:val="center"/>
          </w:tcPr>
          <w:p>
            <w:pPr>
              <w:widowControl/>
              <w:jc w:val="center"/>
              <w:textAlignment w:val="center"/>
              <w:rPr>
                <w:rFonts w:ascii="宋体" w:cs="宋体" w:hint="eastAsia"/>
                <w:color w:val="000000"/>
                <w:szCs w:val="21"/>
              </w:rPr>
            </w:pPr>
            <w:r>
              <w:rPr>
                <w:rFonts w:ascii="宋体" w:cs="宋体" w:hint="eastAsia"/>
                <w:color w:val="000000"/>
                <w:szCs w:val="21"/>
              </w:rPr>
              <w:t>GB/T 36128—2018</w:t>
            </w:r>
          </w:p>
          <w:p>
            <w:pPr>
              <w:widowControl/>
              <w:jc w:val="center"/>
              <w:textAlignment w:val="center"/>
              <w:rPr>
                <w:rFonts w:ascii="宋体" w:cs="宋体" w:hint="eastAsia"/>
                <w:color w:val="000000"/>
                <w:szCs w:val="21"/>
              </w:rPr>
            </w:pPr>
            <w:r>
              <w:rPr>
                <w:rFonts w:ascii="宋体" w:cs="宋体" w:hint="eastAsia"/>
                <w:color w:val="000000"/>
                <w:szCs w:val="21"/>
              </w:rPr>
              <w:t>QB/T 1690—2021</w:t>
            </w:r>
          </w:p>
        </w:tc>
        <w:tc>
          <w:tcPr>
            <w:tcW w:w="532"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lang w:val="en-US"/>
              </w:rPr>
            </w:pPr>
            <w:r>
              <w:rPr>
                <w:rFonts w:ascii="宋体" w:cs="宋体" w:hint="eastAsia"/>
                <w:color w:val="000000"/>
                <w:szCs w:val="21"/>
                <w:lang w:val="en-US"/>
              </w:rPr>
              <w:t>C</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lang w:val="en-US"/>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4</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钻石颜色分级</w:t>
            </w:r>
          </w:p>
        </w:tc>
        <w:tc>
          <w:tcPr>
            <w:tcW w:w="1879" w:type="pct"/>
            <w:tcBorders>
              <w:top w:val="single" w:sz="4" w:space="0" w:color="auto"/>
              <w:left w:val="single" w:sz="4" w:space="0" w:color="auto"/>
              <w:bottom w:val="single" w:sz="4" w:space="0" w:color="auto"/>
              <w:right w:val="single" w:sz="4" w:space="0" w:color="auto"/>
            </w:tcBorders>
            <w:noWrap/>
            <w:vAlign w:val="center"/>
          </w:tcPr>
          <w:p>
            <w:pPr>
              <w:widowControl/>
              <w:jc w:val="center"/>
              <w:textAlignment w:val="center"/>
              <w:rPr>
                <w:rFonts w:ascii="宋体" w:cs="宋体" w:hint="eastAsia"/>
                <w:color w:val="000000"/>
                <w:szCs w:val="21"/>
              </w:rPr>
            </w:pPr>
            <w:r>
              <w:rPr>
                <w:rFonts w:ascii="宋体" w:cs="宋体" w:hint="eastAsia"/>
                <w:color w:val="000000"/>
                <w:szCs w:val="21"/>
              </w:rPr>
              <w:t>GB/T 16554—2017</w:t>
            </w:r>
          </w:p>
        </w:tc>
        <w:tc>
          <w:tcPr>
            <w:tcW w:w="532"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C</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rPr>
              <w:t>5</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钻石净度分级</w:t>
            </w:r>
          </w:p>
        </w:tc>
        <w:tc>
          <w:tcPr>
            <w:tcW w:w="1879" w:type="pct"/>
            <w:tcBorders>
              <w:top w:val="single" w:sz="4" w:space="0" w:color="auto"/>
              <w:left w:val="single" w:sz="4" w:space="0" w:color="auto"/>
              <w:bottom w:val="single" w:sz="4" w:space="0" w:color="auto"/>
              <w:right w:val="single" w:sz="4" w:space="0" w:color="auto"/>
            </w:tcBorders>
            <w:noWrap/>
            <w:vAlign w:val="center"/>
          </w:tcPr>
          <w:p>
            <w:pPr>
              <w:widowControl/>
              <w:jc w:val="center"/>
              <w:textAlignment w:val="center"/>
              <w:rPr>
                <w:rFonts w:ascii="宋体" w:cs="宋体" w:hint="eastAsia"/>
                <w:color w:val="000000"/>
                <w:szCs w:val="21"/>
              </w:rPr>
            </w:pPr>
            <w:r>
              <w:rPr>
                <w:rFonts w:ascii="宋体" w:cs="宋体" w:hint="eastAsia"/>
                <w:color w:val="000000"/>
                <w:szCs w:val="21"/>
              </w:rPr>
              <w:t>GB/T 16554—2017</w:t>
            </w:r>
          </w:p>
        </w:tc>
        <w:tc>
          <w:tcPr>
            <w:tcW w:w="532"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C</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rPr>
            </w:pPr>
            <w:r>
              <w:rPr>
                <w:rFonts w:ascii="宋体" w:cs="宋体" w:hint="eastAsia"/>
                <w:bCs/>
                <w:color w:val="000000"/>
                <w:szCs w:val="21"/>
                <w:lang w:val="en-US"/>
              </w:rPr>
              <w:t>6</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印记</w:t>
            </w:r>
          </w:p>
        </w:tc>
        <w:tc>
          <w:tcPr>
            <w:tcW w:w="1879" w:type="pct"/>
            <w:tcBorders>
              <w:top w:val="single" w:sz="4" w:space="0" w:color="auto"/>
              <w:left w:val="single" w:sz="4" w:space="0" w:color="auto"/>
              <w:bottom w:val="single" w:sz="4" w:space="0" w:color="auto"/>
              <w:right w:val="single" w:sz="4" w:space="0" w:color="auto"/>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ascii="宋体" w:cs="宋体" w:hint="eastAsia"/>
                <w:color w:val="000000"/>
                <w:szCs w:val="21"/>
              </w:rPr>
            </w:pPr>
            <w:r>
              <w:rPr>
                <w:rFonts w:ascii="宋体" w:cs="宋体" w:hint="eastAsia"/>
                <w:color w:val="000000"/>
                <w:szCs w:val="21"/>
              </w:rPr>
              <w:t>GB 11887—2012及第</w:t>
            </w:r>
            <w:r>
              <w:rPr>
                <w:rFonts w:ascii="宋体" w:cs="宋体" w:hint="eastAsia"/>
                <w:color w:val="000000"/>
                <w:szCs w:val="21"/>
                <w:lang w:val="en-US"/>
              </w:rPr>
              <w:t>1号修改单</w:t>
            </w:r>
          </w:p>
        </w:tc>
        <w:tc>
          <w:tcPr>
            <w:tcW w:w="532"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C</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否</w:t>
            </w:r>
          </w:p>
        </w:tc>
      </w:tr>
      <w:tr>
        <w:trPr>
          <w:cantSplit/>
          <w:trHeight w:val="374"/>
        </w:trPr>
        <w:tc>
          <w:tcPr>
            <w:tcW w:w="46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bCs/>
                <w:color w:val="000000"/>
                <w:szCs w:val="21"/>
                <w:lang w:val="en-US"/>
              </w:rPr>
            </w:pPr>
            <w:r>
              <w:rPr>
                <w:rFonts w:ascii="宋体" w:cs="宋体" w:hint="eastAsia"/>
                <w:bCs/>
                <w:color w:val="000000"/>
                <w:szCs w:val="21"/>
                <w:lang w:val="en-US"/>
              </w:rPr>
              <w:t>7</w:t>
            </w:r>
          </w:p>
        </w:tc>
        <w:tc>
          <w:tcPr>
            <w:tcW w:w="1511" w:type="pct"/>
            <w:tcBorders>
              <w:top w:val="single" w:sz="4" w:space="0" w:color="auto"/>
              <w:left w:val="single" w:sz="4" w:space="0" w:color="auto"/>
              <w:bottom w:val="single" w:sz="4" w:space="0" w:color="auto"/>
              <w:right w:val="single" w:sz="4" w:space="0" w:color="auto"/>
            </w:tcBorders>
            <w:noWrap/>
            <w:vAlign w:val="center"/>
          </w:tcPr>
          <w:p>
            <w:pPr>
              <w:adjustRightInd w:val="0"/>
              <w:snapToGrid w:val="0"/>
              <w:spacing w:line="360" w:lineRule="exact"/>
              <w:jc w:val="center"/>
              <w:rPr>
                <w:rFonts w:ascii="宋体" w:cs="宋体" w:hint="eastAsia"/>
                <w:color w:val="000000"/>
                <w:szCs w:val="21"/>
                <w:lang w:val="en-US"/>
              </w:rPr>
            </w:pPr>
            <w:r>
              <w:rPr>
                <w:rFonts w:ascii="宋体" w:cs="宋体" w:hint="eastAsia"/>
                <w:color w:val="000000"/>
                <w:szCs w:val="21"/>
                <w:lang w:val="en-US"/>
              </w:rPr>
              <w:t>标签及其他标识物</w:t>
            </w:r>
          </w:p>
        </w:tc>
        <w:tc>
          <w:tcPr>
            <w:tcW w:w="1879" w:type="pct"/>
            <w:tcBorders>
              <w:top w:val="single" w:sz="4" w:space="0" w:color="auto"/>
              <w:left w:val="single" w:sz="4" w:space="0" w:color="auto"/>
              <w:bottom w:val="single" w:sz="4" w:space="0" w:color="auto"/>
              <w:right w:val="single" w:sz="4" w:space="0" w:color="auto"/>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ascii="宋体" w:cs="宋体" w:hint="eastAsia"/>
                <w:color w:val="000000"/>
                <w:szCs w:val="21"/>
              </w:rPr>
            </w:pPr>
            <w:r>
              <w:rPr>
                <w:rFonts w:ascii="宋体" w:cs="宋体" w:hint="eastAsia"/>
                <w:color w:val="000000"/>
                <w:szCs w:val="21"/>
              </w:rPr>
              <w:t>GB 11887—2012及第</w:t>
            </w:r>
            <w:r>
              <w:rPr>
                <w:rFonts w:ascii="宋体" w:cs="宋体" w:hint="eastAsia"/>
                <w:color w:val="000000"/>
                <w:szCs w:val="21"/>
                <w:lang w:val="en-US"/>
              </w:rPr>
              <w:t>1号修改单</w:t>
            </w:r>
          </w:p>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ascii="宋体" w:cs="宋体" w:hint="eastAsia"/>
                <w:color w:val="000000"/>
                <w:szCs w:val="21"/>
              </w:rPr>
            </w:pPr>
            <w:r>
              <w:rPr>
                <w:rFonts w:ascii="宋体" w:cs="宋体" w:hint="eastAsia"/>
                <w:color w:val="000000"/>
                <w:szCs w:val="21"/>
              </w:rPr>
              <w:t>GB/T 31912—2015</w:t>
            </w:r>
          </w:p>
        </w:tc>
        <w:tc>
          <w:tcPr>
            <w:tcW w:w="532"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C</w:t>
            </w:r>
          </w:p>
        </w:tc>
        <w:tc>
          <w:tcPr>
            <w:tcW w:w="614" w:type="pct"/>
            <w:tcBorders>
              <w:top w:val="single" w:sz="4" w:space="0" w:color="auto"/>
              <w:left w:val="single" w:sz="4" w:space="0" w:color="auto"/>
              <w:bottom w:val="single" w:sz="4" w:space="0" w:color="auto"/>
              <w:right w:val="single" w:sz="4" w:space="0" w:color="auto"/>
            </w:tcBorders>
            <w:noWrap/>
            <w:vAlign w:val="center"/>
          </w:tcPr>
          <w:p>
            <w:pPr>
              <w:jc w:val="center"/>
              <w:rPr>
                <w:rFonts w:ascii="宋体" w:cs="宋体" w:hint="eastAsia"/>
                <w:color w:val="000000"/>
                <w:szCs w:val="21"/>
              </w:rPr>
            </w:pPr>
            <w:r>
              <w:rPr>
                <w:rFonts w:ascii="宋体" w:cs="宋体" w:hint="eastAsia"/>
                <w:color w:val="000000"/>
                <w:szCs w:val="21"/>
                <w:lang w:val="en-US"/>
              </w:rPr>
              <w:t>否</w:t>
            </w:r>
          </w:p>
        </w:tc>
      </w:tr>
    </w:tbl>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重要程度分级：A类-极重要质量项目，是指直接涉及影响人身健康、安全的指标；B类-重要质量项目，是指产品涉及环保、能效、关键或特征性指标等；C类-一般质量项目，外观、尺寸等不直接影响产品使用的指标。</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执行企业标准、团体标准、地方标准的产品，检验项目参照上述内容执行。</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凡是注日期的文件，其随后所有的修改单（不包括勘误的内容）或修订版不适用于本细则。凡是不注日期的文件，其最新版本适用于本细则。</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beforeLines="100" w:before="312" w:afterLines="100" w:after="312" w:line="440" w:lineRule="exact"/>
        <w:textAlignment w:val="auto"/>
        <w:rPr>
          <w:rFonts w:ascii="黑体" w:eastAsia="黑体" w:cs="黑体" w:hint="eastAsia"/>
          <w:color w:val="000000"/>
          <w:szCs w:val="21"/>
        </w:rPr>
      </w:pPr>
      <w:r>
        <w:rPr>
          <w:rFonts w:ascii="黑体" w:eastAsia="黑体" w:cs="黑体" w:hint="eastAsia"/>
          <w:color w:val="000000"/>
          <w:szCs w:val="21"/>
        </w:rPr>
        <w:t>4 判定规则</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4.1依据标准</w:t>
      </w:r>
    </w:p>
    <w:p>
      <w:pPr>
        <w:adjustRightInd w:val="0"/>
        <w:snapToGrid w:val="0"/>
        <w:spacing w:line="440" w:lineRule="exact"/>
        <w:ind w:firstLineChars="200" w:firstLine="420"/>
        <w:rPr>
          <w:rFonts w:ascii="宋体" w:cs="宋体" w:hint="eastAsia"/>
          <w:color w:val="000000"/>
          <w:szCs w:val="21"/>
        </w:rPr>
      </w:pPr>
      <w:r>
        <w:rPr>
          <w:rFonts w:ascii="宋体" w:cs="宋体" w:hint="eastAsia"/>
          <w:color w:val="000000"/>
          <w:szCs w:val="21"/>
        </w:rPr>
        <w:t>GB 11887</w:t>
      </w:r>
      <w:r>
        <w:rPr>
          <w:rFonts w:ascii="宋体" w:cs="宋体" w:hint="eastAsia"/>
          <w:color w:val="000000"/>
          <w:szCs w:val="21"/>
          <w:lang w:val="en-US"/>
        </w:rPr>
        <w:t>—2012 《</w:t>
      </w:r>
      <w:r>
        <w:rPr>
          <w:rFonts w:ascii="宋体" w:cs="宋体" w:hint="eastAsia"/>
          <w:color w:val="000000"/>
          <w:szCs w:val="21"/>
        </w:rPr>
        <w:t>首饰</w:t>
      </w:r>
      <w:r>
        <w:rPr>
          <w:rFonts w:ascii="宋体" w:cs="宋体" w:hint="eastAsia"/>
          <w:color w:val="000000"/>
          <w:szCs w:val="21"/>
          <w:lang w:val="en-US"/>
        </w:rPr>
        <w:t xml:space="preserve">  </w:t>
      </w:r>
      <w:r>
        <w:rPr>
          <w:rFonts w:ascii="宋体" w:cs="宋体" w:hint="eastAsia"/>
          <w:color w:val="000000"/>
          <w:szCs w:val="21"/>
        </w:rPr>
        <w:t>贵金属纯度的规定及命名方法》</w:t>
      </w:r>
    </w:p>
    <w:p>
      <w:pPr>
        <w:adjustRightInd w:val="0"/>
        <w:snapToGrid w:val="0"/>
        <w:spacing w:line="440" w:lineRule="exact"/>
        <w:ind w:firstLineChars="200" w:firstLine="420"/>
        <w:rPr>
          <w:rFonts w:ascii="宋体" w:cs="宋体" w:hint="eastAsia"/>
          <w:color w:val="000000"/>
          <w:szCs w:val="21"/>
        </w:rPr>
      </w:pPr>
      <w:r>
        <w:rPr>
          <w:rFonts w:ascii="宋体" w:cs="宋体" w:hint="eastAsia"/>
          <w:color w:val="000000"/>
          <w:szCs w:val="21"/>
        </w:rPr>
        <w:t>GB 11887—2012《首饰</w:t>
      </w:r>
      <w:r>
        <w:rPr>
          <w:rFonts w:ascii="宋体" w:cs="宋体" w:hint="eastAsia"/>
          <w:color w:val="000000"/>
          <w:szCs w:val="21"/>
          <w:lang w:val="en-US"/>
        </w:rPr>
        <w:t xml:space="preserve">  </w:t>
      </w:r>
      <w:r>
        <w:rPr>
          <w:rFonts w:ascii="宋体" w:cs="宋体" w:hint="eastAsia"/>
          <w:color w:val="000000"/>
          <w:szCs w:val="21"/>
        </w:rPr>
        <w:t>贵金属纯度的规定及命名方法》国家标准第</w:t>
      </w:r>
      <w:r>
        <w:rPr>
          <w:rFonts w:ascii="宋体" w:cs="宋体" w:hint="eastAsia"/>
          <w:color w:val="000000"/>
          <w:szCs w:val="21"/>
          <w:lang w:val="en-US"/>
        </w:rPr>
        <w:t>1号修改单</w:t>
      </w:r>
    </w:p>
    <w:p>
      <w:pPr>
        <w:adjustRightInd w:val="0"/>
        <w:snapToGrid w:val="0"/>
        <w:spacing w:line="440" w:lineRule="exact"/>
        <w:ind w:firstLineChars="200" w:firstLine="420"/>
        <w:rPr>
          <w:rFonts w:ascii="宋体" w:cs="宋体" w:hint="eastAsia"/>
          <w:color w:val="000000"/>
          <w:szCs w:val="21"/>
        </w:rPr>
      </w:pPr>
      <w:r>
        <w:rPr>
          <w:rFonts w:ascii="宋体" w:cs="宋体" w:hint="eastAsia"/>
          <w:color w:val="000000"/>
          <w:szCs w:val="21"/>
        </w:rPr>
        <w:t>GB/T 36128—2018</w:t>
      </w:r>
      <w:r>
        <w:rPr>
          <w:rFonts w:ascii="宋体" w:cs="宋体" w:hint="eastAsia"/>
          <w:color w:val="000000"/>
          <w:szCs w:val="21"/>
          <w:lang w:val="en-US"/>
        </w:rPr>
        <w:t xml:space="preserve"> 《</w:t>
      </w:r>
      <w:r>
        <w:rPr>
          <w:rFonts w:ascii="宋体" w:cs="宋体" w:hint="eastAsia"/>
          <w:color w:val="000000"/>
          <w:szCs w:val="21"/>
        </w:rPr>
        <w:t>珠宝贵金属产品质量测量允差的规定》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QB/T 1690</w:t>
      </w:r>
      <w:r>
        <w:rPr>
          <w:rFonts w:ascii="宋体" w:eastAsia="宋体" w:cs="宋体" w:hint="eastAsia"/>
          <w:spacing w:val="5"/>
          <w:sz w:val="21"/>
          <w:szCs w:val="21"/>
        </w:rPr>
        <w:t>—</w:t>
      </w:r>
      <w:r>
        <w:rPr>
          <w:rFonts w:ascii="宋体" w:eastAsia="宋体" w:cs="宋体" w:hint="eastAsia"/>
          <w:color w:val="000000"/>
          <w:szCs w:val="21"/>
          <w:lang w:eastAsia="zh-CN"/>
          <w:highlight w:val="auto"/>
        </w:rPr>
        <w:t>2021</w:t>
      </w:r>
      <w:r>
        <w:rPr>
          <w:rFonts w:ascii="宋体" w:cs="宋体" w:hint="eastAsia"/>
          <w:color w:val="000000"/>
          <w:szCs w:val="21"/>
          <w:lang w:val="en-US" w:eastAsia="zh-CN"/>
          <w:highlight w:val="auto"/>
        </w:rPr>
        <w:t xml:space="preserve"> </w:t>
      </w:r>
      <w:r>
        <w:rPr>
          <w:rFonts w:ascii="宋体" w:eastAsia="宋体" w:cs="宋体" w:hint="eastAsia"/>
          <w:color w:val="000000"/>
          <w:szCs w:val="21"/>
          <w:lang w:eastAsia="zh-CN"/>
          <w:highlight w:val="auto"/>
        </w:rPr>
        <w:t>《贵金属饰品质量测量允差的规定》</w:t>
      </w:r>
      <w:bookmarkStart w:id="1" w:name="_GoBack"/>
      <w:bookmarkEnd w:id="1"/>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GB/T 33541</w:t>
      </w:r>
      <w:r>
        <w:rPr>
          <w:rFonts w:ascii="宋体" w:eastAsia="宋体" w:cs="宋体" w:hint="eastAsia"/>
          <w:spacing w:val="5"/>
          <w:sz w:val="21"/>
          <w:szCs w:val="21"/>
        </w:rPr>
        <w:t>—</w:t>
      </w:r>
      <w:r>
        <w:rPr>
          <w:rFonts w:ascii="宋体" w:eastAsia="宋体" w:cs="宋体" w:hint="eastAsia"/>
          <w:color w:val="000000"/>
          <w:szCs w:val="21"/>
          <w:lang w:eastAsia="zh-CN"/>
          <w:highlight w:val="auto"/>
        </w:rPr>
        <w:t>2017 《珠宝玉石及贵金属产品抽样检验合格判定准则》</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GB/T 31912</w:t>
      </w:r>
      <w:r>
        <w:rPr>
          <w:rFonts w:ascii="宋体" w:eastAsia="宋体" w:cs="宋体" w:hint="eastAsia"/>
          <w:spacing w:val="5"/>
          <w:sz w:val="21"/>
          <w:szCs w:val="21"/>
        </w:rPr>
        <w:t>—</w:t>
      </w:r>
      <w:r>
        <w:rPr>
          <w:rFonts w:ascii="宋体" w:eastAsia="宋体" w:cs="宋体" w:hint="eastAsia"/>
          <w:color w:val="000000"/>
          <w:szCs w:val="21"/>
          <w:lang w:eastAsia="zh-CN"/>
          <w:highlight w:val="auto"/>
        </w:rPr>
        <w:t>2015 《饰品</w:t>
      </w:r>
      <w:r>
        <w:rPr>
          <w:rFonts w:ascii="宋体" w:eastAsia="宋体" w:cs="宋体" w:hint="eastAsia"/>
          <w:color w:val="000000"/>
          <w:szCs w:val="21"/>
          <w:lang w:val="en-US" w:eastAsia="zh-CN"/>
          <w:highlight w:val="auto"/>
        </w:rPr>
        <w:t xml:space="preserve"> </w:t>
      </w:r>
      <w:r>
        <w:rPr>
          <w:rFonts w:ascii="宋体" w:eastAsia="宋体" w:cs="宋体" w:hint="eastAsia"/>
          <w:color w:val="000000"/>
          <w:szCs w:val="21"/>
          <w:lang w:eastAsia="zh-CN"/>
          <w:highlight w:val="auto"/>
        </w:rPr>
        <w:t>标识》</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GB/T 16552</w:t>
      </w:r>
      <w:r>
        <w:rPr>
          <w:rFonts w:ascii="宋体" w:eastAsia="宋体" w:cs="宋体" w:hint="eastAsia"/>
          <w:spacing w:val="5"/>
          <w:sz w:val="21"/>
          <w:szCs w:val="21"/>
        </w:rPr>
        <w:t>—</w:t>
      </w:r>
      <w:r>
        <w:rPr>
          <w:rFonts w:ascii="宋体" w:eastAsia="宋体" w:cs="宋体" w:hint="eastAsia"/>
          <w:color w:val="000000"/>
          <w:szCs w:val="21"/>
          <w:lang w:eastAsia="zh-CN"/>
          <w:highlight w:val="auto"/>
        </w:rPr>
        <w:t>2017 《珠宝玉石 名称》</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GB/T 16553</w:t>
      </w:r>
      <w:r>
        <w:rPr>
          <w:rFonts w:ascii="宋体" w:eastAsia="宋体" w:cs="宋体" w:hint="eastAsia"/>
          <w:spacing w:val="5"/>
          <w:sz w:val="21"/>
          <w:szCs w:val="21"/>
        </w:rPr>
        <w:t>—</w:t>
      </w:r>
      <w:r>
        <w:rPr>
          <w:rFonts w:ascii="宋体" w:eastAsia="宋体" w:cs="宋体" w:hint="eastAsia"/>
          <w:color w:val="000000"/>
          <w:szCs w:val="21"/>
          <w:lang w:eastAsia="zh-CN"/>
          <w:highlight w:val="auto"/>
        </w:rPr>
        <w:t>2017 《珠宝玉石 鉴定》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GB/T 16554</w:t>
      </w:r>
      <w:r>
        <w:rPr>
          <w:rFonts w:ascii="宋体" w:eastAsia="宋体" w:cs="宋体" w:hint="eastAsia"/>
          <w:spacing w:val="5"/>
          <w:sz w:val="21"/>
          <w:szCs w:val="21"/>
        </w:rPr>
        <w:t>—</w:t>
      </w:r>
      <w:r>
        <w:rPr>
          <w:rFonts w:ascii="宋体" w:eastAsia="宋体" w:cs="宋体" w:hint="eastAsia"/>
          <w:color w:val="000000"/>
          <w:szCs w:val="21"/>
          <w:lang w:eastAsia="zh-CN"/>
          <w:highlight w:val="auto"/>
        </w:rPr>
        <w:t>2017 《钻石分级》</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QB/T 1689</w:t>
      </w:r>
      <w:r>
        <w:rPr>
          <w:rFonts w:ascii="宋体" w:eastAsia="宋体" w:cs="宋体" w:hint="eastAsia"/>
          <w:spacing w:val="5"/>
          <w:sz w:val="21"/>
          <w:szCs w:val="21"/>
        </w:rPr>
        <w:t>—</w:t>
      </w:r>
      <w:r>
        <w:rPr>
          <w:rFonts w:ascii="宋体" w:eastAsia="宋体" w:cs="宋体" w:hint="eastAsia"/>
          <w:color w:val="000000"/>
          <w:szCs w:val="21"/>
          <w:lang w:eastAsia="zh-CN"/>
          <w:highlight w:val="auto"/>
        </w:rPr>
        <w:t>2021《贵金属饰品术语》</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相关的法律、行政法规、部门规章、规范性文件</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现行有效的企业标准、团体标准、地方标准及产品明示质量要求</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4.2判定原则</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若被检产品明示的质量要求高于本细则中检验项目依据的标准要求时，应按被检产品明示的质量要求判定。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若被检产品明示的质量要求低于本细则中检验项目依据的强制性标准要求时，应按照强制性标准要求判定。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若被检产品明示的质量要求低于或包含本细则中检验项目依据的推荐性标准要求时，应以被检产品明示的质量要求判定。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若被检产品明示的质量要求缺少本细则中检验项目依据的强制性标准要求时，应按照强制性标准要求判定。</w:t>
      </w:r>
    </w:p>
    <w:p>
      <w:pPr>
        <w:adjustRightInd w:val="0"/>
        <w:snapToGrid w:val="0"/>
        <w:spacing w:line="440" w:lineRule="exact"/>
        <w:ind w:firstLineChars="200" w:firstLine="420"/>
        <w:rPr>
          <w:rFonts w:ascii="宋体" w:eastAsia="宋体" w:cs="宋体" w:hint="eastAsia"/>
          <w:color w:val="000000"/>
          <w:szCs w:val="21"/>
          <w:lang w:eastAsia="zh-CN"/>
          <w:highlight w:val="auto"/>
        </w:rPr>
      </w:pPr>
      <w:r>
        <w:rPr>
          <w:rFonts w:ascii="宋体" w:eastAsia="宋体" w:cs="宋体" w:hint="eastAsia"/>
          <w:color w:val="000000"/>
          <w:szCs w:val="21"/>
          <w:lang w:eastAsia="zh-CN"/>
          <w:highlight w:val="auto"/>
        </w:rPr>
        <w:t>若被检产品明示的质量要求缺少本细则中检验项目依据的推荐性标准要求时，该项目不参与判定。</w:t>
      </w:r>
    </w:p>
    <w:p>
      <w:pPr>
        <w:adjustRightInd w:val="0"/>
        <w:snapToGrid w:val="0"/>
        <w:spacing w:line="440" w:lineRule="exact"/>
        <w:ind w:firstLineChars="200" w:firstLine="420"/>
        <w:rPr>
          <w:rFonts w:ascii="宋体" w:eastAsia="宋体" w:cs="宋体" w:hint="eastAsia"/>
          <w:color w:val="000000"/>
          <w:szCs w:val="21"/>
          <w:lang w:eastAsia="zh-CN"/>
          <w:highlight w:val="auto"/>
        </w:rPr>
      </w:pPr>
    </w:p>
    <w:sectPr>
      <w:headerReference w:type="default" r:id="rId2"/>
      <w:footerReference w:type="default" r:id="rId3"/>
      <w:footerReference w:type="even" r:id="rId4"/>
      <w:pgSz w:w="11906" w:h="16838"/>
      <w:pgMar w:top="1984" w:right="1474" w:bottom="1644" w:left="1474" w:header="850" w:footer="1191"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50"/>
    <w:family w:val="auto"/>
    <w:pitch w:val="variable"/>
    <w:sig w:usb0="00000003" w:usb1="288F0000" w:usb2="00000006" w:usb3="00000000" w:csb0="00040001" w:csb1="00000000"/>
  </w:font>
  <w:font w:name="方正小标宋简体">
    <w:panose1 w:val="02010600010101010101"/>
    <w:charset w:val="86"/>
    <w:family w:val="auto"/>
    <w:pitch w:val="variable"/>
    <w:sig w:usb0="00000001" w:usb1="080E0000" w:usb2="00000000" w:usb3="00000000" w:csb0="00040000" w:csb1="00000000"/>
  </w:font>
  <w:font w:name="黑体">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20007A87" w:usb1="80000000" w:usb2="00000008" w:usb3="00000000" w:csb0="000001FF" w:csb1="00000000"/>
  </w:font>
  <w:font w:name="Calibri">
    <w:altName w:val="Times New Roman"/>
    <w:panose1 w:val="020F0502020204030204"/>
    <w:charset w:val="00"/>
    <w:family w:val="swiss"/>
    <w:pitch w:val="variable"/>
    <w:sig w:usb0="E00002FF" w:usb1="4000ACFF" w:usb2="00000001" w:usb3="00000000" w:csb0="2000019F" w:csb1="00000000"/>
  </w:font>
  <w:font w:name="Courier New">
    <w:altName w:val="DejaVu Sans"/>
    <w:panose1 w:val="02070309020205020404"/>
    <w:charset w:val="01"/>
    <w:family w:val="modern"/>
    <w:pitch w:val="variable"/>
    <w:sig w:usb0="E0002AFF" w:usb1="C0007843" w:usb2="00000009" w:usb3="00000000" w:csb0="400001FF" w:csb1="FFFF0000"/>
  </w:font>
  <w:font w:name="仿宋_GB2312">
    <w:panose1 w:val="02010609030101010101"/>
    <w:charset w:val="86"/>
    <w:family w:val="auto"/>
    <w:pitch w:val="variable"/>
    <w:sig w:usb0="00000001" w:usb1="080E0000" w:usb2="00000000" w:usb3="00000000" w:csb0="00040000" w:csb1="00000000"/>
  </w:font>
  <w:font w:name="方正仿宋简体">
    <w:altName w:val="微软雅黑"/>
    <w:panose1 w:val="02000000000000000000"/>
    <w:charset w:val="86"/>
    <w:family w:val="script"/>
    <w:pitch w:val="variable"/>
    <w:sig w:usb0="00000000" w:usb1="00000000" w:usb2="00000012"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tabs>
        <w:tab w:val="center" w:pos="4153"/>
        <w:tab w:val="right" w:pos="8306"/>
      </w:tabs>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18"/>
      <w:tabs>
        <w:tab w:val="center" w:pos="4153"/>
        <w:tab w:val="right" w:pos="8306"/>
      </w:tabs>
      <w:ind w:right="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framePr w:w="0" w:hRule="auto" w:wrap="around" w:vAnchor="text" w:hAnchor="margin" w:xAlign="center" w:y="1" w:anchorLock="0"/>
      <w:tabs>
        <w:tab w:val="center" w:pos="4153"/>
        <w:tab w:val="right" w:pos="8306"/>
      </w:tabs>
      <w:rPr>
        <w:rStyle w:val="20"/>
      </w:rPr>
    </w:pPr>
    <w:r>
      <w:rPr>
        <w:rStyle w:val="20"/>
      </w:rPr>
      <w:fldChar w:fldCharType="begin"/>
    </w:r>
    <w:r>
      <w:rPr>
        <w:rStyle w:val="20"/>
      </w:rPr>
      <w:instrText xml:space="preserve">PAGE  </w:instrText>
    </w:r>
    <w:r>
      <w:fldChar w:fldCharType="separate"/>
    </w:r>
    <w:r>
      <w:rPr>
        <w:rStyle w:val="20"/>
      </w:rPr>
      <w:t>2</w:t>
    </w:r>
    <w:r>
      <w:fldChar w:fldCharType="end"/>
    </w:r>
  </w:p>
  <w:p>
    <w:pPr>
      <w:pStyle w:val="18"/>
      <w:tabs>
        <w:tab w:val="center" w:pos="4153"/>
        <w:tab w:val="right" w:pos="8306"/>
      </w:tabs>
      <w:ind w:right="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AltKinsokuLineBreakRules/>
    <w:compatSetting w:name="compatibilityMode" w:uri="http://schemas.microsoft.com/office/word" w:val="14"/>
  </w:compat>
  <w:docVars>
    <w:docVar w:name="commondata" w:val="eyJoZGlkIjoiMDRiN2FiY2Q3ZTYyNzRjNjQ0Y2ZhMzllZGNmMTZkOT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Times New Roman" w:eastAsia="黑体" w:hAnsi="Times New Roman"/>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annotation text"/>
    <w:basedOn w:val="0"/>
    <w:pPr>
      <w:jc w:val="left"/>
    </w:pPr>
  </w:style>
  <w:style w:type="paragraph" w:styleId="16">
    <w:name w:val="Plain Text"/>
    <w:basedOn w:val="0"/>
    <w:rPr>
      <w:rFonts w:ascii="宋体"/>
      <w:kern w:val="0"/>
      <w:sz w:val="20"/>
      <w:szCs w:val="20"/>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character" w:styleId="20">
    <w:name w:val="page number"/>
  </w:style>
  <w:style w:type="paragraph" w:customStyle="1" w:styleId="21">
    <w:name w:val="列出段落1"/>
    <w:basedOn w:val="0"/>
    <w:pPr>
      <w:ind w:firstLineChars="200" w:firstLine="200"/>
    </w:pPr>
    <w:rPr>
      <w:rFonts w:ascii="Calibri" w:hAnsi="Calibri"/>
      <w:szCs w:val="22"/>
    </w:rPr>
  </w:style>
  <w:style w:type="character" w:customStyle="1" w:styleId="22">
    <w:name w:val="纯文本 Char1"/>
    <w:rPr>
      <w:rFonts w:ascii="宋体" w:cs="Courier New"/>
      <w:kern w:val="2"/>
      <w:sz w:val="21"/>
      <w:szCs w:val="21"/>
    </w:rPr>
  </w:style>
  <w:style w:type="paragraph" w:customStyle="1" w:styleId="23">
    <w:name w:val="列项·"/>
    <w:pPr>
      <w:tabs>
        <w:tab w:val="left" w:pos="840"/>
      </w:tabs>
      <w:ind w:left="420"/>
      <w:jc w:val="both"/>
    </w:pPr>
    <w:rPr>
      <w:rFonts w:ascii="宋体" w:eastAsia="宋体" w:cs="Times New Roman"/>
      <w:sz w:val="21"/>
      <w:szCs w:val="20"/>
      <w:lang w:val="en-US" w:eastAsia="zh-CN" w:bidi="ar-SA"/>
    </w:rPr>
  </w:style>
  <w:style w:type="paragraph" w:customStyle="1" w:styleId="24">
    <w:name w:val="方案正文"/>
    <w:basedOn w:val="0"/>
    <w:pPr>
      <w:spacing w:line="360" w:lineRule="auto"/>
      <w:ind w:firstLineChars="200" w:firstLine="200"/>
    </w:pPr>
    <w:rPr>
      <w:rFonts w:ascii="仿宋_GB2312" w:eastAsia="仿宋_GB2312" w:cs="方正仿宋简体"/>
      <w:color w:val="000000"/>
      <w:sz w:val="28"/>
      <w:szCs w:val="28"/>
    </w:rPr>
  </w:style>
  <w:style w:type="character" w:customStyle="1" w:styleId="25">
    <w:name w:val="纯文本 字符"/>
    <w:rPr>
      <w:rFonts w:ascii="宋体"/>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Yozo_Office27021597764231179</Application>
  <Pages>3</Pages>
  <Words>1151</Words>
  <Characters>1418</Characters>
  <Lines>113</Lines>
  <Paragraphs>97</Paragraphs>
  <CharactersWithSpaces>1469</CharactersWithSpaces>
  <Company>Legend (Beijing) Limited</Company>
</Properties>
</file>

<file path=docProps/core.xml><?xml version="1.0" encoding="utf-8"?>
<cp:coreProperties xmlns:cp="http://schemas.openxmlformats.org/package/2006/metadata/core-properties" xmlns:dc="http://purl.org/dc/elements/1.1/" xmlns:dcterms="http://purl.org/dc/terms/" xmlns:xsi="http://www.w3.org/2001/XMLSchema-instance">
  <dc:title>××产品质量监督抽查实施细则</dc:title>
  <dc:creator>Legend User</dc:creator>
  <cp:lastModifiedBy>user</cp:lastModifiedBy>
  <cp:revision>5</cp:revision>
  <cp:lastPrinted>2022-02-16T00:32:00Z</cp:lastPrinted>
  <dcterms:created xsi:type="dcterms:W3CDTF">2022-07-22T12:22:00Z</dcterms:created>
  <dcterms:modified xsi:type="dcterms:W3CDTF">2026-07-28T02:43:23Z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2052-12.1.0.26895</vt:lpwstr>
  </property>
  <property fmtid="{D5CDD505-2E9C-101B-9397-08002B2CF9AE}" pid="3" name="KSOSaveFontToCloudKey">
    <vt:lpwstr>255004054_embed</vt:lpwstr>
  </property>
  <property fmtid="{D5CDD505-2E9C-101B-9397-08002B2CF9AE}" pid="4" name="ICV">
    <vt:lpwstr>7AF3E10E6CF74092BEBF0B71DFD66AF7_13</vt:lpwstr>
  </property>
  <property fmtid="{D5CDD505-2E9C-101B-9397-08002B2CF9AE}" pid="5" name="KSOTemplateDocerSaveRecord">
    <vt:lpwstr>eyJoZGlkIjoiZGJjY2E5MjQ2ZTc2NDYyOTZhNjNkMjhiY2UxNzQ3NjYiLCJ1c2VySWQiOiI0NDA5OTgwMzQifQ==</vt:lpwstr>
  </property>
</Properties>
</file>