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玩具</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3个</w:t>
      </w:r>
      <w:r>
        <w:rPr>
          <w:color w:val="000000"/>
          <w:szCs w:val="21"/>
        </w:rPr>
        <w:t>，其中</w:t>
      </w:r>
      <w:r>
        <w:rPr>
          <w:rFonts w:hint="eastAsia"/>
          <w:color w:val="auto"/>
          <w:szCs w:val="21"/>
          <w:lang w:val="en-US" w:eastAsia="zh-CN"/>
        </w:rPr>
        <w:t>2个</w:t>
      </w:r>
      <w:r>
        <w:rPr>
          <w:color w:val="000000"/>
          <w:szCs w:val="21"/>
        </w:rPr>
        <w:t>作为检验样品</w:t>
      </w:r>
      <w:r>
        <w:rPr>
          <w:rFonts w:hint="eastAsia"/>
          <w:color w:val="000000"/>
          <w:szCs w:val="21"/>
          <w:lang w:eastAsia="zh-CN"/>
        </w:rPr>
        <w:t>，</w:t>
      </w:r>
      <w:r>
        <w:rPr>
          <w:rFonts w:hint="eastAsia"/>
          <w:color w:val="auto"/>
          <w:szCs w:val="21"/>
          <w:lang w:val="en-US" w:eastAsia="zh-CN"/>
        </w:rPr>
        <w:t>1个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7C94F13">
      <w:pPr>
        <w:snapToGrid w:val="0"/>
        <w:spacing w:line="440" w:lineRule="exact"/>
        <w:jc w:val="center"/>
        <w:rPr>
          <w:rFonts w:eastAsia="黑体"/>
          <w:szCs w:val="21"/>
        </w:rPr>
      </w:pPr>
    </w:p>
    <w:tbl>
      <w:tblPr>
        <w:tblStyle w:val="5"/>
        <w:tblW w:w="43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2336"/>
        <w:gridCol w:w="4138"/>
      </w:tblGrid>
      <w:tr w14:paraId="34655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629" w:type="pct"/>
            <w:noWrap w:val="0"/>
            <w:vAlign w:val="center"/>
          </w:tcPr>
          <w:p w14:paraId="2ED8F17E">
            <w:pPr>
              <w:spacing w:line="300" w:lineRule="exact"/>
              <w:jc w:val="center"/>
              <w:rPr>
                <w:szCs w:val="21"/>
              </w:rPr>
            </w:pPr>
            <w:r>
              <w:rPr>
                <w:szCs w:val="21"/>
              </w:rPr>
              <w:t>序号</w:t>
            </w:r>
          </w:p>
        </w:tc>
        <w:tc>
          <w:tcPr>
            <w:tcW w:w="1577" w:type="pct"/>
            <w:noWrap w:val="0"/>
            <w:vAlign w:val="center"/>
          </w:tcPr>
          <w:p w14:paraId="455611F9">
            <w:pPr>
              <w:spacing w:line="300" w:lineRule="exact"/>
              <w:jc w:val="center"/>
              <w:rPr>
                <w:szCs w:val="21"/>
              </w:rPr>
            </w:pPr>
            <w:r>
              <w:rPr>
                <w:szCs w:val="21"/>
              </w:rPr>
              <w:t>检验项目</w:t>
            </w:r>
          </w:p>
        </w:tc>
        <w:tc>
          <w:tcPr>
            <w:tcW w:w="2793" w:type="pct"/>
            <w:noWrap w:val="0"/>
            <w:vAlign w:val="center"/>
          </w:tcPr>
          <w:p w14:paraId="2771761A">
            <w:pPr>
              <w:spacing w:line="300" w:lineRule="exact"/>
              <w:jc w:val="center"/>
              <w:rPr>
                <w:szCs w:val="21"/>
              </w:rPr>
            </w:pPr>
            <w:r>
              <w:rPr>
                <w:szCs w:val="21"/>
              </w:rPr>
              <w:t>检验方法</w:t>
            </w:r>
          </w:p>
        </w:tc>
      </w:tr>
      <w:tr w14:paraId="57AEB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noWrap w:val="0"/>
            <w:vAlign w:val="center"/>
          </w:tcPr>
          <w:p w14:paraId="6BA31C13">
            <w:pPr>
              <w:pStyle w:val="2"/>
              <w:tabs>
                <w:tab w:val="left" w:pos="2830"/>
              </w:tabs>
              <w:spacing w:line="300" w:lineRule="exact"/>
              <w:jc w:val="left"/>
              <w:rPr>
                <w:rFonts w:hint="default" w:ascii="Times New Roman" w:hAnsi="Times New Roman" w:eastAsia="宋体"/>
                <w:bCs/>
                <w:sz w:val="21"/>
                <w:szCs w:val="21"/>
                <w:lang w:val="en-US" w:eastAsia="zh-CN"/>
              </w:rPr>
            </w:pPr>
            <w:r>
              <w:rPr>
                <w:rFonts w:hint="eastAsia" w:ascii="Times New Roman" w:hAnsi="Times New Roman"/>
                <w:bCs/>
                <w:sz w:val="21"/>
                <w:szCs w:val="21"/>
                <w:lang w:eastAsia="zh-CN"/>
              </w:rPr>
              <w:tab/>
            </w:r>
            <w:r>
              <w:rPr>
                <w:rFonts w:hint="eastAsia" w:ascii="Times New Roman" w:hAnsi="Times New Roman"/>
                <w:bCs/>
                <w:sz w:val="21"/>
                <w:szCs w:val="21"/>
                <w:lang w:val="en-US" w:eastAsia="zh-CN"/>
              </w:rPr>
              <w:t>一、机械与物理性能（正常使用）</w:t>
            </w:r>
          </w:p>
        </w:tc>
      </w:tr>
      <w:tr w14:paraId="6DBD2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9" w:type="pct"/>
            <w:noWrap w:val="0"/>
            <w:vAlign w:val="center"/>
          </w:tcPr>
          <w:p w14:paraId="2828C060">
            <w:pPr>
              <w:pStyle w:val="2"/>
              <w:spacing w:line="300" w:lineRule="exact"/>
              <w:jc w:val="center"/>
              <w:rPr>
                <w:rFonts w:ascii="Times New Roman" w:hAnsi="Times New Roman"/>
                <w:bCs/>
                <w:sz w:val="21"/>
                <w:szCs w:val="21"/>
              </w:rPr>
            </w:pPr>
            <w:r>
              <w:rPr>
                <w:rFonts w:ascii="Times New Roman" w:hAnsi="Times New Roman"/>
                <w:bCs/>
                <w:sz w:val="21"/>
                <w:szCs w:val="21"/>
              </w:rPr>
              <w:t>1</w:t>
            </w:r>
          </w:p>
        </w:tc>
        <w:tc>
          <w:tcPr>
            <w:tcW w:w="1577" w:type="pct"/>
            <w:noWrap w:val="0"/>
            <w:vAlign w:val="center"/>
          </w:tcPr>
          <w:p w14:paraId="1D18F505">
            <w:pPr>
              <w:pStyle w:val="2"/>
              <w:spacing w:line="300" w:lineRule="exact"/>
              <w:jc w:val="center"/>
              <w:rPr>
                <w:rFonts w:ascii="Times New Roman" w:hAnsi="Times New Roman"/>
                <w:bCs/>
                <w:sz w:val="21"/>
                <w:szCs w:val="21"/>
              </w:rPr>
            </w:pPr>
            <w:r>
              <w:rPr>
                <w:rFonts w:ascii="Times New Roman" w:hAnsi="Times New Roman"/>
                <w:bCs/>
                <w:sz w:val="21"/>
                <w:szCs w:val="21"/>
              </w:rPr>
              <w:t>材料</w:t>
            </w:r>
          </w:p>
        </w:tc>
        <w:tc>
          <w:tcPr>
            <w:tcW w:w="2793" w:type="pct"/>
            <w:noWrap w:val="0"/>
            <w:vAlign w:val="center"/>
          </w:tcPr>
          <w:p w14:paraId="3D0A425F">
            <w:pPr>
              <w:pStyle w:val="2"/>
              <w:spacing w:line="300" w:lineRule="exact"/>
              <w:jc w:val="center"/>
              <w:rPr>
                <w:rFonts w:ascii="Times New Roman" w:hAnsi="Times New Roman"/>
                <w:bCs/>
                <w:sz w:val="21"/>
                <w:szCs w:val="21"/>
              </w:rPr>
            </w:pPr>
            <w:r>
              <w:rPr>
                <w:rFonts w:ascii="Times New Roman" w:hAnsi="Times New Roman"/>
                <w:bCs/>
                <w:sz w:val="21"/>
                <w:szCs w:val="21"/>
              </w:rPr>
              <w:t>GB 6675.2—2014</w:t>
            </w:r>
          </w:p>
        </w:tc>
      </w:tr>
      <w:tr w14:paraId="12DB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9" w:type="pct"/>
            <w:noWrap w:val="0"/>
            <w:vAlign w:val="center"/>
          </w:tcPr>
          <w:p w14:paraId="3E4DE7EE">
            <w:pPr>
              <w:pStyle w:val="2"/>
              <w:spacing w:line="300" w:lineRule="exact"/>
              <w:jc w:val="center"/>
              <w:rPr>
                <w:rFonts w:ascii="Times New Roman" w:hAnsi="Times New Roman"/>
                <w:bCs/>
                <w:sz w:val="21"/>
                <w:szCs w:val="21"/>
              </w:rPr>
            </w:pPr>
            <w:r>
              <w:rPr>
                <w:rFonts w:ascii="Times New Roman" w:hAnsi="Times New Roman"/>
                <w:bCs/>
                <w:sz w:val="21"/>
                <w:szCs w:val="21"/>
              </w:rPr>
              <w:t>2</w:t>
            </w:r>
          </w:p>
        </w:tc>
        <w:tc>
          <w:tcPr>
            <w:tcW w:w="1577" w:type="pct"/>
            <w:noWrap w:val="0"/>
            <w:vAlign w:val="center"/>
          </w:tcPr>
          <w:p w14:paraId="3254BB88">
            <w:pPr>
              <w:pStyle w:val="2"/>
              <w:spacing w:line="300" w:lineRule="exact"/>
              <w:jc w:val="center"/>
              <w:rPr>
                <w:rFonts w:ascii="Times New Roman" w:hAnsi="Times New Roman"/>
                <w:bCs/>
                <w:sz w:val="21"/>
                <w:szCs w:val="21"/>
              </w:rPr>
            </w:pPr>
            <w:r>
              <w:rPr>
                <w:rFonts w:ascii="Times New Roman" w:hAnsi="Times New Roman"/>
                <w:bCs/>
                <w:sz w:val="21"/>
                <w:szCs w:val="21"/>
              </w:rPr>
              <w:t>小零件</w:t>
            </w:r>
          </w:p>
        </w:tc>
        <w:tc>
          <w:tcPr>
            <w:tcW w:w="2793" w:type="pct"/>
            <w:noWrap w:val="0"/>
            <w:vAlign w:val="center"/>
          </w:tcPr>
          <w:p w14:paraId="094B796E">
            <w:pPr>
              <w:pStyle w:val="2"/>
              <w:spacing w:line="300" w:lineRule="exact"/>
              <w:jc w:val="center"/>
              <w:rPr>
                <w:rFonts w:ascii="Times New Roman" w:hAnsi="Times New Roman"/>
                <w:bCs/>
                <w:sz w:val="21"/>
                <w:szCs w:val="21"/>
              </w:rPr>
            </w:pPr>
            <w:r>
              <w:rPr>
                <w:rFonts w:ascii="Times New Roman" w:hAnsi="Times New Roman"/>
                <w:bCs/>
                <w:sz w:val="21"/>
                <w:szCs w:val="21"/>
              </w:rPr>
              <w:t>GB 6675.2—2014（含第1号修改单）</w:t>
            </w:r>
          </w:p>
        </w:tc>
      </w:tr>
      <w:tr w14:paraId="5AC1E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9" w:type="pct"/>
            <w:noWrap w:val="0"/>
            <w:vAlign w:val="center"/>
          </w:tcPr>
          <w:p w14:paraId="299119A3">
            <w:pPr>
              <w:pStyle w:val="2"/>
              <w:spacing w:line="300" w:lineRule="exact"/>
              <w:jc w:val="center"/>
              <w:rPr>
                <w:rFonts w:hint="eastAsia" w:ascii="Times New Roman" w:hAnsi="Times New Roman" w:eastAsia="宋体"/>
                <w:bCs/>
                <w:sz w:val="21"/>
                <w:szCs w:val="21"/>
                <w:lang w:eastAsia="zh-CN"/>
              </w:rPr>
            </w:pPr>
            <w:r>
              <w:rPr>
                <w:rFonts w:hint="eastAsia" w:ascii="Times New Roman" w:hAnsi="Times New Roman"/>
                <w:bCs/>
                <w:sz w:val="21"/>
                <w:szCs w:val="21"/>
                <w:lang w:val="en-US" w:eastAsia="zh-CN"/>
              </w:rPr>
              <w:t>3</w:t>
            </w:r>
          </w:p>
        </w:tc>
        <w:tc>
          <w:tcPr>
            <w:tcW w:w="1577" w:type="pct"/>
            <w:noWrap w:val="0"/>
            <w:vAlign w:val="center"/>
          </w:tcPr>
          <w:p w14:paraId="0478F8EE">
            <w:pPr>
              <w:pStyle w:val="2"/>
              <w:spacing w:line="300" w:lineRule="exact"/>
              <w:jc w:val="center"/>
              <w:rPr>
                <w:rFonts w:ascii="Times New Roman" w:hAnsi="Times New Roman"/>
                <w:bCs/>
                <w:sz w:val="21"/>
                <w:szCs w:val="21"/>
              </w:rPr>
            </w:pPr>
            <w:r>
              <w:rPr>
                <w:rFonts w:ascii="Times New Roman" w:hAnsi="Times New Roman"/>
                <w:bCs/>
                <w:sz w:val="21"/>
                <w:szCs w:val="21"/>
              </w:rPr>
              <w:t>可触及的金属或玻璃边缘</w:t>
            </w:r>
          </w:p>
        </w:tc>
        <w:tc>
          <w:tcPr>
            <w:tcW w:w="2793" w:type="pct"/>
            <w:noWrap w:val="0"/>
            <w:vAlign w:val="center"/>
          </w:tcPr>
          <w:p w14:paraId="2B10A710">
            <w:pPr>
              <w:pStyle w:val="2"/>
              <w:spacing w:line="300" w:lineRule="exact"/>
              <w:jc w:val="center"/>
              <w:rPr>
                <w:rFonts w:ascii="Times New Roman" w:hAnsi="Times New Roman"/>
                <w:bCs/>
                <w:sz w:val="21"/>
                <w:szCs w:val="21"/>
              </w:rPr>
            </w:pPr>
            <w:r>
              <w:rPr>
                <w:rFonts w:ascii="Times New Roman" w:hAnsi="Times New Roman"/>
                <w:bCs/>
                <w:sz w:val="21"/>
                <w:szCs w:val="21"/>
              </w:rPr>
              <w:t>GB 6675.2—2014（含第1号修改单）</w:t>
            </w:r>
          </w:p>
        </w:tc>
      </w:tr>
      <w:tr w14:paraId="44739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9" w:type="pct"/>
            <w:noWrap w:val="0"/>
            <w:vAlign w:val="center"/>
          </w:tcPr>
          <w:p w14:paraId="06C99A88">
            <w:pPr>
              <w:pStyle w:val="2"/>
              <w:spacing w:line="300" w:lineRule="exact"/>
              <w:jc w:val="center"/>
              <w:rPr>
                <w:rFonts w:hint="eastAsia" w:ascii="Times New Roman" w:hAnsi="Times New Roman" w:eastAsia="宋体"/>
                <w:bCs/>
                <w:sz w:val="21"/>
                <w:szCs w:val="21"/>
                <w:lang w:eastAsia="zh-CN"/>
              </w:rPr>
            </w:pPr>
            <w:r>
              <w:rPr>
                <w:rFonts w:hint="eastAsia" w:ascii="Times New Roman" w:hAnsi="Times New Roman"/>
                <w:bCs/>
                <w:sz w:val="21"/>
                <w:szCs w:val="21"/>
                <w:lang w:val="en-US" w:eastAsia="zh-CN"/>
              </w:rPr>
              <w:t>4</w:t>
            </w:r>
          </w:p>
        </w:tc>
        <w:tc>
          <w:tcPr>
            <w:tcW w:w="1577" w:type="pct"/>
            <w:noWrap w:val="0"/>
            <w:vAlign w:val="center"/>
          </w:tcPr>
          <w:p w14:paraId="1D94C93C">
            <w:pPr>
              <w:pStyle w:val="2"/>
              <w:spacing w:line="300" w:lineRule="exact"/>
              <w:jc w:val="center"/>
              <w:rPr>
                <w:rFonts w:ascii="Times New Roman" w:hAnsi="Times New Roman"/>
                <w:bCs/>
                <w:sz w:val="21"/>
                <w:szCs w:val="21"/>
              </w:rPr>
            </w:pPr>
            <w:r>
              <w:rPr>
                <w:rFonts w:ascii="Times New Roman" w:hAnsi="Times New Roman"/>
                <w:bCs/>
                <w:sz w:val="21"/>
                <w:szCs w:val="21"/>
              </w:rPr>
              <w:t>功能性锐利边缘</w:t>
            </w:r>
          </w:p>
        </w:tc>
        <w:tc>
          <w:tcPr>
            <w:tcW w:w="2793" w:type="pct"/>
            <w:noWrap w:val="0"/>
            <w:vAlign w:val="center"/>
          </w:tcPr>
          <w:p w14:paraId="5009B837">
            <w:pPr>
              <w:pStyle w:val="2"/>
              <w:spacing w:line="300" w:lineRule="exact"/>
              <w:jc w:val="center"/>
              <w:rPr>
                <w:rFonts w:ascii="Times New Roman" w:hAnsi="Times New Roman"/>
                <w:bCs/>
                <w:sz w:val="21"/>
                <w:szCs w:val="21"/>
              </w:rPr>
            </w:pPr>
            <w:r>
              <w:rPr>
                <w:rFonts w:ascii="Times New Roman" w:hAnsi="Times New Roman"/>
                <w:bCs/>
                <w:sz w:val="21"/>
                <w:szCs w:val="21"/>
              </w:rPr>
              <w:t>GB 6675.2—2014（含第1号修改单）</w:t>
            </w:r>
          </w:p>
        </w:tc>
      </w:tr>
      <w:tr w14:paraId="25A97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9" w:type="pct"/>
            <w:noWrap w:val="0"/>
            <w:vAlign w:val="center"/>
          </w:tcPr>
          <w:p w14:paraId="2850A680">
            <w:pPr>
              <w:pStyle w:val="2"/>
              <w:spacing w:line="300" w:lineRule="exact"/>
              <w:jc w:val="center"/>
              <w:rPr>
                <w:rFonts w:hint="eastAsia" w:ascii="Times New Roman" w:hAnsi="Times New Roman" w:eastAsia="宋体"/>
                <w:bCs/>
                <w:sz w:val="21"/>
                <w:szCs w:val="21"/>
                <w:lang w:eastAsia="zh-CN"/>
              </w:rPr>
            </w:pPr>
            <w:bookmarkStart w:id="0" w:name="_Hlk28281258"/>
            <w:r>
              <w:rPr>
                <w:rFonts w:hint="eastAsia" w:ascii="Times New Roman" w:hAnsi="Times New Roman"/>
                <w:bCs/>
                <w:sz w:val="21"/>
                <w:szCs w:val="21"/>
                <w:lang w:val="en-US" w:eastAsia="zh-CN"/>
              </w:rPr>
              <w:t>5</w:t>
            </w:r>
          </w:p>
        </w:tc>
        <w:tc>
          <w:tcPr>
            <w:tcW w:w="1577" w:type="pct"/>
            <w:noWrap w:val="0"/>
            <w:vAlign w:val="center"/>
          </w:tcPr>
          <w:p w14:paraId="6CBEAD31">
            <w:pPr>
              <w:pStyle w:val="2"/>
              <w:spacing w:line="300" w:lineRule="exact"/>
              <w:jc w:val="center"/>
              <w:rPr>
                <w:rFonts w:ascii="Times New Roman" w:hAnsi="Times New Roman"/>
                <w:bCs/>
                <w:sz w:val="21"/>
                <w:szCs w:val="21"/>
              </w:rPr>
            </w:pPr>
            <w:r>
              <w:rPr>
                <w:rFonts w:ascii="Times New Roman" w:hAnsi="Times New Roman"/>
                <w:bCs/>
                <w:sz w:val="21"/>
                <w:szCs w:val="21"/>
              </w:rPr>
              <w:t>金属玩具边缘</w:t>
            </w:r>
          </w:p>
        </w:tc>
        <w:tc>
          <w:tcPr>
            <w:tcW w:w="2793" w:type="pct"/>
            <w:noWrap w:val="0"/>
            <w:vAlign w:val="center"/>
          </w:tcPr>
          <w:p w14:paraId="48FF482B">
            <w:pPr>
              <w:pStyle w:val="2"/>
              <w:spacing w:line="300" w:lineRule="exact"/>
              <w:jc w:val="center"/>
              <w:rPr>
                <w:rFonts w:ascii="Times New Roman" w:hAnsi="Times New Roman"/>
                <w:bCs/>
                <w:sz w:val="21"/>
                <w:szCs w:val="21"/>
              </w:rPr>
            </w:pPr>
            <w:r>
              <w:rPr>
                <w:rFonts w:ascii="Times New Roman" w:hAnsi="Times New Roman"/>
                <w:bCs/>
                <w:sz w:val="21"/>
                <w:szCs w:val="21"/>
              </w:rPr>
              <w:t>GB 6675.2—2014（含第1号修改单）</w:t>
            </w:r>
          </w:p>
        </w:tc>
      </w:tr>
      <w:bookmarkEnd w:id="0"/>
      <w:tr w14:paraId="6AA24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629" w:type="pct"/>
            <w:noWrap w:val="0"/>
            <w:vAlign w:val="center"/>
          </w:tcPr>
          <w:p w14:paraId="0571AAD1">
            <w:pPr>
              <w:pStyle w:val="2"/>
              <w:spacing w:line="300" w:lineRule="exact"/>
              <w:jc w:val="center"/>
              <w:rPr>
                <w:rFonts w:hint="eastAsia" w:ascii="Times New Roman" w:hAnsi="Times New Roman" w:eastAsia="宋体"/>
                <w:bCs/>
                <w:sz w:val="21"/>
                <w:szCs w:val="21"/>
                <w:lang w:eastAsia="zh-CN"/>
              </w:rPr>
            </w:pPr>
            <w:r>
              <w:rPr>
                <w:rFonts w:hint="eastAsia" w:ascii="Times New Roman" w:hAnsi="Times New Roman"/>
                <w:bCs/>
                <w:sz w:val="21"/>
                <w:szCs w:val="21"/>
                <w:lang w:val="en-US" w:eastAsia="zh-CN"/>
              </w:rPr>
              <w:t>6</w:t>
            </w:r>
          </w:p>
        </w:tc>
        <w:tc>
          <w:tcPr>
            <w:tcW w:w="1577" w:type="pct"/>
            <w:noWrap w:val="0"/>
            <w:vAlign w:val="center"/>
          </w:tcPr>
          <w:p w14:paraId="579403A0">
            <w:pPr>
              <w:pStyle w:val="2"/>
              <w:spacing w:line="300" w:lineRule="exact"/>
              <w:jc w:val="center"/>
              <w:rPr>
                <w:rFonts w:ascii="Times New Roman" w:hAnsi="Times New Roman"/>
                <w:bCs/>
                <w:sz w:val="21"/>
                <w:szCs w:val="21"/>
              </w:rPr>
            </w:pPr>
            <w:r>
              <w:rPr>
                <w:rFonts w:ascii="Times New Roman" w:hAnsi="Times New Roman"/>
                <w:bCs/>
                <w:sz w:val="21"/>
                <w:szCs w:val="21"/>
              </w:rPr>
              <w:t>模塑玩具边缘</w:t>
            </w:r>
          </w:p>
        </w:tc>
        <w:tc>
          <w:tcPr>
            <w:tcW w:w="2793" w:type="pct"/>
            <w:noWrap w:val="0"/>
            <w:vAlign w:val="center"/>
          </w:tcPr>
          <w:p w14:paraId="7D895619">
            <w:pPr>
              <w:pStyle w:val="2"/>
              <w:spacing w:line="300" w:lineRule="exact"/>
              <w:jc w:val="center"/>
              <w:rPr>
                <w:rFonts w:ascii="Times New Roman" w:hAnsi="Times New Roman"/>
                <w:bCs/>
                <w:sz w:val="21"/>
                <w:szCs w:val="21"/>
              </w:rPr>
            </w:pPr>
            <w:r>
              <w:rPr>
                <w:rFonts w:ascii="Times New Roman" w:hAnsi="Times New Roman"/>
                <w:bCs/>
                <w:sz w:val="21"/>
                <w:szCs w:val="21"/>
              </w:rPr>
              <w:t>GB 6675.2—2014（含第1号修改单）</w:t>
            </w:r>
          </w:p>
        </w:tc>
      </w:tr>
      <w:tr w14:paraId="51FC6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 w:hRule="atLeast"/>
          <w:jc w:val="center"/>
        </w:trPr>
        <w:tc>
          <w:tcPr>
            <w:tcW w:w="5000" w:type="pct"/>
            <w:gridSpan w:val="3"/>
            <w:noWrap w:val="0"/>
            <w:vAlign w:val="center"/>
          </w:tcPr>
          <w:p w14:paraId="32D0E6DF">
            <w:pPr>
              <w:pStyle w:val="2"/>
              <w:spacing w:line="300" w:lineRule="exact"/>
              <w:jc w:val="center"/>
              <w:rPr>
                <w:rFonts w:hint="default" w:ascii="Times New Roman" w:hAnsi="Times New Roman" w:eastAsia="宋体"/>
                <w:bCs/>
                <w:sz w:val="21"/>
                <w:szCs w:val="21"/>
                <w:lang w:val="en-US" w:eastAsia="zh-CN"/>
              </w:rPr>
            </w:pPr>
            <w:r>
              <w:rPr>
                <w:rFonts w:hint="eastAsia" w:ascii="Times New Roman" w:hAnsi="Times New Roman"/>
                <w:bCs/>
                <w:sz w:val="21"/>
                <w:szCs w:val="21"/>
                <w:lang w:val="en-US" w:eastAsia="zh-CN"/>
              </w:rPr>
              <w:t>二、机械与物理性能（可预见的合理滥用）</w:t>
            </w:r>
          </w:p>
        </w:tc>
      </w:tr>
      <w:tr w14:paraId="17E87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9" w:type="pct"/>
            <w:noWrap w:val="0"/>
            <w:vAlign w:val="center"/>
          </w:tcPr>
          <w:p w14:paraId="78377FE5">
            <w:pPr>
              <w:pStyle w:val="2"/>
              <w:spacing w:line="300" w:lineRule="exact"/>
              <w:jc w:val="center"/>
              <w:rPr>
                <w:rFonts w:hint="default" w:ascii="Times New Roman" w:hAnsi="Times New Roman"/>
                <w:bCs/>
                <w:sz w:val="21"/>
                <w:szCs w:val="21"/>
                <w:lang w:val="en-US" w:eastAsia="zh-CN"/>
              </w:rPr>
            </w:pPr>
            <w:r>
              <w:rPr>
                <w:rFonts w:hint="eastAsia" w:ascii="Times New Roman" w:hAnsi="Times New Roman"/>
                <w:bCs/>
                <w:sz w:val="21"/>
                <w:szCs w:val="21"/>
                <w:lang w:val="en-US" w:eastAsia="zh-CN"/>
              </w:rPr>
              <w:t>1</w:t>
            </w:r>
          </w:p>
        </w:tc>
        <w:tc>
          <w:tcPr>
            <w:tcW w:w="1577" w:type="pct"/>
            <w:shd w:val="clear"/>
            <w:noWrap w:val="0"/>
            <w:vAlign w:val="center"/>
          </w:tcPr>
          <w:p w14:paraId="131EF4F7">
            <w:pPr>
              <w:pStyle w:val="2"/>
              <w:spacing w:line="300" w:lineRule="exact"/>
              <w:jc w:val="center"/>
              <w:rPr>
                <w:rFonts w:ascii="Times New Roman" w:hAnsi="Times New Roman" w:eastAsia="宋体" w:cs="Times New Roman"/>
                <w:bCs/>
                <w:kern w:val="0"/>
                <w:sz w:val="21"/>
                <w:szCs w:val="21"/>
                <w:lang w:val="en-US" w:eastAsia="zh-CN" w:bidi="ar-SA"/>
              </w:rPr>
            </w:pPr>
            <w:r>
              <w:rPr>
                <w:rFonts w:ascii="Times New Roman" w:hAnsi="Times New Roman"/>
                <w:bCs/>
                <w:sz w:val="21"/>
                <w:szCs w:val="21"/>
              </w:rPr>
              <w:t>可触及的金属或玻璃边缘</w:t>
            </w:r>
          </w:p>
        </w:tc>
        <w:tc>
          <w:tcPr>
            <w:tcW w:w="2793" w:type="pct"/>
            <w:noWrap w:val="0"/>
            <w:vAlign w:val="center"/>
          </w:tcPr>
          <w:p w14:paraId="0D8DF5C0">
            <w:pPr>
              <w:spacing w:line="300" w:lineRule="exact"/>
              <w:jc w:val="center"/>
              <w:rPr>
                <w:rFonts w:hint="eastAsia" w:ascii="Times New Roman" w:hAnsi="Times New Roman"/>
                <w:bCs/>
                <w:sz w:val="21"/>
                <w:szCs w:val="21"/>
              </w:rPr>
            </w:pPr>
            <w:r>
              <w:rPr>
                <w:rFonts w:ascii="Times New Roman" w:hAnsi="Times New Roman"/>
                <w:bCs/>
                <w:sz w:val="21"/>
                <w:szCs w:val="21"/>
              </w:rPr>
              <w:t>GB 6675.2—2014（含第1号修改单）</w:t>
            </w:r>
          </w:p>
        </w:tc>
      </w:tr>
      <w:tr w14:paraId="3B24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9" w:type="pct"/>
            <w:noWrap w:val="0"/>
            <w:vAlign w:val="center"/>
          </w:tcPr>
          <w:p w14:paraId="0B809087">
            <w:pPr>
              <w:pStyle w:val="2"/>
              <w:spacing w:line="300" w:lineRule="exact"/>
              <w:jc w:val="center"/>
              <w:rPr>
                <w:rFonts w:hint="default" w:ascii="Times New Roman" w:hAnsi="Times New Roman"/>
                <w:bCs/>
                <w:sz w:val="21"/>
                <w:szCs w:val="21"/>
                <w:lang w:val="en-US" w:eastAsia="zh-CN"/>
              </w:rPr>
            </w:pPr>
            <w:r>
              <w:rPr>
                <w:rFonts w:hint="eastAsia" w:ascii="Times New Roman" w:hAnsi="Times New Roman"/>
                <w:bCs/>
                <w:sz w:val="21"/>
                <w:szCs w:val="21"/>
                <w:lang w:val="en-US" w:eastAsia="zh-CN"/>
              </w:rPr>
              <w:t>2</w:t>
            </w:r>
          </w:p>
        </w:tc>
        <w:tc>
          <w:tcPr>
            <w:tcW w:w="1577" w:type="pct"/>
            <w:shd w:val="clear"/>
            <w:noWrap w:val="0"/>
            <w:vAlign w:val="center"/>
          </w:tcPr>
          <w:p w14:paraId="59146C74">
            <w:pPr>
              <w:pStyle w:val="2"/>
              <w:spacing w:line="300" w:lineRule="exact"/>
              <w:jc w:val="center"/>
              <w:rPr>
                <w:rFonts w:ascii="Times New Roman" w:hAnsi="Times New Roman" w:eastAsia="宋体" w:cs="Times New Roman"/>
                <w:bCs/>
                <w:kern w:val="0"/>
                <w:sz w:val="21"/>
                <w:szCs w:val="21"/>
                <w:lang w:val="en-US" w:eastAsia="zh-CN" w:bidi="ar-SA"/>
              </w:rPr>
            </w:pPr>
            <w:r>
              <w:rPr>
                <w:rFonts w:ascii="Times New Roman" w:hAnsi="Times New Roman"/>
                <w:bCs/>
                <w:sz w:val="21"/>
                <w:szCs w:val="21"/>
              </w:rPr>
              <w:t>功能性锐利边缘</w:t>
            </w:r>
          </w:p>
        </w:tc>
        <w:tc>
          <w:tcPr>
            <w:tcW w:w="2793" w:type="pct"/>
            <w:noWrap w:val="0"/>
            <w:vAlign w:val="center"/>
          </w:tcPr>
          <w:p w14:paraId="68F5D63E">
            <w:pPr>
              <w:spacing w:line="300" w:lineRule="exact"/>
              <w:jc w:val="center"/>
              <w:rPr>
                <w:rFonts w:hint="eastAsia" w:ascii="Times New Roman" w:hAnsi="Times New Roman"/>
                <w:bCs/>
                <w:sz w:val="21"/>
                <w:szCs w:val="21"/>
              </w:rPr>
            </w:pPr>
            <w:r>
              <w:rPr>
                <w:rFonts w:ascii="Times New Roman" w:hAnsi="Times New Roman"/>
                <w:bCs/>
                <w:sz w:val="21"/>
                <w:szCs w:val="21"/>
              </w:rPr>
              <w:t>GB 6675.2—2014（含第1号修改单）</w:t>
            </w:r>
          </w:p>
        </w:tc>
      </w:tr>
      <w:tr w14:paraId="26223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9" w:type="pct"/>
            <w:noWrap w:val="0"/>
            <w:vAlign w:val="center"/>
          </w:tcPr>
          <w:p w14:paraId="4E20A720">
            <w:pPr>
              <w:pStyle w:val="2"/>
              <w:spacing w:line="300" w:lineRule="exact"/>
              <w:jc w:val="center"/>
              <w:rPr>
                <w:rFonts w:hint="default" w:ascii="Times New Roman" w:hAnsi="Times New Roman"/>
                <w:bCs/>
                <w:sz w:val="21"/>
                <w:szCs w:val="21"/>
                <w:lang w:val="en-US" w:eastAsia="zh-CN"/>
              </w:rPr>
            </w:pPr>
            <w:r>
              <w:rPr>
                <w:rFonts w:hint="eastAsia" w:ascii="Times New Roman" w:hAnsi="Times New Roman"/>
                <w:bCs/>
                <w:sz w:val="21"/>
                <w:szCs w:val="21"/>
                <w:lang w:val="en-US" w:eastAsia="zh-CN"/>
              </w:rPr>
              <w:t>3</w:t>
            </w:r>
          </w:p>
        </w:tc>
        <w:tc>
          <w:tcPr>
            <w:tcW w:w="1577" w:type="pct"/>
            <w:shd w:val="clear"/>
            <w:noWrap w:val="0"/>
            <w:vAlign w:val="center"/>
          </w:tcPr>
          <w:p w14:paraId="5831E1A3">
            <w:pPr>
              <w:pStyle w:val="2"/>
              <w:spacing w:line="300" w:lineRule="exact"/>
              <w:jc w:val="center"/>
              <w:rPr>
                <w:rFonts w:ascii="Times New Roman" w:hAnsi="Times New Roman" w:eastAsia="宋体" w:cs="Times New Roman"/>
                <w:bCs/>
                <w:kern w:val="0"/>
                <w:sz w:val="21"/>
                <w:szCs w:val="21"/>
                <w:lang w:val="en-US" w:eastAsia="zh-CN" w:bidi="ar-SA"/>
              </w:rPr>
            </w:pPr>
            <w:r>
              <w:rPr>
                <w:rFonts w:ascii="Times New Roman" w:hAnsi="Times New Roman"/>
                <w:bCs/>
                <w:sz w:val="21"/>
                <w:szCs w:val="21"/>
              </w:rPr>
              <w:t>金属玩具边缘</w:t>
            </w:r>
          </w:p>
        </w:tc>
        <w:tc>
          <w:tcPr>
            <w:tcW w:w="2793" w:type="pct"/>
            <w:noWrap w:val="0"/>
            <w:vAlign w:val="center"/>
          </w:tcPr>
          <w:p w14:paraId="3E5F3DB7">
            <w:pPr>
              <w:spacing w:line="300" w:lineRule="exact"/>
              <w:jc w:val="center"/>
              <w:rPr>
                <w:rFonts w:hint="eastAsia" w:ascii="Times New Roman" w:hAnsi="Times New Roman"/>
                <w:bCs/>
                <w:sz w:val="21"/>
                <w:szCs w:val="21"/>
              </w:rPr>
            </w:pPr>
            <w:r>
              <w:rPr>
                <w:rFonts w:ascii="Times New Roman" w:hAnsi="Times New Roman"/>
                <w:bCs/>
                <w:sz w:val="21"/>
                <w:szCs w:val="21"/>
              </w:rPr>
              <w:t>GB 6675.2—2014（含第1号修改单）</w:t>
            </w:r>
          </w:p>
        </w:tc>
      </w:tr>
      <w:tr w14:paraId="54E76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9" w:type="pct"/>
            <w:noWrap w:val="0"/>
            <w:vAlign w:val="center"/>
          </w:tcPr>
          <w:p w14:paraId="5704FA33">
            <w:pPr>
              <w:pStyle w:val="2"/>
              <w:spacing w:line="300" w:lineRule="exact"/>
              <w:jc w:val="center"/>
              <w:rPr>
                <w:rFonts w:hint="default" w:ascii="Times New Roman" w:hAnsi="Times New Roman"/>
                <w:bCs/>
                <w:sz w:val="21"/>
                <w:szCs w:val="21"/>
                <w:lang w:val="en-US" w:eastAsia="zh-CN"/>
              </w:rPr>
            </w:pPr>
            <w:r>
              <w:rPr>
                <w:rFonts w:hint="eastAsia" w:ascii="Times New Roman" w:hAnsi="Times New Roman"/>
                <w:bCs/>
                <w:sz w:val="21"/>
                <w:szCs w:val="21"/>
                <w:lang w:val="en-US" w:eastAsia="zh-CN"/>
              </w:rPr>
              <w:t>4</w:t>
            </w:r>
          </w:p>
        </w:tc>
        <w:tc>
          <w:tcPr>
            <w:tcW w:w="1577" w:type="pct"/>
            <w:shd w:val="clear"/>
            <w:noWrap w:val="0"/>
            <w:vAlign w:val="center"/>
          </w:tcPr>
          <w:p w14:paraId="43CEA656">
            <w:pPr>
              <w:pStyle w:val="2"/>
              <w:spacing w:line="300" w:lineRule="exact"/>
              <w:jc w:val="center"/>
              <w:rPr>
                <w:rFonts w:ascii="Times New Roman" w:hAnsi="Times New Roman" w:eastAsia="宋体" w:cs="Times New Roman"/>
                <w:bCs/>
                <w:kern w:val="0"/>
                <w:sz w:val="21"/>
                <w:szCs w:val="21"/>
                <w:lang w:val="en-US" w:eastAsia="zh-CN" w:bidi="ar-SA"/>
              </w:rPr>
            </w:pPr>
            <w:r>
              <w:rPr>
                <w:rFonts w:ascii="Times New Roman" w:hAnsi="Times New Roman"/>
                <w:bCs/>
                <w:sz w:val="21"/>
                <w:szCs w:val="21"/>
              </w:rPr>
              <w:t>模塑玩具边缘</w:t>
            </w:r>
          </w:p>
        </w:tc>
        <w:tc>
          <w:tcPr>
            <w:tcW w:w="2793" w:type="pct"/>
            <w:noWrap w:val="0"/>
            <w:vAlign w:val="center"/>
          </w:tcPr>
          <w:p w14:paraId="4B43E2DB">
            <w:pPr>
              <w:spacing w:line="300" w:lineRule="exact"/>
              <w:jc w:val="center"/>
              <w:rPr>
                <w:rFonts w:hint="eastAsia" w:ascii="Times New Roman" w:hAnsi="Times New Roman"/>
                <w:bCs/>
                <w:sz w:val="21"/>
                <w:szCs w:val="21"/>
              </w:rPr>
            </w:pPr>
            <w:r>
              <w:rPr>
                <w:rFonts w:ascii="Times New Roman" w:hAnsi="Times New Roman"/>
                <w:bCs/>
                <w:sz w:val="21"/>
                <w:szCs w:val="21"/>
              </w:rPr>
              <w:t>GB 6675.2—2014（含第1号修改单）</w:t>
            </w:r>
          </w:p>
        </w:tc>
      </w:tr>
      <w:tr w14:paraId="70A51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noWrap w:val="0"/>
            <w:vAlign w:val="center"/>
          </w:tcPr>
          <w:p w14:paraId="022F0CE7">
            <w:pPr>
              <w:pStyle w:val="2"/>
              <w:spacing w:line="300" w:lineRule="exact"/>
              <w:jc w:val="center"/>
              <w:rPr>
                <w:rFonts w:hint="eastAsia" w:ascii="Times New Roman" w:hAnsi="Times New Roman" w:eastAsia="宋体"/>
                <w:bCs/>
                <w:sz w:val="21"/>
                <w:szCs w:val="21"/>
                <w:lang w:val="en-US" w:eastAsia="zh-CN"/>
              </w:rPr>
            </w:pPr>
            <w:r>
              <w:rPr>
                <w:rFonts w:hint="eastAsia" w:ascii="Times New Roman" w:hAnsi="Times New Roman"/>
                <w:bCs/>
                <w:sz w:val="21"/>
                <w:szCs w:val="21"/>
                <w:lang w:val="en-US" w:eastAsia="zh-CN"/>
              </w:rPr>
              <w:t>三、</w:t>
            </w:r>
            <w:bookmarkStart w:id="1" w:name="_GoBack"/>
            <w:bookmarkEnd w:id="1"/>
            <w:r>
              <w:rPr>
                <w:rFonts w:hint="eastAsia" w:ascii="Times New Roman" w:hAnsi="Times New Roman"/>
                <w:bCs/>
                <w:sz w:val="21"/>
                <w:szCs w:val="21"/>
                <w:lang w:val="en-US" w:eastAsia="zh-CN"/>
              </w:rPr>
              <w:t>电性能</w:t>
            </w:r>
          </w:p>
        </w:tc>
      </w:tr>
      <w:tr w14:paraId="018C5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9" w:type="pct"/>
            <w:noWrap w:val="0"/>
            <w:vAlign w:val="center"/>
          </w:tcPr>
          <w:p w14:paraId="2D703B6A">
            <w:pPr>
              <w:pStyle w:val="2"/>
              <w:spacing w:line="300" w:lineRule="exact"/>
              <w:jc w:val="center"/>
              <w:rPr>
                <w:rFonts w:hint="eastAsia" w:ascii="Times New Roman" w:hAnsi="Times New Roman" w:eastAsia="宋体"/>
                <w:bCs/>
                <w:sz w:val="21"/>
                <w:szCs w:val="21"/>
                <w:lang w:eastAsia="zh-CN"/>
              </w:rPr>
            </w:pPr>
            <w:r>
              <w:rPr>
                <w:rFonts w:hint="eastAsia" w:ascii="Times New Roman" w:hAnsi="Times New Roman"/>
                <w:bCs/>
                <w:sz w:val="21"/>
                <w:szCs w:val="21"/>
                <w:lang w:val="en-US" w:eastAsia="zh-CN"/>
              </w:rPr>
              <w:t>7</w:t>
            </w:r>
          </w:p>
        </w:tc>
        <w:tc>
          <w:tcPr>
            <w:tcW w:w="1577" w:type="pct"/>
            <w:noWrap w:val="0"/>
            <w:vAlign w:val="center"/>
          </w:tcPr>
          <w:p w14:paraId="05A5D159">
            <w:pPr>
              <w:pStyle w:val="2"/>
              <w:spacing w:line="300" w:lineRule="exact"/>
              <w:jc w:val="center"/>
              <w:rPr>
                <w:rFonts w:ascii="Times New Roman" w:hAnsi="Times New Roman"/>
                <w:bCs/>
                <w:sz w:val="21"/>
                <w:szCs w:val="21"/>
              </w:rPr>
            </w:pPr>
            <w:r>
              <w:rPr>
                <w:rFonts w:ascii="Times New Roman" w:hAnsi="Times New Roman"/>
                <w:bCs/>
                <w:sz w:val="21"/>
                <w:szCs w:val="21"/>
              </w:rPr>
              <w:t>标识和说明</w:t>
            </w:r>
          </w:p>
        </w:tc>
        <w:tc>
          <w:tcPr>
            <w:tcW w:w="2793" w:type="pct"/>
            <w:noWrap w:val="0"/>
            <w:vAlign w:val="center"/>
          </w:tcPr>
          <w:p w14:paraId="18F938C9">
            <w:pPr>
              <w:pStyle w:val="2"/>
              <w:spacing w:line="300" w:lineRule="exact"/>
              <w:jc w:val="center"/>
              <w:rPr>
                <w:rFonts w:ascii="Times New Roman" w:hAnsi="Times New Roman"/>
                <w:bCs/>
                <w:sz w:val="21"/>
                <w:szCs w:val="21"/>
              </w:rPr>
            </w:pPr>
            <w:r>
              <w:rPr>
                <w:rFonts w:ascii="Times New Roman" w:hAnsi="Times New Roman"/>
                <w:bCs/>
                <w:sz w:val="21"/>
                <w:szCs w:val="21"/>
              </w:rPr>
              <w:t>GB 19865—2005（含第1号修改单）</w:t>
            </w:r>
          </w:p>
          <w:p w14:paraId="6CBFE219">
            <w:pPr>
              <w:pStyle w:val="2"/>
              <w:spacing w:line="300" w:lineRule="exact"/>
              <w:jc w:val="center"/>
              <w:rPr>
                <w:rFonts w:ascii="Times New Roman" w:hAnsi="Times New Roman"/>
                <w:bCs/>
                <w:sz w:val="21"/>
                <w:szCs w:val="21"/>
              </w:rPr>
            </w:pPr>
            <w:r>
              <w:rPr>
                <w:rFonts w:hint="eastAsia" w:ascii="Times New Roman" w:hAnsi="Times New Roman"/>
                <w:bCs/>
                <w:sz w:val="21"/>
                <w:szCs w:val="21"/>
              </w:rPr>
              <w:t>GB/T 19865-2024</w:t>
            </w:r>
          </w:p>
        </w:tc>
      </w:tr>
      <w:tr w14:paraId="46257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629" w:type="pct"/>
            <w:noWrap w:val="0"/>
            <w:vAlign w:val="center"/>
          </w:tcPr>
          <w:p w14:paraId="710D5C5E">
            <w:pPr>
              <w:pStyle w:val="2"/>
              <w:spacing w:line="300" w:lineRule="exact"/>
              <w:jc w:val="center"/>
              <w:rPr>
                <w:rFonts w:hint="eastAsia" w:ascii="Times New Roman" w:hAnsi="Times New Roman" w:eastAsia="宋体"/>
                <w:bCs/>
                <w:sz w:val="21"/>
                <w:szCs w:val="21"/>
                <w:lang w:eastAsia="zh-CN"/>
              </w:rPr>
            </w:pPr>
            <w:r>
              <w:rPr>
                <w:rFonts w:hint="eastAsia" w:ascii="Times New Roman" w:hAnsi="Times New Roman"/>
                <w:bCs/>
                <w:sz w:val="21"/>
                <w:szCs w:val="21"/>
                <w:lang w:val="en-US" w:eastAsia="zh-CN"/>
              </w:rPr>
              <w:t>8</w:t>
            </w:r>
          </w:p>
        </w:tc>
        <w:tc>
          <w:tcPr>
            <w:tcW w:w="1577" w:type="pct"/>
            <w:noWrap w:val="0"/>
            <w:vAlign w:val="center"/>
          </w:tcPr>
          <w:p w14:paraId="1CBA039D">
            <w:pPr>
              <w:pStyle w:val="2"/>
              <w:spacing w:line="300" w:lineRule="exact"/>
              <w:jc w:val="center"/>
              <w:rPr>
                <w:rFonts w:ascii="Times New Roman" w:hAnsi="Times New Roman"/>
                <w:bCs/>
                <w:sz w:val="21"/>
                <w:szCs w:val="21"/>
              </w:rPr>
            </w:pPr>
            <w:r>
              <w:rPr>
                <w:rFonts w:ascii="Times New Roman" w:hAnsi="Times New Roman"/>
                <w:bCs/>
                <w:sz w:val="21"/>
                <w:szCs w:val="21"/>
              </w:rPr>
              <w:t>工作温度下的电气强度</w:t>
            </w:r>
          </w:p>
        </w:tc>
        <w:tc>
          <w:tcPr>
            <w:tcW w:w="2793" w:type="pct"/>
            <w:noWrap w:val="0"/>
            <w:vAlign w:val="center"/>
          </w:tcPr>
          <w:p w14:paraId="7C304794">
            <w:pPr>
              <w:pStyle w:val="2"/>
              <w:spacing w:line="300" w:lineRule="exact"/>
              <w:jc w:val="center"/>
              <w:rPr>
                <w:rFonts w:ascii="Times New Roman" w:hAnsi="Times New Roman"/>
                <w:bCs/>
                <w:sz w:val="21"/>
                <w:szCs w:val="21"/>
              </w:rPr>
            </w:pPr>
            <w:r>
              <w:rPr>
                <w:rFonts w:ascii="Times New Roman" w:hAnsi="Times New Roman"/>
                <w:bCs/>
                <w:sz w:val="21"/>
                <w:szCs w:val="21"/>
              </w:rPr>
              <w:t>GB 19865—2005</w:t>
            </w:r>
          </w:p>
          <w:p w14:paraId="07CF3C14">
            <w:pPr>
              <w:pStyle w:val="2"/>
              <w:spacing w:line="300" w:lineRule="exact"/>
              <w:jc w:val="center"/>
              <w:rPr>
                <w:rFonts w:ascii="Times New Roman" w:hAnsi="Times New Roman"/>
                <w:bCs/>
                <w:sz w:val="21"/>
                <w:szCs w:val="21"/>
              </w:rPr>
            </w:pPr>
            <w:r>
              <w:rPr>
                <w:rFonts w:hint="eastAsia" w:ascii="Times New Roman" w:hAnsi="Times New Roman"/>
                <w:bCs/>
                <w:sz w:val="21"/>
                <w:szCs w:val="21"/>
              </w:rPr>
              <w:t>GB/T 19865-2024</w:t>
            </w:r>
          </w:p>
        </w:tc>
      </w:tr>
      <w:tr w14:paraId="21625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9" w:type="pct"/>
            <w:noWrap w:val="0"/>
            <w:vAlign w:val="center"/>
          </w:tcPr>
          <w:p w14:paraId="2B18BFF7">
            <w:pPr>
              <w:pStyle w:val="2"/>
              <w:spacing w:line="300" w:lineRule="exact"/>
              <w:jc w:val="center"/>
              <w:rPr>
                <w:rFonts w:hint="eastAsia" w:ascii="Times New Roman" w:hAnsi="Times New Roman" w:eastAsia="宋体"/>
                <w:bCs/>
                <w:sz w:val="21"/>
                <w:szCs w:val="21"/>
                <w:lang w:eastAsia="zh-CN"/>
              </w:rPr>
            </w:pPr>
            <w:r>
              <w:rPr>
                <w:rFonts w:hint="eastAsia" w:ascii="Times New Roman" w:hAnsi="Times New Roman"/>
                <w:bCs/>
                <w:sz w:val="21"/>
                <w:szCs w:val="21"/>
                <w:lang w:val="en-US" w:eastAsia="zh-CN"/>
              </w:rPr>
              <w:t>9</w:t>
            </w:r>
          </w:p>
        </w:tc>
        <w:tc>
          <w:tcPr>
            <w:tcW w:w="1577" w:type="pct"/>
            <w:shd w:val="clear" w:color="auto" w:fill="auto"/>
            <w:noWrap w:val="0"/>
            <w:vAlign w:val="center"/>
          </w:tcPr>
          <w:p w14:paraId="1AEE3618">
            <w:pPr>
              <w:pStyle w:val="2"/>
              <w:spacing w:line="300" w:lineRule="exact"/>
              <w:jc w:val="center"/>
              <w:rPr>
                <w:rFonts w:ascii="Times New Roman" w:hAnsi="Times New Roman" w:eastAsia="宋体" w:cs="Times New Roman"/>
                <w:bCs/>
                <w:kern w:val="0"/>
                <w:sz w:val="21"/>
                <w:szCs w:val="21"/>
                <w:lang w:val="en-US" w:eastAsia="zh-CN" w:bidi="ar-SA"/>
              </w:rPr>
            </w:pPr>
            <w:r>
              <w:rPr>
                <w:rFonts w:ascii="Times New Roman" w:hAnsi="Times New Roman"/>
                <w:bCs/>
                <w:sz w:val="21"/>
                <w:szCs w:val="21"/>
              </w:rPr>
              <w:t>机械强度</w:t>
            </w:r>
          </w:p>
        </w:tc>
        <w:tc>
          <w:tcPr>
            <w:tcW w:w="2793" w:type="pct"/>
            <w:shd w:val="clear" w:color="auto" w:fill="auto"/>
            <w:noWrap w:val="0"/>
            <w:vAlign w:val="center"/>
          </w:tcPr>
          <w:p w14:paraId="7CD5DBC1">
            <w:pPr>
              <w:pStyle w:val="2"/>
              <w:spacing w:line="300" w:lineRule="exact"/>
              <w:jc w:val="center"/>
              <w:rPr>
                <w:rFonts w:ascii="Times New Roman" w:hAnsi="Times New Roman"/>
                <w:bCs/>
                <w:sz w:val="21"/>
                <w:szCs w:val="21"/>
              </w:rPr>
            </w:pPr>
            <w:r>
              <w:rPr>
                <w:rFonts w:ascii="Times New Roman" w:hAnsi="Times New Roman"/>
                <w:bCs/>
                <w:sz w:val="21"/>
                <w:szCs w:val="21"/>
              </w:rPr>
              <w:t>GB 19865—2005</w:t>
            </w:r>
          </w:p>
          <w:p w14:paraId="35DEDA70">
            <w:pPr>
              <w:pStyle w:val="2"/>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bCs/>
                <w:sz w:val="21"/>
                <w:szCs w:val="21"/>
              </w:rPr>
              <w:t>GB/T 19865-2024</w:t>
            </w:r>
          </w:p>
        </w:tc>
      </w:tr>
      <w:tr w14:paraId="4E02D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9" w:type="pct"/>
            <w:noWrap w:val="0"/>
            <w:vAlign w:val="center"/>
          </w:tcPr>
          <w:p w14:paraId="48F4EA87">
            <w:pPr>
              <w:pStyle w:val="2"/>
              <w:spacing w:line="300" w:lineRule="exact"/>
              <w:jc w:val="center"/>
              <w:rPr>
                <w:rFonts w:hint="default" w:ascii="Times New Roman" w:hAnsi="Times New Roman" w:eastAsia="宋体"/>
                <w:bCs/>
                <w:sz w:val="21"/>
                <w:szCs w:val="21"/>
                <w:lang w:val="en-US" w:eastAsia="zh-CN"/>
              </w:rPr>
            </w:pPr>
            <w:r>
              <w:rPr>
                <w:rFonts w:hint="eastAsia" w:ascii="Times New Roman" w:hAnsi="Times New Roman"/>
                <w:bCs/>
                <w:sz w:val="21"/>
                <w:szCs w:val="21"/>
                <w:lang w:val="en-US" w:eastAsia="zh-CN"/>
              </w:rPr>
              <w:t>10</w:t>
            </w:r>
          </w:p>
        </w:tc>
        <w:tc>
          <w:tcPr>
            <w:tcW w:w="1577" w:type="pct"/>
            <w:shd w:val="clear" w:color="auto" w:fill="auto"/>
            <w:noWrap w:val="0"/>
            <w:vAlign w:val="center"/>
          </w:tcPr>
          <w:p w14:paraId="1B7361E9">
            <w:pPr>
              <w:pStyle w:val="2"/>
              <w:spacing w:line="300" w:lineRule="exact"/>
              <w:jc w:val="center"/>
              <w:rPr>
                <w:rFonts w:hint="default" w:ascii="Times New Roman" w:hAnsi="Times New Roman" w:eastAsia="宋体" w:cs="Times New Roman"/>
                <w:bCs/>
                <w:kern w:val="0"/>
                <w:sz w:val="21"/>
                <w:szCs w:val="21"/>
                <w:lang w:val="en-US" w:eastAsia="zh-CN" w:bidi="ar-SA"/>
              </w:rPr>
            </w:pPr>
            <w:r>
              <w:rPr>
                <w:rFonts w:ascii="Times New Roman" w:hAnsi="Times New Roman"/>
                <w:bCs/>
                <w:sz w:val="21"/>
                <w:szCs w:val="21"/>
              </w:rPr>
              <w:t>结构</w:t>
            </w:r>
          </w:p>
        </w:tc>
        <w:tc>
          <w:tcPr>
            <w:tcW w:w="2793" w:type="pct"/>
            <w:shd w:val="clear" w:color="auto" w:fill="auto"/>
            <w:noWrap w:val="0"/>
            <w:vAlign w:val="center"/>
          </w:tcPr>
          <w:p w14:paraId="1C53EC7B">
            <w:pPr>
              <w:pStyle w:val="2"/>
              <w:spacing w:line="300" w:lineRule="exact"/>
              <w:jc w:val="center"/>
              <w:rPr>
                <w:rFonts w:ascii="Times New Roman" w:hAnsi="Times New Roman"/>
                <w:bCs/>
                <w:sz w:val="21"/>
                <w:szCs w:val="21"/>
              </w:rPr>
            </w:pPr>
            <w:r>
              <w:rPr>
                <w:rFonts w:ascii="Times New Roman" w:hAnsi="Times New Roman"/>
                <w:bCs/>
                <w:sz w:val="21"/>
                <w:szCs w:val="21"/>
              </w:rPr>
              <w:t>GB 19865—2005</w:t>
            </w:r>
          </w:p>
          <w:p w14:paraId="4D31E0A9">
            <w:pPr>
              <w:pStyle w:val="2"/>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bCs/>
                <w:sz w:val="21"/>
                <w:szCs w:val="21"/>
              </w:rPr>
              <w:t>GB/T 19865-2024</w:t>
            </w:r>
          </w:p>
        </w:tc>
      </w:tr>
      <w:tr w14:paraId="49908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9" w:type="pct"/>
            <w:noWrap w:val="0"/>
            <w:vAlign w:val="center"/>
          </w:tcPr>
          <w:p w14:paraId="5B6A9E66">
            <w:pPr>
              <w:pStyle w:val="2"/>
              <w:spacing w:line="300" w:lineRule="exact"/>
              <w:jc w:val="center"/>
              <w:rPr>
                <w:rFonts w:hint="default" w:ascii="Times New Roman" w:hAnsi="Times New Roman" w:eastAsia="宋体"/>
                <w:bCs/>
                <w:sz w:val="21"/>
                <w:szCs w:val="21"/>
                <w:lang w:val="en-US" w:eastAsia="zh-CN"/>
              </w:rPr>
            </w:pPr>
            <w:r>
              <w:rPr>
                <w:rFonts w:hint="eastAsia" w:ascii="Times New Roman" w:hAnsi="Times New Roman"/>
                <w:bCs/>
                <w:sz w:val="21"/>
                <w:szCs w:val="21"/>
                <w:lang w:val="en-US" w:eastAsia="zh-CN"/>
              </w:rPr>
              <w:t>11</w:t>
            </w:r>
          </w:p>
        </w:tc>
        <w:tc>
          <w:tcPr>
            <w:tcW w:w="1577" w:type="pct"/>
            <w:shd w:val="clear" w:color="auto" w:fill="auto"/>
            <w:noWrap w:val="0"/>
            <w:vAlign w:val="center"/>
          </w:tcPr>
          <w:p w14:paraId="38B0D65F">
            <w:pPr>
              <w:pStyle w:val="2"/>
              <w:spacing w:line="300" w:lineRule="exact"/>
              <w:jc w:val="center"/>
              <w:rPr>
                <w:rFonts w:ascii="Times New Roman" w:hAnsi="Times New Roman" w:eastAsia="宋体" w:cs="Times New Roman"/>
                <w:bCs/>
                <w:kern w:val="0"/>
                <w:sz w:val="21"/>
                <w:szCs w:val="21"/>
                <w:lang w:val="en-US" w:eastAsia="zh-CN" w:bidi="ar-SA"/>
              </w:rPr>
            </w:pPr>
            <w:r>
              <w:rPr>
                <w:rFonts w:ascii="Times New Roman" w:hAnsi="Times New Roman"/>
                <w:bCs/>
                <w:sz w:val="21"/>
                <w:szCs w:val="21"/>
              </w:rPr>
              <w:t>软线和电线的保护</w:t>
            </w:r>
          </w:p>
        </w:tc>
        <w:tc>
          <w:tcPr>
            <w:tcW w:w="2793" w:type="pct"/>
            <w:shd w:val="clear" w:color="auto" w:fill="auto"/>
            <w:noWrap w:val="0"/>
            <w:vAlign w:val="center"/>
          </w:tcPr>
          <w:p w14:paraId="6FF6EC51">
            <w:pPr>
              <w:pStyle w:val="2"/>
              <w:spacing w:line="300" w:lineRule="exact"/>
              <w:jc w:val="center"/>
              <w:rPr>
                <w:rFonts w:ascii="Times New Roman" w:hAnsi="Times New Roman"/>
                <w:bCs/>
                <w:sz w:val="21"/>
                <w:szCs w:val="21"/>
              </w:rPr>
            </w:pPr>
            <w:r>
              <w:rPr>
                <w:rFonts w:ascii="Times New Roman" w:hAnsi="Times New Roman"/>
                <w:bCs/>
                <w:sz w:val="21"/>
                <w:szCs w:val="21"/>
              </w:rPr>
              <w:t>GB 19865—2005</w:t>
            </w:r>
          </w:p>
          <w:p w14:paraId="744865F2">
            <w:pPr>
              <w:pStyle w:val="2"/>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bCs/>
                <w:sz w:val="21"/>
                <w:szCs w:val="21"/>
              </w:rPr>
              <w:t>GB/T 19865-2024</w:t>
            </w:r>
          </w:p>
        </w:tc>
      </w:tr>
    </w:tbl>
    <w:p w14:paraId="77B0F3E9">
      <w:pPr>
        <w:snapToGrid w:val="0"/>
        <w:spacing w:line="440" w:lineRule="exact"/>
        <w:ind w:firstLine="420" w:firstLineChars="200"/>
        <w:rPr>
          <w:color w:val="000000"/>
          <w:szCs w:val="21"/>
        </w:rPr>
      </w:pPr>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32A3924D">
      <w:pPr>
        <w:adjustRightInd w:val="0"/>
        <w:snapToGrid w:val="0"/>
        <w:spacing w:line="440" w:lineRule="exact"/>
        <w:ind w:firstLine="420" w:firstLineChars="200"/>
        <w:rPr>
          <w:szCs w:val="21"/>
        </w:rPr>
      </w:pPr>
      <w:r>
        <w:rPr>
          <w:szCs w:val="21"/>
        </w:rPr>
        <w:t>GB 6675.2</w:t>
      </w:r>
      <w:r>
        <w:t>—</w:t>
      </w:r>
      <w:r>
        <w:rPr>
          <w:szCs w:val="21"/>
        </w:rPr>
        <w:t>2014玩具安全 第2部分：机械与物理性能</w:t>
      </w:r>
      <w:r>
        <w:rPr>
          <w:kern w:val="0"/>
          <w:szCs w:val="21"/>
        </w:rPr>
        <w:t>（含第1号修改单）</w:t>
      </w:r>
    </w:p>
    <w:p w14:paraId="57B9EEB8">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19865-2024电玩具的安全</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0D4367C7">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8A93E92-BD99-4D24-8B5E-A22F174584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A939307-F20B-4C81-A4BA-080FA8CD842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4DE7C28"/>
    <w:rsid w:val="25DF3AF4"/>
    <w:rsid w:val="27701672"/>
    <w:rsid w:val="2ACD3FAF"/>
    <w:rsid w:val="2DC432F7"/>
    <w:rsid w:val="367A3BD5"/>
    <w:rsid w:val="369B4675"/>
    <w:rsid w:val="3AA82343"/>
    <w:rsid w:val="3BBD205C"/>
    <w:rsid w:val="3C9E39FD"/>
    <w:rsid w:val="3E1669F0"/>
    <w:rsid w:val="44937F9B"/>
    <w:rsid w:val="4721404E"/>
    <w:rsid w:val="4CD755C3"/>
    <w:rsid w:val="4CD82240"/>
    <w:rsid w:val="522E2F34"/>
    <w:rsid w:val="5551190C"/>
    <w:rsid w:val="5A567682"/>
    <w:rsid w:val="5C0748DB"/>
    <w:rsid w:val="625C73EB"/>
    <w:rsid w:val="660364FC"/>
    <w:rsid w:val="6767081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iPriority w:val="99"/>
    <w:rPr>
      <w:rFonts w:ascii="宋体" w:hAnsi="Courier New"/>
      <w:kern w:val="0"/>
      <w:sz w:val="20"/>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761</Words>
  <Characters>969</Characters>
  <Lines>0</Lines>
  <Paragraphs>0</Paragraphs>
  <TotalTime>9</TotalTime>
  <ScaleCrop>false</ScaleCrop>
  <LinksUpToDate>false</LinksUpToDate>
  <CharactersWithSpaces>991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2026-06-17T09:40:25Z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37395ED9970B4A01B5AD6AA5A52CCE55_13</vt:lpwstr>
  </property>
  <property fmtid="{D5CDD505-2E9C-101B-9397-08002B2CF9AE}" pid="4" name="KSOTemplateDocerSaveRecord">
    <vt:lpwstr>eyJoZGlkIjoiYWQzZTQzYjcyY2JhN2M4NGZmOWNjMDY4NGMyN2NjMmYiLCJ1c2VySWQiOiIxNDQ1NjU1MDYxIn0=</vt:lpwstr>
  </property>
</Properties>
</file>