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w:t>
      </w:r>
      <w:r>
        <w:rPr>
          <w:rFonts w:hint="eastAsia" w:ascii="宋体" w:hAnsi="宋体" w:eastAsia="宋体" w:cs="宋体"/>
          <w:b/>
          <w:bCs/>
          <w:color w:val="000000"/>
          <w:sz w:val="32"/>
          <w:szCs w:val="32"/>
          <w:lang w:val="en-US" w:eastAsia="zh-CN"/>
        </w:rPr>
        <w:t>卫生</w:t>
      </w:r>
      <w:r>
        <w:rPr>
          <w:rFonts w:hint="eastAsia" w:ascii="宋体" w:hAnsi="宋体" w:cs="宋体"/>
          <w:b/>
          <w:bCs/>
          <w:color w:val="000000"/>
          <w:sz w:val="32"/>
          <w:szCs w:val="32"/>
          <w:lang w:val="en-US" w:eastAsia="zh-CN"/>
        </w:rPr>
        <w:t>巾</w:t>
      </w:r>
      <w:r>
        <w:rPr>
          <w:rFonts w:hint="eastAsia" w:ascii="宋体" w:hAnsi="宋体" w:eastAsia="宋体" w:cs="宋体"/>
          <w:b/>
          <w:bCs/>
          <w:color w:val="000000"/>
          <w:sz w:val="32"/>
          <w:szCs w:val="32"/>
        </w:rPr>
        <w:t>产品质量监督抽查实施细则</w:t>
      </w:r>
    </w:p>
    <w:p w14:paraId="6D8C0563">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5B695DF0">
      <w:pPr>
        <w:snapToGrid w:val="0"/>
        <w:spacing w:line="440" w:lineRule="exact"/>
        <w:ind w:firstLine="420" w:firstLineChars="200"/>
        <w:rPr>
          <w:color w:val="000000"/>
          <w:szCs w:val="21"/>
        </w:rPr>
      </w:pPr>
      <w:r>
        <w:rPr>
          <w:color w:val="000000"/>
          <w:szCs w:val="21"/>
        </w:rPr>
        <w:t>每批次产品抽取完整包装的样品</w:t>
      </w:r>
      <w:r>
        <w:rPr>
          <w:rFonts w:hint="eastAsia"/>
          <w:color w:val="000000"/>
          <w:szCs w:val="21"/>
          <w:lang w:val="en-US" w:eastAsia="zh-CN"/>
        </w:rPr>
        <w:t>8</w:t>
      </w:r>
      <w:r>
        <w:rPr>
          <w:rFonts w:hint="eastAsia"/>
          <w:color w:val="000000"/>
          <w:szCs w:val="21"/>
        </w:rPr>
        <w:t>包</w:t>
      </w:r>
      <w:r>
        <w:rPr>
          <w:color w:val="000000"/>
          <w:szCs w:val="21"/>
        </w:rPr>
        <w:t>，其中</w:t>
      </w:r>
      <w:r>
        <w:rPr>
          <w:rFonts w:hint="eastAsia"/>
          <w:color w:val="000000"/>
          <w:szCs w:val="21"/>
          <w:lang w:val="en-US" w:eastAsia="zh-CN"/>
        </w:rPr>
        <w:t>6包（每包以10片计）</w:t>
      </w:r>
      <w:r>
        <w:rPr>
          <w:color w:val="000000"/>
          <w:szCs w:val="21"/>
        </w:rPr>
        <w:t>作为检验样品，</w:t>
      </w:r>
      <w:r>
        <w:rPr>
          <w:rFonts w:hint="eastAsia"/>
          <w:color w:val="000000"/>
          <w:szCs w:val="21"/>
          <w:lang w:val="en-US" w:eastAsia="zh-CN"/>
        </w:rPr>
        <w:t>2（每包以10片计）</w:t>
      </w:r>
      <w:r>
        <w:rPr>
          <w:color w:val="000000"/>
          <w:szCs w:val="21"/>
        </w:rPr>
        <w:t>作为备用样品。</w:t>
      </w:r>
    </w:p>
    <w:p w14:paraId="39B6A87C">
      <w:pPr>
        <w:snapToGrid w:val="0"/>
        <w:spacing w:line="440" w:lineRule="exact"/>
        <w:rPr>
          <w:rFonts w:hint="eastAsia"/>
          <w:color w:val="000000"/>
          <w:szCs w:val="21"/>
          <w:lang w:eastAsia="zh-CN"/>
        </w:rPr>
      </w:pPr>
    </w:p>
    <w:p w14:paraId="399AB615">
      <w:pPr>
        <w:snapToGrid w:val="0"/>
        <w:spacing w:line="440" w:lineRule="exact"/>
        <w:jc w:val="both"/>
        <w:rPr>
          <w:rFonts w:eastAsia="黑体"/>
          <w:color w:val="000000"/>
          <w:szCs w:val="21"/>
        </w:rPr>
      </w:pPr>
      <w:r>
        <w:rPr>
          <w:rFonts w:eastAsia="黑体"/>
          <w:color w:val="000000"/>
          <w:szCs w:val="21"/>
        </w:rPr>
        <w:t>2 检验依据</w:t>
      </w:r>
      <w:bookmarkStart w:id="3" w:name="_GoBack"/>
      <w:bookmarkEnd w:id="3"/>
    </w:p>
    <w:p w14:paraId="5F0CBABA">
      <w:pPr>
        <w:snapToGrid w:val="0"/>
        <w:spacing w:line="440" w:lineRule="exact"/>
        <w:jc w:val="center"/>
        <w:rPr>
          <w:rFonts w:hint="default"/>
          <w:color w:val="000000"/>
          <w:szCs w:val="21"/>
          <w:lang w:val="en-US" w:eastAsia="zh-CN"/>
        </w:rPr>
      </w:pPr>
      <w:r>
        <w:rPr>
          <w:rFonts w:hint="eastAsia"/>
          <w:color w:val="000000"/>
          <w:szCs w:val="21"/>
        </w:rPr>
        <w:br w:type="textWrapping"/>
      </w:r>
      <w:r>
        <w:rPr>
          <w:rFonts w:hint="eastAsia"/>
          <w:color w:val="000000"/>
          <w:szCs w:val="21"/>
          <w:lang w:val="en-US" w:eastAsia="zh-CN"/>
        </w:rPr>
        <w:t>表1卫生巾（GB 15979-2024、GB/T 8939-2018）</w:t>
      </w:r>
    </w:p>
    <w:tbl>
      <w:tblPr>
        <w:tblStyle w:val="6"/>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4111"/>
        <w:gridCol w:w="3685"/>
      </w:tblGrid>
      <w:tr w14:paraId="4C899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959" w:type="dxa"/>
            <w:noWrap w:val="0"/>
            <w:vAlign w:val="center"/>
          </w:tcPr>
          <w:p w14:paraId="62A6A6B4">
            <w:pPr>
              <w:snapToGrid w:val="0"/>
              <w:spacing w:line="440" w:lineRule="exact"/>
              <w:jc w:val="center"/>
              <w:rPr>
                <w:rFonts w:hint="eastAsia"/>
                <w:color w:val="000000"/>
                <w:szCs w:val="21"/>
                <w:lang w:val="en-US" w:eastAsia="zh-CN"/>
              </w:rPr>
            </w:pPr>
            <w:r>
              <w:rPr>
                <w:rFonts w:hint="eastAsia"/>
                <w:color w:val="000000"/>
                <w:szCs w:val="21"/>
                <w:lang w:val="en-US" w:eastAsia="zh-CN"/>
              </w:rPr>
              <w:t>序号</w:t>
            </w:r>
          </w:p>
        </w:tc>
        <w:tc>
          <w:tcPr>
            <w:tcW w:w="4111" w:type="dxa"/>
            <w:noWrap w:val="0"/>
            <w:vAlign w:val="center"/>
          </w:tcPr>
          <w:p w14:paraId="44B2A595">
            <w:pPr>
              <w:snapToGrid w:val="0"/>
              <w:spacing w:line="440" w:lineRule="exact"/>
              <w:jc w:val="center"/>
              <w:rPr>
                <w:rFonts w:hint="eastAsia"/>
                <w:color w:val="000000"/>
                <w:szCs w:val="21"/>
                <w:lang w:val="en-US" w:eastAsia="zh-CN"/>
              </w:rPr>
            </w:pPr>
            <w:r>
              <w:rPr>
                <w:rFonts w:hint="eastAsia"/>
                <w:color w:val="000000"/>
                <w:szCs w:val="21"/>
                <w:lang w:val="en-US" w:eastAsia="zh-CN"/>
              </w:rPr>
              <w:t>检验项目</w:t>
            </w:r>
          </w:p>
        </w:tc>
        <w:tc>
          <w:tcPr>
            <w:tcW w:w="3685" w:type="dxa"/>
            <w:noWrap w:val="0"/>
            <w:vAlign w:val="center"/>
          </w:tcPr>
          <w:p w14:paraId="20315877">
            <w:pPr>
              <w:snapToGrid w:val="0"/>
              <w:spacing w:line="440" w:lineRule="exact"/>
              <w:jc w:val="center"/>
              <w:rPr>
                <w:rFonts w:hint="eastAsia"/>
                <w:color w:val="000000"/>
                <w:szCs w:val="21"/>
                <w:lang w:val="en-US" w:eastAsia="zh-CN"/>
              </w:rPr>
            </w:pPr>
            <w:r>
              <w:rPr>
                <w:rFonts w:hint="eastAsia"/>
                <w:color w:val="000000"/>
                <w:szCs w:val="21"/>
                <w:lang w:val="en-US" w:eastAsia="zh-CN"/>
              </w:rPr>
              <w:t>检验方法</w:t>
            </w:r>
          </w:p>
        </w:tc>
      </w:tr>
      <w:tr w14:paraId="3D48A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959" w:type="dxa"/>
            <w:noWrap w:val="0"/>
            <w:vAlign w:val="center"/>
          </w:tcPr>
          <w:p w14:paraId="79455AAB">
            <w:pPr>
              <w:snapToGrid w:val="0"/>
              <w:spacing w:line="440" w:lineRule="exact"/>
              <w:jc w:val="center"/>
              <w:rPr>
                <w:rFonts w:hint="eastAsia"/>
                <w:color w:val="000000"/>
                <w:szCs w:val="21"/>
                <w:lang w:val="en-US" w:eastAsia="zh-CN"/>
              </w:rPr>
            </w:pPr>
          </w:p>
        </w:tc>
        <w:tc>
          <w:tcPr>
            <w:tcW w:w="4111" w:type="dxa"/>
            <w:shd w:val="clear" w:color="auto" w:fill="auto"/>
            <w:noWrap w:val="0"/>
            <w:vAlign w:val="center"/>
          </w:tcPr>
          <w:p w14:paraId="59A094A0">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可迁移性荧光物质</w:t>
            </w:r>
          </w:p>
        </w:tc>
        <w:tc>
          <w:tcPr>
            <w:tcW w:w="3685" w:type="dxa"/>
            <w:shd w:val="clear" w:color="auto" w:fill="auto"/>
            <w:noWrap w:val="0"/>
            <w:vAlign w:val="center"/>
          </w:tcPr>
          <w:p w14:paraId="69B371FC">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GB/T 8939-2018</w:t>
            </w:r>
          </w:p>
        </w:tc>
      </w:tr>
      <w:tr w14:paraId="2BCE5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959" w:type="dxa"/>
            <w:noWrap w:val="0"/>
            <w:vAlign w:val="center"/>
          </w:tcPr>
          <w:p w14:paraId="28FCD626">
            <w:pPr>
              <w:snapToGrid w:val="0"/>
              <w:spacing w:line="440" w:lineRule="exact"/>
              <w:jc w:val="center"/>
              <w:rPr>
                <w:rFonts w:hint="eastAsia"/>
                <w:color w:val="000000"/>
                <w:szCs w:val="21"/>
                <w:lang w:val="en-US" w:eastAsia="zh-CN"/>
              </w:rPr>
            </w:pPr>
          </w:p>
        </w:tc>
        <w:tc>
          <w:tcPr>
            <w:tcW w:w="4111" w:type="dxa"/>
            <w:shd w:val="clear" w:color="auto" w:fill="auto"/>
            <w:noWrap w:val="0"/>
            <w:vAlign w:val="center"/>
          </w:tcPr>
          <w:p w14:paraId="5E21DAF4">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细菌菌落总数</w:t>
            </w:r>
          </w:p>
        </w:tc>
        <w:tc>
          <w:tcPr>
            <w:tcW w:w="3685" w:type="dxa"/>
            <w:shd w:val="clear" w:color="auto" w:fill="auto"/>
            <w:noWrap w:val="0"/>
            <w:vAlign w:val="center"/>
          </w:tcPr>
          <w:p w14:paraId="433F0AAC">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GB 15979-2024</w:t>
            </w:r>
          </w:p>
        </w:tc>
      </w:tr>
      <w:tr w14:paraId="4918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959" w:type="dxa"/>
            <w:noWrap w:val="0"/>
            <w:vAlign w:val="center"/>
          </w:tcPr>
          <w:p w14:paraId="01AC9580">
            <w:pPr>
              <w:snapToGrid w:val="0"/>
              <w:spacing w:line="440" w:lineRule="exact"/>
              <w:jc w:val="center"/>
              <w:rPr>
                <w:rFonts w:hint="eastAsia"/>
                <w:color w:val="000000"/>
                <w:szCs w:val="21"/>
                <w:lang w:val="en-US" w:eastAsia="zh-CN"/>
              </w:rPr>
            </w:pPr>
          </w:p>
        </w:tc>
        <w:tc>
          <w:tcPr>
            <w:tcW w:w="4111" w:type="dxa"/>
            <w:shd w:val="clear" w:color="auto" w:fill="auto"/>
            <w:noWrap w:val="0"/>
            <w:vAlign w:val="center"/>
          </w:tcPr>
          <w:p w14:paraId="516C94AB">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特定微生物（大肠菌群、铜绿假单胞菌、金黄色葡萄球菌、溶血性链球菌）</w:t>
            </w:r>
          </w:p>
        </w:tc>
        <w:tc>
          <w:tcPr>
            <w:tcW w:w="3685" w:type="dxa"/>
            <w:shd w:val="clear" w:color="auto" w:fill="auto"/>
            <w:noWrap w:val="0"/>
            <w:vAlign w:val="center"/>
          </w:tcPr>
          <w:p w14:paraId="45859E3C">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GB 15979-2024</w:t>
            </w:r>
          </w:p>
        </w:tc>
      </w:tr>
      <w:tr w14:paraId="07DF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959" w:type="dxa"/>
            <w:noWrap w:val="0"/>
            <w:vAlign w:val="center"/>
          </w:tcPr>
          <w:p w14:paraId="75EEA3A5">
            <w:pPr>
              <w:snapToGrid w:val="0"/>
              <w:spacing w:line="440" w:lineRule="exact"/>
              <w:jc w:val="center"/>
              <w:rPr>
                <w:rFonts w:hint="eastAsia"/>
                <w:color w:val="000000"/>
                <w:szCs w:val="21"/>
                <w:lang w:val="en-US" w:eastAsia="zh-CN"/>
              </w:rPr>
            </w:pPr>
          </w:p>
        </w:tc>
        <w:tc>
          <w:tcPr>
            <w:tcW w:w="4111" w:type="dxa"/>
            <w:shd w:val="clear" w:color="auto" w:fill="auto"/>
            <w:noWrap w:val="0"/>
            <w:vAlign w:val="center"/>
          </w:tcPr>
          <w:p w14:paraId="2DFDBEFE">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真菌菌落总数</w:t>
            </w:r>
          </w:p>
        </w:tc>
        <w:tc>
          <w:tcPr>
            <w:tcW w:w="3685" w:type="dxa"/>
            <w:shd w:val="clear" w:color="auto" w:fill="auto"/>
            <w:noWrap w:val="0"/>
            <w:vAlign w:val="center"/>
          </w:tcPr>
          <w:p w14:paraId="30BB5B1F">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GB 15979-2024</w:t>
            </w:r>
          </w:p>
        </w:tc>
      </w:tr>
      <w:tr w14:paraId="5CAD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8755" w:type="dxa"/>
            <w:gridSpan w:val="3"/>
            <w:noWrap w:val="0"/>
            <w:vAlign w:val="center"/>
          </w:tcPr>
          <w:p w14:paraId="345F6120">
            <w:pPr>
              <w:snapToGrid w:val="0"/>
              <w:spacing w:line="440" w:lineRule="exact"/>
              <w:jc w:val="center"/>
              <w:rPr>
                <w:rFonts w:hint="eastAsia"/>
                <w:color w:val="000000"/>
                <w:szCs w:val="21"/>
                <w:lang w:val="en-US" w:eastAsia="zh-CN"/>
              </w:rPr>
            </w:pPr>
            <w:r>
              <w:rPr>
                <w:rFonts w:hint="eastAsia"/>
                <w:color w:val="000000"/>
                <w:szCs w:val="21"/>
                <w:lang w:val="en-US" w:eastAsia="zh-CN"/>
              </w:rPr>
              <w:t>注：1、依据卫健委“卫监督发〔2005〕515号”《健康相关产品国家卫生监督抽检规定》第十九条“产品微生物指标超标的不予复检”的规定，微生物学指标项目（第7、8、9项）不予复检。</w:t>
            </w:r>
          </w:p>
        </w:tc>
      </w:tr>
    </w:tbl>
    <w:p w14:paraId="7A62792E">
      <w:pPr>
        <w:snapToGrid w:val="0"/>
        <w:spacing w:line="440" w:lineRule="exact"/>
        <w:jc w:val="center"/>
        <w:rPr>
          <w:rFonts w:hint="eastAsia"/>
          <w:color w:val="000000"/>
          <w:szCs w:val="21"/>
          <w:lang w:val="en-US" w:eastAsia="zh-CN"/>
        </w:rPr>
      </w:pPr>
      <w:r>
        <w:rPr>
          <w:rFonts w:hint="eastAsia"/>
          <w:color w:val="000000"/>
          <w:szCs w:val="21"/>
          <w:lang w:val="en-US" w:eastAsia="zh-CN"/>
        </w:rPr>
        <w:br w:type="textWrapping"/>
      </w:r>
      <w:r>
        <w:rPr>
          <w:rFonts w:hint="eastAsia"/>
          <w:color w:val="000000"/>
          <w:szCs w:val="21"/>
          <w:lang w:val="en-US" w:eastAsia="zh-CN"/>
        </w:rPr>
        <w:br w:type="textWrapping"/>
      </w:r>
      <w:r>
        <w:rPr>
          <w:rFonts w:hint="eastAsia"/>
          <w:color w:val="000000"/>
          <w:szCs w:val="21"/>
          <w:lang w:val="en-US" w:eastAsia="zh-CN"/>
        </w:rPr>
        <w:t>表2护</w:t>
      </w:r>
      <w:bookmarkStart w:id="0" w:name="hmjd_error_2_0_垫_黑马提示无建议_50964"/>
      <w:r>
        <w:rPr>
          <w:rFonts w:hint="eastAsia"/>
          <w:color w:val="000000"/>
          <w:szCs w:val="21"/>
          <w:lang w:val="en-US" w:eastAsia="zh-CN"/>
        </w:rPr>
        <w:t>垫</w:t>
      </w:r>
      <w:bookmarkEnd w:id="0"/>
      <w:r>
        <w:rPr>
          <w:rFonts w:hint="eastAsia"/>
          <w:color w:val="000000"/>
          <w:szCs w:val="21"/>
          <w:lang w:val="en-US" w:eastAsia="zh-CN"/>
        </w:rPr>
        <w:t>（GB 15979-2024、GB/T 8939-2018）</w:t>
      </w:r>
    </w:p>
    <w:tbl>
      <w:tblPr>
        <w:tblStyle w:val="6"/>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4111"/>
        <w:gridCol w:w="3685"/>
      </w:tblGrid>
      <w:tr w14:paraId="69D6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959" w:type="dxa"/>
            <w:noWrap w:val="0"/>
            <w:vAlign w:val="center"/>
          </w:tcPr>
          <w:p w14:paraId="003B2B2E">
            <w:pPr>
              <w:snapToGrid w:val="0"/>
              <w:spacing w:line="440" w:lineRule="exact"/>
              <w:jc w:val="center"/>
              <w:rPr>
                <w:rFonts w:hint="eastAsia"/>
                <w:color w:val="000000"/>
                <w:szCs w:val="21"/>
                <w:lang w:val="en-US" w:eastAsia="zh-CN"/>
              </w:rPr>
            </w:pPr>
            <w:r>
              <w:rPr>
                <w:rFonts w:hint="eastAsia"/>
                <w:color w:val="000000"/>
                <w:szCs w:val="21"/>
                <w:lang w:val="en-US" w:eastAsia="zh-CN"/>
              </w:rPr>
              <w:t>序号</w:t>
            </w:r>
          </w:p>
        </w:tc>
        <w:tc>
          <w:tcPr>
            <w:tcW w:w="4111" w:type="dxa"/>
            <w:noWrap w:val="0"/>
            <w:vAlign w:val="center"/>
          </w:tcPr>
          <w:p w14:paraId="6FA770BA">
            <w:pPr>
              <w:snapToGrid w:val="0"/>
              <w:spacing w:line="440" w:lineRule="exact"/>
              <w:jc w:val="center"/>
              <w:rPr>
                <w:rFonts w:hint="eastAsia"/>
                <w:color w:val="000000"/>
                <w:szCs w:val="21"/>
                <w:lang w:val="en-US" w:eastAsia="zh-CN"/>
              </w:rPr>
            </w:pPr>
            <w:r>
              <w:rPr>
                <w:rFonts w:hint="eastAsia"/>
                <w:color w:val="000000"/>
                <w:szCs w:val="21"/>
                <w:lang w:val="en-US" w:eastAsia="zh-CN"/>
              </w:rPr>
              <w:t>检验项目</w:t>
            </w:r>
          </w:p>
        </w:tc>
        <w:tc>
          <w:tcPr>
            <w:tcW w:w="3685" w:type="dxa"/>
            <w:noWrap w:val="0"/>
            <w:vAlign w:val="center"/>
          </w:tcPr>
          <w:p w14:paraId="18703990">
            <w:pPr>
              <w:snapToGrid w:val="0"/>
              <w:spacing w:line="440" w:lineRule="exact"/>
              <w:jc w:val="center"/>
              <w:rPr>
                <w:rFonts w:hint="eastAsia"/>
                <w:color w:val="000000"/>
                <w:szCs w:val="21"/>
                <w:lang w:val="en-US" w:eastAsia="zh-CN"/>
              </w:rPr>
            </w:pPr>
            <w:r>
              <w:rPr>
                <w:rFonts w:hint="eastAsia"/>
                <w:color w:val="000000"/>
                <w:szCs w:val="21"/>
                <w:lang w:val="en-US" w:eastAsia="zh-CN"/>
              </w:rPr>
              <w:t>检验方法</w:t>
            </w:r>
          </w:p>
        </w:tc>
      </w:tr>
      <w:tr w14:paraId="21541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959" w:type="dxa"/>
            <w:noWrap w:val="0"/>
            <w:vAlign w:val="center"/>
          </w:tcPr>
          <w:p w14:paraId="4F450ABC">
            <w:pPr>
              <w:snapToGrid w:val="0"/>
              <w:spacing w:line="440" w:lineRule="exact"/>
              <w:jc w:val="center"/>
              <w:rPr>
                <w:rFonts w:hint="eastAsia"/>
                <w:color w:val="000000"/>
                <w:szCs w:val="21"/>
                <w:lang w:val="en-US" w:eastAsia="zh-CN"/>
              </w:rPr>
            </w:pPr>
            <w:r>
              <w:rPr>
                <w:rFonts w:hint="eastAsia"/>
                <w:color w:val="000000"/>
                <w:szCs w:val="21"/>
                <w:lang w:val="en-US" w:eastAsia="zh-CN"/>
              </w:rPr>
              <w:t>1</w:t>
            </w:r>
          </w:p>
        </w:tc>
        <w:tc>
          <w:tcPr>
            <w:tcW w:w="4111" w:type="dxa"/>
            <w:shd w:val="clear" w:color="auto" w:fill="auto"/>
            <w:noWrap w:val="0"/>
            <w:vAlign w:val="center"/>
          </w:tcPr>
          <w:p w14:paraId="7F590284">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可迁移性荧光物质</w:t>
            </w:r>
          </w:p>
        </w:tc>
        <w:tc>
          <w:tcPr>
            <w:tcW w:w="3685" w:type="dxa"/>
            <w:shd w:val="clear" w:color="auto" w:fill="auto"/>
            <w:noWrap w:val="0"/>
            <w:vAlign w:val="center"/>
          </w:tcPr>
          <w:p w14:paraId="284511F9">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GB/T 8939-2018</w:t>
            </w:r>
          </w:p>
        </w:tc>
      </w:tr>
      <w:tr w14:paraId="5F4AB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959" w:type="dxa"/>
            <w:noWrap w:val="0"/>
            <w:vAlign w:val="center"/>
          </w:tcPr>
          <w:p w14:paraId="684085CC">
            <w:pPr>
              <w:snapToGrid w:val="0"/>
              <w:spacing w:line="440" w:lineRule="exact"/>
              <w:jc w:val="center"/>
              <w:rPr>
                <w:rFonts w:hint="eastAsia"/>
                <w:color w:val="000000"/>
                <w:szCs w:val="21"/>
                <w:lang w:val="en-US" w:eastAsia="zh-CN"/>
              </w:rPr>
            </w:pPr>
            <w:r>
              <w:rPr>
                <w:rFonts w:hint="eastAsia"/>
                <w:color w:val="000000"/>
                <w:szCs w:val="21"/>
                <w:lang w:val="en-US" w:eastAsia="zh-CN"/>
              </w:rPr>
              <w:t>2</w:t>
            </w:r>
          </w:p>
        </w:tc>
        <w:tc>
          <w:tcPr>
            <w:tcW w:w="4111" w:type="dxa"/>
            <w:shd w:val="clear" w:color="auto" w:fill="auto"/>
            <w:noWrap w:val="0"/>
            <w:vAlign w:val="center"/>
          </w:tcPr>
          <w:p w14:paraId="1D78F094">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细菌菌落总数</w:t>
            </w:r>
          </w:p>
        </w:tc>
        <w:tc>
          <w:tcPr>
            <w:tcW w:w="3685" w:type="dxa"/>
            <w:shd w:val="clear" w:color="auto" w:fill="auto"/>
            <w:noWrap w:val="0"/>
            <w:vAlign w:val="center"/>
          </w:tcPr>
          <w:p w14:paraId="4736146F">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GB 15979-2024</w:t>
            </w:r>
          </w:p>
        </w:tc>
      </w:tr>
      <w:tr w14:paraId="04CB5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959" w:type="dxa"/>
            <w:noWrap w:val="0"/>
            <w:vAlign w:val="center"/>
          </w:tcPr>
          <w:p w14:paraId="6252EBEF">
            <w:pPr>
              <w:snapToGrid w:val="0"/>
              <w:spacing w:line="440" w:lineRule="exact"/>
              <w:jc w:val="center"/>
              <w:rPr>
                <w:rFonts w:hint="eastAsia"/>
                <w:color w:val="000000"/>
                <w:szCs w:val="21"/>
                <w:lang w:val="en-US" w:eastAsia="zh-CN"/>
              </w:rPr>
            </w:pPr>
            <w:r>
              <w:rPr>
                <w:rFonts w:hint="eastAsia"/>
                <w:color w:val="000000"/>
                <w:szCs w:val="21"/>
                <w:lang w:val="en-US" w:eastAsia="zh-CN"/>
              </w:rPr>
              <w:t>3</w:t>
            </w:r>
          </w:p>
        </w:tc>
        <w:tc>
          <w:tcPr>
            <w:tcW w:w="4111" w:type="dxa"/>
            <w:shd w:val="clear" w:color="auto" w:fill="auto"/>
            <w:noWrap w:val="0"/>
            <w:vAlign w:val="center"/>
          </w:tcPr>
          <w:p w14:paraId="1D4BAE66">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特定微生物（大肠菌群、铜绿假单胞菌、金黄色葡萄球菌、溶血性链球菌）</w:t>
            </w:r>
          </w:p>
        </w:tc>
        <w:tc>
          <w:tcPr>
            <w:tcW w:w="3685" w:type="dxa"/>
            <w:shd w:val="clear" w:color="auto" w:fill="auto"/>
            <w:noWrap w:val="0"/>
            <w:vAlign w:val="center"/>
          </w:tcPr>
          <w:p w14:paraId="27A3FDD2">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GB 15979-2024</w:t>
            </w:r>
          </w:p>
        </w:tc>
      </w:tr>
      <w:tr w14:paraId="79088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959" w:type="dxa"/>
            <w:noWrap w:val="0"/>
            <w:vAlign w:val="center"/>
          </w:tcPr>
          <w:p w14:paraId="5FFA71D6">
            <w:pPr>
              <w:snapToGrid w:val="0"/>
              <w:spacing w:line="440" w:lineRule="exact"/>
              <w:jc w:val="center"/>
              <w:rPr>
                <w:rFonts w:hint="eastAsia"/>
                <w:color w:val="000000"/>
                <w:szCs w:val="21"/>
                <w:lang w:val="en-US" w:eastAsia="zh-CN"/>
              </w:rPr>
            </w:pPr>
            <w:r>
              <w:rPr>
                <w:rFonts w:hint="eastAsia"/>
                <w:color w:val="000000"/>
                <w:szCs w:val="21"/>
                <w:lang w:val="en-US" w:eastAsia="zh-CN"/>
              </w:rPr>
              <w:t>4</w:t>
            </w:r>
          </w:p>
        </w:tc>
        <w:tc>
          <w:tcPr>
            <w:tcW w:w="4111" w:type="dxa"/>
            <w:shd w:val="clear" w:color="auto" w:fill="auto"/>
            <w:noWrap w:val="0"/>
            <w:vAlign w:val="center"/>
          </w:tcPr>
          <w:p w14:paraId="59ABDBD7">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真菌菌落总数</w:t>
            </w:r>
          </w:p>
        </w:tc>
        <w:tc>
          <w:tcPr>
            <w:tcW w:w="3685" w:type="dxa"/>
            <w:shd w:val="clear" w:color="auto" w:fill="auto"/>
            <w:noWrap w:val="0"/>
            <w:vAlign w:val="center"/>
          </w:tcPr>
          <w:p w14:paraId="02889F2A">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GB 15979-2024</w:t>
            </w:r>
          </w:p>
        </w:tc>
      </w:tr>
      <w:tr w14:paraId="55BE4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8755" w:type="dxa"/>
            <w:gridSpan w:val="3"/>
            <w:noWrap w:val="0"/>
            <w:vAlign w:val="center"/>
          </w:tcPr>
          <w:p w14:paraId="144FFDB3">
            <w:pPr>
              <w:snapToGrid w:val="0"/>
              <w:spacing w:line="440" w:lineRule="exact"/>
              <w:jc w:val="center"/>
              <w:rPr>
                <w:rFonts w:hint="eastAsia"/>
                <w:color w:val="000000"/>
                <w:szCs w:val="21"/>
                <w:lang w:val="en-US" w:eastAsia="zh-CN"/>
              </w:rPr>
            </w:pPr>
            <w:r>
              <w:rPr>
                <w:rFonts w:hint="eastAsia"/>
                <w:color w:val="000000"/>
                <w:szCs w:val="21"/>
                <w:lang w:val="en-US" w:eastAsia="zh-CN"/>
              </w:rPr>
              <w:t>注：1、依据卫健委“</w:t>
            </w:r>
            <w:bookmarkStart w:id="1" w:name="hmjd_error_2_0_卫_黑马提示无建议_51287"/>
            <w:r>
              <w:rPr>
                <w:rFonts w:hint="eastAsia"/>
                <w:color w:val="000000"/>
                <w:szCs w:val="21"/>
                <w:lang w:val="en-US" w:eastAsia="zh-CN"/>
              </w:rPr>
              <w:t>卫</w:t>
            </w:r>
            <w:bookmarkEnd w:id="1"/>
            <w:r>
              <w:rPr>
                <w:rFonts w:hint="eastAsia"/>
                <w:color w:val="000000"/>
                <w:szCs w:val="21"/>
                <w:lang w:val="en-US" w:eastAsia="zh-CN"/>
              </w:rPr>
              <w:t>监督发〔2005〕515号”《健康相关产品国家卫生监督抽检规定》第十九条“产品微生物指标超标的不予复检”的规定，微生物学指标项目（第6、7、8项）不予复检。</w:t>
            </w:r>
          </w:p>
        </w:tc>
      </w:tr>
    </w:tbl>
    <w:p w14:paraId="29BC9FA8">
      <w:pPr>
        <w:adjustRightInd w:val="0"/>
        <w:snapToGrid w:val="0"/>
        <w:spacing w:line="440" w:lineRule="exact"/>
        <w:ind w:firstLine="420" w:firstLineChars="200"/>
        <w:rPr>
          <w:rFonts w:ascii="宋体" w:hAnsi="宋体"/>
          <w:color w:val="000000"/>
          <w:szCs w:val="21"/>
        </w:rPr>
      </w:pPr>
      <w:r>
        <w:rPr>
          <w:rFonts w:hint="eastAsia"/>
          <w:color w:val="000000"/>
          <w:szCs w:val="21"/>
        </w:rPr>
        <w:br w:type="textWrapping"/>
      </w:r>
      <w:r>
        <w:rPr>
          <w:rFonts w:hint="eastAsia"/>
          <w:color w:val="000000"/>
          <w:szCs w:val="21"/>
          <w:lang w:val="en-US" w:eastAsia="zh-CN"/>
        </w:rPr>
        <w:t xml:space="preserve">    </w:t>
      </w:r>
      <w:r>
        <w:rPr>
          <w:rFonts w:hint="eastAsia"/>
          <w:color w:val="000000"/>
          <w:szCs w:val="21"/>
        </w:rPr>
        <w:t>执行企业标准、团体标准、地方标准的产品，检验项目参照上述内容执行。</w:t>
      </w:r>
    </w:p>
    <w:p w14:paraId="2BD22C7F">
      <w:pPr>
        <w:spacing w:line="440" w:lineRule="exact"/>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1F6F1898">
      <w:pPr>
        <w:snapToGrid w:val="0"/>
        <w:spacing w:line="440" w:lineRule="exact"/>
        <w:rPr>
          <w:rFonts w:eastAsia="黑体"/>
          <w:color w:val="000000"/>
          <w:szCs w:val="21"/>
        </w:rPr>
      </w:pPr>
    </w:p>
    <w:p w14:paraId="65D96872">
      <w:pPr>
        <w:snapToGrid w:val="0"/>
        <w:spacing w:line="440" w:lineRule="exact"/>
        <w:rPr>
          <w:rFonts w:eastAsia="黑体"/>
          <w:color w:val="000000"/>
          <w:szCs w:val="21"/>
        </w:rPr>
      </w:pPr>
      <w:r>
        <w:rPr>
          <w:rFonts w:hint="eastAsia" w:eastAsia="黑体"/>
          <w:color w:val="000000"/>
          <w:szCs w:val="21"/>
        </w:rPr>
        <w:t>3</w:t>
      </w:r>
      <w:r>
        <w:rPr>
          <w:rFonts w:eastAsia="黑体"/>
          <w:color w:val="000000"/>
          <w:szCs w:val="21"/>
        </w:rPr>
        <w:t xml:space="preserve"> 判定规则</w:t>
      </w:r>
    </w:p>
    <w:p w14:paraId="20E2A6D7">
      <w:pPr>
        <w:spacing w:line="440" w:lineRule="exact"/>
        <w:rPr>
          <w:color w:val="000000"/>
          <w:szCs w:val="21"/>
        </w:rPr>
      </w:pPr>
      <w:r>
        <w:rPr>
          <w:rFonts w:hint="eastAsia"/>
          <w:color w:val="000000"/>
          <w:szCs w:val="21"/>
        </w:rPr>
        <w:t>3</w:t>
      </w:r>
      <w:r>
        <w:rPr>
          <w:color w:val="000000"/>
          <w:szCs w:val="21"/>
        </w:rPr>
        <w:t xml:space="preserve">.1 </w:t>
      </w:r>
      <w:r>
        <w:rPr>
          <w:rFonts w:hint="eastAsia"/>
          <w:color w:val="000000"/>
          <w:szCs w:val="21"/>
        </w:rPr>
        <w:t>依据标准</w:t>
      </w:r>
    </w:p>
    <w:p w14:paraId="632B16DE">
      <w:pPr>
        <w:snapToGrid w:val="0"/>
        <w:spacing w:line="440" w:lineRule="exact"/>
        <w:ind w:left="420" w:leftChars="200" w:firstLine="0" w:firstLineChars="0"/>
        <w:rPr>
          <w:color w:val="000000"/>
          <w:szCs w:val="21"/>
        </w:rPr>
      </w:pPr>
      <w:r>
        <w:rPr>
          <w:color w:val="000000"/>
          <w:szCs w:val="21"/>
        </w:rPr>
        <w:t>GB/T 8939-2018</w:t>
      </w:r>
      <w:r>
        <w:rPr>
          <w:rFonts w:hint="eastAsia"/>
          <w:color w:val="000000"/>
          <w:szCs w:val="21"/>
          <w:lang w:val="en-US" w:eastAsia="zh-CN"/>
        </w:rPr>
        <w:t xml:space="preserve"> </w:t>
      </w:r>
      <w:r>
        <w:rPr>
          <w:color w:val="000000"/>
          <w:szCs w:val="21"/>
        </w:rPr>
        <w:t>卫生巾（护</w:t>
      </w:r>
      <w:bookmarkStart w:id="2" w:name="hmjd_error_2_0_垫_黑马提示无建议_51499"/>
      <w:r>
        <w:rPr>
          <w:color w:val="000000"/>
          <w:szCs w:val="21"/>
        </w:rPr>
        <w:t>垫</w:t>
      </w:r>
      <w:bookmarkEnd w:id="2"/>
      <w:r>
        <w:rPr>
          <w:color w:val="000000"/>
          <w:szCs w:val="21"/>
        </w:rPr>
        <w:t>）</w:t>
      </w:r>
    </w:p>
    <w:p w14:paraId="4AB3A024">
      <w:pPr>
        <w:snapToGrid w:val="0"/>
        <w:spacing w:line="440" w:lineRule="exact"/>
        <w:ind w:left="420" w:leftChars="200" w:firstLine="0" w:firstLineChars="0"/>
        <w:rPr>
          <w:rFonts w:hint="default" w:eastAsia="宋体"/>
          <w:lang w:val="en-US" w:eastAsia="zh-CN"/>
        </w:rPr>
      </w:pPr>
      <w:r>
        <w:rPr>
          <w:color w:val="000000"/>
          <w:szCs w:val="21"/>
        </w:rPr>
        <w:t>GB 15979-20</w:t>
      </w:r>
      <w:r>
        <w:rPr>
          <w:rFonts w:hint="eastAsia"/>
          <w:color w:val="000000"/>
          <w:szCs w:val="21"/>
          <w:lang w:val="en-US" w:eastAsia="zh-CN"/>
        </w:rPr>
        <w:t xml:space="preserve">24 </w:t>
      </w:r>
      <w:r>
        <w:rPr>
          <w:color w:val="000000"/>
          <w:szCs w:val="21"/>
        </w:rPr>
        <w:t>一次性使用卫生用品卫生标准</w:t>
      </w:r>
    </w:p>
    <w:p w14:paraId="66A7F26E">
      <w:pPr>
        <w:snapToGrid w:val="0"/>
        <w:spacing w:line="440" w:lineRule="exact"/>
        <w:ind w:left="420" w:leftChars="200" w:firstLine="0" w:firstLineChars="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289AD47-8973-479F-B18E-82A332094DA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C1676816-1F84-4F38-8021-7849A84C08F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062902"/>
    <w:multiLevelType w:val="singleLevel"/>
    <w:tmpl w:val="11062902"/>
    <w:lvl w:ilvl="0" w:tentative="0">
      <w:start w:val="1"/>
      <w:numFmt w:val="decimal"/>
      <w:pStyle w:val="3"/>
      <w:lvlText w:val="%1."/>
      <w:lvlJc w:val="left"/>
      <w:pPr>
        <w:tabs>
          <w:tab w:val="left" w:pos="2040"/>
        </w:tabs>
        <w:ind w:left="20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0280289"/>
    <w:rsid w:val="01664481"/>
    <w:rsid w:val="03394EB3"/>
    <w:rsid w:val="04333FF8"/>
    <w:rsid w:val="060317A8"/>
    <w:rsid w:val="0A78010B"/>
    <w:rsid w:val="0BED255E"/>
    <w:rsid w:val="0D19796D"/>
    <w:rsid w:val="10865A73"/>
    <w:rsid w:val="13902F3C"/>
    <w:rsid w:val="13CC32D4"/>
    <w:rsid w:val="14DC1B42"/>
    <w:rsid w:val="17C074F9"/>
    <w:rsid w:val="1B403722"/>
    <w:rsid w:val="1B88278D"/>
    <w:rsid w:val="1BBE4697"/>
    <w:rsid w:val="1BD97E5A"/>
    <w:rsid w:val="1CF163A7"/>
    <w:rsid w:val="21EE1107"/>
    <w:rsid w:val="22574677"/>
    <w:rsid w:val="25DF3AF4"/>
    <w:rsid w:val="27701672"/>
    <w:rsid w:val="28343B01"/>
    <w:rsid w:val="28407606"/>
    <w:rsid w:val="29FA18FC"/>
    <w:rsid w:val="2ACD3FAF"/>
    <w:rsid w:val="2AFF7B61"/>
    <w:rsid w:val="2C8D1AEF"/>
    <w:rsid w:val="2CB2345D"/>
    <w:rsid w:val="2EC145FC"/>
    <w:rsid w:val="303B6666"/>
    <w:rsid w:val="3301352F"/>
    <w:rsid w:val="3330332D"/>
    <w:rsid w:val="35462C2A"/>
    <w:rsid w:val="369B4675"/>
    <w:rsid w:val="37AB5B7E"/>
    <w:rsid w:val="382574E8"/>
    <w:rsid w:val="384F4255"/>
    <w:rsid w:val="3AA82343"/>
    <w:rsid w:val="3C9E39FD"/>
    <w:rsid w:val="3CDB65C6"/>
    <w:rsid w:val="3E947539"/>
    <w:rsid w:val="441D542D"/>
    <w:rsid w:val="44937F9B"/>
    <w:rsid w:val="467F0CF9"/>
    <w:rsid w:val="4721404E"/>
    <w:rsid w:val="507908EE"/>
    <w:rsid w:val="522E2F34"/>
    <w:rsid w:val="530F7A0D"/>
    <w:rsid w:val="539523B2"/>
    <w:rsid w:val="5551190C"/>
    <w:rsid w:val="56A25A40"/>
    <w:rsid w:val="57A31A70"/>
    <w:rsid w:val="595D35AB"/>
    <w:rsid w:val="5A567682"/>
    <w:rsid w:val="5C0748DB"/>
    <w:rsid w:val="5C3E5865"/>
    <w:rsid w:val="5E4E4E2C"/>
    <w:rsid w:val="5EA66A16"/>
    <w:rsid w:val="5FEF198C"/>
    <w:rsid w:val="625C73EB"/>
    <w:rsid w:val="660364FC"/>
    <w:rsid w:val="684A6664"/>
    <w:rsid w:val="69171FA4"/>
    <w:rsid w:val="695305C6"/>
    <w:rsid w:val="6A7E6BAB"/>
    <w:rsid w:val="6A811342"/>
    <w:rsid w:val="6B8D6C10"/>
    <w:rsid w:val="6BC07E6B"/>
    <w:rsid w:val="6C0B7C2F"/>
    <w:rsid w:val="6E8F6471"/>
    <w:rsid w:val="6F3F1B91"/>
    <w:rsid w:val="702B4DF4"/>
    <w:rsid w:val="72321ACB"/>
    <w:rsid w:val="74D3353D"/>
    <w:rsid w:val="75B01AD0"/>
    <w:rsid w:val="77CB1717"/>
    <w:rsid w:val="77E1529B"/>
    <w:rsid w:val="78547D9F"/>
    <w:rsid w:val="791E4FA3"/>
    <w:rsid w:val="79DB277C"/>
    <w:rsid w:val="7BEB46DA"/>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next w:val="3"/>
    <w:qFormat/>
    <w:uiPriority w:val="0"/>
    <w:rPr>
      <w:rFonts w:ascii="宋体" w:hAnsi="Courier New" w:cs="Courier New"/>
      <w:szCs w:val="21"/>
    </w:rPr>
  </w:style>
  <w:style w:type="paragraph" w:styleId="3">
    <w:name w:val="List Number 5"/>
    <w:basedOn w:val="1"/>
    <w:qFormat/>
    <w:uiPriority w:val="0"/>
    <w:pPr>
      <w:numPr>
        <w:ilvl w:val="0"/>
        <w:numId w:val="1"/>
      </w:numPr>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934</Words>
  <Characters>1098</Characters>
  <Lines>0</Lines>
  <Paragraphs>0</Paragraphs>
  <TotalTime>0</TotalTime>
  <ScaleCrop>false</ScaleCrop>
  <LinksUpToDate>false</LinksUpToDate>
  <CharactersWithSpaces>1122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2026-06-17T09:15:06Z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CA5C6A409446425DB8D58A777F8CFB8A_13</vt:lpwstr>
  </property>
  <property fmtid="{D5CDD505-2E9C-101B-9397-08002B2CF9AE}" pid="4" name="KSOTemplateDocerSaveRecord">
    <vt:lpwstr>eyJoZGlkIjoiYWQzZTQzYjcyY2JhN2M4NGZmOWNjMDY4NGMyN2NjMmYiLCJ1c2VySWQiOiIxNDQ1NjU1MDYxIn0=</vt:lpwstr>
  </property>
</Properties>
</file>