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D424A3C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left="0" w:right="0" w:firstLine="420"/>
        <w:jc w:val="center"/>
        <w:rPr>
          <w:rFonts w:ascii="方正小标宋_GBK" w:eastAsia="方正小标宋_GBK" w:hAnsi="方正小标宋_GBK" w:hint="eastAsia"/>
          <w:i w:val="false"/>
          <w:iCs w:val="false"/>
          <w:color w:val="000000"/>
          <w:spacing w:val="0"/>
          <w:sz w:val="44"/>
          <w:szCs w:val="44"/>
        </w:rPr>
      </w:pPr>
      <w:r>
        <w:rPr>
          <w:rFonts w:ascii="方正小标宋_GBK" w:eastAsia="方正小标宋_GBK" w:hAnsi="方正小标宋_GBK" w:hint="eastAsia"/>
          <w:i w:val="false"/>
          <w:iCs w:val="false"/>
          <w:color w:val="000000"/>
          <w:spacing w:val="0"/>
          <w:sz w:val="44"/>
          <w:szCs w:val="44"/>
        </w:rPr>
        <w:t>阿坝州召开20</w:t>
      </w:r>
      <w:r>
        <w:rPr>
          <w:rFonts w:ascii="方正小标宋_GBK" w:eastAsia="方正小标宋_GBK" w:hAnsi="方正小标宋_GBK" w:hint="default"/>
          <w:i w:val="false"/>
          <w:iCs w:val="false"/>
          <w:color w:val="000000"/>
          <w:spacing w:val="0"/>
          <w:sz w:val="44"/>
          <w:szCs w:val="44"/>
          <w:lang w:val="en-US"/>
        </w:rPr>
        <w:t>26</w:t>
      </w:r>
      <w:r>
        <w:rPr>
          <w:rFonts w:ascii="方正小标宋_GBK" w:eastAsia="方正小标宋_GBK" w:hAnsi="方正小标宋_GBK" w:hint="eastAsia"/>
          <w:i w:val="false"/>
          <w:iCs w:val="false"/>
          <w:color w:val="000000"/>
          <w:spacing w:val="0"/>
          <w:sz w:val="44"/>
          <w:szCs w:val="44"/>
        </w:rPr>
        <w:t>年药械化不良反应</w:t>
      </w:r>
    </w:p>
    <w:p w14:paraId="288F35CC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left="0" w:right="0" w:firstLine="420"/>
        <w:jc w:val="center"/>
        <w:rPr>
          <w:rFonts w:ascii="仿宋_GB2312" w:cs="Times New Roman" w:eastAsia="仿宋_GB2312" w:hAnsi="仿宋_GB2312" w:hint="default"/>
          <w:b w:val="false"/>
          <w:bCs w:val="false"/>
          <w:i w:val="false"/>
          <w:iCs w:val="false"/>
          <w:color w:val="000000"/>
          <w:spacing w:val="0"/>
          <w:kern w:val="0"/>
          <w:sz w:val="32"/>
          <w:szCs w:val="24"/>
          <w:highlight w:val="none"/>
          <w:vertAlign w:val="baseline"/>
          <w:em w:val="none"/>
          <w:lang w:val="en-US" w:bidi="ar-SA" w:eastAsia="zh-CN"/>
        </w:rPr>
      </w:pPr>
      <w:r>
        <w:rPr>
          <w:rFonts w:ascii="方正小标宋_GBK" w:eastAsia="方正小标宋_GBK" w:hAnsi="方正小标宋_GBK" w:hint="eastAsia"/>
          <w:i w:val="false"/>
          <w:iCs w:val="false"/>
          <w:color w:val="000000"/>
          <w:spacing w:val="0"/>
          <w:sz w:val="44"/>
          <w:szCs w:val="44"/>
          <w:lang w:eastAsia="zh-CN"/>
        </w:rPr>
        <w:t>（事件）</w:t>
      </w:r>
      <w:r>
        <w:rPr>
          <w:rFonts w:ascii="方正小标宋_GBK" w:eastAsia="方正小标宋_GBK" w:hAnsi="方正小标宋_GBK" w:hint="default"/>
          <w:i w:val="false"/>
          <w:iCs w:val="false"/>
          <w:color w:val="000000"/>
          <w:spacing w:val="0"/>
          <w:sz w:val="44"/>
          <w:szCs w:val="44"/>
          <w:lang w:val="en-US" w:eastAsia="zh-CN"/>
        </w:rPr>
        <w:t>及药物滥用</w:t>
      </w:r>
      <w:r>
        <w:rPr>
          <w:rFonts w:ascii="方正小标宋_GBK" w:eastAsia="方正小标宋_GBK" w:hAnsi="方正小标宋_GBK" w:hint="eastAsia"/>
          <w:i w:val="false"/>
          <w:iCs w:val="false"/>
          <w:color w:val="000000"/>
          <w:spacing w:val="0"/>
          <w:sz w:val="44"/>
          <w:szCs w:val="44"/>
        </w:rPr>
        <w:t>监测工作视频培训会</w:t>
      </w:r>
    </w:p>
    <w:p w14:paraId="FAC57982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right="0" w:firstLine="640" w:firstLineChars="200"/>
        <w:jc w:val="left"/>
        <w:rPr>
          <w:rFonts w:ascii="仿宋_GB2312" w:eastAsia="仿宋_GB2312" w:hAnsi="仿宋_GB2312" w:hint="eastAsia"/>
          <w:i w:val="false"/>
          <w:iCs w:val="false"/>
          <w:color w:val="000000"/>
          <w:spacing w:val="0"/>
          <w:sz w:val="32"/>
          <w:szCs w:val="32"/>
          <w:lang w:eastAsia="zh-CN"/>
        </w:rPr>
      </w:pPr>
      <w:r>
        <w:rPr>
          <w:rFonts w:ascii="仿宋_GB2312" w:eastAsia="仿宋_GB2312" w:hAnsi="仿宋_GB2312" w:hint="default"/>
          <w:i w:val="false"/>
          <w:iCs w:val="false"/>
          <w:color w:val="000000"/>
          <w:spacing w:val="0"/>
          <w:sz w:val="32"/>
          <w:szCs w:val="32"/>
          <w:lang w:val="en-US"/>
        </w:rPr>
        <w:t>为进一步规范全州药品、医疗器械、化妆品不良反应（事件）及药物滥用监测工作，持续提升基层报送质效和风险预警处置能力，9月1日，阿坝州市场监管局组织召开2026年药械化不良反应（事件）及药物滥用监测业务专题视频培训会。全州市监、卫健部门及各级医疗机构、药械化经营单位业务骨干及代表共计400人参训。</w:t>
      </w:r>
    </w:p>
    <w:p w14:paraId="AF721E08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right="0" w:firstLine="640" w:firstLineChars="200"/>
        <w:jc w:val="left"/>
        <w:rPr>
          <w:rFonts w:ascii="仿宋_GB2312" w:eastAsia="仿宋_GB2312" w:hAnsi="仿宋_GB2312" w:hint="eastAsia"/>
          <w:i w:val="false"/>
          <w:iCs w:val="false"/>
          <w:color w:val="000000"/>
          <w:spacing w:val="0"/>
          <w:sz w:val="32"/>
          <w:szCs w:val="32"/>
          <w:lang w:eastAsia="zh-CN"/>
        </w:rPr>
      </w:pPr>
      <w:r>
        <w:rPr>
          <w:rFonts w:ascii="仿宋_GB2312" w:eastAsia="仿宋_GB2312" w:hAnsi="仿宋_GB2312" w:hint="default"/>
          <w:i w:val="false"/>
          <w:iCs w:val="false"/>
          <w:color w:val="000000"/>
          <w:spacing w:val="0"/>
          <w:sz w:val="32"/>
          <w:szCs w:val="32"/>
          <w:lang w:val="en-US" w:eastAsia="zh-CN"/>
        </w:rPr>
        <w:t>本次培训特邀四川省药品不良反应监测中心四位专家授课。培训内容全面覆盖药械化不良反应（事件）监测及药物滥用监测重点工作，系统讲解监测业务基础知识、报告填报规范、典型风险识别、药物滥用线索排查及系统实操要点，精准解答基层填报难点，为全州规范开展监测工作提供了专业指导。</w:t>
      </w:r>
    </w:p>
    <w:p w14:paraId="06A6A427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right="0" w:firstLineChars="200"/>
        <w:jc w:val="left"/>
        <w:rPr>
          <w:rFonts w:ascii="仿宋_GB2312" w:cs="Times New Roman" w:eastAsia="仿宋_GB2312" w:hAnsi="仿宋_GB2312" w:hint="default"/>
          <w:b w:val="false"/>
          <w:bCs w:val="false"/>
          <w:i w:val="false"/>
          <w:iCs w:val="false"/>
          <w:color w:val="000000"/>
          <w:spacing w:val="0"/>
          <w:kern w:val="0"/>
          <w:sz w:val="32"/>
          <w:szCs w:val="32"/>
          <w:highlight w:val="none"/>
          <w:vertAlign w:val="baseline"/>
          <w:em w:val="none"/>
          <w:lang w:val="en-US" w:bidi="ar-SA" w:eastAsia="zh-CN"/>
        </w:rPr>
      </w:pPr>
      <w:r>
        <w:rPr>
          <w:rFonts w:ascii="仿宋_GB2312" w:cs="Times New Roman" w:eastAsia="仿宋_GB2312" w:hAnsi="仿宋_GB2312" w:hint="default"/>
          <w:b w:val="false"/>
          <w:bCs w:val="false"/>
          <w:i w:val="false"/>
          <w:iCs w:val="false"/>
          <w:color w:val="000000"/>
          <w:spacing w:val="0"/>
          <w:kern w:val="0"/>
          <w:sz w:val="32"/>
          <w:szCs w:val="32"/>
          <w:highlight w:val="none"/>
          <w:vertAlign w:val="baseline"/>
          <w:em w:val="none"/>
          <w:lang w:val="en-US" w:bidi="ar-SA" w:eastAsia="zh-CN"/>
        </w:rPr>
        <w:t>会上，州药品不良反应监测中心通报了2026年全州监测工作推进情况及各县（市）报送数据，深入梳理当前报告填报、数据报送中存在的短板弱项，明确了下步整改提升方向。</w:t>
      </w:r>
    </w:p>
    <w:p w14:paraId="4A4F4047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right="0" w:firstLine="640" w:firstLineChars="200"/>
        <w:jc w:val="left"/>
        <w:rPr>
          <w:rFonts w:ascii="仿宋_GB2312" w:eastAsia="仿宋_GB2312" w:hAnsi="仿宋_GB2312" w:hint="eastAsia"/>
          <w:i w:val="false"/>
          <w:iCs w:val="false"/>
          <w:color w:val="000000"/>
          <w:spacing w:val="0"/>
          <w:sz w:val="32"/>
          <w:szCs w:val="32"/>
        </w:rPr>
      </w:pPr>
      <w:r>
        <w:rPr>
          <w:rFonts w:ascii="仿宋_GB2312" w:eastAsia="仿宋_GB2312" w:hAnsi="仿宋_GB2312" w:hint="default"/>
          <w:i w:val="false"/>
          <w:iCs w:val="false"/>
          <w:color w:val="000000"/>
          <w:spacing w:val="0"/>
          <w:sz w:val="32"/>
          <w:szCs w:val="32"/>
          <w:lang w:val="en-US"/>
        </w:rPr>
        <w:t>会后，州市场监管局党组成员、副局长何江华作总结讲话，并就抓实全年监测工作提出三点要求。</w:t>
      </w:r>
      <w:r>
        <w:rPr>
          <w:rFonts w:ascii="仿宋_GB2312" w:eastAsia="仿宋_GB2312" w:hAnsi="仿宋_GB2312" w:hint="default"/>
          <w:b/>
          <w:bCs/>
          <w:i w:val="false"/>
          <w:iCs w:val="false"/>
          <w:color w:val="000000"/>
          <w:spacing w:val="0"/>
          <w:sz w:val="32"/>
          <w:szCs w:val="32"/>
          <w:lang w:val="en-US"/>
        </w:rPr>
        <w:t>一是</w:t>
      </w:r>
      <w:r>
        <w:rPr>
          <w:rFonts w:ascii="仿宋_GB2312" w:eastAsia="仿宋_GB2312" w:hAnsi="仿宋_GB2312" w:hint="default"/>
          <w:i w:val="false"/>
          <w:iCs w:val="false"/>
          <w:color w:val="000000"/>
          <w:spacing w:val="0"/>
          <w:sz w:val="32"/>
          <w:szCs w:val="32"/>
          <w:lang w:val="en-US"/>
        </w:rPr>
        <w:t>正视短板、对标整改。针对当前工作推进不均衡、报送质量不高、严重报告占比偏低，部分医疗机构存在“不愿报、不敢报、不会报”、经营企业主动监测意识不足等问题，要求各单位对标对表、举一反三，逐项抓好整改落实。</w:t>
      </w:r>
      <w:r>
        <w:rPr>
          <w:rFonts w:ascii="仿宋_GB2312" w:eastAsia="仿宋_GB2312" w:hAnsi="仿宋_GB2312" w:hint="default"/>
          <w:b/>
          <w:bCs/>
          <w:i w:val="false"/>
          <w:iCs w:val="false"/>
          <w:color w:val="000000"/>
          <w:spacing w:val="0"/>
          <w:sz w:val="32"/>
          <w:szCs w:val="32"/>
          <w:lang w:val="en-US"/>
        </w:rPr>
        <w:t>二是</w:t>
      </w:r>
      <w:r>
        <w:rPr>
          <w:rFonts w:ascii="仿宋_GB2312" w:eastAsia="仿宋_GB2312" w:hAnsi="仿宋_GB2312" w:hint="default"/>
          <w:i w:val="false"/>
          <w:iCs w:val="false"/>
          <w:color w:val="000000"/>
          <w:spacing w:val="0"/>
          <w:sz w:val="32"/>
          <w:szCs w:val="32"/>
          <w:lang w:val="en-US"/>
        </w:rPr>
        <w:t>压实责任、提质增效。持续夯实医疗机构监测主渠道作用，严格落实“可疑即报、应报尽报”工作原则，督促经营企业主动排查、及时上报不良反应线索。聚焦集采药品、高风险器械、儿童化妆品等重点品种开展靶向监测，全面提升监测数据真实性、规范性和精准性。</w:t>
      </w:r>
      <w:r>
        <w:rPr>
          <w:rFonts w:ascii="仿宋_GB2312" w:eastAsia="仿宋_GB2312" w:hAnsi="仿宋_GB2312" w:hint="default"/>
          <w:b/>
          <w:bCs/>
          <w:i w:val="false"/>
          <w:iCs w:val="false"/>
          <w:color w:val="000000"/>
          <w:spacing w:val="0"/>
          <w:sz w:val="32"/>
          <w:szCs w:val="32"/>
          <w:lang w:val="en-US"/>
        </w:rPr>
        <w:t>三是</w:t>
      </w:r>
      <w:r>
        <w:rPr>
          <w:rFonts w:ascii="仿宋_GB2312" w:eastAsia="仿宋_GB2312" w:hAnsi="仿宋_GB2312" w:hint="default"/>
          <w:i w:val="false"/>
          <w:iCs w:val="false"/>
          <w:color w:val="000000"/>
          <w:spacing w:val="0"/>
          <w:sz w:val="32"/>
          <w:szCs w:val="32"/>
          <w:lang w:val="en-US"/>
        </w:rPr>
        <w:t>协同共治、补齐弱项。深化市监、卫健等部门联动协作，抓实培训成果二次传导，常态化开展基层业务指导、督导约谈，提升一线监测人员风险线索识别和报送能力，凝聚工作合力，全力推动全州药械化监测工作提质升级。</w:t>
      </w:r>
    </w:p>
    <w:p w14:paraId="54646148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right="0" w:firstLine="640" w:firstLineChars="200"/>
        <w:jc w:val="left"/>
        <w:rPr>
          <w:rFonts w:ascii="仿宋_GB2312" w:eastAsia="仿宋_GB2312" w:hAnsi="仿宋_GB2312" w:hint="eastAsia"/>
          <w:i w:val="false"/>
          <w:color w:val="000000"/>
          <w:spacing w:val="0"/>
          <w:sz w:val="32"/>
        </w:rPr>
      </w:pPr>
      <w:r>
        <w:rPr>
          <w:rFonts w:ascii="仿宋_GB2312" w:eastAsia="仿宋_GB2312" w:hAnsi="仿宋_GB2312" w:hint="default"/>
          <w:i w:val="false"/>
          <w:color w:val="000000"/>
          <w:spacing w:val="0"/>
          <w:sz w:val="32"/>
          <w:lang w:val="en-US"/>
        </w:rPr>
        <w:t>此次培训坚持以训促学、以训促干，有效提升了全州基层监测队伍业务能力和履职意识，畅通了监管部门、医疗机构、经营单位协同联动机制，为持续提升全州药械化风险预警水平、保障群众用药用械用妆安全筑牢坚实基础。</w:t>
      </w:r>
    </w:p>
    <w:p w14:paraId="BDE868B3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right="0" w:firstLine="640" w:firstLineChars="200"/>
        <w:jc w:val="left"/>
        <w:rPr>
          <w:rFonts w:ascii="仿宋_GB2312" w:eastAsia="仿宋_GB2312" w:hAnsi="仿宋_GB2312" w:hint="eastAsia"/>
          <w:i w:val="false"/>
          <w:color w:val="000000"/>
          <w:spacing w:val="0"/>
          <w:sz w:val="32"/>
        </w:rPr>
      </w:pPr>
    </w:p>
    <w:p w14:paraId="777C34CE">
      <w:pPr>
        <w:pStyle w:val="style4099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wordWrap/>
        <w:overflowPunct/>
        <w:topLinePunct w:val="false"/>
        <w:autoSpaceDE/>
        <w:autoSpaceDN/>
        <w:bidi w:val="false"/>
        <w:snapToGrid/>
        <w:spacing w:before="0" w:beforeAutospacing="false" w:after="0" w:afterAutospacing="false" w:lineRule="exact" w:line="576"/>
        <w:ind w:right="0" w:firstLine="640" w:firstLineChars="200"/>
        <w:jc w:val="left"/>
        <w:rPr>
          <w:rFonts w:ascii="仿宋_GB2312" w:eastAsia="仿宋_GB2312" w:hAnsi="仿宋_GB2312" w:hint="eastAsia"/>
          <w:i w:val="false"/>
          <w:color w:val="000000"/>
          <w:spacing w:val="0"/>
          <w:sz w:val="32"/>
        </w:rPr>
      </w:pPr>
      <w:r>
        <w:rPr>
          <w:rFonts w:ascii="仿宋_GB2312" w:eastAsia="仿宋_GB2312" w:hAnsi="仿宋_GB2312" w:hint="eastAsia"/>
          <w:i w:val="false"/>
          <w:color w:val="000000"/>
          <w:spacing w:val="0"/>
          <w:sz w:val="32"/>
        </w:rPr>
        <w:t xml:space="preserve">                （药品科、医械科、化妆品科）</w:t>
      </w:r>
    </w:p>
    <w:sectPr>
      <w:pgSz w:w="11906" w:h="16838" w:orient="portrait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000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000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000030204"/>
    <w:charset w:val="00"/>
    <w:family w:val="swiss"/>
    <w:pitch w:val="default"/>
    <w:sig w:usb0="00000000" w:usb1="00000000" w:usb2="00000001" w:usb3="00000000" w:csb0="0000019F" w:csb1="00000000"/>
  </w:font>
  <w:font w:name="DejaVu Sans">
    <w:altName w:val="DejaVu Sans"/>
    <w:panose1 w:val="020b0603030000020204"/>
    <w:charset w:val="00"/>
    <w:family w:val="auto"/>
    <w:pitch w:val="default"/>
    <w:sig w:usb0="E7006EFF" w:usb1="D200FDFF" w:usb2="0A246029" w:usb3="0400200C" w:csb0="600001FF" w:csb1="DFFF0000"/>
  </w:font>
  <w:font w:name="方正小标宋_GBK">
    <w:altName w:val="方正小标宋_GBK"/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_GB2312"/>
    <w:panose1 w:val="02010609030000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isplayHorizontalDrawingGridEvery w:val="1"/>
  <w:displayVerticalDrawingGridEvery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Times New Roman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7">
    <w:name w:val="默认段落字体1"/>
    <w:next w:val="style4097"/>
    <w:qFormat/>
    <w:uiPriority w:val="0"/>
  </w:style>
  <w:style w:type="table" w:customStyle="1" w:styleId="style4098">
    <w:name w:val="普通表格1"/>
    <w:next w:val="style4098"/>
    <w:qFormat/>
    <w:uiPriority w:val="0"/>
    <w:pPr/>
    <w:tcPr>
      <w:tcBorders/>
    </w:tcPr>
  </w:style>
  <w:style w:type="paragraph" w:customStyle="1" w:styleId="style4099">
    <w:name w:val="普通(网站)1"/>
    <w:basedOn w:val="style0"/>
    <w:next w:val="style4099"/>
    <w:qFormat/>
    <w:uiPriority w:val="0"/>
    <w:pPr>
      <w:spacing w:before="100" w:beforeAutospacing="true" w:after="100" w:afterAutospacing="true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860</Words>
  <Pages>0</Pages>
  <Characters>871</Characters>
  <Application>WPS Office</Application>
  <DocSecurity>0</DocSecurity>
  <Paragraphs>9</Paragraphs>
  <ScaleCrop>false</ScaleCrop>
  <LinksUpToDate>false</LinksUpToDate>
  <CharactersWithSpaces>887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2026-08-31T07:22:19Z</dcterms:created>
  <dc:creator>WPS Office</dc:creator>
  <lastModifiedBy>HBN-AL00</lastModifiedBy>
  <dcterms:modified xsi:type="dcterms:W3CDTF">2026-09-01T09:29:01Z</dcterms:modified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D5B82BC5B07F61B4F3575A6827E6F44C</vt:lpwstr>
  </property>
  <property fmtid="{D5CDD505-2E9C-101B-9397-08002B2CF9AE}" pid="3" name="KSOProductBuildVer">
    <vt:lpwstr>2052-11.8.2.1132</vt:lpwstr>
  </property>
</Properties>
</file>