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82E67">
      <w:pPr>
        <w:pStyle w:val="7"/>
        <w:spacing w:before="93" w:beforeLines="0"/>
        <w:rPr>
          <w:rFonts w:ascii="Times New Roman" w:hAnsi="Times New Roman" w:eastAsia="方正小标宋简体"/>
          <w:kern w:val="2"/>
          <w:sz w:val="72"/>
          <w:szCs w:val="72"/>
        </w:rPr>
      </w:pPr>
      <w:bookmarkStart w:id="0" w:name="_Toc15396597"/>
      <w:bookmarkStart w:id="1" w:name="_Toc15377193"/>
      <w:bookmarkStart w:id="2" w:name="_Toc15378441"/>
      <w:bookmarkStart w:id="3" w:name="_Toc15377425"/>
      <w:bookmarkStart w:id="4" w:name="_Toc15396475"/>
      <w:bookmarkStart w:id="5" w:name="_Toc15306267"/>
    </w:p>
    <w:p w14:paraId="6178E72C">
      <w:pPr>
        <w:pStyle w:val="7"/>
        <w:spacing w:before="93" w:beforeLines="0"/>
        <w:rPr>
          <w:rFonts w:ascii="Times New Roman" w:hAnsi="Times New Roman" w:eastAsia="方正小标宋简体"/>
          <w:kern w:val="2"/>
          <w:sz w:val="72"/>
          <w:szCs w:val="72"/>
        </w:rPr>
      </w:pPr>
    </w:p>
    <w:p w14:paraId="0A45DF04">
      <w:pPr>
        <w:pStyle w:val="7"/>
        <w:spacing w:before="93" w:beforeLines="0"/>
        <w:rPr>
          <w:rFonts w:ascii="Times New Roman" w:hAnsi="Times New Roman" w:eastAsia="方正小标宋简体"/>
          <w:kern w:val="2"/>
          <w:sz w:val="72"/>
          <w:szCs w:val="72"/>
        </w:rPr>
      </w:pPr>
    </w:p>
    <w:p w14:paraId="27D3A68A">
      <w:pPr>
        <w:adjustRightInd w:val="0"/>
        <w:snapToGrid w:val="0"/>
        <w:spacing w:line="360" w:lineRule="auto"/>
        <w:jc w:val="center"/>
        <w:outlineLvl w:val="9"/>
        <w:rPr>
          <w:rFonts w:hint="eastAsia" w:ascii="方正小标宋简体" w:eastAsia="方正小标宋简体" w:cs="方正小标宋简体"/>
          <w:sz w:val="72"/>
          <w:szCs w:val="72"/>
        </w:rPr>
      </w:pPr>
      <w:r>
        <w:rPr>
          <w:rFonts w:hint="eastAsia" w:ascii="方正小标宋简体" w:eastAsia="方正小标宋简体" w:cs="方正小标宋简体"/>
          <w:sz w:val="72"/>
          <w:szCs w:val="72"/>
        </w:rPr>
        <w:t>202</w:t>
      </w:r>
      <w:r>
        <w:rPr>
          <w:rFonts w:hint="eastAsia" w:ascii="方正小标宋简体" w:eastAsia="方正小标宋简体" w:cs="方正小标宋简体"/>
          <w:sz w:val="72"/>
          <w:szCs w:val="72"/>
          <w:lang w:val="en-US" w:eastAsia="zh-CN"/>
        </w:rPr>
        <w:t>5</w:t>
      </w:r>
      <w:r>
        <w:rPr>
          <w:rFonts w:hint="eastAsia" w:ascii="方正小标宋简体" w:eastAsia="方正小标宋简体" w:cs="方正小标宋简体"/>
          <w:sz w:val="72"/>
          <w:szCs w:val="72"/>
        </w:rPr>
        <w:t>年度</w:t>
      </w:r>
    </w:p>
    <w:p w14:paraId="5B885DA6">
      <w:pPr>
        <w:adjustRightInd w:val="0"/>
        <w:snapToGrid w:val="0"/>
        <w:spacing w:line="360" w:lineRule="auto"/>
        <w:jc w:val="center"/>
        <w:outlineLvl w:val="9"/>
        <w:rPr>
          <w:rFonts w:hint="eastAsia"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val="en-US" w:eastAsia="zh-CN"/>
        </w:rPr>
        <w:t>阿坝州计量检定测试所</w:t>
      </w:r>
    </w:p>
    <w:p w14:paraId="5819FA74">
      <w:pPr>
        <w:adjustRightInd w:val="0"/>
        <w:snapToGrid w:val="0"/>
        <w:spacing w:line="360" w:lineRule="auto"/>
        <w:jc w:val="center"/>
        <w:outlineLvl w:val="9"/>
        <w:rPr>
          <w:rFonts w:hint="eastAsia" w:ascii="方正小标宋简体" w:eastAsia="方正小标宋简体" w:cs="方正小标宋简体"/>
          <w:sz w:val="72"/>
          <w:szCs w:val="72"/>
        </w:rPr>
      </w:pPr>
      <w:r>
        <w:rPr>
          <w:rFonts w:hint="eastAsia" w:ascii="方正小标宋简体" w:eastAsia="方正小标宋简体" w:cs="方正小标宋简体"/>
          <w:sz w:val="72"/>
          <w:szCs w:val="72"/>
        </w:rPr>
        <w:t>决算</w:t>
      </w:r>
    </w:p>
    <w:p w14:paraId="16CAE60D">
      <w:pPr>
        <w:bidi w:val="0"/>
        <w:rPr>
          <w:rFonts w:hint="eastAsia"/>
        </w:rPr>
      </w:pPr>
    </w:p>
    <w:p w14:paraId="41AE95FC">
      <w:pPr>
        <w:bidi w:val="0"/>
        <w:rPr>
          <w:rFonts w:hint="eastAsia"/>
        </w:rPr>
      </w:pPr>
    </w:p>
    <w:p w14:paraId="569390DB">
      <w:pPr>
        <w:bidi w:val="0"/>
        <w:rPr>
          <w:rFonts w:hint="eastAsia"/>
        </w:rPr>
      </w:pPr>
    </w:p>
    <w:p w14:paraId="6B500C9A">
      <w:pPr>
        <w:bidi w:val="0"/>
        <w:rPr>
          <w:rFonts w:hint="eastAsia"/>
        </w:rPr>
      </w:pPr>
    </w:p>
    <w:p w14:paraId="528DF484">
      <w:pPr>
        <w:bidi w:val="0"/>
        <w:rPr>
          <w:rFonts w:hint="eastAsia"/>
        </w:rPr>
      </w:pPr>
    </w:p>
    <w:p w14:paraId="78A6D656">
      <w:pPr>
        <w:bidi w:val="0"/>
        <w:rPr>
          <w:rFonts w:hint="eastAsia"/>
        </w:rPr>
      </w:pPr>
    </w:p>
    <w:p w14:paraId="52FF2DF8">
      <w:pPr>
        <w:bidi w:val="0"/>
        <w:rPr>
          <w:rFonts w:hint="eastAsia"/>
        </w:rPr>
      </w:pPr>
    </w:p>
    <w:p w14:paraId="33BA5D8C">
      <w:pPr>
        <w:bidi w:val="0"/>
        <w:rPr>
          <w:rFonts w:hint="eastAsia"/>
        </w:rPr>
      </w:pPr>
    </w:p>
    <w:p w14:paraId="4E1DA185">
      <w:pPr>
        <w:bidi w:val="0"/>
        <w:rPr>
          <w:rFonts w:hint="eastAsia"/>
        </w:rPr>
      </w:pPr>
    </w:p>
    <w:p w14:paraId="26762211">
      <w:pPr>
        <w:bidi w:val="0"/>
        <w:rPr>
          <w:rFonts w:hint="eastAsia"/>
        </w:rPr>
      </w:pPr>
    </w:p>
    <w:p w14:paraId="31372B32">
      <w:pPr>
        <w:bidi w:val="0"/>
        <w:rPr>
          <w:rFonts w:hint="eastAsia"/>
        </w:rPr>
      </w:pPr>
    </w:p>
    <w:p w14:paraId="064F88CD">
      <w:pPr>
        <w:bidi w:val="0"/>
        <w:rPr>
          <w:rFonts w:hint="eastAsia"/>
        </w:rPr>
      </w:pPr>
    </w:p>
    <w:p w14:paraId="11FAFCF5">
      <w:pPr>
        <w:bidi w:val="0"/>
        <w:rPr>
          <w:rFonts w:hint="eastAsia"/>
        </w:rPr>
      </w:pPr>
    </w:p>
    <w:p w14:paraId="026878FC">
      <w:pPr>
        <w:bidi w:val="0"/>
        <w:rPr>
          <w:rFonts w:hint="eastAsia"/>
        </w:rPr>
      </w:pPr>
    </w:p>
    <w:p w14:paraId="773D8050">
      <w:pPr>
        <w:bidi w:val="0"/>
        <w:rPr>
          <w:rFonts w:hint="eastAsia"/>
        </w:rPr>
      </w:pPr>
    </w:p>
    <w:p w14:paraId="423BA414">
      <w:pPr>
        <w:bidi w:val="0"/>
        <w:rPr>
          <w:rFonts w:hint="eastAsia"/>
        </w:rPr>
      </w:pPr>
    </w:p>
    <w:p w14:paraId="50464F88">
      <w:pPr>
        <w:bidi w:val="0"/>
        <w:rPr>
          <w:rFonts w:hint="eastAsia" w:eastAsia="宋体"/>
          <w:lang w:val="en-US" w:eastAsia="zh-CN"/>
        </w:rPr>
      </w:pPr>
      <w:r>
        <w:rPr>
          <w:rFonts w:hint="eastAsia"/>
          <w:lang w:val="en-US" w:eastAsia="zh-CN"/>
        </w:rPr>
        <w:t xml:space="preserve"> </w:t>
      </w:r>
    </w:p>
    <w:p w14:paraId="2CD45D32">
      <w:pPr>
        <w:tabs>
          <w:tab w:val="left" w:pos="1198"/>
        </w:tabs>
        <w:bidi w:val="0"/>
        <w:jc w:val="left"/>
        <w:rPr>
          <w:rFonts w:hint="eastAsia" w:eastAsia="宋体"/>
          <w:lang w:eastAsia="zh-CN"/>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r>
        <w:rPr>
          <w:rFonts w:hint="eastAsia"/>
          <w:lang w:eastAsia="zh-CN"/>
        </w:rPr>
        <w:tab/>
      </w:r>
      <w:bookmarkStart w:id="6" w:name="_Hlk113547609"/>
      <w:r>
        <w:rPr>
          <w:rFonts w:hint="eastAsia" w:cs="仿宋_GB2312"/>
          <w:sz w:val="32"/>
          <w:szCs w:val="32"/>
        </w:rPr>
        <w:t>已经保密审查、内容审定，同意对外公开</w:t>
      </w:r>
      <w:bookmarkEnd w:id="6"/>
      <w:r>
        <w:rPr>
          <w:rFonts w:ascii="方正小标宋简体" w:eastAsia="方正小标宋简体"/>
          <w:sz w:val="36"/>
          <w:szCs w:val="36"/>
        </w:rPr>
        <w:br w:type="page"/>
      </w:r>
    </w:p>
    <w:bookmarkEnd w:id="0"/>
    <w:bookmarkEnd w:id="1"/>
    <w:bookmarkEnd w:id="2"/>
    <w:bookmarkEnd w:id="3"/>
    <w:bookmarkEnd w:id="4"/>
    <w:bookmarkEnd w:id="5"/>
    <w:p w14:paraId="466D820B">
      <w:pPr>
        <w:widowControl/>
        <w:jc w:val="center"/>
        <w:outlineLvl w:val="0"/>
        <w:rPr>
          <w:rFonts w:eastAsia="黑体"/>
          <w:sz w:val="48"/>
          <w:szCs w:val="48"/>
        </w:rPr>
      </w:pPr>
      <w:bookmarkStart w:id="7" w:name="_Toc9361"/>
      <w:bookmarkStart w:id="8" w:name="_Toc29920"/>
      <w:r>
        <w:rPr>
          <w:rFonts w:hint="eastAsia" w:eastAsia="黑体"/>
          <w:sz w:val="48"/>
          <w:szCs w:val="48"/>
        </w:rPr>
        <w:t>目录</w:t>
      </w:r>
      <w:bookmarkEnd w:id="7"/>
      <w:bookmarkEnd w:id="8"/>
    </w:p>
    <w:p w14:paraId="7BBB7082">
      <w:pPr>
        <w:widowControl/>
        <w:jc w:val="center"/>
        <w:rPr>
          <w:rFonts w:eastAsia="黑体" w:cs="Arial"/>
          <w:sz w:val="28"/>
          <w:szCs w:val="28"/>
        </w:rPr>
      </w:pPr>
    </w:p>
    <w:p w14:paraId="70DA2BDF">
      <w:pPr>
        <w:pStyle w:val="13"/>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日</w:t>
      </w:r>
      <w:bookmarkStart w:id="9" w:name="_Toc15377196"/>
      <w:bookmarkStart w:id="10" w:name="_Toc15396599"/>
      <w:r>
        <w:fldChar w:fldCharType="begin"/>
      </w:r>
      <w:r>
        <w:instrText xml:space="preserve">TOC \o "1-2" \h \u </w:instrText>
      </w:r>
      <w:r>
        <w:fldChar w:fldCharType="separate"/>
      </w:r>
    </w:p>
    <w:p w14:paraId="48FB8D79">
      <w:pPr>
        <w:pStyle w:val="13"/>
        <w:tabs>
          <w:tab w:val="right" w:leader="hyphen" w:pos="8306"/>
          <w:tab w:val="clear" w:pos="8296"/>
        </w:tabs>
      </w:pPr>
      <w:r>
        <w:fldChar w:fldCharType="begin"/>
      </w:r>
      <w:r>
        <w:instrText xml:space="preserve"> HYPERLINK \l _Toc13408 </w:instrText>
      </w:r>
      <w:r>
        <w:fldChar w:fldCharType="separate"/>
      </w:r>
      <w:r>
        <w:rPr>
          <w:rFonts w:hint="eastAsia" w:eastAsia="方正小标宋简体" w:cs="方正小标宋简体"/>
        </w:rPr>
        <w:t xml:space="preserve">第一部分  </w:t>
      </w:r>
      <w:r>
        <w:rPr>
          <w:rFonts w:hint="eastAsia" w:eastAsia="方正小标宋简体" w:cs="方正小标宋简体"/>
          <w:bCs w:val="0"/>
        </w:rPr>
        <w:t>部门概况</w:t>
      </w:r>
      <w:r>
        <w:tab/>
      </w:r>
      <w:r>
        <w:fldChar w:fldCharType="begin"/>
      </w:r>
      <w:r>
        <w:instrText xml:space="preserve"> PAGEREF _Toc13408 \h </w:instrText>
      </w:r>
      <w:r>
        <w:fldChar w:fldCharType="separate"/>
      </w:r>
      <w:r>
        <w:t>3</w:t>
      </w:r>
      <w:r>
        <w:fldChar w:fldCharType="end"/>
      </w:r>
      <w:r>
        <w:fldChar w:fldCharType="end"/>
      </w:r>
    </w:p>
    <w:p w14:paraId="67A4FC35">
      <w:pPr>
        <w:pStyle w:val="16"/>
        <w:tabs>
          <w:tab w:val="right" w:leader="hyphen" w:pos="8306"/>
          <w:tab w:val="clear" w:pos="8296"/>
        </w:tabs>
      </w:pPr>
      <w:r>
        <w:fldChar w:fldCharType="begin"/>
      </w:r>
      <w:r>
        <w:instrText xml:space="preserve"> HYPERLINK \l _Toc24611 </w:instrText>
      </w:r>
      <w:r>
        <w:fldChar w:fldCharType="separate"/>
      </w:r>
      <w:r>
        <w:rPr>
          <w:rFonts w:hint="eastAsia" w:ascii="Times New Roman" w:hAnsi="Times New Roman" w:eastAsia="黑体"/>
        </w:rPr>
        <w:t>一、部门职责</w:t>
      </w:r>
      <w:r>
        <w:tab/>
      </w:r>
      <w:r>
        <w:fldChar w:fldCharType="begin"/>
      </w:r>
      <w:r>
        <w:instrText xml:space="preserve"> PAGEREF _Toc24611 \h </w:instrText>
      </w:r>
      <w:r>
        <w:fldChar w:fldCharType="separate"/>
      </w:r>
      <w:r>
        <w:t>3</w:t>
      </w:r>
      <w:r>
        <w:fldChar w:fldCharType="end"/>
      </w:r>
      <w:r>
        <w:fldChar w:fldCharType="end"/>
      </w:r>
    </w:p>
    <w:p w14:paraId="16653DE9">
      <w:pPr>
        <w:pStyle w:val="16"/>
        <w:tabs>
          <w:tab w:val="right" w:leader="hyphen" w:pos="8306"/>
          <w:tab w:val="clear" w:pos="8296"/>
        </w:tabs>
      </w:pPr>
      <w:r>
        <w:fldChar w:fldCharType="begin"/>
      </w:r>
      <w:r>
        <w:instrText xml:space="preserve"> HYPERLINK \l _Toc11078 </w:instrText>
      </w:r>
      <w: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_Toc11078 \h </w:instrText>
      </w:r>
      <w:r>
        <w:fldChar w:fldCharType="separate"/>
      </w:r>
      <w:r>
        <w:t>3</w:t>
      </w:r>
      <w:r>
        <w:fldChar w:fldCharType="end"/>
      </w:r>
      <w:r>
        <w:fldChar w:fldCharType="end"/>
      </w:r>
    </w:p>
    <w:p w14:paraId="6E9BA187">
      <w:pPr>
        <w:pStyle w:val="13"/>
        <w:tabs>
          <w:tab w:val="right" w:leader="hyphen" w:pos="8306"/>
          <w:tab w:val="clear" w:pos="8296"/>
        </w:tabs>
      </w:pPr>
      <w:r>
        <w:fldChar w:fldCharType="begin"/>
      </w:r>
      <w:r>
        <w:instrText xml:space="preserve"> HYPERLINK \l _Toc30473 </w:instrText>
      </w:r>
      <w:r>
        <w:fldChar w:fldCharType="separate"/>
      </w:r>
      <w:r>
        <w:rPr>
          <w:rFonts w:hint="eastAsia" w:eastAsia="方正小标宋简体" w:cs="方正小标宋简体"/>
        </w:rPr>
        <w:t>第二部分  202</w:t>
      </w:r>
      <w:r>
        <w:rPr>
          <w:rFonts w:hint="eastAsia" w:eastAsia="方正小标宋简体" w:cs="方正小标宋简体"/>
          <w:lang w:val="en-US" w:eastAsia="zh-CN"/>
        </w:rPr>
        <w:t>5</w:t>
      </w:r>
      <w:bookmarkStart w:id="123" w:name="_GoBack"/>
      <w:bookmarkEnd w:id="123"/>
      <w:r>
        <w:rPr>
          <w:rFonts w:hint="eastAsia" w:eastAsia="方正小标宋简体" w:cs="方正小标宋简体"/>
        </w:rPr>
        <w:t>年度部门决算情况说明</w:t>
      </w:r>
      <w:r>
        <w:tab/>
      </w:r>
      <w:r>
        <w:fldChar w:fldCharType="begin"/>
      </w:r>
      <w:r>
        <w:instrText xml:space="preserve"> PAGEREF _Toc30473 \h </w:instrText>
      </w:r>
      <w:r>
        <w:fldChar w:fldCharType="separate"/>
      </w:r>
      <w:r>
        <w:t>4</w:t>
      </w:r>
      <w:r>
        <w:fldChar w:fldCharType="end"/>
      </w:r>
      <w:r>
        <w:fldChar w:fldCharType="end"/>
      </w:r>
    </w:p>
    <w:p w14:paraId="190E6A42">
      <w:pPr>
        <w:pStyle w:val="16"/>
        <w:tabs>
          <w:tab w:val="right" w:leader="hyphen" w:pos="8306"/>
          <w:tab w:val="clear" w:pos="8296"/>
        </w:tabs>
      </w:pPr>
      <w:r>
        <w:fldChar w:fldCharType="begin"/>
      </w:r>
      <w:r>
        <w:instrText xml:space="preserve"> HYPERLINK \l _Toc743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_Toc743 \h </w:instrText>
      </w:r>
      <w:r>
        <w:fldChar w:fldCharType="separate"/>
      </w:r>
      <w:r>
        <w:t>4</w:t>
      </w:r>
      <w:r>
        <w:fldChar w:fldCharType="end"/>
      </w:r>
      <w:r>
        <w:fldChar w:fldCharType="end"/>
      </w:r>
    </w:p>
    <w:p w14:paraId="2FBBCEA5">
      <w:pPr>
        <w:pStyle w:val="16"/>
        <w:tabs>
          <w:tab w:val="right" w:leader="hyphen" w:pos="8306"/>
          <w:tab w:val="clear" w:pos="8296"/>
        </w:tabs>
      </w:pPr>
      <w:r>
        <w:fldChar w:fldCharType="begin"/>
      </w:r>
      <w:r>
        <w:instrText xml:space="preserve"> HYPERLINK \l _Toc28106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_Toc28106 \h </w:instrText>
      </w:r>
      <w:r>
        <w:fldChar w:fldCharType="separate"/>
      </w:r>
      <w:r>
        <w:t>4</w:t>
      </w:r>
      <w:r>
        <w:fldChar w:fldCharType="end"/>
      </w:r>
      <w:r>
        <w:fldChar w:fldCharType="end"/>
      </w:r>
    </w:p>
    <w:p w14:paraId="2D0C71A5">
      <w:pPr>
        <w:pStyle w:val="16"/>
        <w:tabs>
          <w:tab w:val="right" w:leader="hyphen" w:pos="8306"/>
          <w:tab w:val="clear" w:pos="8296"/>
        </w:tabs>
      </w:pPr>
      <w:r>
        <w:fldChar w:fldCharType="begin"/>
      </w:r>
      <w:r>
        <w:instrText xml:space="preserve"> HYPERLINK \l _Toc11737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_Toc11737 \h </w:instrText>
      </w:r>
      <w:r>
        <w:fldChar w:fldCharType="separate"/>
      </w:r>
      <w:r>
        <w:t>5</w:t>
      </w:r>
      <w:r>
        <w:fldChar w:fldCharType="end"/>
      </w:r>
      <w:r>
        <w:fldChar w:fldCharType="end"/>
      </w:r>
    </w:p>
    <w:p w14:paraId="5444CC5E">
      <w:pPr>
        <w:pStyle w:val="16"/>
        <w:tabs>
          <w:tab w:val="right" w:leader="hyphen" w:pos="8306"/>
          <w:tab w:val="clear" w:pos="8296"/>
        </w:tabs>
      </w:pPr>
      <w:r>
        <w:fldChar w:fldCharType="begin"/>
      </w:r>
      <w:r>
        <w:instrText xml:space="preserve"> HYPERLINK \l _Toc9973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_Toc9973 \h </w:instrText>
      </w:r>
      <w:r>
        <w:fldChar w:fldCharType="separate"/>
      </w:r>
      <w:r>
        <w:t>6</w:t>
      </w:r>
      <w:r>
        <w:fldChar w:fldCharType="end"/>
      </w:r>
      <w:r>
        <w:fldChar w:fldCharType="end"/>
      </w:r>
    </w:p>
    <w:p w14:paraId="2A8E8EEA">
      <w:pPr>
        <w:pStyle w:val="16"/>
        <w:tabs>
          <w:tab w:val="right" w:leader="hyphen" w:pos="8306"/>
          <w:tab w:val="clear" w:pos="8296"/>
        </w:tabs>
      </w:pPr>
      <w:r>
        <w:fldChar w:fldCharType="begin"/>
      </w:r>
      <w:r>
        <w:instrText xml:space="preserve"> HYPERLINK \l _Toc7545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_Toc7545 \h </w:instrText>
      </w:r>
      <w:r>
        <w:fldChar w:fldCharType="separate"/>
      </w:r>
      <w:r>
        <w:t>7</w:t>
      </w:r>
      <w:r>
        <w:fldChar w:fldCharType="end"/>
      </w:r>
      <w:r>
        <w:fldChar w:fldCharType="end"/>
      </w:r>
    </w:p>
    <w:p w14:paraId="5AD80775">
      <w:pPr>
        <w:pStyle w:val="16"/>
        <w:tabs>
          <w:tab w:val="right" w:leader="hyphen" w:pos="8306"/>
          <w:tab w:val="clear" w:pos="8296"/>
        </w:tabs>
      </w:pPr>
      <w:r>
        <w:fldChar w:fldCharType="begin"/>
      </w:r>
      <w:r>
        <w:instrText xml:space="preserve"> HYPERLINK \l _Toc11090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_Toc11090 \h </w:instrText>
      </w:r>
      <w:r>
        <w:fldChar w:fldCharType="separate"/>
      </w:r>
      <w:r>
        <w:t>9</w:t>
      </w:r>
      <w:r>
        <w:fldChar w:fldCharType="end"/>
      </w:r>
      <w:r>
        <w:fldChar w:fldCharType="end"/>
      </w:r>
    </w:p>
    <w:p w14:paraId="64468560">
      <w:pPr>
        <w:pStyle w:val="16"/>
        <w:tabs>
          <w:tab w:val="right" w:leader="hyphen" w:pos="8306"/>
          <w:tab w:val="clear" w:pos="8296"/>
        </w:tabs>
      </w:pPr>
      <w:r>
        <w:fldChar w:fldCharType="begin"/>
      </w:r>
      <w:r>
        <w:instrText xml:space="preserve"> HYPERLINK \l _Toc10441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_Toc10441 \h </w:instrText>
      </w:r>
      <w:r>
        <w:fldChar w:fldCharType="separate"/>
      </w:r>
      <w:r>
        <w:t>9</w:t>
      </w:r>
      <w:r>
        <w:fldChar w:fldCharType="end"/>
      </w:r>
      <w:r>
        <w:fldChar w:fldCharType="end"/>
      </w:r>
    </w:p>
    <w:p w14:paraId="64B32AFC">
      <w:pPr>
        <w:pStyle w:val="16"/>
        <w:tabs>
          <w:tab w:val="right" w:leader="hyphen" w:pos="8306"/>
          <w:tab w:val="clear" w:pos="8296"/>
        </w:tabs>
      </w:pPr>
      <w:r>
        <w:fldChar w:fldCharType="begin"/>
      </w:r>
      <w:r>
        <w:instrText xml:space="preserve"> HYPERLINK \l _Toc2514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_Toc2514 \h </w:instrText>
      </w:r>
      <w:r>
        <w:fldChar w:fldCharType="separate"/>
      </w:r>
      <w:r>
        <w:t>11</w:t>
      </w:r>
      <w:r>
        <w:fldChar w:fldCharType="end"/>
      </w:r>
      <w:r>
        <w:fldChar w:fldCharType="end"/>
      </w:r>
    </w:p>
    <w:p w14:paraId="2329FA86">
      <w:pPr>
        <w:pStyle w:val="16"/>
        <w:tabs>
          <w:tab w:val="right" w:leader="hyphen" w:pos="8306"/>
          <w:tab w:val="clear" w:pos="8296"/>
        </w:tabs>
      </w:pPr>
      <w:r>
        <w:fldChar w:fldCharType="begin"/>
      </w:r>
      <w:r>
        <w:instrText xml:space="preserve"> HYPERLINK \l _Toc12062 </w:instrText>
      </w:r>
      <w:r>
        <w:fldChar w:fldCharType="separate"/>
      </w:r>
      <w:r>
        <w:rPr>
          <w:rFonts w:hint="eastAsia" w:ascii="Times New Roman" w:hAnsi="Times New Roman" w:eastAsia="黑体"/>
        </w:rPr>
        <w:t xml:space="preserve">九、 </w:t>
      </w:r>
      <w:r>
        <w:rPr>
          <w:rFonts w:hint="eastAsia" w:ascii="Times New Roman" w:hAnsi="Times New Roman" w:eastAsia="黑体"/>
          <w:highlight w:val="none"/>
        </w:rPr>
        <w:t>国有资本经营预算支出决算情况说明</w:t>
      </w:r>
      <w:r>
        <w:tab/>
      </w:r>
      <w:r>
        <w:fldChar w:fldCharType="begin"/>
      </w:r>
      <w:r>
        <w:instrText xml:space="preserve"> PAGEREF _Toc12062 \h </w:instrText>
      </w:r>
      <w:r>
        <w:fldChar w:fldCharType="separate"/>
      </w:r>
      <w:r>
        <w:t>12</w:t>
      </w:r>
      <w:r>
        <w:fldChar w:fldCharType="end"/>
      </w:r>
      <w:r>
        <w:fldChar w:fldCharType="end"/>
      </w:r>
    </w:p>
    <w:p w14:paraId="0671DBA4">
      <w:pPr>
        <w:pStyle w:val="16"/>
        <w:tabs>
          <w:tab w:val="right" w:leader="hyphen" w:pos="8306"/>
          <w:tab w:val="clear" w:pos="8296"/>
        </w:tabs>
      </w:pPr>
      <w:r>
        <w:fldChar w:fldCharType="begin"/>
      </w:r>
      <w:r>
        <w:instrText xml:space="preserve"> HYPERLINK \l _Toc10226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_Toc10226 \h </w:instrText>
      </w:r>
      <w:r>
        <w:fldChar w:fldCharType="separate"/>
      </w:r>
      <w:r>
        <w:t>12</w:t>
      </w:r>
      <w:r>
        <w:fldChar w:fldCharType="end"/>
      </w:r>
      <w:r>
        <w:fldChar w:fldCharType="end"/>
      </w:r>
    </w:p>
    <w:p w14:paraId="3C35D9C6">
      <w:pPr>
        <w:pStyle w:val="13"/>
        <w:tabs>
          <w:tab w:val="right" w:leader="hyphen" w:pos="8306"/>
          <w:tab w:val="clear" w:pos="8296"/>
        </w:tabs>
      </w:pPr>
      <w:r>
        <w:fldChar w:fldCharType="begin"/>
      </w:r>
      <w:r>
        <w:instrText xml:space="preserve"> HYPERLINK \l _Toc32124 </w:instrText>
      </w:r>
      <w:r>
        <w:fldChar w:fldCharType="separate"/>
      </w:r>
      <w:r>
        <w:rPr>
          <w:rFonts w:hint="eastAsia" w:ascii="Times New Roman" w:hAnsi="Times New Roman" w:eastAsia="黑体"/>
          <w:szCs w:val="44"/>
        </w:rPr>
        <w:t xml:space="preserve">第三部分 </w:t>
      </w:r>
      <w:r>
        <w:rPr>
          <w:rFonts w:hint="eastAsia" w:ascii="Times New Roman" w:hAnsi="Times New Roman" w:eastAsia="黑体"/>
          <w:szCs w:val="44"/>
          <w:highlight w:val="none"/>
        </w:rPr>
        <w:t>名词解释</w:t>
      </w:r>
      <w:r>
        <w:tab/>
      </w:r>
      <w:r>
        <w:fldChar w:fldCharType="begin"/>
      </w:r>
      <w:r>
        <w:instrText xml:space="preserve"> PAGEREF _Toc32124 \h </w:instrText>
      </w:r>
      <w:r>
        <w:fldChar w:fldCharType="separate"/>
      </w:r>
      <w:r>
        <w:t>14</w:t>
      </w:r>
      <w:r>
        <w:fldChar w:fldCharType="end"/>
      </w:r>
      <w:r>
        <w:fldChar w:fldCharType="end"/>
      </w:r>
    </w:p>
    <w:p w14:paraId="7D99247C">
      <w:pPr>
        <w:pStyle w:val="13"/>
        <w:tabs>
          <w:tab w:val="right" w:leader="hyphen" w:pos="8306"/>
          <w:tab w:val="clear" w:pos="8296"/>
        </w:tabs>
      </w:pPr>
      <w:r>
        <w:fldChar w:fldCharType="begin"/>
      </w:r>
      <w:r>
        <w:instrText xml:space="preserve"> HYPERLINK \l _Toc3644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_Toc3644 \h </w:instrText>
      </w:r>
      <w:r>
        <w:fldChar w:fldCharType="separate"/>
      </w:r>
      <w:r>
        <w:t>17</w:t>
      </w:r>
      <w:r>
        <w:fldChar w:fldCharType="end"/>
      </w:r>
      <w:r>
        <w:fldChar w:fldCharType="end"/>
      </w:r>
    </w:p>
    <w:p w14:paraId="25B22F5E">
      <w:pPr>
        <w:pStyle w:val="13"/>
        <w:tabs>
          <w:tab w:val="right" w:leader="hyphen" w:pos="8306"/>
          <w:tab w:val="clear" w:pos="8296"/>
        </w:tabs>
      </w:pPr>
      <w:r>
        <w:fldChar w:fldCharType="begin"/>
      </w:r>
      <w:r>
        <w:instrText xml:space="preserve"> HYPERLINK \l _Toc29584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_Toc29584 \h </w:instrText>
      </w:r>
      <w:r>
        <w:fldChar w:fldCharType="separate"/>
      </w:r>
      <w:r>
        <w:t>46</w:t>
      </w:r>
      <w:r>
        <w:fldChar w:fldCharType="end"/>
      </w:r>
      <w:r>
        <w:fldChar w:fldCharType="end"/>
      </w:r>
    </w:p>
    <w:p w14:paraId="5078F626">
      <w:pPr>
        <w:pStyle w:val="16"/>
        <w:tabs>
          <w:tab w:val="right" w:leader="hyphen" w:pos="8306"/>
          <w:tab w:val="clear" w:pos="8296"/>
        </w:tabs>
      </w:pPr>
      <w:r>
        <w:fldChar w:fldCharType="begin"/>
      </w:r>
      <w:r>
        <w:instrText xml:space="preserve"> HYPERLINK \l _Toc22988 </w:instrText>
      </w:r>
      <w:r>
        <w:fldChar w:fldCharType="separate"/>
      </w:r>
      <w:r>
        <w:rPr>
          <w:rFonts w:hint="eastAsia" w:ascii="Times New Roman" w:hAnsi="Times New Roman" w:eastAsia="仿宋_GB2312" w:cs="仿宋_GB2312"/>
          <w:szCs w:val="32"/>
          <w:highlight w:val="none"/>
        </w:rPr>
        <w:t>一、收入支出决算总表</w:t>
      </w:r>
      <w:r>
        <w:tab/>
      </w:r>
      <w:r>
        <w:fldChar w:fldCharType="begin"/>
      </w:r>
      <w:r>
        <w:instrText xml:space="preserve"> PAGEREF _Toc22988 \h </w:instrText>
      </w:r>
      <w:r>
        <w:fldChar w:fldCharType="separate"/>
      </w:r>
      <w:r>
        <w:t>46</w:t>
      </w:r>
      <w:r>
        <w:fldChar w:fldCharType="end"/>
      </w:r>
      <w:r>
        <w:fldChar w:fldCharType="end"/>
      </w:r>
    </w:p>
    <w:p w14:paraId="765E65CF">
      <w:pPr>
        <w:pStyle w:val="16"/>
        <w:tabs>
          <w:tab w:val="right" w:leader="hyphen" w:pos="8306"/>
          <w:tab w:val="clear" w:pos="8296"/>
        </w:tabs>
      </w:pPr>
      <w:r>
        <w:fldChar w:fldCharType="begin"/>
      </w:r>
      <w:r>
        <w:instrText xml:space="preserve"> HYPERLINK \l _Toc3487 </w:instrText>
      </w:r>
      <w:r>
        <w:fldChar w:fldCharType="separate"/>
      </w:r>
      <w:r>
        <w:rPr>
          <w:rFonts w:hint="eastAsia" w:ascii="Times New Roman" w:hAnsi="Times New Roman" w:eastAsia="仿宋_GB2312" w:cs="仿宋_GB2312"/>
          <w:szCs w:val="32"/>
          <w:highlight w:val="none"/>
        </w:rPr>
        <w:t>二、收入决算表</w:t>
      </w:r>
      <w:r>
        <w:tab/>
      </w:r>
      <w:r>
        <w:fldChar w:fldCharType="begin"/>
      </w:r>
      <w:r>
        <w:instrText xml:space="preserve"> PAGEREF _Toc3487 \h </w:instrText>
      </w:r>
      <w:r>
        <w:fldChar w:fldCharType="separate"/>
      </w:r>
      <w:r>
        <w:t>46</w:t>
      </w:r>
      <w:r>
        <w:fldChar w:fldCharType="end"/>
      </w:r>
      <w:r>
        <w:fldChar w:fldCharType="end"/>
      </w:r>
    </w:p>
    <w:p w14:paraId="1087B078">
      <w:pPr>
        <w:pStyle w:val="16"/>
        <w:tabs>
          <w:tab w:val="right" w:leader="hyphen" w:pos="8306"/>
          <w:tab w:val="clear" w:pos="8296"/>
        </w:tabs>
      </w:pPr>
      <w:r>
        <w:fldChar w:fldCharType="begin"/>
      </w:r>
      <w:r>
        <w:instrText xml:space="preserve"> HYPERLINK \l _Toc771 </w:instrText>
      </w:r>
      <w:r>
        <w:fldChar w:fldCharType="separate"/>
      </w:r>
      <w:r>
        <w:rPr>
          <w:rFonts w:hint="eastAsia" w:ascii="Times New Roman" w:hAnsi="Times New Roman" w:eastAsia="仿宋_GB2312" w:cs="仿宋_GB2312"/>
          <w:szCs w:val="32"/>
          <w:highlight w:val="none"/>
        </w:rPr>
        <w:t>三、支出决算表</w:t>
      </w:r>
      <w:r>
        <w:tab/>
      </w:r>
      <w:r>
        <w:fldChar w:fldCharType="begin"/>
      </w:r>
      <w:r>
        <w:instrText xml:space="preserve"> PAGEREF _Toc771 \h </w:instrText>
      </w:r>
      <w:r>
        <w:fldChar w:fldCharType="separate"/>
      </w:r>
      <w:r>
        <w:t>46</w:t>
      </w:r>
      <w:r>
        <w:fldChar w:fldCharType="end"/>
      </w:r>
      <w:r>
        <w:fldChar w:fldCharType="end"/>
      </w:r>
    </w:p>
    <w:p w14:paraId="1F593DB4">
      <w:pPr>
        <w:pStyle w:val="16"/>
        <w:tabs>
          <w:tab w:val="right" w:leader="hyphen" w:pos="8306"/>
          <w:tab w:val="clear" w:pos="8296"/>
        </w:tabs>
      </w:pPr>
      <w:r>
        <w:fldChar w:fldCharType="begin"/>
      </w:r>
      <w:r>
        <w:instrText xml:space="preserve"> HYPERLINK \l _Toc25327 </w:instrText>
      </w:r>
      <w:r>
        <w:fldChar w:fldCharType="separate"/>
      </w:r>
      <w:r>
        <w:rPr>
          <w:rFonts w:hint="eastAsia" w:ascii="Times New Roman" w:hAnsi="Times New Roman" w:eastAsia="仿宋_GB2312" w:cs="仿宋_GB2312"/>
          <w:szCs w:val="32"/>
          <w:highlight w:val="none"/>
        </w:rPr>
        <w:t>四、财政拨款收入支出决算总表</w:t>
      </w:r>
      <w:r>
        <w:tab/>
      </w:r>
      <w:r>
        <w:fldChar w:fldCharType="begin"/>
      </w:r>
      <w:r>
        <w:instrText xml:space="preserve"> PAGEREF _Toc25327 \h </w:instrText>
      </w:r>
      <w:r>
        <w:fldChar w:fldCharType="separate"/>
      </w:r>
      <w:r>
        <w:t>46</w:t>
      </w:r>
      <w:r>
        <w:fldChar w:fldCharType="end"/>
      </w:r>
      <w:r>
        <w:fldChar w:fldCharType="end"/>
      </w:r>
    </w:p>
    <w:p w14:paraId="2AD361BF">
      <w:pPr>
        <w:pStyle w:val="16"/>
        <w:tabs>
          <w:tab w:val="right" w:leader="hyphen" w:pos="8306"/>
          <w:tab w:val="clear" w:pos="8296"/>
        </w:tabs>
      </w:pPr>
      <w:r>
        <w:fldChar w:fldCharType="begin"/>
      </w:r>
      <w:r>
        <w:instrText xml:space="preserve"> HYPERLINK \l _Toc27343 </w:instrText>
      </w:r>
      <w:r>
        <w:fldChar w:fldCharType="separate"/>
      </w:r>
      <w:r>
        <w:rPr>
          <w:rFonts w:hint="eastAsia" w:ascii="Times New Roman" w:hAnsi="Times New Roman" w:eastAsia="仿宋_GB2312" w:cs="仿宋_GB2312"/>
          <w:szCs w:val="32"/>
          <w:highlight w:val="none"/>
        </w:rPr>
        <w:t>五、财政拨款支出决算明细表</w:t>
      </w:r>
      <w:r>
        <w:tab/>
      </w:r>
      <w:r>
        <w:fldChar w:fldCharType="begin"/>
      </w:r>
      <w:r>
        <w:instrText xml:space="preserve"> PAGEREF _Toc27343 \h </w:instrText>
      </w:r>
      <w:r>
        <w:fldChar w:fldCharType="separate"/>
      </w:r>
      <w:r>
        <w:t>46</w:t>
      </w:r>
      <w:r>
        <w:fldChar w:fldCharType="end"/>
      </w:r>
      <w:r>
        <w:fldChar w:fldCharType="end"/>
      </w:r>
    </w:p>
    <w:p w14:paraId="6AB6420E">
      <w:pPr>
        <w:pStyle w:val="16"/>
        <w:tabs>
          <w:tab w:val="right" w:leader="hyphen" w:pos="8306"/>
          <w:tab w:val="clear" w:pos="8296"/>
        </w:tabs>
      </w:pPr>
      <w:r>
        <w:fldChar w:fldCharType="begin"/>
      </w:r>
      <w:r>
        <w:instrText xml:space="preserve"> HYPERLINK \l _Toc25715 </w:instrText>
      </w:r>
      <w:r>
        <w:fldChar w:fldCharType="separate"/>
      </w:r>
      <w:r>
        <w:rPr>
          <w:rFonts w:hint="eastAsia" w:ascii="Times New Roman" w:hAnsi="Times New Roman" w:eastAsia="仿宋_GB2312" w:cs="仿宋_GB2312"/>
          <w:szCs w:val="32"/>
          <w:highlight w:val="none"/>
        </w:rPr>
        <w:t>六、一般公共预算财政拨款支出决算表</w:t>
      </w:r>
      <w:r>
        <w:tab/>
      </w:r>
      <w:r>
        <w:fldChar w:fldCharType="begin"/>
      </w:r>
      <w:r>
        <w:instrText xml:space="preserve"> PAGEREF _Toc25715 \h </w:instrText>
      </w:r>
      <w:r>
        <w:fldChar w:fldCharType="separate"/>
      </w:r>
      <w:r>
        <w:t>46</w:t>
      </w:r>
      <w:r>
        <w:fldChar w:fldCharType="end"/>
      </w:r>
      <w:r>
        <w:fldChar w:fldCharType="end"/>
      </w:r>
    </w:p>
    <w:p w14:paraId="408613AF">
      <w:pPr>
        <w:pStyle w:val="16"/>
        <w:tabs>
          <w:tab w:val="right" w:leader="hyphen" w:pos="8306"/>
          <w:tab w:val="clear" w:pos="8296"/>
        </w:tabs>
      </w:pPr>
      <w:r>
        <w:fldChar w:fldCharType="begin"/>
      </w:r>
      <w:r>
        <w:instrText xml:space="preserve"> HYPERLINK \l _Toc27439 </w:instrText>
      </w:r>
      <w:r>
        <w:fldChar w:fldCharType="separate"/>
      </w:r>
      <w:r>
        <w:rPr>
          <w:rFonts w:hint="eastAsia" w:ascii="Times New Roman" w:hAnsi="Times New Roman" w:eastAsia="仿宋_GB2312" w:cs="仿宋_GB2312"/>
          <w:szCs w:val="32"/>
          <w:highlight w:val="none"/>
        </w:rPr>
        <w:t>七、一般公共预算财政拨款支出决算明细表</w:t>
      </w:r>
      <w:r>
        <w:tab/>
      </w:r>
      <w:r>
        <w:fldChar w:fldCharType="begin"/>
      </w:r>
      <w:r>
        <w:instrText xml:space="preserve"> PAGEREF _Toc27439 \h </w:instrText>
      </w:r>
      <w:r>
        <w:fldChar w:fldCharType="separate"/>
      </w:r>
      <w:r>
        <w:t>46</w:t>
      </w:r>
      <w:r>
        <w:fldChar w:fldCharType="end"/>
      </w:r>
      <w:r>
        <w:fldChar w:fldCharType="end"/>
      </w:r>
    </w:p>
    <w:p w14:paraId="1670DE9C">
      <w:pPr>
        <w:pStyle w:val="16"/>
        <w:tabs>
          <w:tab w:val="right" w:leader="hyphen" w:pos="8306"/>
          <w:tab w:val="clear" w:pos="8296"/>
        </w:tabs>
      </w:pPr>
      <w:r>
        <w:fldChar w:fldCharType="begin"/>
      </w:r>
      <w:r>
        <w:instrText xml:space="preserve"> HYPERLINK \l _Toc17846 </w:instrText>
      </w:r>
      <w:r>
        <w:fldChar w:fldCharType="separate"/>
      </w:r>
      <w:r>
        <w:rPr>
          <w:rFonts w:hint="eastAsia" w:ascii="Times New Roman" w:hAnsi="Times New Roman" w:eastAsia="仿宋_GB2312" w:cs="仿宋_GB2312"/>
          <w:szCs w:val="32"/>
          <w:highlight w:val="none"/>
        </w:rPr>
        <w:t>八、一般公共预算财政拨款基本支出决算表</w:t>
      </w:r>
      <w:r>
        <w:tab/>
      </w:r>
      <w:r>
        <w:fldChar w:fldCharType="begin"/>
      </w:r>
      <w:r>
        <w:instrText xml:space="preserve"> PAGEREF _Toc17846 \h </w:instrText>
      </w:r>
      <w:r>
        <w:fldChar w:fldCharType="separate"/>
      </w:r>
      <w:r>
        <w:t>46</w:t>
      </w:r>
      <w:r>
        <w:fldChar w:fldCharType="end"/>
      </w:r>
      <w:r>
        <w:fldChar w:fldCharType="end"/>
      </w:r>
    </w:p>
    <w:p w14:paraId="4F907C2C">
      <w:pPr>
        <w:pStyle w:val="16"/>
        <w:tabs>
          <w:tab w:val="right" w:leader="hyphen" w:pos="8306"/>
          <w:tab w:val="clear" w:pos="8296"/>
        </w:tabs>
      </w:pPr>
      <w:r>
        <w:fldChar w:fldCharType="begin"/>
      </w:r>
      <w:r>
        <w:instrText xml:space="preserve"> HYPERLINK \l _Toc19676 </w:instrText>
      </w:r>
      <w:r>
        <w:fldChar w:fldCharType="separate"/>
      </w:r>
      <w:r>
        <w:rPr>
          <w:rFonts w:hint="eastAsia" w:ascii="Times New Roman" w:hAnsi="Times New Roman" w:eastAsia="仿宋_GB2312" w:cs="仿宋_GB2312"/>
          <w:szCs w:val="32"/>
          <w:highlight w:val="none"/>
        </w:rPr>
        <w:t>九、一般公共预算财政拨款项目支出决算表</w:t>
      </w:r>
      <w:r>
        <w:tab/>
      </w:r>
      <w:r>
        <w:fldChar w:fldCharType="begin"/>
      </w:r>
      <w:r>
        <w:instrText xml:space="preserve"> PAGEREF _Toc19676 \h </w:instrText>
      </w:r>
      <w:r>
        <w:fldChar w:fldCharType="separate"/>
      </w:r>
      <w:r>
        <w:t>46</w:t>
      </w:r>
      <w:r>
        <w:fldChar w:fldCharType="end"/>
      </w:r>
      <w:r>
        <w:fldChar w:fldCharType="end"/>
      </w:r>
    </w:p>
    <w:p w14:paraId="6E5056B7">
      <w:pPr>
        <w:pStyle w:val="16"/>
        <w:tabs>
          <w:tab w:val="right" w:leader="hyphen" w:pos="8306"/>
          <w:tab w:val="clear" w:pos="8296"/>
        </w:tabs>
      </w:pPr>
      <w:r>
        <w:fldChar w:fldCharType="begin"/>
      </w:r>
      <w:r>
        <w:instrText xml:space="preserve"> HYPERLINK \l _Toc2663 </w:instrText>
      </w:r>
      <w:r>
        <w:fldChar w:fldCharType="separate"/>
      </w:r>
      <w:r>
        <w:rPr>
          <w:rFonts w:hint="eastAsia" w:ascii="Times New Roman" w:hAnsi="Times New Roman" w:eastAsia="仿宋_GB2312" w:cs="仿宋_GB2312"/>
          <w:szCs w:val="32"/>
          <w:highlight w:val="none"/>
        </w:rPr>
        <w:t>十、政府性基金预算财政拨款收入支出决算表</w:t>
      </w:r>
      <w:r>
        <w:tab/>
      </w:r>
      <w:r>
        <w:fldChar w:fldCharType="begin"/>
      </w:r>
      <w:r>
        <w:instrText xml:space="preserve"> PAGEREF _Toc2663 \h </w:instrText>
      </w:r>
      <w:r>
        <w:fldChar w:fldCharType="separate"/>
      </w:r>
      <w:r>
        <w:t>46</w:t>
      </w:r>
      <w:r>
        <w:fldChar w:fldCharType="end"/>
      </w:r>
      <w:r>
        <w:fldChar w:fldCharType="end"/>
      </w:r>
    </w:p>
    <w:p w14:paraId="23E5D8B9">
      <w:pPr>
        <w:pStyle w:val="16"/>
        <w:tabs>
          <w:tab w:val="right" w:leader="hyphen" w:pos="8306"/>
          <w:tab w:val="clear" w:pos="8296"/>
        </w:tabs>
      </w:pPr>
      <w:r>
        <w:fldChar w:fldCharType="begin"/>
      </w:r>
      <w:r>
        <w:instrText xml:space="preserve"> HYPERLINK \l _Toc21313 </w:instrText>
      </w:r>
      <w:r>
        <w:fldChar w:fldCharType="separate"/>
      </w:r>
      <w:r>
        <w:rPr>
          <w:rFonts w:hint="eastAsia" w:ascii="Times New Roman" w:hAnsi="Times New Roman" w:eastAsia="仿宋_GB2312" w:cs="仿宋_GB2312"/>
          <w:szCs w:val="32"/>
          <w:highlight w:val="none"/>
        </w:rPr>
        <w:t>十一、国有资本经营预算</w:t>
      </w:r>
      <w:r>
        <w:rPr>
          <w:rFonts w:hint="eastAsia" w:ascii="Times New Roman" w:hAnsi="Times New Roman" w:eastAsia="仿宋_GB2312" w:cs="仿宋_GB2312"/>
          <w:szCs w:val="32"/>
          <w:highlight w:val="none"/>
          <w:lang w:eastAsia="zh-CN"/>
        </w:rPr>
        <w:t>财政拨款收入</w:t>
      </w:r>
      <w:r>
        <w:rPr>
          <w:rFonts w:hint="eastAsia" w:ascii="Times New Roman" w:hAnsi="Times New Roman" w:eastAsia="仿宋_GB2312" w:cs="仿宋_GB2312"/>
          <w:szCs w:val="32"/>
          <w:highlight w:val="none"/>
        </w:rPr>
        <w:t>支出决算表</w:t>
      </w:r>
      <w:r>
        <w:tab/>
      </w:r>
      <w:r>
        <w:fldChar w:fldCharType="begin"/>
      </w:r>
      <w:r>
        <w:instrText xml:space="preserve"> PAGEREF _Toc21313 \h </w:instrText>
      </w:r>
      <w:r>
        <w:fldChar w:fldCharType="separate"/>
      </w:r>
      <w:r>
        <w:t>46</w:t>
      </w:r>
      <w:r>
        <w:fldChar w:fldCharType="end"/>
      </w:r>
      <w:r>
        <w:fldChar w:fldCharType="end"/>
      </w:r>
    </w:p>
    <w:p w14:paraId="2386E1B6">
      <w:pPr>
        <w:pStyle w:val="16"/>
        <w:tabs>
          <w:tab w:val="right" w:leader="hyphen" w:pos="8306"/>
          <w:tab w:val="clear" w:pos="8296"/>
        </w:tabs>
      </w:pPr>
      <w:r>
        <w:fldChar w:fldCharType="begin"/>
      </w:r>
      <w:r>
        <w:instrText xml:space="preserve"> HYPERLINK \l _Toc17646 </w:instrText>
      </w:r>
      <w:r>
        <w:fldChar w:fldCharType="separate"/>
      </w:r>
      <w:r>
        <w:rPr>
          <w:rFonts w:hint="eastAsia" w:ascii="Times New Roman" w:hAnsi="Times New Roman" w:eastAsia="仿宋_GB2312" w:cs="仿宋_GB2312"/>
          <w:szCs w:val="32"/>
          <w:highlight w:val="none"/>
        </w:rPr>
        <w:t>十二、</w:t>
      </w:r>
      <w:r>
        <w:rPr>
          <w:rFonts w:hint="eastAsia" w:ascii="Times New Roman" w:hAnsi="Times New Roman" w:eastAsia="仿宋_GB2312" w:cs="仿宋_GB2312"/>
          <w:szCs w:val="32"/>
          <w:highlight w:val="none"/>
          <w:lang w:eastAsia="zh-CN"/>
        </w:rPr>
        <w:t>国有资本经营预算财政拨款支出决算表</w:t>
      </w:r>
      <w:r>
        <w:tab/>
      </w:r>
      <w:r>
        <w:fldChar w:fldCharType="begin"/>
      </w:r>
      <w:r>
        <w:instrText xml:space="preserve"> PAGEREF _Toc17646 \h </w:instrText>
      </w:r>
      <w:r>
        <w:fldChar w:fldCharType="separate"/>
      </w:r>
      <w:r>
        <w:t>46</w:t>
      </w:r>
      <w:r>
        <w:fldChar w:fldCharType="end"/>
      </w:r>
      <w:r>
        <w:fldChar w:fldCharType="end"/>
      </w:r>
    </w:p>
    <w:p w14:paraId="1468912E">
      <w:pPr>
        <w:pStyle w:val="16"/>
        <w:tabs>
          <w:tab w:val="right" w:leader="hyphen" w:pos="8306"/>
          <w:tab w:val="clear" w:pos="8296"/>
        </w:tabs>
      </w:pPr>
      <w:r>
        <w:fldChar w:fldCharType="begin"/>
      </w:r>
      <w:r>
        <w:instrText xml:space="preserve"> HYPERLINK \l _Toc22823 </w:instrText>
      </w:r>
      <w:r>
        <w:fldChar w:fldCharType="separate"/>
      </w:r>
      <w:r>
        <w:rPr>
          <w:rFonts w:hint="eastAsia" w:ascii="Times New Roman" w:hAnsi="Times New Roman" w:eastAsia="仿宋_GB2312" w:cs="仿宋_GB2312"/>
          <w:szCs w:val="32"/>
          <w:highlight w:val="none"/>
        </w:rPr>
        <w:t>十三、</w:t>
      </w:r>
      <w:r>
        <w:rPr>
          <w:rFonts w:hint="eastAsia" w:ascii="Times New Roman" w:hAnsi="Times New Roman" w:eastAsia="仿宋_GB2312" w:cs="仿宋_GB2312"/>
          <w:szCs w:val="32"/>
          <w:highlight w:val="none"/>
          <w:lang w:eastAsia="zh-CN"/>
        </w:rPr>
        <w:t>财政拨款“三公”经费支出决算表</w:t>
      </w:r>
      <w:r>
        <w:tab/>
      </w:r>
      <w:r>
        <w:fldChar w:fldCharType="begin"/>
      </w:r>
      <w:r>
        <w:instrText xml:space="preserve"> PAGEREF _Toc22823 \h </w:instrText>
      </w:r>
      <w:r>
        <w:fldChar w:fldCharType="separate"/>
      </w:r>
      <w:r>
        <w:t>46</w:t>
      </w:r>
      <w:r>
        <w:fldChar w:fldCharType="end"/>
      </w:r>
      <w:r>
        <w:fldChar w:fldCharType="end"/>
      </w:r>
    </w:p>
    <w:p w14:paraId="4EFC6295">
      <w:pPr>
        <w:pStyle w:val="2"/>
      </w:pPr>
      <w:r>
        <w:fldChar w:fldCharType="end"/>
      </w:r>
    </w:p>
    <w:p w14:paraId="0E3B6B08">
      <w:pPr>
        <w:pStyle w:val="4"/>
        <w:jc w:val="center"/>
        <w:outlineLvl w:val="0"/>
        <w:rPr>
          <w:rStyle w:val="24"/>
          <w:rFonts w:eastAsia="方正小标宋简体" w:cs="方正小标宋简体"/>
          <w:b/>
          <w:bCs w:val="0"/>
        </w:rPr>
      </w:pPr>
      <w:bookmarkStart w:id="11" w:name="_Toc13408"/>
      <w:bookmarkStart w:id="12" w:name="_Toc22388"/>
      <w:r>
        <w:rPr>
          <w:rFonts w:hint="eastAsia" w:eastAsia="方正小标宋简体" w:cs="方正小标宋简体"/>
          <w:b w:val="0"/>
        </w:rPr>
        <w:t xml:space="preserve">第一部分  </w:t>
      </w:r>
      <w:r>
        <w:rPr>
          <w:rStyle w:val="24"/>
          <w:rFonts w:hint="eastAsia" w:eastAsia="方正小标宋简体" w:cs="方正小标宋简体"/>
          <w:b w:val="0"/>
          <w:bCs w:val="0"/>
        </w:rPr>
        <w:t>部门概况</w:t>
      </w:r>
      <w:bookmarkEnd w:id="9"/>
      <w:bookmarkEnd w:id="10"/>
      <w:bookmarkEnd w:id="11"/>
      <w:bookmarkEnd w:id="12"/>
    </w:p>
    <w:p w14:paraId="3D914E25">
      <w:pPr>
        <w:widowControl/>
        <w:jc w:val="left"/>
        <w:rPr>
          <w:rFonts w:eastAsia="黑体"/>
          <w:sz w:val="32"/>
          <w:szCs w:val="32"/>
        </w:rPr>
      </w:pPr>
    </w:p>
    <w:p w14:paraId="232FA7A0">
      <w:pPr>
        <w:pStyle w:val="5"/>
        <w:numPr>
          <w:ilvl w:val="0"/>
          <w:numId w:val="1"/>
        </w:numPr>
        <w:outlineLvl w:val="1"/>
        <w:rPr>
          <w:rFonts w:hint="eastAsia" w:ascii="Times New Roman" w:hAnsi="Times New Roman" w:eastAsia="黑体"/>
          <w:b w:val="0"/>
        </w:rPr>
      </w:pPr>
      <w:bookmarkStart w:id="13" w:name="_Toc24611"/>
      <w:bookmarkStart w:id="14" w:name="_Toc22162"/>
      <w:r>
        <w:rPr>
          <w:rFonts w:hint="eastAsia" w:ascii="Times New Roman" w:hAnsi="Times New Roman" w:eastAsia="黑体"/>
          <w:b w:val="0"/>
        </w:rPr>
        <w:t>部门职责</w:t>
      </w:r>
      <w:bookmarkEnd w:id="13"/>
      <w:bookmarkEnd w:id="14"/>
    </w:p>
    <w:p w14:paraId="55ADCCBC">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阿坝州计量检定测试所是阿坝州唯一的国家法定计量检定机构，为阿坝州市场监督管理局下属公益一类事业单位，主要职责是建立社会公用计量标准，进行量值传递、执行强制检定、非强制检定、仲裁检定和法律法规规定的其他检定校准、商品量/商品包装计量检验以及承担计量行政主管部门下达的其他工作任务。</w:t>
      </w:r>
    </w:p>
    <w:p w14:paraId="50855724">
      <w:pPr>
        <w:pStyle w:val="5"/>
        <w:rPr>
          <w:rStyle w:val="25"/>
          <w:rFonts w:ascii="Times New Roman" w:hAnsi="Times New Roman"/>
          <w:b w:val="0"/>
          <w:bCs w:val="0"/>
        </w:rPr>
      </w:pPr>
      <w:bookmarkStart w:id="15" w:name="_Toc15396601"/>
      <w:bookmarkStart w:id="16" w:name="_Toc11078"/>
      <w:bookmarkStart w:id="17" w:name="_Toc18072"/>
      <w:bookmarkStart w:id="18" w:name="_Toc15377200"/>
      <w:r>
        <w:rPr>
          <w:rFonts w:hint="eastAsia" w:ascii="Times New Roman" w:hAnsi="Times New Roman" w:eastAsia="黑体"/>
          <w:b w:val="0"/>
        </w:rPr>
        <w:t>二、机</w:t>
      </w:r>
      <w:r>
        <w:rPr>
          <w:rStyle w:val="25"/>
          <w:rFonts w:hint="eastAsia" w:ascii="Times New Roman" w:hAnsi="Times New Roman" w:eastAsia="黑体"/>
          <w:b w:val="0"/>
          <w:bCs w:val="0"/>
        </w:rPr>
        <w:t>构设置</w:t>
      </w:r>
      <w:bookmarkEnd w:id="15"/>
      <w:bookmarkEnd w:id="16"/>
      <w:bookmarkEnd w:id="17"/>
      <w:bookmarkEnd w:id="18"/>
    </w:p>
    <w:p w14:paraId="7CE8DE0A">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t>我单位</w:t>
      </w:r>
      <w:r>
        <w:rPr>
          <w:rFonts w:hint="eastAsia" w:ascii="Times New Roman" w:hAnsi="Times New Roman" w:eastAsia="仿宋_GB2312" w:cs="仿宋_GB2312"/>
          <w:color w:val="auto"/>
          <w:sz w:val="32"/>
          <w:szCs w:val="32"/>
          <w:highlight w:val="none"/>
          <w:lang w:val="en-US" w:eastAsia="zh-CN"/>
        </w:rPr>
        <w:t>是</w:t>
      </w:r>
      <w:r>
        <w:rPr>
          <w:rFonts w:hint="eastAsia" w:ascii="Times New Roman" w:hAnsi="Times New Roman" w:eastAsia="仿宋_GB2312" w:cs="仿宋_GB2312"/>
          <w:color w:val="auto"/>
          <w:sz w:val="32"/>
          <w:szCs w:val="32"/>
          <w:highlight w:val="none"/>
          <w:lang w:eastAsia="zh-CN"/>
        </w:rPr>
        <w:t>隶属于阿坝州市场监督管理局</w:t>
      </w:r>
      <w:r>
        <w:rPr>
          <w:rFonts w:hint="eastAsia" w:ascii="Times New Roman" w:hAnsi="Times New Roman" w:eastAsia="仿宋_GB2312" w:cs="仿宋_GB2312"/>
          <w:color w:val="auto"/>
          <w:sz w:val="32"/>
          <w:szCs w:val="32"/>
          <w:highlight w:val="none"/>
          <w:lang w:val="en-US" w:eastAsia="zh-CN"/>
        </w:rPr>
        <w:t>的</w:t>
      </w:r>
      <w:r>
        <w:rPr>
          <w:rFonts w:hint="eastAsia" w:ascii="Times New Roman" w:hAnsi="Times New Roman" w:eastAsia="仿宋_GB2312" w:cs="仿宋_GB2312"/>
          <w:color w:val="auto"/>
          <w:sz w:val="32"/>
          <w:szCs w:val="32"/>
          <w:highlight w:val="none"/>
          <w:lang w:eastAsia="zh-CN"/>
        </w:rPr>
        <w:t>直属公益一类事业单位，正科级建制。我单位无下属单位。单位事业编制</w:t>
      </w:r>
      <w:r>
        <w:rPr>
          <w:rFonts w:hint="eastAsia" w:ascii="Times New Roman" w:hAnsi="Times New Roman" w:eastAsia="仿宋_GB2312" w:cs="仿宋_GB2312"/>
          <w:color w:val="auto"/>
          <w:sz w:val="32"/>
          <w:szCs w:val="32"/>
          <w:highlight w:val="none"/>
          <w:lang w:val="en-US" w:eastAsia="zh-CN"/>
        </w:rPr>
        <w:t>数10</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年年末在职人员</w:t>
      </w:r>
      <w:r>
        <w:rPr>
          <w:rFonts w:hint="eastAsia" w:ascii="Times New Roman" w:hAnsi="Times New Roman" w:eastAsia="仿宋_GB2312" w:cs="仿宋_GB2312"/>
          <w:color w:val="auto"/>
          <w:sz w:val="32"/>
          <w:szCs w:val="32"/>
          <w:highlight w:val="none"/>
          <w:lang w:val="en-US" w:eastAsia="zh-CN"/>
        </w:rPr>
        <w:t>9人，聘用</w:t>
      </w:r>
      <w:r>
        <w:rPr>
          <w:rFonts w:hint="eastAsia" w:ascii="Times New Roman" w:hAnsi="Times New Roman" w:eastAsia="仿宋_GB2312" w:cs="仿宋_GB2312"/>
          <w:color w:val="auto"/>
          <w:sz w:val="32"/>
          <w:szCs w:val="32"/>
          <w:highlight w:val="none"/>
          <w:lang w:eastAsia="zh-CN"/>
        </w:rPr>
        <w:t>人员</w:t>
      </w:r>
      <w:r>
        <w:rPr>
          <w:rFonts w:hint="eastAsia" w:ascii="Times New Roman" w:hAnsi="Times New Roman" w:eastAsia="仿宋_GB2312" w:cs="仿宋_GB2312"/>
          <w:color w:val="auto"/>
          <w:sz w:val="32"/>
          <w:szCs w:val="32"/>
          <w:highlight w:val="none"/>
          <w:lang w:val="en-US" w:eastAsia="zh-CN"/>
        </w:rPr>
        <w:t>3人</w:t>
      </w:r>
      <w:r>
        <w:rPr>
          <w:rFonts w:hint="eastAsia" w:ascii="Times New Roman" w:hAnsi="Times New Roman" w:eastAsia="仿宋_GB2312" w:cs="仿宋_GB2312"/>
          <w:color w:val="auto"/>
          <w:sz w:val="32"/>
          <w:szCs w:val="32"/>
          <w:highlight w:val="none"/>
          <w:lang w:eastAsia="zh-CN"/>
        </w:rPr>
        <w:t>。</w:t>
      </w:r>
    </w:p>
    <w:p w14:paraId="50C6A907">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本单位本年度纳入</w:t>
      </w:r>
      <w:r>
        <w:rPr>
          <w:rFonts w:hint="eastAsia" w:eastAsia="仿宋_GB2312" w:cs="仿宋_GB2312"/>
          <w:color w:val="auto"/>
          <w:sz w:val="32"/>
          <w:szCs w:val="32"/>
          <w:highlight w:val="none"/>
          <w:lang w:eastAsia="zh-CN"/>
        </w:rPr>
        <w:t>本级</w:t>
      </w:r>
      <w:r>
        <w:rPr>
          <w:rFonts w:hint="eastAsia" w:ascii="Times New Roman" w:hAnsi="Times New Roman" w:eastAsia="仿宋_GB2312" w:cs="仿宋_GB2312"/>
          <w:color w:val="auto"/>
          <w:sz w:val="32"/>
          <w:szCs w:val="32"/>
          <w:highlight w:val="none"/>
          <w:lang w:eastAsia="zh-CN"/>
        </w:rPr>
        <w:t xml:space="preserve">决算编制范围的独立编制机构数共1个，比上年增加0个，独立核算机构数共1个，比上年增加0个。      </w:t>
      </w:r>
    </w:p>
    <w:p w14:paraId="5E30E29F">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 xml:space="preserve"> </w:t>
      </w:r>
      <w:r>
        <w:rPr>
          <w:rFonts w:hint="eastAsia" w:ascii="Times New Roman" w:hAnsi="Times New Roman" w:eastAsia="仿宋_GB2312" w:cs="仿宋_GB2312"/>
          <w:color w:val="auto"/>
          <w:sz w:val="32"/>
          <w:szCs w:val="32"/>
          <w:highlight w:val="none"/>
          <w:lang w:val="en-US" w:eastAsia="zh-CN"/>
        </w:rPr>
        <w:t>阿坝州计量检定测试所</w:t>
      </w:r>
      <w:r>
        <w:rPr>
          <w:rFonts w:hint="eastAsia" w:ascii="Times New Roman" w:hAnsi="Times New Roman" w:eastAsia="仿宋_GB2312" w:cs="仿宋_GB2312"/>
          <w:color w:val="auto"/>
          <w:sz w:val="32"/>
          <w:szCs w:val="32"/>
          <w:highlight w:val="none"/>
          <w:lang w:eastAsia="zh-CN"/>
        </w:rPr>
        <w:t>下属二级单位0个，其中行政单位0个，参照公务员法管理的事业单位0个，其他事业单位0个。</w:t>
      </w:r>
    </w:p>
    <w:p w14:paraId="461D9EB0">
      <w:pPr>
        <w:widowControl/>
        <w:jc w:val="left"/>
        <w:rPr>
          <w:rFonts w:eastAsia="仿宋"/>
          <w:kern w:val="0"/>
          <w:sz w:val="32"/>
          <w:szCs w:val="32"/>
        </w:rPr>
      </w:pPr>
    </w:p>
    <w:p w14:paraId="01125E1F">
      <w:pPr>
        <w:pStyle w:val="4"/>
        <w:jc w:val="center"/>
        <w:rPr>
          <w:rFonts w:eastAsia="方正小标宋简体" w:cs="方正小标宋简体"/>
          <w:b w:val="0"/>
        </w:rPr>
      </w:pPr>
      <w:bookmarkStart w:id="19" w:name="_Toc30473"/>
      <w:bookmarkStart w:id="20" w:name="_Toc15377204"/>
      <w:bookmarkStart w:id="21" w:name="_Toc15396602"/>
      <w:bookmarkStart w:id="22" w:name="_Toc20567"/>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年度部门决算情况说明</w:t>
      </w:r>
      <w:bookmarkEnd w:id="19"/>
      <w:bookmarkEnd w:id="20"/>
      <w:bookmarkEnd w:id="21"/>
      <w:bookmarkEnd w:id="22"/>
    </w:p>
    <w:p w14:paraId="6FD3C3EC"/>
    <w:p w14:paraId="44A98461">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5"/>
          <w:rFonts w:hint="eastAsia" w:ascii="Times New Roman" w:hAnsi="Times New Roman" w:eastAsia="黑体"/>
          <w:b w:val="0"/>
          <w:color w:val="auto"/>
          <w:highlight w:val="none"/>
        </w:rPr>
      </w:pPr>
      <w:bookmarkStart w:id="23" w:name="_Toc32726"/>
      <w:bookmarkStart w:id="24" w:name="_Toc15396603"/>
      <w:bookmarkStart w:id="25" w:name="_Toc15377205"/>
      <w:bookmarkStart w:id="26" w:name="_Toc74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5"/>
          <w:rFonts w:hint="eastAsia" w:ascii="Times New Roman" w:hAnsi="Times New Roman" w:eastAsia="黑体"/>
          <w:b w:val="0"/>
          <w:color w:val="auto"/>
          <w:highlight w:val="none"/>
        </w:rPr>
        <w:t>入支出决算总体情况说明</w:t>
      </w:r>
      <w:bookmarkEnd w:id="23"/>
      <w:bookmarkEnd w:id="24"/>
      <w:bookmarkEnd w:id="25"/>
      <w:bookmarkEnd w:id="26"/>
    </w:p>
    <w:p w14:paraId="6A35E3EC">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年度收入、支出总计均为</w:t>
      </w:r>
      <w:r>
        <w:rPr>
          <w:rFonts w:hint="eastAsia" w:ascii="Times New Roman" w:hAnsi="Times New Roman" w:eastAsia="仿宋_GB2312" w:cs="仿宋_GB2312"/>
          <w:color w:val="auto"/>
          <w:sz w:val="32"/>
          <w:szCs w:val="32"/>
          <w:highlight w:val="none"/>
          <w:lang w:val="en-US" w:eastAsia="zh-CN"/>
        </w:rPr>
        <w:t>531.5</w:t>
      </w:r>
      <w:r>
        <w:rPr>
          <w:rFonts w:hint="eastAsia" w:ascii="Times New Roman" w:hAnsi="Times New Roman" w:eastAsia="仿宋_GB2312" w:cs="仿宋_GB2312"/>
          <w:color w:val="auto"/>
          <w:sz w:val="32"/>
          <w:szCs w:val="32"/>
          <w:highlight w:val="none"/>
          <w:lang w:eastAsia="zh-CN"/>
        </w:rPr>
        <w:t>万元。与202</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年度相比，收入、支出总计各</w:t>
      </w:r>
      <w:r>
        <w:rPr>
          <w:rFonts w:hint="eastAsia" w:ascii="Times New Roman" w:hAnsi="Times New Roman" w:eastAsia="仿宋_GB2312" w:cs="仿宋_GB2312"/>
          <w:color w:val="auto"/>
          <w:sz w:val="32"/>
          <w:szCs w:val="32"/>
          <w:highlight w:val="none"/>
          <w:lang w:val="en-US" w:eastAsia="zh-CN"/>
        </w:rPr>
        <w:t>增加71.35</w:t>
      </w:r>
      <w:r>
        <w:rPr>
          <w:rFonts w:hint="eastAsia" w:ascii="Times New Roman" w:hAnsi="Times New Roman" w:eastAsia="仿宋_GB2312" w:cs="仿宋_GB2312"/>
          <w:color w:val="auto"/>
          <w:sz w:val="32"/>
          <w:szCs w:val="32"/>
          <w:highlight w:val="none"/>
          <w:lang w:eastAsia="zh-CN"/>
        </w:rPr>
        <w:t>万元，</w:t>
      </w:r>
      <w:r>
        <w:rPr>
          <w:rFonts w:hint="eastAsia" w:ascii="Times New Roman" w:hAnsi="Times New Roman" w:eastAsia="仿宋_GB2312" w:cs="仿宋_GB2312"/>
          <w:color w:val="auto"/>
          <w:sz w:val="32"/>
          <w:szCs w:val="32"/>
          <w:highlight w:val="none"/>
          <w:lang w:val="en-US" w:eastAsia="zh-CN"/>
        </w:rPr>
        <w:t>增长15.5%</w:t>
      </w:r>
      <w:r>
        <w:rPr>
          <w:rFonts w:hint="eastAsia" w:ascii="Times New Roman" w:hAnsi="Times New Roman" w:eastAsia="仿宋_GB2312" w:cs="仿宋_GB2312"/>
          <w:color w:val="auto"/>
          <w:sz w:val="32"/>
          <w:szCs w:val="32"/>
          <w:highlight w:val="none"/>
          <w:lang w:eastAsia="zh-CN"/>
        </w:rPr>
        <w:t>。主要变动原因是</w:t>
      </w:r>
      <w:r>
        <w:rPr>
          <w:rFonts w:hint="eastAsia" w:ascii="Times New Roman" w:hAnsi="Times New Roman" w:eastAsia="仿宋_GB2312" w:cs="仿宋_GB2312"/>
          <w:color w:val="auto"/>
          <w:sz w:val="32"/>
          <w:szCs w:val="32"/>
          <w:highlight w:val="none"/>
          <w:lang w:val="en-US" w:eastAsia="zh-CN"/>
        </w:rPr>
        <w:t>2024年1个采购项目预算未完成验收支付调整为2025年预算以及随着计量业务的增加计量检定差旅费等各项经费也随之增加。</w:t>
      </w:r>
    </w:p>
    <w:p w14:paraId="7D221A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2F77D46C">
      <w:pPr>
        <w:pStyle w:val="14"/>
        <w:rPr>
          <w:rFonts w:hint="eastAsia" w:ascii="Times New Roman" w:hAnsi="Times New Roman" w:eastAsia="仿宋_GB2312" w:cs="仿宋_GB2312"/>
          <w:color w:val="auto"/>
          <w:sz w:val="32"/>
          <w:szCs w:val="32"/>
          <w:highlight w:val="none"/>
        </w:rPr>
      </w:pPr>
      <w:r>
        <w:rPr>
          <w:rFonts w:hint="eastAsia" w:ascii="仿宋_GB2312" w:eastAsia="仿宋_GB2312"/>
          <w:sz w:val="32"/>
          <w:szCs w:val="32"/>
          <w:lang w:eastAsia="zh-CN"/>
        </w:rPr>
        <w:drawing>
          <wp:anchor distT="0" distB="0" distL="114300" distR="114300" simplePos="0" relativeHeight="251659264" behindDoc="1" locked="0" layoutInCell="1" allowOverlap="1">
            <wp:simplePos x="0" y="0"/>
            <wp:positionH relativeFrom="column">
              <wp:posOffset>38100</wp:posOffset>
            </wp:positionH>
            <wp:positionV relativeFrom="paragraph">
              <wp:posOffset>103505</wp:posOffset>
            </wp:positionV>
            <wp:extent cx="5080000" cy="3810000"/>
            <wp:effectExtent l="0" t="0" r="0" b="0"/>
            <wp:wrapNone/>
            <wp:docPr id="1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36C0C1D">
      <w:pPr>
        <w:pStyle w:val="15"/>
        <w:rPr>
          <w:rFonts w:hint="eastAsia" w:ascii="Times New Roman" w:hAnsi="Times New Roman" w:eastAsia="仿宋_GB2312" w:cs="仿宋_GB2312"/>
          <w:color w:val="auto"/>
          <w:sz w:val="32"/>
          <w:szCs w:val="32"/>
          <w:highlight w:val="none"/>
        </w:rPr>
      </w:pPr>
    </w:p>
    <w:p w14:paraId="237E19D2">
      <w:pPr>
        <w:pStyle w:val="15"/>
        <w:rPr>
          <w:rFonts w:hint="eastAsia" w:ascii="Times New Roman" w:hAnsi="Times New Roman" w:eastAsia="仿宋_GB2312" w:cs="仿宋_GB2312"/>
          <w:color w:val="auto"/>
          <w:sz w:val="32"/>
          <w:szCs w:val="32"/>
          <w:highlight w:val="none"/>
        </w:rPr>
      </w:pPr>
    </w:p>
    <w:p w14:paraId="73EEB024">
      <w:pPr>
        <w:pStyle w:val="15"/>
        <w:rPr>
          <w:rFonts w:hint="eastAsia" w:ascii="Times New Roman" w:hAnsi="Times New Roman" w:eastAsia="仿宋_GB2312" w:cs="仿宋_GB2312"/>
          <w:color w:val="auto"/>
          <w:sz w:val="32"/>
          <w:szCs w:val="32"/>
          <w:highlight w:val="none"/>
        </w:rPr>
      </w:pPr>
    </w:p>
    <w:p w14:paraId="0EBA71E4">
      <w:pPr>
        <w:pStyle w:val="15"/>
        <w:rPr>
          <w:rFonts w:hint="eastAsia" w:ascii="Times New Roman" w:hAnsi="Times New Roman" w:eastAsia="仿宋_GB2312" w:cs="仿宋_GB2312"/>
          <w:color w:val="auto"/>
          <w:sz w:val="32"/>
          <w:szCs w:val="32"/>
          <w:highlight w:val="none"/>
        </w:rPr>
      </w:pPr>
    </w:p>
    <w:p w14:paraId="4C61AD2C">
      <w:pPr>
        <w:pStyle w:val="15"/>
        <w:rPr>
          <w:rFonts w:hint="eastAsia" w:ascii="Times New Roman" w:hAnsi="Times New Roman" w:eastAsia="仿宋_GB2312" w:cs="仿宋_GB2312"/>
          <w:color w:val="auto"/>
          <w:sz w:val="32"/>
          <w:szCs w:val="32"/>
          <w:highlight w:val="none"/>
        </w:rPr>
      </w:pPr>
    </w:p>
    <w:p w14:paraId="2A9667F8">
      <w:pPr>
        <w:pStyle w:val="15"/>
        <w:rPr>
          <w:rFonts w:hint="eastAsia" w:ascii="Times New Roman" w:hAnsi="Times New Roman" w:eastAsia="仿宋_GB2312" w:cs="仿宋_GB2312"/>
          <w:color w:val="auto"/>
          <w:sz w:val="32"/>
          <w:szCs w:val="32"/>
          <w:highlight w:val="none"/>
        </w:rPr>
      </w:pPr>
    </w:p>
    <w:p w14:paraId="1E612C4A">
      <w:pPr>
        <w:pStyle w:val="15"/>
        <w:rPr>
          <w:rFonts w:hint="eastAsia" w:ascii="Times New Roman" w:hAnsi="Times New Roman" w:eastAsia="仿宋_GB2312" w:cs="仿宋_GB2312"/>
          <w:color w:val="auto"/>
          <w:sz w:val="32"/>
          <w:szCs w:val="32"/>
          <w:highlight w:val="none"/>
        </w:rPr>
      </w:pPr>
    </w:p>
    <w:p w14:paraId="67F6182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CB02A31">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27" w:name="_Toc15377206"/>
      <w:bookmarkStart w:id="28" w:name="_Toc15396604"/>
    </w:p>
    <w:p w14:paraId="34BD5ED5">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29" w:name="_Toc28106"/>
      <w:bookmarkStart w:id="30" w:name="_Toc15504"/>
      <w:r>
        <w:rPr>
          <w:rFonts w:hint="eastAsia" w:ascii="Times New Roman" w:hAnsi="Times New Roman" w:eastAsia="黑体"/>
          <w:color w:val="auto"/>
          <w:sz w:val="32"/>
          <w:szCs w:val="32"/>
          <w:highlight w:val="none"/>
          <w:lang w:eastAsia="zh-CN"/>
        </w:rPr>
        <w:t>二、收入决算情况说明</w:t>
      </w:r>
      <w:bookmarkEnd w:id="27"/>
      <w:bookmarkEnd w:id="28"/>
      <w:bookmarkEnd w:id="29"/>
      <w:bookmarkEnd w:id="30"/>
    </w:p>
    <w:p w14:paraId="3333AD8D">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年度本年收入合计</w:t>
      </w:r>
      <w:r>
        <w:rPr>
          <w:rFonts w:hint="eastAsia" w:ascii="Times New Roman" w:hAnsi="Times New Roman" w:eastAsia="仿宋_GB2312" w:cs="仿宋_GB2312"/>
          <w:color w:val="auto"/>
          <w:sz w:val="32"/>
          <w:szCs w:val="32"/>
          <w:highlight w:val="none"/>
          <w:lang w:val="en-US" w:eastAsia="zh-CN"/>
        </w:rPr>
        <w:t>531.5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Times New Roman" w:hAnsi="Times New Roman" w:eastAsia="仿宋_GB2312" w:cs="仿宋_GB2312"/>
          <w:color w:val="auto"/>
          <w:sz w:val="32"/>
          <w:szCs w:val="32"/>
          <w:highlight w:val="none"/>
          <w:lang w:val="en-US" w:eastAsia="zh-CN"/>
        </w:rPr>
        <w:t>531.5</w:t>
      </w:r>
      <w:r>
        <w:rPr>
          <w:rFonts w:hint="eastAsia" w:ascii="Times New Roman" w:hAnsi="Times New Roman" w:eastAsia="仿宋_GB2312" w:cs="仿宋_GB2312"/>
          <w:color w:val="auto"/>
          <w:sz w:val="32"/>
          <w:szCs w:val="32"/>
          <w:highlight w:val="none"/>
          <w:lang w:eastAsia="zh-CN"/>
        </w:rPr>
        <w:t>万元，占100%。</w:t>
      </w:r>
    </w:p>
    <w:p w14:paraId="07C7C46E">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97AC914">
      <w:pPr>
        <w:pStyle w:val="14"/>
        <w:rPr>
          <w:rFonts w:hint="eastAsia" w:ascii="Times New Roman" w:hAnsi="Times New Roman" w:eastAsia="仿宋_GB2312" w:cs="仿宋_GB2312"/>
          <w:color w:val="auto"/>
          <w:sz w:val="32"/>
          <w:szCs w:val="32"/>
          <w:highlight w:val="none"/>
          <w:lang w:eastAsia="zh-CN"/>
        </w:rPr>
      </w:pPr>
      <w:r>
        <w:rPr>
          <w:rFonts w:hint="eastAsia" w:eastAsia="仿宋_GB2312"/>
          <w:lang w:eastAsia="zh-CN"/>
        </w:rPr>
        <w:drawing>
          <wp:anchor distT="0" distB="0" distL="114300" distR="114300" simplePos="0" relativeHeight="251659264" behindDoc="0" locked="0" layoutInCell="1" allowOverlap="1">
            <wp:simplePos x="0" y="0"/>
            <wp:positionH relativeFrom="column">
              <wp:posOffset>-90805</wp:posOffset>
            </wp:positionH>
            <wp:positionV relativeFrom="paragraph">
              <wp:posOffset>179070</wp:posOffset>
            </wp:positionV>
            <wp:extent cx="5241290" cy="3554095"/>
            <wp:effectExtent l="0" t="0" r="0" b="0"/>
            <wp:wrapTopAndBottom/>
            <wp:docPr id="1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3593AFE">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5"/>
          <w:rFonts w:hint="eastAsia" w:ascii="Times New Roman" w:hAnsi="Times New Roman" w:eastAsia="黑体"/>
          <w:b w:val="0"/>
          <w:color w:val="auto"/>
          <w:highlight w:val="none"/>
        </w:rPr>
      </w:pPr>
      <w:bookmarkStart w:id="31" w:name="_Toc15377207"/>
      <w:bookmarkStart w:id="32" w:name="_Toc11737"/>
      <w:bookmarkStart w:id="33" w:name="_Toc20590"/>
      <w:bookmarkStart w:id="3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5"/>
          <w:rFonts w:hint="eastAsia" w:ascii="Times New Roman" w:hAnsi="Times New Roman" w:eastAsia="黑体"/>
          <w:b w:val="0"/>
          <w:color w:val="auto"/>
          <w:highlight w:val="none"/>
        </w:rPr>
        <w:t>出决算情况说明</w:t>
      </w:r>
      <w:bookmarkEnd w:id="31"/>
      <w:bookmarkEnd w:id="32"/>
      <w:bookmarkEnd w:id="33"/>
      <w:bookmarkEnd w:id="34"/>
    </w:p>
    <w:p w14:paraId="18B5B032">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年度本年支出合计</w:t>
      </w:r>
      <w:r>
        <w:rPr>
          <w:rFonts w:hint="eastAsia" w:ascii="Times New Roman" w:hAnsi="Times New Roman" w:eastAsia="仿宋_GB2312" w:cs="仿宋_GB2312"/>
          <w:color w:val="auto"/>
          <w:sz w:val="32"/>
          <w:szCs w:val="32"/>
          <w:highlight w:val="none"/>
          <w:lang w:val="en-US" w:eastAsia="zh-CN"/>
        </w:rPr>
        <w:t>531.5</w:t>
      </w:r>
      <w:r>
        <w:rPr>
          <w:rFonts w:hint="eastAsia" w:ascii="Times New Roman" w:hAnsi="Times New Roman" w:eastAsia="仿宋_GB2312" w:cs="仿宋_GB2312"/>
          <w:color w:val="auto"/>
          <w:sz w:val="32"/>
          <w:szCs w:val="32"/>
          <w:highlight w:val="none"/>
          <w:lang w:eastAsia="zh-CN"/>
        </w:rPr>
        <w:t>万元，其中：基本支出</w:t>
      </w:r>
      <w:r>
        <w:rPr>
          <w:rFonts w:hint="eastAsia" w:ascii="Times New Roman" w:hAnsi="Times New Roman" w:eastAsia="仿宋_GB2312" w:cs="仿宋_GB2312"/>
          <w:color w:val="auto"/>
          <w:sz w:val="32"/>
          <w:szCs w:val="32"/>
          <w:highlight w:val="none"/>
          <w:lang w:val="en-US" w:eastAsia="zh-CN"/>
        </w:rPr>
        <w:t>284.01</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53.4</w:t>
      </w:r>
      <w:r>
        <w:rPr>
          <w:rFonts w:hint="eastAsia" w:ascii="Times New Roman" w:hAnsi="Times New Roman" w:eastAsia="仿宋_GB2312" w:cs="仿宋_GB2312"/>
          <w:color w:val="auto"/>
          <w:sz w:val="32"/>
          <w:szCs w:val="32"/>
          <w:highlight w:val="none"/>
          <w:lang w:eastAsia="zh-CN"/>
        </w:rPr>
        <w:t>%；项目支出</w:t>
      </w:r>
      <w:r>
        <w:rPr>
          <w:rFonts w:hint="eastAsia" w:ascii="Times New Roman" w:hAnsi="Times New Roman" w:eastAsia="仿宋_GB2312" w:cs="仿宋_GB2312"/>
          <w:color w:val="auto"/>
          <w:sz w:val="32"/>
          <w:szCs w:val="32"/>
          <w:highlight w:val="none"/>
          <w:lang w:val="en-US" w:eastAsia="zh-CN"/>
        </w:rPr>
        <w:t>247.5</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color w:val="auto"/>
          <w:sz w:val="32"/>
          <w:szCs w:val="32"/>
          <w:highlight w:val="none"/>
          <w:lang w:val="en-US" w:eastAsia="zh-CN"/>
        </w:rPr>
        <w:t>46.6</w:t>
      </w:r>
      <w:r>
        <w:rPr>
          <w:rFonts w:hint="eastAsia" w:ascii="Times New Roman" w:hAnsi="Times New Roman" w:eastAsia="仿宋_GB2312" w:cs="仿宋_GB2312"/>
          <w:color w:val="auto"/>
          <w:sz w:val="32"/>
          <w:szCs w:val="32"/>
          <w:highlight w:val="none"/>
          <w:lang w:eastAsia="zh-CN"/>
        </w:rPr>
        <w:t>%；</w:t>
      </w:r>
    </w:p>
    <w:p w14:paraId="047A528C">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48F51E11">
      <w:pPr>
        <w:pStyle w:val="14"/>
        <w:rPr>
          <w:rFonts w:hint="eastAsia" w:ascii="Times New Roman" w:hAnsi="Times New Roman" w:eastAsia="仿宋_GB2312" w:cs="仿宋_GB2312"/>
          <w:color w:val="auto"/>
          <w:sz w:val="32"/>
          <w:szCs w:val="32"/>
          <w:highlight w:val="none"/>
          <w:lang w:eastAsia="zh-CN"/>
        </w:rPr>
      </w:pPr>
      <w:r>
        <w:rPr>
          <w:rFonts w:hint="eastAsia" w:eastAsia="仿宋_GB2312"/>
          <w:b w:val="0"/>
          <w:bCs w:val="0"/>
          <w:lang w:eastAsia="zh-CN"/>
        </w:rPr>
        <w:drawing>
          <wp:anchor distT="0" distB="0" distL="114300" distR="114300" simplePos="0" relativeHeight="251659264" behindDoc="0" locked="0" layoutInCell="1" allowOverlap="1">
            <wp:simplePos x="0" y="0"/>
            <wp:positionH relativeFrom="column">
              <wp:posOffset>-15240</wp:posOffset>
            </wp:positionH>
            <wp:positionV relativeFrom="paragraph">
              <wp:posOffset>21590</wp:posOffset>
            </wp:positionV>
            <wp:extent cx="5013960" cy="2268220"/>
            <wp:effectExtent l="0" t="0" r="0" b="0"/>
            <wp:wrapTopAndBottom/>
            <wp:docPr id="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6AF461E">
      <w:pPr>
        <w:spacing w:line="600" w:lineRule="exact"/>
        <w:ind w:firstLine="640" w:firstLineChars="200"/>
        <w:outlineLvl w:val="1"/>
        <w:rPr>
          <w:rStyle w:val="25"/>
          <w:rFonts w:ascii="Times New Roman" w:hAnsi="Times New Roman" w:eastAsia="黑体"/>
          <w:b w:val="0"/>
          <w:color w:val="auto"/>
          <w:highlight w:val="none"/>
        </w:rPr>
      </w:pPr>
      <w:bookmarkStart w:id="35" w:name="_Toc9973"/>
      <w:bookmarkStart w:id="36" w:name="_Toc29606"/>
      <w:bookmarkStart w:id="37" w:name="_Toc15396606"/>
      <w:bookmarkStart w:id="38" w:name="_Toc15377208"/>
      <w:r>
        <w:rPr>
          <w:rFonts w:hint="eastAsia" w:ascii="Times New Roman" w:hAnsi="Times New Roman" w:eastAsia="黑体"/>
          <w:color w:val="auto"/>
          <w:sz w:val="32"/>
          <w:szCs w:val="32"/>
          <w:highlight w:val="none"/>
        </w:rPr>
        <w:t>四、财</w:t>
      </w:r>
      <w:r>
        <w:rPr>
          <w:rStyle w:val="25"/>
          <w:rFonts w:hint="eastAsia" w:ascii="Times New Roman" w:hAnsi="Times New Roman" w:eastAsia="黑体"/>
          <w:b w:val="0"/>
          <w:color w:val="auto"/>
          <w:highlight w:val="none"/>
        </w:rPr>
        <w:t>政拨款收入支出决算总体情况说明</w:t>
      </w:r>
      <w:bookmarkEnd w:id="35"/>
      <w:bookmarkEnd w:id="36"/>
      <w:bookmarkEnd w:id="37"/>
      <w:bookmarkEnd w:id="38"/>
    </w:p>
    <w:p w14:paraId="3334B01D">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财政拨款收入、支出总计均为531.5万元。与2024年度相比，财政拨款收入总计、支出总计各增加73.35万元，增长15.5%。主要变动原因是2024年1个采购项目预算未完成验收支付调整为2025年预算以及随着计量业务的增加计量检定差旅费等各项经费也随之增加。</w:t>
      </w:r>
    </w:p>
    <w:p w14:paraId="7600D967">
      <w:pPr>
        <w:spacing w:line="600" w:lineRule="exact"/>
        <w:ind w:firstLine="1280" w:firstLineChars="4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AB9082C">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59264" behindDoc="1" locked="0" layoutInCell="1" allowOverlap="1">
            <wp:simplePos x="0" y="0"/>
            <wp:positionH relativeFrom="column">
              <wp:posOffset>-76200</wp:posOffset>
            </wp:positionH>
            <wp:positionV relativeFrom="paragraph">
              <wp:posOffset>66675</wp:posOffset>
            </wp:positionV>
            <wp:extent cx="5241290" cy="3837940"/>
            <wp:effectExtent l="0" t="0" r="0" b="0"/>
            <wp:wrapNone/>
            <wp:docPr id="1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E635E71">
      <w:pPr>
        <w:pStyle w:val="15"/>
        <w:rPr>
          <w:rFonts w:hint="eastAsia" w:ascii="Times New Roman" w:hAnsi="Times New Roman" w:eastAsia="仿宋_GB2312" w:cs="仿宋_GB2312"/>
          <w:color w:val="auto"/>
          <w:kern w:val="2"/>
          <w:sz w:val="32"/>
          <w:szCs w:val="32"/>
          <w:highlight w:val="none"/>
          <w:lang w:val="en-US" w:eastAsia="zh-CN" w:bidi="ar-SA"/>
        </w:rPr>
      </w:pPr>
    </w:p>
    <w:p w14:paraId="3DBF73A5">
      <w:pPr>
        <w:pStyle w:val="15"/>
        <w:rPr>
          <w:rFonts w:hint="eastAsia" w:ascii="Times New Roman" w:hAnsi="Times New Roman" w:eastAsia="仿宋_GB2312" w:cs="仿宋_GB2312"/>
          <w:color w:val="auto"/>
          <w:kern w:val="2"/>
          <w:sz w:val="32"/>
          <w:szCs w:val="32"/>
          <w:highlight w:val="none"/>
          <w:lang w:val="en-US" w:eastAsia="zh-CN" w:bidi="ar-SA"/>
        </w:rPr>
      </w:pPr>
    </w:p>
    <w:p w14:paraId="0EA1A012">
      <w:pPr>
        <w:pStyle w:val="15"/>
        <w:rPr>
          <w:rFonts w:hint="eastAsia" w:ascii="Times New Roman" w:hAnsi="Times New Roman" w:eastAsia="仿宋_GB2312" w:cs="仿宋_GB2312"/>
          <w:color w:val="auto"/>
          <w:kern w:val="2"/>
          <w:sz w:val="32"/>
          <w:szCs w:val="32"/>
          <w:highlight w:val="none"/>
          <w:lang w:val="en-US" w:eastAsia="zh-CN" w:bidi="ar-SA"/>
        </w:rPr>
      </w:pPr>
    </w:p>
    <w:p w14:paraId="2CD9B608">
      <w:pPr>
        <w:pStyle w:val="15"/>
        <w:rPr>
          <w:rFonts w:hint="eastAsia" w:ascii="Times New Roman" w:hAnsi="Times New Roman" w:eastAsia="仿宋_GB2312" w:cs="仿宋_GB2312"/>
          <w:color w:val="auto"/>
          <w:kern w:val="2"/>
          <w:sz w:val="32"/>
          <w:szCs w:val="32"/>
          <w:highlight w:val="none"/>
          <w:lang w:val="en-US" w:eastAsia="zh-CN" w:bidi="ar-SA"/>
        </w:rPr>
      </w:pPr>
    </w:p>
    <w:p w14:paraId="31B99A03">
      <w:pPr>
        <w:pStyle w:val="15"/>
        <w:rPr>
          <w:rFonts w:hint="eastAsia" w:ascii="Times New Roman" w:hAnsi="Times New Roman" w:eastAsia="仿宋_GB2312" w:cs="仿宋_GB2312"/>
          <w:color w:val="auto"/>
          <w:kern w:val="2"/>
          <w:sz w:val="32"/>
          <w:szCs w:val="32"/>
          <w:highlight w:val="none"/>
          <w:lang w:val="en-US" w:eastAsia="zh-CN" w:bidi="ar-SA"/>
        </w:rPr>
      </w:pPr>
    </w:p>
    <w:p w14:paraId="38F958D7">
      <w:pPr>
        <w:pStyle w:val="15"/>
        <w:rPr>
          <w:rFonts w:hint="eastAsia" w:ascii="Times New Roman" w:hAnsi="Times New Roman" w:eastAsia="仿宋_GB2312" w:cs="仿宋_GB2312"/>
          <w:color w:val="auto"/>
          <w:kern w:val="2"/>
          <w:sz w:val="32"/>
          <w:szCs w:val="32"/>
          <w:highlight w:val="none"/>
          <w:lang w:val="en-US" w:eastAsia="zh-CN" w:bidi="ar-SA"/>
        </w:rPr>
      </w:pPr>
    </w:p>
    <w:p w14:paraId="5A4E6BEA">
      <w:pPr>
        <w:pStyle w:val="15"/>
        <w:rPr>
          <w:rFonts w:hint="eastAsia" w:ascii="Times New Roman" w:hAnsi="Times New Roman" w:eastAsia="仿宋_GB2312" w:cs="仿宋_GB2312"/>
          <w:color w:val="auto"/>
          <w:kern w:val="2"/>
          <w:sz w:val="32"/>
          <w:szCs w:val="32"/>
          <w:highlight w:val="none"/>
          <w:lang w:val="en-US" w:eastAsia="zh-CN" w:bidi="ar-SA"/>
        </w:rPr>
      </w:pPr>
    </w:p>
    <w:p w14:paraId="2487DFD7">
      <w:pPr>
        <w:pStyle w:val="14"/>
        <w:rPr>
          <w:rFonts w:hint="eastAsia"/>
          <w:lang w:val="en-US" w:eastAsia="zh-CN"/>
        </w:rPr>
      </w:pPr>
    </w:p>
    <w:p w14:paraId="707134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B641E0">
      <w:pPr>
        <w:spacing w:line="600" w:lineRule="exact"/>
        <w:ind w:firstLine="640" w:firstLineChars="200"/>
        <w:outlineLvl w:val="1"/>
        <w:rPr>
          <w:rStyle w:val="25"/>
          <w:rFonts w:ascii="Times New Roman" w:hAnsi="Times New Roman" w:eastAsia="黑体"/>
          <w:b w:val="0"/>
          <w:color w:val="auto"/>
          <w:highlight w:val="none"/>
        </w:rPr>
      </w:pPr>
      <w:bookmarkStart w:id="39" w:name="_Toc7545"/>
      <w:bookmarkStart w:id="40" w:name="_Toc15377209"/>
      <w:bookmarkStart w:id="41" w:name="_Toc30396"/>
      <w:bookmarkStart w:id="4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5"/>
          <w:rFonts w:hint="eastAsia" w:ascii="Times New Roman" w:hAnsi="Times New Roman" w:eastAsia="黑体"/>
          <w:b w:val="0"/>
          <w:color w:val="auto"/>
          <w:highlight w:val="none"/>
        </w:rPr>
        <w:t>般公共预算财政拨款支出决算情况说明</w:t>
      </w:r>
      <w:bookmarkEnd w:id="39"/>
      <w:bookmarkEnd w:id="40"/>
      <w:bookmarkEnd w:id="41"/>
      <w:bookmarkEnd w:id="42"/>
    </w:p>
    <w:p w14:paraId="5E6C902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3"/>
    </w:p>
    <w:p w14:paraId="24BF6A6F">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一般公共预算财政拨款支出531.5万元，占本年支出合计的100%。与2024年度相比，一般公共预算财政拨款支出增加73.35万元，增长15.5%。主要变动原因是2024年1个采购项目预算未完成验收支付调整为2025年预算以及随着计量业务的增加计量检定差旅费等各项经费也随之增加。</w:t>
      </w:r>
    </w:p>
    <w:p w14:paraId="713F06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FCCBD04">
      <w:pPr>
        <w:pStyle w:val="14"/>
        <w:rPr>
          <w:rFonts w:hint="eastAsia"/>
          <w:lang w:val="en-US" w:eastAsia="zh-CN"/>
        </w:rPr>
      </w:pPr>
    </w:p>
    <w:p w14:paraId="3981A96B">
      <w:pPr>
        <w:pStyle w:val="15"/>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59264" behindDoc="1" locked="0" layoutInCell="1" allowOverlap="1">
            <wp:simplePos x="0" y="0"/>
            <wp:positionH relativeFrom="column">
              <wp:posOffset>104775</wp:posOffset>
            </wp:positionH>
            <wp:positionV relativeFrom="paragraph">
              <wp:posOffset>66675</wp:posOffset>
            </wp:positionV>
            <wp:extent cx="5080000" cy="3810000"/>
            <wp:effectExtent l="0" t="0" r="0" b="0"/>
            <wp:wrapNone/>
            <wp:docPr id="1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D08ACBB">
      <w:pPr>
        <w:pStyle w:val="15"/>
        <w:rPr>
          <w:rFonts w:hint="eastAsia" w:ascii="Times New Roman" w:hAnsi="Times New Roman" w:eastAsia="仿宋_GB2312" w:cs="仿宋_GB2312"/>
          <w:color w:val="auto"/>
          <w:kern w:val="2"/>
          <w:sz w:val="32"/>
          <w:szCs w:val="32"/>
          <w:highlight w:val="none"/>
          <w:lang w:val="en-US" w:eastAsia="zh-CN" w:bidi="ar-SA"/>
        </w:rPr>
      </w:pPr>
    </w:p>
    <w:p w14:paraId="7097175B">
      <w:pPr>
        <w:pStyle w:val="15"/>
        <w:rPr>
          <w:rFonts w:hint="eastAsia" w:ascii="Times New Roman" w:hAnsi="Times New Roman" w:eastAsia="仿宋_GB2312" w:cs="仿宋_GB2312"/>
          <w:color w:val="auto"/>
          <w:kern w:val="2"/>
          <w:sz w:val="32"/>
          <w:szCs w:val="32"/>
          <w:highlight w:val="none"/>
          <w:lang w:val="en-US" w:eastAsia="zh-CN" w:bidi="ar-SA"/>
        </w:rPr>
      </w:pPr>
    </w:p>
    <w:p w14:paraId="00709CD0">
      <w:pPr>
        <w:pStyle w:val="15"/>
        <w:rPr>
          <w:rFonts w:hint="eastAsia" w:ascii="Times New Roman" w:hAnsi="Times New Roman" w:eastAsia="仿宋_GB2312" w:cs="仿宋_GB2312"/>
          <w:color w:val="auto"/>
          <w:kern w:val="2"/>
          <w:sz w:val="32"/>
          <w:szCs w:val="32"/>
          <w:highlight w:val="none"/>
          <w:lang w:val="en-US" w:eastAsia="zh-CN" w:bidi="ar-SA"/>
        </w:rPr>
      </w:pPr>
    </w:p>
    <w:p w14:paraId="7C8427E1">
      <w:pPr>
        <w:pStyle w:val="15"/>
        <w:rPr>
          <w:rFonts w:hint="eastAsia" w:ascii="Times New Roman" w:hAnsi="Times New Roman" w:eastAsia="仿宋_GB2312" w:cs="仿宋_GB2312"/>
          <w:color w:val="auto"/>
          <w:kern w:val="2"/>
          <w:sz w:val="32"/>
          <w:szCs w:val="32"/>
          <w:highlight w:val="none"/>
          <w:lang w:val="en-US" w:eastAsia="zh-CN" w:bidi="ar-SA"/>
        </w:rPr>
      </w:pPr>
    </w:p>
    <w:p w14:paraId="5CDC8EF7">
      <w:pPr>
        <w:pStyle w:val="15"/>
        <w:rPr>
          <w:rFonts w:hint="eastAsia" w:ascii="Times New Roman" w:hAnsi="Times New Roman" w:eastAsia="仿宋_GB2312" w:cs="仿宋_GB2312"/>
          <w:color w:val="auto"/>
          <w:kern w:val="2"/>
          <w:sz w:val="32"/>
          <w:szCs w:val="32"/>
          <w:highlight w:val="none"/>
          <w:lang w:val="en-US" w:eastAsia="zh-CN" w:bidi="ar-SA"/>
        </w:rPr>
      </w:pPr>
    </w:p>
    <w:p w14:paraId="4DEA4B77">
      <w:pPr>
        <w:pStyle w:val="15"/>
        <w:rPr>
          <w:rFonts w:hint="eastAsia" w:ascii="Times New Roman" w:hAnsi="Times New Roman" w:eastAsia="仿宋_GB2312" w:cs="仿宋_GB2312"/>
          <w:color w:val="auto"/>
          <w:kern w:val="2"/>
          <w:sz w:val="32"/>
          <w:szCs w:val="32"/>
          <w:highlight w:val="none"/>
          <w:lang w:val="en-US" w:eastAsia="zh-CN" w:bidi="ar-SA"/>
        </w:rPr>
      </w:pPr>
    </w:p>
    <w:p w14:paraId="076D7A65">
      <w:pPr>
        <w:pStyle w:val="15"/>
        <w:rPr>
          <w:rFonts w:hint="eastAsia" w:ascii="Times New Roman" w:hAnsi="Times New Roman" w:eastAsia="仿宋_GB2312" w:cs="仿宋_GB2312"/>
          <w:color w:val="auto"/>
          <w:kern w:val="2"/>
          <w:sz w:val="32"/>
          <w:szCs w:val="32"/>
          <w:highlight w:val="none"/>
          <w:lang w:val="en-US" w:eastAsia="zh-CN" w:bidi="ar-SA"/>
        </w:rPr>
      </w:pPr>
    </w:p>
    <w:p w14:paraId="2DD80A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1"/>
    </w:p>
    <w:p w14:paraId="34B8EDC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44"/>
    </w:p>
    <w:p w14:paraId="06AB92B0">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2025年度一般公共预算财政拨款支出531.5万元，主要用于以下方面：一般公共服务支出469.2万元，占88.3%；社会保障和就业支出29.51万元，占5.6%；卫生健康支出13.57万元，占2.6%；住房保障支出19.23万元，占3.6%</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t>。</w:t>
      </w:r>
    </w:p>
    <w:p w14:paraId="7FDA41C1">
      <w:pPr>
        <w:pStyle w:val="30"/>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p>
    <w:p w14:paraId="4420F568">
      <w:pPr>
        <w:pStyle w:val="15"/>
        <w:ind w:left="0" w:leftChars="0" w:firstLine="0" w:firstLineChars="0"/>
        <w:rPr>
          <w:rFonts w:eastAsia="仿宋_GB2312" w:cs="仿宋_GB2312"/>
          <w:color w:val="auto"/>
          <w:kern w:val="2"/>
          <w:sz w:val="32"/>
          <w:szCs w:val="32"/>
          <w:highlight w:val="none"/>
          <w:lang w:val="en-US" w:eastAsia="zh-CN" w:bidi="ar-SA"/>
        </w:rPr>
      </w:pPr>
    </w:p>
    <w:p w14:paraId="21DDB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14EA04AA">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59264" behindDoc="0" locked="0" layoutInCell="1" allowOverlap="1">
            <wp:simplePos x="0" y="0"/>
            <wp:positionH relativeFrom="column">
              <wp:posOffset>185420</wp:posOffset>
            </wp:positionH>
            <wp:positionV relativeFrom="paragraph">
              <wp:posOffset>318770</wp:posOffset>
            </wp:positionV>
            <wp:extent cx="5080000" cy="3553460"/>
            <wp:effectExtent l="0" t="0" r="0" b="0"/>
            <wp:wrapTight wrapText="bothSides">
              <wp:wrapPolygon>
                <wp:start x="-18" y="-27"/>
                <wp:lineTo x="-18" y="21568"/>
                <wp:lineTo x="21567" y="21568"/>
                <wp:lineTo x="21567" y="-27"/>
                <wp:lineTo x="-18" y="-27"/>
              </wp:wrapPolygon>
            </wp:wrapTight>
            <wp:docPr id="1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7260075">
      <w:pPr>
        <w:pStyle w:val="15"/>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1355197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5"/>
    </w:p>
    <w:p w14:paraId="66D7BC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77444"/>
      <w:bookmarkStart w:id="47" w:name="_Toc15378460"/>
      <w:bookmarkStart w:id="48"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eastAsia="仿宋_GB2312" w:cs="仿宋_GB2312"/>
          <w:sz w:val="32"/>
          <w:szCs w:val="32"/>
          <w:lang w:val="en-US" w:eastAsia="zh-CN"/>
        </w:rPr>
        <w:t>531.5</w:t>
      </w:r>
      <w:r>
        <w:rPr>
          <w:rFonts w:hint="eastAsia" w:asci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6"/>
      <w:bookmarkEnd w:id="47"/>
      <w:bookmarkEnd w:id="48"/>
    </w:p>
    <w:p w14:paraId="2456C1B3">
      <w:pPr>
        <w:pageBreakBefore w:val="0"/>
        <w:widowControl w:val="0"/>
        <w:kinsoku/>
        <w:wordWrap/>
        <w:overflowPunct/>
        <w:topLinePunct w:val="0"/>
        <w:bidi w:val="0"/>
        <w:spacing w:line="560" w:lineRule="exact"/>
        <w:rPr>
          <w:rFonts w:hint="eastAsia" w:ascii="仿宋" w:eastAsia="仿宋"/>
          <w:color w:val="000000"/>
          <w:sz w:val="32"/>
          <w:szCs w:val="32"/>
          <w:lang w:val="en-US" w:eastAsia="zh-CN"/>
        </w:rPr>
      </w:pPr>
      <w:r>
        <w:rPr>
          <w:rStyle w:val="22"/>
          <w:rFonts w:hint="eastAsia" w:ascii="仿宋" w:eastAsia="仿宋"/>
          <w:bCs/>
          <w:color w:val="000000"/>
          <w:sz w:val="32"/>
          <w:szCs w:val="32"/>
          <w:lang w:val="en-US" w:eastAsia="zh-CN"/>
        </w:rPr>
        <w:t>1.</w:t>
      </w:r>
      <w:r>
        <w:rPr>
          <w:rStyle w:val="22"/>
          <w:rFonts w:hint="eastAsia" w:ascii="仿宋" w:eastAsia="仿宋"/>
          <w:bCs/>
          <w:color w:val="000000"/>
          <w:sz w:val="32"/>
          <w:szCs w:val="32"/>
        </w:rPr>
        <w:t>一般公共服务（</w:t>
      </w:r>
      <w:r>
        <w:rPr>
          <w:rStyle w:val="22"/>
          <w:rFonts w:hint="eastAsia" w:ascii="仿宋" w:eastAsia="仿宋"/>
          <w:bCs/>
          <w:color w:val="000000"/>
          <w:sz w:val="32"/>
          <w:szCs w:val="32"/>
          <w:lang w:eastAsia="zh-CN"/>
        </w:rPr>
        <w:t>功能分类科目</w:t>
      </w:r>
      <w:r>
        <w:rPr>
          <w:rStyle w:val="22"/>
          <w:rFonts w:hint="eastAsia" w:ascii="仿宋" w:eastAsia="仿宋"/>
          <w:bCs/>
          <w:color w:val="000000"/>
          <w:sz w:val="32"/>
          <w:szCs w:val="32"/>
          <w:lang w:val="en-US" w:eastAsia="zh-CN"/>
        </w:rPr>
        <w:t>201</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w:t>
      </w:r>
      <w:r>
        <w:rPr>
          <w:rStyle w:val="22"/>
          <w:rFonts w:hint="eastAsia" w:ascii="仿宋" w:eastAsia="仿宋"/>
          <w:b w:val="0"/>
          <w:bCs/>
          <w:color w:val="000000"/>
          <w:sz w:val="32"/>
          <w:szCs w:val="32"/>
          <w:lang w:eastAsia="zh-CN"/>
        </w:rPr>
        <w:t>支出决算</w:t>
      </w:r>
      <w:r>
        <w:rPr>
          <w:rStyle w:val="22"/>
          <w:rFonts w:hint="eastAsia" w:ascii="仿宋" w:eastAsia="仿宋"/>
          <w:b w:val="0"/>
          <w:bCs/>
          <w:color w:val="000000"/>
          <w:sz w:val="32"/>
          <w:szCs w:val="32"/>
          <w:lang w:val="en-US" w:eastAsia="zh-CN"/>
        </w:rPr>
        <w:t>469.2万元，</w:t>
      </w:r>
      <w:r>
        <w:rPr>
          <w:rStyle w:val="22"/>
          <w:rFonts w:hint="eastAsia" w:ascii="仿宋" w:eastAsia="仿宋"/>
          <w:b w:val="0"/>
          <w:bCs/>
          <w:color w:val="000000"/>
          <w:sz w:val="32"/>
          <w:szCs w:val="32"/>
        </w:rPr>
        <w:t>完成预算</w:t>
      </w:r>
      <w:r>
        <w:rPr>
          <w:rStyle w:val="22"/>
          <w:rFonts w:hint="eastAsia" w:ascii="仿宋" w:eastAsia="仿宋"/>
          <w:b w:val="0"/>
          <w:bCs/>
          <w:color w:val="000000"/>
          <w:sz w:val="32"/>
          <w:szCs w:val="32"/>
          <w:lang w:val="en-US" w:eastAsia="zh-CN"/>
        </w:rPr>
        <w:t>100.00</w:t>
      </w:r>
      <w:r>
        <w:rPr>
          <w:rStyle w:val="22"/>
          <w:rFonts w:ascii="仿宋" w:eastAsia="仿宋"/>
          <w:b w:val="0"/>
          <w:bCs/>
          <w:color w:val="000000"/>
          <w:sz w:val="32"/>
          <w:szCs w:val="32"/>
        </w:rPr>
        <w:t>%</w:t>
      </w:r>
      <w:r>
        <w:rPr>
          <w:rStyle w:val="22"/>
          <w:rFonts w:hint="eastAsia" w:ascii="仿宋" w:eastAsia="仿宋"/>
          <w:b w:val="0"/>
          <w:bCs/>
          <w:color w:val="000000"/>
          <w:sz w:val="32"/>
          <w:szCs w:val="32"/>
        </w:rPr>
        <w:t>，</w:t>
      </w:r>
      <w:r>
        <w:rPr>
          <w:rFonts w:hint="eastAsia" w:ascii="仿宋" w:eastAsia="仿宋"/>
          <w:color w:val="000000"/>
          <w:sz w:val="32"/>
          <w:szCs w:val="32"/>
          <w:lang w:eastAsia="zh-CN"/>
        </w:rPr>
        <w:t>其中质量基础（功能科目</w:t>
      </w:r>
      <w:r>
        <w:rPr>
          <w:rFonts w:hint="eastAsia" w:ascii="仿宋" w:eastAsia="仿宋"/>
          <w:color w:val="000000"/>
          <w:sz w:val="32"/>
          <w:szCs w:val="32"/>
          <w:lang w:val="en-US" w:eastAsia="zh-CN"/>
        </w:rPr>
        <w:t>2013810</w:t>
      </w:r>
      <w:r>
        <w:rPr>
          <w:rFonts w:hint="eastAsia" w:ascii="仿宋" w:eastAsia="仿宋"/>
          <w:color w:val="000000"/>
          <w:sz w:val="32"/>
          <w:szCs w:val="32"/>
          <w:lang w:eastAsia="zh-CN"/>
        </w:rPr>
        <w:t>）</w:t>
      </w:r>
      <w:r>
        <w:rPr>
          <w:rFonts w:hint="eastAsia" w:ascii="仿宋" w:eastAsia="仿宋"/>
          <w:color w:val="000000"/>
          <w:sz w:val="32"/>
          <w:szCs w:val="32"/>
          <w:lang w:val="en-US" w:eastAsia="zh-CN"/>
        </w:rPr>
        <w:t>242.05万元，其他市场监督管理事务（功能科目2013899）5.44万元，事业运行（功能科目2013850）221.7万元。</w:t>
      </w:r>
    </w:p>
    <w:p w14:paraId="62C8CA20">
      <w:pPr>
        <w:pageBreakBefore w:val="0"/>
        <w:widowControl w:val="0"/>
        <w:kinsoku/>
        <w:wordWrap/>
        <w:overflowPunct/>
        <w:topLinePunct w:val="0"/>
        <w:bidi w:val="0"/>
        <w:spacing w:line="560" w:lineRule="exact"/>
        <w:rPr>
          <w:rStyle w:val="22"/>
          <w:rFonts w:hint="eastAsia" w:ascii="仿宋" w:eastAsia="仿宋"/>
          <w:b w:val="0"/>
          <w:bCs/>
          <w:color w:val="000000"/>
          <w:sz w:val="32"/>
          <w:szCs w:val="32"/>
          <w:lang w:val="en-US" w:eastAsia="zh-CN"/>
        </w:rPr>
      </w:pPr>
      <w:r>
        <w:rPr>
          <w:rStyle w:val="22"/>
          <w:rFonts w:hint="eastAsia" w:ascii="仿宋" w:eastAsia="仿宋"/>
          <w:bCs/>
          <w:sz w:val="32"/>
          <w:szCs w:val="32"/>
          <w:lang w:val="en-US" w:eastAsia="zh-CN"/>
        </w:rPr>
        <w:t>2</w:t>
      </w:r>
      <w:r>
        <w:rPr>
          <w:rStyle w:val="22"/>
          <w:rFonts w:ascii="仿宋" w:eastAsia="仿宋"/>
          <w:bCs/>
          <w:sz w:val="32"/>
          <w:szCs w:val="32"/>
        </w:rPr>
        <w:t>.</w:t>
      </w:r>
      <w:r>
        <w:rPr>
          <w:rStyle w:val="22"/>
          <w:rFonts w:hint="eastAsia" w:ascii="仿宋" w:eastAsia="仿宋"/>
          <w:bCs/>
          <w:sz w:val="32"/>
          <w:szCs w:val="32"/>
        </w:rPr>
        <w:t>社会保障和就业</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功能分类科目</w:t>
      </w:r>
      <w:r>
        <w:rPr>
          <w:rStyle w:val="22"/>
          <w:rFonts w:hint="eastAsia" w:ascii="仿宋" w:eastAsia="仿宋"/>
          <w:bCs/>
          <w:color w:val="000000"/>
          <w:sz w:val="32"/>
          <w:szCs w:val="32"/>
          <w:lang w:val="en-US" w:eastAsia="zh-CN"/>
        </w:rPr>
        <w:t>208</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w:t>
      </w:r>
      <w:r>
        <w:rPr>
          <w:rStyle w:val="22"/>
          <w:rFonts w:ascii="仿宋" w:eastAsia="仿宋"/>
          <w:b w:val="0"/>
          <w:bCs/>
          <w:color w:val="000000"/>
          <w:sz w:val="32"/>
          <w:szCs w:val="32"/>
        </w:rPr>
        <w:t xml:space="preserve"> </w:t>
      </w:r>
      <w:r>
        <w:rPr>
          <w:rStyle w:val="22"/>
          <w:rFonts w:hint="eastAsia" w:ascii="仿宋" w:eastAsia="仿宋"/>
          <w:b w:val="0"/>
          <w:bCs/>
          <w:color w:val="000000"/>
          <w:sz w:val="32"/>
          <w:szCs w:val="32"/>
        </w:rPr>
        <w:t>支出决算</w:t>
      </w:r>
      <w:r>
        <w:rPr>
          <w:rFonts w:hint="eastAsia" w:ascii="仿宋" w:eastAsia="仿宋"/>
          <w:color w:val="000000"/>
          <w:sz w:val="32"/>
          <w:szCs w:val="32"/>
          <w:lang w:val="en-US" w:eastAsia="zh-CN"/>
        </w:rPr>
        <w:t>29.51</w:t>
      </w:r>
      <w:r>
        <w:rPr>
          <w:rFonts w:hint="eastAsia" w:ascii="仿宋" w:eastAsia="仿宋"/>
          <w:color w:val="000000"/>
          <w:sz w:val="32"/>
          <w:szCs w:val="32"/>
        </w:rPr>
        <w:t>万元，</w:t>
      </w:r>
      <w:r>
        <w:rPr>
          <w:rStyle w:val="22"/>
          <w:rFonts w:hint="eastAsia" w:ascii="仿宋" w:eastAsia="仿宋"/>
          <w:b w:val="0"/>
          <w:bCs/>
          <w:color w:val="000000"/>
          <w:sz w:val="32"/>
          <w:szCs w:val="32"/>
        </w:rPr>
        <w:t>完成预算</w:t>
      </w:r>
      <w:r>
        <w:rPr>
          <w:rStyle w:val="22"/>
          <w:rFonts w:hint="eastAsia" w:ascii="仿宋" w:eastAsia="仿宋"/>
          <w:b w:val="0"/>
          <w:bCs/>
          <w:color w:val="000000"/>
          <w:sz w:val="32"/>
          <w:szCs w:val="32"/>
          <w:lang w:val="en-US" w:eastAsia="zh-CN"/>
        </w:rPr>
        <w:t>100.00</w:t>
      </w:r>
      <w:r>
        <w:rPr>
          <w:rStyle w:val="22"/>
          <w:rFonts w:ascii="仿宋" w:eastAsia="仿宋"/>
          <w:b w:val="0"/>
          <w:bCs/>
          <w:color w:val="000000"/>
          <w:sz w:val="32"/>
          <w:szCs w:val="32"/>
        </w:rPr>
        <w:t>%</w:t>
      </w:r>
      <w:r>
        <w:rPr>
          <w:rStyle w:val="22"/>
          <w:rFonts w:hint="eastAsia" w:ascii="仿宋" w:eastAsia="仿宋"/>
          <w:b w:val="0"/>
          <w:bCs/>
          <w:color w:val="000000"/>
          <w:sz w:val="32"/>
          <w:szCs w:val="32"/>
        </w:rPr>
        <w:t>，</w:t>
      </w:r>
      <w:r>
        <w:rPr>
          <w:rFonts w:hint="eastAsia" w:ascii="仿宋" w:eastAsia="仿宋"/>
          <w:color w:val="000000"/>
          <w:sz w:val="32"/>
          <w:szCs w:val="32"/>
          <w:lang w:val="en-US" w:eastAsia="zh-CN"/>
        </w:rPr>
        <w:t>其中机关事业单位基本养老保险缴费支出（功能科目2080505）19.67万元，机关事业单位职业年金缴费支出（功能科目2080506）9.84万元</w:t>
      </w:r>
      <w:r>
        <w:rPr>
          <w:rStyle w:val="22"/>
          <w:rFonts w:hint="eastAsia" w:ascii="仿宋" w:eastAsia="仿宋"/>
          <w:b w:val="0"/>
          <w:bCs/>
          <w:color w:val="000000"/>
          <w:sz w:val="32"/>
          <w:szCs w:val="32"/>
        </w:rPr>
        <w:t>。</w:t>
      </w:r>
      <w:r>
        <w:rPr>
          <w:rStyle w:val="22"/>
          <w:rFonts w:hint="eastAsia" w:ascii="仿宋" w:eastAsia="仿宋"/>
          <w:b w:val="0"/>
          <w:bCs/>
          <w:color w:val="000000"/>
          <w:sz w:val="32"/>
          <w:szCs w:val="32"/>
          <w:lang w:val="en-US" w:eastAsia="zh-CN"/>
        </w:rPr>
        <w:t xml:space="preserve">    </w:t>
      </w:r>
    </w:p>
    <w:p w14:paraId="5320B93C">
      <w:pPr>
        <w:pageBreakBefore w:val="0"/>
        <w:widowControl w:val="0"/>
        <w:kinsoku/>
        <w:wordWrap/>
        <w:overflowPunct/>
        <w:topLinePunct w:val="0"/>
        <w:bidi w:val="0"/>
        <w:spacing w:line="560" w:lineRule="exact"/>
        <w:rPr>
          <w:rStyle w:val="22"/>
          <w:rFonts w:hint="eastAsia" w:ascii="仿宋" w:eastAsia="仿宋"/>
          <w:b w:val="0"/>
          <w:bCs/>
          <w:sz w:val="32"/>
          <w:szCs w:val="32"/>
        </w:rPr>
      </w:pPr>
      <w:r>
        <w:rPr>
          <w:rStyle w:val="22"/>
          <w:rFonts w:hint="eastAsia" w:ascii="仿宋" w:eastAsia="仿宋"/>
          <w:bCs/>
          <w:sz w:val="32"/>
          <w:szCs w:val="32"/>
          <w:lang w:val="en-US" w:eastAsia="zh-CN"/>
        </w:rPr>
        <w:t>3</w:t>
      </w:r>
      <w:r>
        <w:rPr>
          <w:rStyle w:val="22"/>
          <w:rFonts w:ascii="仿宋" w:eastAsia="仿宋"/>
          <w:bCs/>
          <w:sz w:val="32"/>
          <w:szCs w:val="32"/>
        </w:rPr>
        <w:t>.</w:t>
      </w:r>
      <w:r>
        <w:rPr>
          <w:rFonts w:hint="eastAsia" w:ascii="仿宋" w:eastAsia="仿宋"/>
          <w:b/>
          <w:bCs/>
          <w:sz w:val="32"/>
          <w:szCs w:val="32"/>
        </w:rPr>
        <w:t>卫生健康</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功能分类科目</w:t>
      </w:r>
      <w:r>
        <w:rPr>
          <w:rStyle w:val="22"/>
          <w:rFonts w:hint="eastAsia" w:ascii="仿宋" w:eastAsia="仿宋"/>
          <w:bCs/>
          <w:color w:val="000000"/>
          <w:sz w:val="32"/>
          <w:szCs w:val="32"/>
          <w:lang w:val="en-US" w:eastAsia="zh-CN"/>
        </w:rPr>
        <w:t>210</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w:t>
      </w:r>
      <w:r>
        <w:rPr>
          <w:rStyle w:val="22"/>
          <w:rFonts w:hint="eastAsia" w:ascii="仿宋" w:eastAsia="仿宋"/>
          <w:b w:val="0"/>
          <w:bCs/>
          <w:color w:val="000000"/>
          <w:sz w:val="32"/>
          <w:szCs w:val="32"/>
        </w:rPr>
        <w:t>支出决算为</w:t>
      </w:r>
      <w:r>
        <w:rPr>
          <w:rFonts w:hint="eastAsia" w:ascii="仿宋" w:eastAsia="仿宋"/>
          <w:color w:val="000000"/>
          <w:sz w:val="32"/>
          <w:szCs w:val="32"/>
          <w:lang w:val="en-US" w:eastAsia="zh-CN"/>
        </w:rPr>
        <w:t>13.57</w:t>
      </w:r>
      <w:r>
        <w:rPr>
          <w:rFonts w:hint="eastAsia" w:ascii="仿宋" w:eastAsia="仿宋"/>
          <w:color w:val="000000"/>
          <w:sz w:val="32"/>
          <w:szCs w:val="32"/>
        </w:rPr>
        <w:t>万元，</w:t>
      </w:r>
      <w:r>
        <w:rPr>
          <w:rStyle w:val="22"/>
          <w:rFonts w:hint="eastAsia" w:ascii="仿宋" w:eastAsia="仿宋"/>
          <w:b w:val="0"/>
          <w:bCs/>
          <w:color w:val="000000"/>
          <w:sz w:val="32"/>
          <w:szCs w:val="32"/>
        </w:rPr>
        <w:t>完成预算</w:t>
      </w:r>
      <w:r>
        <w:rPr>
          <w:rStyle w:val="22"/>
          <w:rFonts w:hint="eastAsia" w:ascii="仿宋" w:eastAsia="仿宋"/>
          <w:b w:val="0"/>
          <w:bCs/>
          <w:color w:val="000000"/>
          <w:sz w:val="32"/>
          <w:szCs w:val="32"/>
          <w:lang w:val="en-US" w:eastAsia="zh-CN"/>
        </w:rPr>
        <w:t>100.00</w:t>
      </w:r>
      <w:r>
        <w:rPr>
          <w:rStyle w:val="22"/>
          <w:rFonts w:ascii="仿宋" w:eastAsia="仿宋"/>
          <w:b w:val="0"/>
          <w:bCs/>
          <w:color w:val="000000"/>
          <w:sz w:val="32"/>
          <w:szCs w:val="32"/>
        </w:rPr>
        <w:t>%</w:t>
      </w:r>
      <w:r>
        <w:rPr>
          <w:rStyle w:val="22"/>
          <w:rFonts w:hint="eastAsia" w:ascii="仿宋" w:eastAsia="仿宋"/>
          <w:b w:val="0"/>
          <w:bCs/>
          <w:color w:val="000000"/>
          <w:sz w:val="32"/>
          <w:szCs w:val="32"/>
          <w:lang w:eastAsia="zh-CN"/>
        </w:rPr>
        <w:t>，</w:t>
      </w:r>
      <w:r>
        <w:rPr>
          <w:rFonts w:hint="eastAsia" w:ascii="仿宋" w:eastAsia="仿宋"/>
          <w:color w:val="000000"/>
          <w:sz w:val="32"/>
          <w:szCs w:val="32"/>
          <w:lang w:val="en-US" w:eastAsia="zh-CN"/>
        </w:rPr>
        <w:t>其中事业单位医疗（功能科目2101102）11.2万元，其他行政事业单位医疗支出（功能科目2101199）2.36万元</w:t>
      </w:r>
      <w:r>
        <w:rPr>
          <w:rStyle w:val="22"/>
          <w:rFonts w:hint="eastAsia" w:ascii="仿宋" w:eastAsia="仿宋"/>
          <w:b w:val="0"/>
          <w:bCs/>
          <w:sz w:val="32"/>
          <w:szCs w:val="32"/>
        </w:rPr>
        <w:t>。</w:t>
      </w:r>
    </w:p>
    <w:p w14:paraId="28B72B66">
      <w:pPr>
        <w:pStyle w:val="7"/>
        <w:rPr>
          <w:rFonts w:ascii="仿宋" w:eastAsia="仿宋"/>
          <w:b/>
          <w:sz w:val="32"/>
          <w:szCs w:val="32"/>
        </w:rPr>
      </w:pPr>
      <w:r>
        <w:rPr>
          <w:rStyle w:val="22"/>
          <w:rFonts w:hint="eastAsia" w:ascii="仿宋" w:eastAsia="仿宋"/>
          <w:bCs/>
          <w:sz w:val="32"/>
          <w:szCs w:val="32"/>
          <w:lang w:val="en-US" w:eastAsia="zh-CN"/>
        </w:rPr>
        <w:t>4</w:t>
      </w:r>
      <w:r>
        <w:rPr>
          <w:rStyle w:val="22"/>
          <w:rFonts w:ascii="仿宋" w:eastAsia="仿宋"/>
          <w:bCs/>
          <w:sz w:val="32"/>
          <w:szCs w:val="32"/>
        </w:rPr>
        <w:t>.</w:t>
      </w:r>
      <w:r>
        <w:rPr>
          <w:rStyle w:val="22"/>
          <w:rFonts w:hint="eastAsia" w:ascii="仿宋" w:eastAsia="仿宋"/>
          <w:bCs/>
          <w:sz w:val="32"/>
          <w:szCs w:val="32"/>
          <w:lang w:eastAsia="zh-CN"/>
        </w:rPr>
        <w:t>住房保障</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功能分类科目</w:t>
      </w:r>
      <w:r>
        <w:rPr>
          <w:rStyle w:val="22"/>
          <w:rFonts w:hint="eastAsia" w:ascii="仿宋" w:eastAsia="仿宋"/>
          <w:bCs/>
          <w:color w:val="000000"/>
          <w:sz w:val="32"/>
          <w:szCs w:val="32"/>
          <w:lang w:val="en-US" w:eastAsia="zh-CN"/>
        </w:rPr>
        <w:t>221</w:t>
      </w:r>
      <w:r>
        <w:rPr>
          <w:rStyle w:val="22"/>
          <w:rFonts w:hint="eastAsia" w:ascii="仿宋" w:eastAsia="仿宋"/>
          <w:bCs/>
          <w:color w:val="000000"/>
          <w:sz w:val="32"/>
          <w:szCs w:val="32"/>
        </w:rPr>
        <w:t>）</w:t>
      </w:r>
      <w:r>
        <w:rPr>
          <w:rStyle w:val="22"/>
          <w:rFonts w:hint="eastAsia" w:ascii="仿宋" w:eastAsia="仿宋"/>
          <w:bCs/>
          <w:color w:val="000000"/>
          <w:sz w:val="32"/>
          <w:szCs w:val="32"/>
          <w:lang w:eastAsia="zh-CN"/>
        </w:rPr>
        <w:t>：</w:t>
      </w:r>
      <w:r>
        <w:rPr>
          <w:rStyle w:val="22"/>
          <w:rFonts w:hint="eastAsia" w:ascii="仿宋" w:eastAsia="仿宋"/>
          <w:b w:val="0"/>
          <w:bCs/>
          <w:color w:val="000000"/>
          <w:sz w:val="32"/>
          <w:szCs w:val="32"/>
        </w:rPr>
        <w:t>支出决算为</w:t>
      </w:r>
      <w:r>
        <w:rPr>
          <w:rStyle w:val="22"/>
          <w:rFonts w:hint="eastAsia" w:ascii="仿宋" w:eastAsia="仿宋"/>
          <w:b w:val="0"/>
          <w:bCs/>
          <w:color w:val="000000"/>
          <w:sz w:val="32"/>
          <w:szCs w:val="32"/>
          <w:lang w:eastAsia="zh-CN"/>
        </w:rPr>
        <w:t>：</w:t>
      </w:r>
      <w:r>
        <w:rPr>
          <w:rStyle w:val="22"/>
          <w:rFonts w:hint="eastAsia" w:ascii="仿宋" w:eastAsia="仿宋"/>
          <w:b w:val="0"/>
          <w:bCs/>
          <w:color w:val="000000"/>
          <w:sz w:val="32"/>
          <w:szCs w:val="32"/>
          <w:lang w:val="en-US" w:eastAsia="zh-CN"/>
        </w:rPr>
        <w:t>19.23</w:t>
      </w:r>
      <w:r>
        <w:rPr>
          <w:rFonts w:hint="eastAsia" w:ascii="仿宋" w:eastAsia="仿宋"/>
          <w:color w:val="000000"/>
          <w:sz w:val="32"/>
          <w:szCs w:val="32"/>
        </w:rPr>
        <w:t>万元</w:t>
      </w:r>
      <w:r>
        <w:rPr>
          <w:rFonts w:hint="eastAsia" w:ascii="仿宋" w:eastAsia="仿宋"/>
          <w:color w:val="000000"/>
          <w:sz w:val="32"/>
          <w:szCs w:val="32"/>
          <w:lang w:eastAsia="zh-CN"/>
        </w:rPr>
        <w:t>，</w:t>
      </w:r>
      <w:r>
        <w:rPr>
          <w:rStyle w:val="22"/>
          <w:rFonts w:hint="eastAsia" w:ascii="仿宋" w:eastAsia="仿宋"/>
          <w:b w:val="0"/>
          <w:bCs/>
          <w:color w:val="000000"/>
          <w:sz w:val="32"/>
          <w:szCs w:val="32"/>
        </w:rPr>
        <w:t>完成预算</w:t>
      </w:r>
      <w:r>
        <w:rPr>
          <w:rStyle w:val="22"/>
          <w:rFonts w:hint="eastAsia" w:ascii="仿宋" w:eastAsia="仿宋"/>
          <w:b w:val="0"/>
          <w:bCs/>
          <w:color w:val="000000"/>
          <w:sz w:val="32"/>
          <w:szCs w:val="32"/>
          <w:lang w:val="en-US" w:eastAsia="zh-CN"/>
        </w:rPr>
        <w:t>100.00</w:t>
      </w:r>
      <w:r>
        <w:rPr>
          <w:rStyle w:val="22"/>
          <w:rFonts w:ascii="仿宋" w:eastAsia="仿宋"/>
          <w:b w:val="0"/>
          <w:bCs/>
          <w:color w:val="000000"/>
          <w:sz w:val="32"/>
          <w:szCs w:val="32"/>
        </w:rPr>
        <w:t>%</w:t>
      </w:r>
      <w:r>
        <w:rPr>
          <w:rStyle w:val="22"/>
          <w:rFonts w:hint="eastAsia" w:ascii="仿宋" w:eastAsia="仿宋"/>
          <w:b w:val="0"/>
          <w:bCs/>
          <w:color w:val="000000"/>
          <w:sz w:val="32"/>
          <w:szCs w:val="32"/>
          <w:lang w:eastAsia="zh-CN"/>
        </w:rPr>
        <w:t>，</w:t>
      </w:r>
      <w:r>
        <w:rPr>
          <w:rStyle w:val="22"/>
          <w:rFonts w:hint="eastAsia" w:ascii="仿宋" w:eastAsia="仿宋"/>
          <w:b w:val="0"/>
          <w:bCs/>
          <w:color w:val="000000"/>
          <w:sz w:val="32"/>
          <w:szCs w:val="32"/>
          <w:lang w:val="en-US" w:eastAsia="zh-CN"/>
        </w:rPr>
        <w:t>其中</w:t>
      </w:r>
      <w:r>
        <w:rPr>
          <w:rStyle w:val="22"/>
          <w:rFonts w:hint="eastAsia" w:ascii="仿宋" w:eastAsia="仿宋"/>
          <w:b w:val="0"/>
          <w:bCs/>
          <w:color w:val="000000"/>
          <w:sz w:val="32"/>
          <w:szCs w:val="32"/>
          <w:lang w:eastAsia="zh-CN"/>
        </w:rPr>
        <w:t>住房公积金</w:t>
      </w:r>
      <w:r>
        <w:rPr>
          <w:rFonts w:hint="eastAsia" w:ascii="仿宋" w:eastAsia="仿宋"/>
          <w:color w:val="000000"/>
          <w:sz w:val="32"/>
          <w:szCs w:val="32"/>
          <w:lang w:val="en-US" w:eastAsia="zh-CN"/>
        </w:rPr>
        <w:t>（功能科目2210201）18.23万元，购房补贴（功能科目2210203）1万元。</w:t>
      </w:r>
    </w:p>
    <w:p w14:paraId="760BE6B6">
      <w:pPr>
        <w:tabs>
          <w:tab w:val="right" w:pos="8306"/>
        </w:tabs>
        <w:spacing w:line="600" w:lineRule="exact"/>
        <w:ind w:firstLine="640"/>
        <w:outlineLvl w:val="1"/>
        <w:rPr>
          <w:rStyle w:val="25"/>
          <w:rFonts w:ascii="Times New Roman" w:hAnsi="Times New Roman"/>
          <w:color w:val="auto"/>
          <w:highlight w:val="none"/>
        </w:rPr>
      </w:pPr>
      <w:bookmarkStart w:id="49" w:name="_Toc19374"/>
      <w:bookmarkStart w:id="50" w:name="_Toc11090"/>
      <w:bookmarkStart w:id="51" w:name="_Toc15396608"/>
      <w:bookmarkStart w:id="52"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5"/>
          <w:rFonts w:hint="eastAsia" w:ascii="Times New Roman" w:hAnsi="Times New Roman" w:eastAsia="黑体"/>
          <w:b w:val="0"/>
          <w:color w:val="auto"/>
          <w:highlight w:val="none"/>
        </w:rPr>
        <w:t>般公共预算财政拨款基本支出决算情况说明</w:t>
      </w:r>
      <w:bookmarkEnd w:id="49"/>
      <w:bookmarkEnd w:id="50"/>
      <w:bookmarkEnd w:id="51"/>
      <w:bookmarkEnd w:id="52"/>
      <w:r>
        <w:rPr>
          <w:rStyle w:val="25"/>
          <w:rFonts w:ascii="Times New Roman" w:hAnsi="Times New Roman" w:eastAsia="黑体"/>
          <w:b w:val="0"/>
          <w:color w:val="auto"/>
          <w:highlight w:val="none"/>
        </w:rPr>
        <w:tab/>
      </w:r>
    </w:p>
    <w:p w14:paraId="5B49F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eastAsia="仿宋_GB2312" w:cs="仿宋_GB2312"/>
          <w:sz w:val="32"/>
          <w:szCs w:val="32"/>
          <w:lang w:val="en-US" w:eastAsia="zh-CN"/>
        </w:rPr>
        <w:t>284.01</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751F8A1F">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lang w:val="en-US" w:eastAsia="zh-CN"/>
        </w:rPr>
        <w:t>245.45</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 w:eastAsia="仿宋"/>
          <w:b w:val="0"/>
          <w:bCs w:val="0"/>
          <w:sz w:val="32"/>
          <w:szCs w:val="32"/>
        </w:rPr>
        <w:t>主要包括：基本工资、津贴补贴、奖金、绩效工资、机关事业单位基本养老保险缴费、职业年金缴费、其他社会保障缴费、其他工资福利支出、生活补助、奖励金、住房公积金</w:t>
      </w:r>
      <w:r>
        <w:rPr>
          <w:rFonts w:hint="eastAsia" w:ascii="仿宋" w:eastAsia="仿宋"/>
          <w:b w:val="0"/>
          <w:bCs w:val="0"/>
          <w:sz w:val="32"/>
          <w:szCs w:val="32"/>
          <w:lang w:eastAsia="zh-CN"/>
        </w:rPr>
        <w:t>、</w:t>
      </w:r>
      <w:r>
        <w:rPr>
          <w:rFonts w:hint="eastAsia" w:ascii="仿宋" w:eastAsia="仿宋"/>
          <w:b w:val="0"/>
          <w:bCs w:val="0"/>
          <w:sz w:val="32"/>
          <w:szCs w:val="32"/>
          <w:lang w:val="en-US" w:eastAsia="zh-CN"/>
        </w:rPr>
        <w:t>住房补贴</w:t>
      </w:r>
      <w:r>
        <w:rPr>
          <w:rFonts w:hint="eastAsia" w:ascii="仿宋" w:eastAsia="仿宋"/>
          <w:b w:val="0"/>
          <w:bCs w:val="0"/>
          <w:sz w:val="32"/>
          <w:szCs w:val="32"/>
        </w:rPr>
        <w:t>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eastAsia="仿宋_GB2312" w:cs="仿宋_GB2312"/>
          <w:sz w:val="32"/>
          <w:szCs w:val="32"/>
          <w:lang w:val="en-US" w:eastAsia="zh-CN"/>
        </w:rPr>
        <w:t>38.56</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eastAsia="仿宋"/>
          <w:b w:val="0"/>
          <w:bCs w:val="0"/>
          <w:sz w:val="32"/>
          <w:szCs w:val="32"/>
        </w:rPr>
        <w:t>办公费、邮电费、差旅费</w:t>
      </w:r>
      <w:r>
        <w:rPr>
          <w:rFonts w:hint="eastAsia" w:ascii="仿宋" w:eastAsia="仿宋"/>
          <w:b w:val="0"/>
          <w:bCs w:val="0"/>
          <w:sz w:val="32"/>
          <w:szCs w:val="32"/>
          <w:lang w:eastAsia="zh-CN"/>
        </w:rPr>
        <w:t>、</w:t>
      </w:r>
      <w:r>
        <w:rPr>
          <w:rFonts w:hint="eastAsia" w:ascii="仿宋" w:eastAsia="仿宋"/>
          <w:b w:val="0"/>
          <w:bCs w:val="0"/>
          <w:sz w:val="32"/>
          <w:szCs w:val="32"/>
        </w:rPr>
        <w:t>培训费、公务接待费、</w:t>
      </w:r>
      <w:r>
        <w:rPr>
          <w:rFonts w:hint="eastAsia" w:ascii="仿宋" w:eastAsia="仿宋"/>
          <w:b w:val="0"/>
          <w:bCs w:val="0"/>
          <w:sz w:val="32"/>
          <w:szCs w:val="32"/>
          <w:lang w:val="en-US" w:eastAsia="zh-CN"/>
        </w:rPr>
        <w:t>福利费、</w:t>
      </w:r>
      <w:r>
        <w:rPr>
          <w:rFonts w:hint="eastAsia" w:ascii="仿宋" w:eastAsia="仿宋"/>
          <w:b w:val="0"/>
          <w:bCs w:val="0"/>
          <w:sz w:val="32"/>
          <w:szCs w:val="32"/>
        </w:rPr>
        <w:t>公务用车运行维护费、其他商品和服务支出等。</w:t>
      </w:r>
    </w:p>
    <w:p w14:paraId="33C7CFDE">
      <w:pPr>
        <w:spacing w:line="600" w:lineRule="exact"/>
        <w:ind w:firstLine="640"/>
        <w:outlineLvl w:val="1"/>
        <w:rPr>
          <w:rStyle w:val="25"/>
          <w:rFonts w:ascii="Times New Roman" w:hAnsi="Times New Roman" w:eastAsia="黑体"/>
          <w:b w:val="0"/>
          <w:color w:val="auto"/>
          <w:highlight w:val="none"/>
        </w:rPr>
      </w:pPr>
      <w:bookmarkStart w:id="53" w:name="_Toc1257"/>
      <w:bookmarkStart w:id="54" w:name="_Toc10441"/>
      <w:bookmarkStart w:id="55" w:name="_Toc15396609"/>
      <w:bookmarkStart w:id="56" w:name="_Toc15377215"/>
      <w:r>
        <w:rPr>
          <w:rFonts w:hint="eastAsia" w:ascii="Times New Roman" w:hAnsi="Times New Roman" w:eastAsia="黑体"/>
          <w:color w:val="auto"/>
          <w:sz w:val="32"/>
          <w:szCs w:val="32"/>
          <w:highlight w:val="none"/>
        </w:rPr>
        <w:t>七、</w:t>
      </w:r>
      <w:r>
        <w:rPr>
          <w:rStyle w:val="25"/>
          <w:rFonts w:hint="eastAsia" w:ascii="Times New Roman" w:hAnsi="Times New Roman" w:eastAsia="黑体"/>
          <w:b w:val="0"/>
          <w:color w:val="auto"/>
          <w:highlight w:val="none"/>
        </w:rPr>
        <w:t>财政拨款</w:t>
      </w:r>
      <w:r>
        <w:rPr>
          <w:rStyle w:val="25"/>
          <w:rFonts w:hint="eastAsia" w:ascii="Times New Roman" w:hAnsi="Times New Roman" w:eastAsia="黑体"/>
          <w:color w:val="auto"/>
          <w:highlight w:val="none"/>
        </w:rPr>
        <w:t>“</w:t>
      </w:r>
      <w:r>
        <w:rPr>
          <w:rStyle w:val="25"/>
          <w:rFonts w:hint="eastAsia" w:ascii="Times New Roman" w:hAnsi="Times New Roman" w:eastAsia="黑体"/>
          <w:b w:val="0"/>
          <w:color w:val="auto"/>
          <w:highlight w:val="none"/>
        </w:rPr>
        <w:t>三公”经费支出决算情况说明</w:t>
      </w:r>
      <w:bookmarkEnd w:id="53"/>
      <w:bookmarkEnd w:id="54"/>
      <w:bookmarkEnd w:id="55"/>
      <w:bookmarkEnd w:id="56"/>
    </w:p>
    <w:p w14:paraId="6024862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7"/>
    </w:p>
    <w:p w14:paraId="09F2B6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2025年度“三公”经费财政拨款支出决算为22.53万元，完成预算100%，较上年度减少0.99万元，下降4.2%。决算数与预算数持平。</w:t>
      </w:r>
    </w:p>
    <w:p w14:paraId="10EFC87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8"/>
    </w:p>
    <w:p w14:paraId="3F78C3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2025年度“三公”经费财政拨款支出决算中，因公出国（境）费支出决算0万元，占0%；公务用车购置及运行维护费支出决算22.37万元，占99.3%；公务接待费支出决算0.16万元，占0.7%。具体情况如下：</w:t>
      </w:r>
    </w:p>
    <w:p w14:paraId="409A05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p>
    <w:p w14:paraId="4FF6A03D">
      <w:pPr>
        <w:pStyle w:val="14"/>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sz w:val="32"/>
          <w:szCs w:val="32"/>
          <w:lang w:eastAsia="zh-CN"/>
        </w:rPr>
        <w:drawing>
          <wp:anchor distT="0" distB="0" distL="114300" distR="114300" simplePos="0" relativeHeight="251659264" behindDoc="0" locked="0" layoutInCell="1" allowOverlap="1">
            <wp:simplePos x="0" y="0"/>
            <wp:positionH relativeFrom="column">
              <wp:posOffset>-128270</wp:posOffset>
            </wp:positionH>
            <wp:positionV relativeFrom="paragraph">
              <wp:posOffset>403860</wp:posOffset>
            </wp:positionV>
            <wp:extent cx="5256530" cy="3645535"/>
            <wp:effectExtent l="0" t="0" r="0" b="0"/>
            <wp:wrapTopAndBottom/>
            <wp:docPr id="1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76C9DA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4514E3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全年安排因公出国（境）团组0次，出国（境）0人。因公出国（境）支出决算比2024年无增减变化。</w:t>
      </w:r>
    </w:p>
    <w:p w14:paraId="506C8BB9">
      <w:pPr>
        <w:numPr>
          <w:ilvl w:val="0"/>
          <w:numId w:val="2"/>
        </w:num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s="仿宋_GB2312"/>
          <w:b/>
          <w:bCs/>
          <w:color w:val="auto"/>
          <w:kern w:val="2"/>
          <w:sz w:val="32"/>
          <w:szCs w:val="32"/>
          <w:highlight w:val="none"/>
          <w:lang w:val="en-US" w:eastAsia="zh-CN" w:bidi="ar-SA"/>
        </w:rPr>
        <w:t>22.37万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公务用车购置及运行维护费支出决算比2024年度减少0.47万元，下降2.1%。主要原因是厉行节约，较少公车运行维护费支出。</w:t>
      </w:r>
    </w:p>
    <w:p w14:paraId="1BA67BD3">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其中：公务用车购置支出0万元。</w:t>
      </w:r>
    </w:p>
    <w:p w14:paraId="134BA94F">
      <w:pPr>
        <w:spacing w:line="600" w:lineRule="exact"/>
        <w:ind w:left="0"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公务用车运行维护费支出22.37万元。主要用于全州计量检定检测等所需的公务用车燃料费、维修费、过路过桥费、保险费等支出。</w:t>
      </w:r>
    </w:p>
    <w:p w14:paraId="1E726F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eastAsia="仿宋_GB2312" w:cs="仿宋_GB2312"/>
          <w:b/>
          <w:bCs/>
          <w:color w:val="auto"/>
          <w:kern w:val="2"/>
          <w:sz w:val="32"/>
          <w:szCs w:val="32"/>
          <w:highlight w:val="none"/>
          <w:lang w:val="en-US" w:eastAsia="zh-CN" w:bidi="ar-SA"/>
        </w:rPr>
        <w:t>0.16万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公务接待费支出决算比2024年度减少0.53万元，下降76.8%。主要原因是厉行节约，减少了公务接待的人次。其中：</w:t>
      </w:r>
    </w:p>
    <w:p w14:paraId="1BDE7D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国内公务接待支出0.16万元，主要</w:t>
      </w:r>
      <w:r>
        <w:rPr>
          <w:rFonts w:hint="eastAsia" w:eastAsia="仿宋_GB2312" w:cs="仿宋_GB2312"/>
          <w:color w:val="auto"/>
          <w:kern w:val="2"/>
          <w:sz w:val="32"/>
          <w:szCs w:val="32"/>
          <w:highlight w:val="none"/>
          <w:lang w:val="en-US" w:eastAsia="zh-CN" w:bidi="ar-SA"/>
        </w:rPr>
        <w:t>用于</w:t>
      </w:r>
      <w:r>
        <w:rPr>
          <w:rFonts w:hint="eastAsia" w:ascii="Times New Roman" w:hAnsi="Times New Roman" w:eastAsia="仿宋_GB2312" w:cs="仿宋_GB2312"/>
          <w:color w:val="auto"/>
          <w:kern w:val="2"/>
          <w:sz w:val="32"/>
          <w:szCs w:val="32"/>
          <w:highlight w:val="none"/>
          <w:lang w:val="en-US" w:eastAsia="zh-CN" w:bidi="ar-SA"/>
        </w:rPr>
        <w:t>开展计量设备检定及业务交流学习开支的用餐费。国内公务接待3批次，9人次（不包括陪同人员），共计支出0.16万元，具体内容包括：2025年4月22日至26日</w:t>
      </w:r>
      <w:r>
        <w:rPr>
          <w:rFonts w:hint="eastAsia" w:eastAsia="仿宋_GB2312" w:cs="仿宋_GB2312"/>
          <w:color w:val="auto"/>
          <w:kern w:val="2"/>
          <w:sz w:val="32"/>
          <w:szCs w:val="32"/>
          <w:highlight w:val="none"/>
          <w:lang w:val="en-US" w:eastAsia="zh-CN" w:bidi="ar-SA"/>
        </w:rPr>
        <w:t>山南市市场</w:t>
      </w:r>
      <w:r>
        <w:rPr>
          <w:rFonts w:hint="eastAsia" w:ascii="Times New Roman" w:hAnsi="Times New Roman" w:eastAsia="仿宋_GB2312" w:cs="仿宋_GB2312"/>
          <w:color w:val="auto"/>
          <w:kern w:val="2"/>
          <w:sz w:val="32"/>
          <w:szCs w:val="32"/>
          <w:highlight w:val="none"/>
          <w:lang w:val="en-US" w:eastAsia="zh-CN" w:bidi="ar-SA"/>
        </w:rPr>
        <w:t>监督管理局赴我所考察学习的餐费共计550元；2025年5月28日至29日巴中市计量检定测试所赴我所交流学习计量工作的餐费共计569元；2025年3月19日至21日中测院检定人员赴我所开展计量设备检定工作的餐费共计468元。</w:t>
      </w:r>
    </w:p>
    <w:p w14:paraId="7019A9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w:t>
      </w:r>
      <w:bookmarkStart w:id="59" w:name="_Toc15377218"/>
      <w:bookmarkStart w:id="60" w:name="_Toc15396610"/>
    </w:p>
    <w:p w14:paraId="7ADEDB7F">
      <w:pPr>
        <w:keepNext w:val="0"/>
        <w:keepLines w:val="0"/>
        <w:pageBreakBefore w:val="0"/>
        <w:widowControl w:val="0"/>
        <w:kinsoku/>
        <w:wordWrap/>
        <w:overflowPunct/>
        <w:topLinePunct w:val="0"/>
        <w:autoSpaceDE/>
        <w:autoSpaceDN/>
        <w:bidi w:val="0"/>
        <w:adjustRightInd/>
        <w:snapToGrid/>
        <w:spacing w:line="600" w:lineRule="exact"/>
        <w:ind w:firstLine="641"/>
        <w:textAlignment w:val="auto"/>
        <w:outlineLvl w:val="1"/>
        <w:rPr>
          <w:rStyle w:val="25"/>
          <w:rFonts w:ascii="Times New Roman" w:hAnsi="Times New Roman" w:eastAsia="黑体"/>
          <w:color w:val="auto"/>
          <w:highlight w:val="none"/>
        </w:rPr>
      </w:pPr>
      <w:bookmarkStart w:id="61" w:name="_Toc2514"/>
      <w:bookmarkStart w:id="62" w:name="_Toc30964"/>
      <w:r>
        <w:rPr>
          <w:rFonts w:hint="eastAsia" w:ascii="Times New Roman" w:hAnsi="Times New Roman" w:eastAsia="黑体"/>
          <w:color w:val="auto"/>
          <w:sz w:val="32"/>
          <w:szCs w:val="32"/>
          <w:highlight w:val="none"/>
        </w:rPr>
        <w:t>八、</w:t>
      </w:r>
      <w:r>
        <w:rPr>
          <w:rStyle w:val="25"/>
          <w:rFonts w:hint="eastAsia" w:ascii="Times New Roman" w:hAnsi="Times New Roman" w:eastAsia="黑体"/>
          <w:b w:val="0"/>
          <w:color w:val="auto"/>
          <w:highlight w:val="none"/>
        </w:rPr>
        <w:t>政府性基金预算支出决算情况说明</w:t>
      </w:r>
      <w:bookmarkEnd w:id="59"/>
      <w:bookmarkEnd w:id="60"/>
      <w:bookmarkEnd w:id="61"/>
      <w:bookmarkEnd w:id="62"/>
    </w:p>
    <w:p w14:paraId="668BD8C2">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我单位2025年度无政府性基金预算支出情况。</w:t>
      </w:r>
    </w:p>
    <w:p w14:paraId="047CA217">
      <w:pPr>
        <w:numPr>
          <w:ilvl w:val="0"/>
          <w:numId w:val="3"/>
        </w:numPr>
        <w:spacing w:line="600" w:lineRule="exact"/>
        <w:ind w:left="630"/>
        <w:outlineLvl w:val="1"/>
        <w:rPr>
          <w:rStyle w:val="25"/>
          <w:rFonts w:hint="eastAsia" w:ascii="Times New Roman" w:hAnsi="Times New Roman" w:eastAsia="黑体"/>
          <w:b w:val="0"/>
          <w:color w:val="auto"/>
          <w:highlight w:val="none"/>
        </w:rPr>
      </w:pPr>
      <w:bookmarkStart w:id="63" w:name="_Toc15377219"/>
      <w:bookmarkStart w:id="64" w:name="_Toc9679"/>
      <w:bookmarkStart w:id="65" w:name="_Toc15396611"/>
      <w:bookmarkStart w:id="66" w:name="_Toc12062"/>
      <w:r>
        <w:rPr>
          <w:rStyle w:val="25"/>
          <w:rFonts w:hint="eastAsia" w:ascii="Times New Roman" w:hAnsi="Times New Roman" w:eastAsia="黑体"/>
          <w:b w:val="0"/>
          <w:color w:val="auto"/>
          <w:highlight w:val="none"/>
        </w:rPr>
        <w:t>国有资本经营预算支出决算情况说明</w:t>
      </w:r>
      <w:bookmarkEnd w:id="63"/>
      <w:bookmarkEnd w:id="64"/>
      <w:bookmarkEnd w:id="65"/>
      <w:bookmarkEnd w:id="66"/>
    </w:p>
    <w:p w14:paraId="0A5FBA2B">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我单位2025年度无国有资本经营预算支出情况。</w:t>
      </w:r>
    </w:p>
    <w:p w14:paraId="466C0964">
      <w:pPr>
        <w:spacing w:line="600" w:lineRule="exact"/>
        <w:ind w:left="630"/>
        <w:outlineLvl w:val="1"/>
        <w:rPr>
          <w:rStyle w:val="25"/>
          <w:rFonts w:hint="eastAsia" w:ascii="Times New Roman" w:hAnsi="Times New Roman" w:eastAsia="黑体"/>
          <w:b w:val="0"/>
          <w:color w:val="auto"/>
          <w:highlight w:val="none"/>
        </w:rPr>
      </w:pPr>
      <w:bookmarkStart w:id="67" w:name="_Toc15377221"/>
      <w:bookmarkStart w:id="68" w:name="_Toc15396612"/>
      <w:bookmarkStart w:id="69" w:name="_Toc3003"/>
      <w:bookmarkStart w:id="70" w:name="_Toc10226"/>
      <w:r>
        <w:rPr>
          <w:rStyle w:val="25"/>
          <w:rFonts w:hint="eastAsia" w:ascii="Times New Roman" w:hAnsi="Times New Roman" w:eastAsia="黑体"/>
          <w:b w:val="0"/>
          <w:color w:val="auto"/>
          <w:highlight w:val="none"/>
          <w:lang w:eastAsia="zh-CN"/>
        </w:rPr>
        <w:t>十、</w:t>
      </w:r>
      <w:r>
        <w:rPr>
          <w:rStyle w:val="25"/>
          <w:rFonts w:hint="eastAsia" w:ascii="Times New Roman" w:hAnsi="Times New Roman" w:eastAsia="黑体"/>
          <w:b w:val="0"/>
          <w:color w:val="auto"/>
          <w:highlight w:val="none"/>
        </w:rPr>
        <w:t>其他重要事项的情况说明</w:t>
      </w:r>
      <w:bookmarkEnd w:id="67"/>
      <w:bookmarkEnd w:id="68"/>
      <w:bookmarkEnd w:id="69"/>
      <w:bookmarkEnd w:id="70"/>
    </w:p>
    <w:p w14:paraId="7785C6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71" w:name="_Toc15377222"/>
      <w:r>
        <w:rPr>
          <w:rFonts w:hint="eastAsia" w:ascii="Times New Roman" w:hAnsi="Times New Roman" w:eastAsia="楷体_GB2312" w:cs="楷体_GB2312"/>
          <w:b/>
          <w:color w:val="auto"/>
          <w:sz w:val="32"/>
          <w:szCs w:val="32"/>
          <w:highlight w:val="none"/>
        </w:rPr>
        <w:t>（一）机关运行经费支出情况</w:t>
      </w:r>
      <w:bookmarkEnd w:id="71"/>
    </w:p>
    <w:p w14:paraId="59D88F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2025年度，四川省阿坝州计量检定测试所机关运行经费支出0万元，与2024年度决算数持平。主要原因是我单位属于公益一类事业单位无机关运行经费。</w:t>
      </w:r>
    </w:p>
    <w:p w14:paraId="74135E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72" w:name="_Toc15377223"/>
      <w:r>
        <w:rPr>
          <w:rFonts w:hint="eastAsia" w:ascii="Times New Roman" w:hAnsi="Times New Roman" w:eastAsia="楷体_GB2312" w:cs="楷体_GB2312"/>
          <w:b/>
          <w:color w:val="auto"/>
          <w:sz w:val="32"/>
          <w:szCs w:val="32"/>
          <w:highlight w:val="none"/>
        </w:rPr>
        <w:t>（二）政府采购支出情况</w:t>
      </w:r>
      <w:bookmarkEnd w:id="72"/>
    </w:p>
    <w:p w14:paraId="6CB7D7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2025年度，阿坝州计量检定测试所政府采购支出总额</w:t>
      </w:r>
      <w:r>
        <w:rPr>
          <w:rFonts w:ascii="Times New Roman" w:hAnsi="Times New Roman" w:eastAsia="仿宋_GB2312" w:cs="仿宋_GB2312"/>
          <w:color w:val="auto"/>
          <w:kern w:val="2"/>
          <w:sz w:val="32"/>
          <w:szCs w:val="32"/>
          <w:highlight w:val="none"/>
          <w:lang w:val="en-US" w:eastAsia="zh-CN" w:bidi="ar-SA"/>
        </w:rPr>
        <w:t>147.4</w:t>
      </w:r>
      <w:r>
        <w:rPr>
          <w:rFonts w:hint="eastAsia" w:ascii="Times New Roman" w:hAnsi="Times New Roman" w:eastAsia="仿宋_GB2312" w:cs="仿宋_GB2312"/>
          <w:color w:val="auto"/>
          <w:kern w:val="2"/>
          <w:sz w:val="32"/>
          <w:szCs w:val="32"/>
          <w:highlight w:val="none"/>
          <w:lang w:val="en-US" w:eastAsia="zh-CN" w:bidi="ar-SA"/>
        </w:rPr>
        <w:t>万元，其中：政府采购货物支出147.4万元、政府采购工程支出0万元、政府采购服务支出</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万元。主要用于购置隐蔽式加油机监测系统、民生类检测设备。授予中小企业合同金额147.4万元，占政府采购支出总额的</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ascii="Times New Roman" w:hAnsi="Times New Roman" w:eastAsia="仿宋_GB2312" w:cs="仿宋_GB2312"/>
          <w:color w:val="auto"/>
          <w:kern w:val="2"/>
          <w:sz w:val="32"/>
          <w:szCs w:val="32"/>
          <w:highlight w:val="none"/>
          <w:lang w:val="en-US" w:eastAsia="zh-CN" w:bidi="ar-SA"/>
        </w:rPr>
        <w:t>147.4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76DC497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73" w:name="_Toc15377224"/>
      <w:r>
        <w:rPr>
          <w:rFonts w:hint="eastAsia" w:ascii="Times New Roman" w:hAnsi="Times New Roman" w:eastAsia="楷体_GB2312" w:cs="楷体_GB2312"/>
          <w:b/>
          <w:color w:val="auto"/>
          <w:sz w:val="32"/>
          <w:szCs w:val="32"/>
          <w:highlight w:val="none"/>
        </w:rPr>
        <w:t>（三）国有资产占有使用情况</w:t>
      </w:r>
      <w:bookmarkEnd w:id="73"/>
    </w:p>
    <w:p w14:paraId="6FB114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截至2025年12月31日，阿坝州计量检定测试所共有车辆5辆，其中：特种专业技术用车5辆，车辆</w:t>
      </w:r>
      <w:r>
        <w:rPr>
          <w:rFonts w:hint="eastAsia" w:eastAsia="仿宋_GB2312" w:cs="仿宋_GB2312"/>
          <w:color w:val="auto"/>
          <w:kern w:val="2"/>
          <w:sz w:val="32"/>
          <w:szCs w:val="32"/>
          <w:highlight w:val="none"/>
          <w:lang w:val="en-US" w:eastAsia="zh-CN" w:bidi="ar-SA"/>
        </w:rPr>
        <w:t>主要</w:t>
      </w:r>
      <w:r>
        <w:rPr>
          <w:rFonts w:hint="eastAsia" w:ascii="Times New Roman" w:hAnsi="Times New Roman" w:eastAsia="仿宋_GB2312" w:cs="仿宋_GB2312"/>
          <w:color w:val="auto"/>
          <w:kern w:val="2"/>
          <w:sz w:val="32"/>
          <w:szCs w:val="32"/>
          <w:highlight w:val="none"/>
          <w:lang w:val="en-US" w:eastAsia="zh-CN" w:bidi="ar-SA"/>
        </w:rPr>
        <w:t>用于我单位开展计量检定工作。单价100万元以上设备（不含车辆）0台（套）。</w:t>
      </w:r>
    </w:p>
    <w:p w14:paraId="7AE39DF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4391B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根据预算绩效管理要求，本单位在2025年度预算编制阶段，组织对全州计量器具检定方面专项经费等4个项目开展了预算事前绩效评估，对4个项目编制了绩效目标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预算执行过程中，选取4个项目开展绩效监控。</w:t>
      </w:r>
    </w:p>
    <w:p w14:paraId="3F37DF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阿坝州计量检定测试所2025年预算绩效自评报告、2025年省级财政市场监管专项资金绩效自评报告，其中，阿坝州计量检定测试所2025年预算绩效自评得分为92.54分，绩效自评综述：绩效目标总体完成情况良好，资金使用规范高效，但在部分领域</w:t>
      </w:r>
      <w:r>
        <w:rPr>
          <w:rFonts w:hint="eastAsia" w:eastAsia="仿宋_GB2312" w:cs="仿宋_GB2312"/>
          <w:color w:val="auto"/>
          <w:kern w:val="2"/>
          <w:sz w:val="32"/>
          <w:szCs w:val="32"/>
          <w:highlight w:val="none"/>
          <w:lang w:val="en-US" w:eastAsia="zh-CN" w:bidi="ar-SA"/>
        </w:rPr>
        <w:t>仍</w:t>
      </w:r>
      <w:r>
        <w:rPr>
          <w:rFonts w:hint="eastAsia" w:ascii="Times New Roman" w:hAnsi="Times New Roman" w:eastAsia="仿宋_GB2312" w:cs="仿宋_GB2312"/>
          <w:color w:val="auto"/>
          <w:kern w:val="2"/>
          <w:sz w:val="32"/>
          <w:szCs w:val="32"/>
          <w:highlight w:val="none"/>
          <w:lang w:val="en-US" w:eastAsia="zh-CN" w:bidi="ar-SA"/>
        </w:rPr>
        <w:t>存在优化空间；2025年省级财政市场监管专项资金绩效自评得分为98.9分，绩效自评综述：我所2025年省级市场监管局专项绩效目标设置合理，绩效监控覆盖项目全过程，项目资金使用合法合规，项目实施过程与绩效目标相符，按专项预算项自评体系自评得分98.9分。绩效自评报告详见附件。</w:t>
      </w:r>
    </w:p>
    <w:p w14:paraId="38F13511">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4BD0D2C">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5AD91FAC">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2140244">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00163D2">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B2937F9">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AEE330A">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45D7169">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2CEEAA0">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D2FFB4E">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52DBBC36">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56D3980">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35B5C02">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ECACBD6">
      <w:pPr>
        <w:keepNext w:val="0"/>
        <w:keepLines w:val="0"/>
        <w:pageBreakBefore w:val="0"/>
        <w:widowControl w:val="0"/>
        <w:numPr>
          <w:ilvl w:val="0"/>
          <w:numId w:val="4"/>
        </w:numPr>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黑体"/>
          <w:color w:val="auto"/>
          <w:sz w:val="44"/>
          <w:szCs w:val="44"/>
          <w:highlight w:val="none"/>
        </w:rPr>
      </w:pPr>
      <w:bookmarkStart w:id="74" w:name="_Toc15396613"/>
      <w:bookmarkStart w:id="75" w:name="_Toc15377225"/>
      <w:r>
        <w:rPr>
          <w:rFonts w:hint="eastAsia" w:eastAsia="黑体"/>
          <w:color w:val="auto"/>
          <w:sz w:val="44"/>
          <w:szCs w:val="44"/>
          <w:highlight w:val="none"/>
          <w:lang w:val="en-US" w:eastAsia="zh-CN"/>
        </w:rPr>
        <w:t xml:space="preserve"> </w:t>
      </w:r>
      <w:bookmarkStart w:id="76" w:name="_Toc15917"/>
      <w:bookmarkStart w:id="77" w:name="_Toc32124"/>
      <w:r>
        <w:rPr>
          <w:rFonts w:hint="eastAsia" w:ascii="Times New Roman" w:hAnsi="Times New Roman" w:eastAsia="黑体"/>
          <w:color w:val="auto"/>
          <w:sz w:val="44"/>
          <w:szCs w:val="44"/>
          <w:highlight w:val="none"/>
        </w:rPr>
        <w:t>名词解释</w:t>
      </w:r>
      <w:bookmarkEnd w:id="74"/>
      <w:bookmarkEnd w:id="75"/>
      <w:bookmarkEnd w:id="76"/>
      <w:bookmarkEnd w:id="77"/>
    </w:p>
    <w:p w14:paraId="1DA96DB7">
      <w:pPr>
        <w:pStyle w:val="2"/>
        <w:rPr>
          <w:rFonts w:hint="eastAsia"/>
        </w:rPr>
      </w:pPr>
    </w:p>
    <w:p w14:paraId="4E2C8BD3">
      <w:pPr>
        <w:spacing w:line="600" w:lineRule="exact"/>
        <w:jc w:val="left"/>
        <w:rPr>
          <w:rFonts w:ascii="Times New Roman" w:hAnsi="Times New Roman"/>
          <w:b/>
          <w:color w:val="auto"/>
          <w:sz w:val="44"/>
          <w:szCs w:val="44"/>
          <w:highlight w:val="none"/>
        </w:rPr>
      </w:pPr>
    </w:p>
    <w:p w14:paraId="45F556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D7C77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66D600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F2F1C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243C14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196AC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C528C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3F219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5F188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 一般公共服务支出（201）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市场监督管理事务（38）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质量基础（10）：反映计量、标准、认证认可、检验检测等质量基础专项工作支出。</w:t>
      </w:r>
    </w:p>
    <w:p w14:paraId="4B21AD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 一般公共服务支出（201）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市场监督管理事务（38）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事业运行（50）：反映事业单位的基本支出，不包括行政单位（包括实行公务员管理的事业单位）后勤服务中心、医务室等附属事业单位。</w:t>
      </w:r>
    </w:p>
    <w:p w14:paraId="2C022E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11.一般公共服务支出（201）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市场监督管理事务（38）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其他市场监督管理事务（99）：反映用于除上述项目以外其他市场监督管理事务方面的支出。</w:t>
      </w:r>
    </w:p>
    <w:p w14:paraId="38D7A81A">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.教育支出（205）</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其他教育支出（99）</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其他教育支出（99）：指其他用于教育方面的支出。</w:t>
      </w:r>
    </w:p>
    <w:p w14:paraId="0B68D4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13.社会保障和就业支出（208）</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行政事业单位养老支出（05）</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机关事业单位职业年金缴费支出（06）：指反映机关事业单位实施养老保险制度由单位实际缴纳的职业年金支出。</w:t>
      </w:r>
    </w:p>
    <w:p w14:paraId="2FC6F3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14.卫生健康支出（210）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行政事业单位医疗（11）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事业单位医疗（02）：指反映财政部门安排的事业单位基本医疗保险缴费经费，未参加医疗保险的事业单位的公费医疗经费，按国家规定享受离休人员待遇的医疗经费。</w:t>
      </w:r>
    </w:p>
    <w:p w14:paraId="5D6C96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15.卫生健康支出（210）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行政事业单位医疗（11）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其他行政事业单位医疗支出（99）：指反映除上述项目以外的其他用于行政事业单位医疗方面的支出。</w:t>
      </w:r>
    </w:p>
    <w:p w14:paraId="75CD96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 住房保障支出（221）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住房改革支出（02）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住房公积金（01）：反映行政事业单位按人力资源和社会保障部、财政部规定的基本工资和津贴补贴以及规定比例为职工缴纳的住房公积金。</w:t>
      </w:r>
    </w:p>
    <w:p w14:paraId="37141C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7.基本支出：指为保障机构正常运转、完成日常工作任务而发生的人员支出和公用支出。</w:t>
      </w:r>
    </w:p>
    <w:p w14:paraId="1AE930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 xml:space="preserve">8.项目支出：指在基本支出之外为完成特定行政任务和事业发展目标所发生的支出。 </w:t>
      </w:r>
    </w:p>
    <w:p w14:paraId="1E2C3E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9.经营支出：指事业单位在专业业务活动及其辅助活动之外开展非独立核算经营活动发生的支出。</w:t>
      </w:r>
    </w:p>
    <w:p w14:paraId="27117A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A944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B5B8F9">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Style w:val="24"/>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78" w:name="_Toc15396614"/>
      <w:bookmarkStart w:id="79" w:name="_Toc3644"/>
      <w:bookmarkStart w:id="80" w:name="_Toc15658"/>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8"/>
      <w:bookmarkEnd w:id="79"/>
      <w:bookmarkEnd w:id="80"/>
    </w:p>
    <w:p w14:paraId="2FD92DF1">
      <w:pPr>
        <w:keepNext w:val="0"/>
        <w:keepLines w:val="0"/>
        <w:pageBreakBefore w:val="0"/>
        <w:widowControl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A43E053">
      <w:pPr>
        <w:keepNext w:val="0"/>
        <w:keepLines w:val="0"/>
        <w:pageBreakBefore w:val="0"/>
        <w:widowControl w:val="0"/>
        <w:kinsoku/>
        <w:wordWrap/>
        <w:overflowPunct/>
        <w:topLinePunct w:val="0"/>
        <w:autoSpaceDE/>
        <w:autoSpaceDN/>
        <w:bidi w:val="0"/>
        <w:adjustRightInd/>
        <w:snapToGrid/>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447F482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55C4D099">
      <w:pPr>
        <w:keepNext w:val="0"/>
        <w:keepLines w:val="0"/>
        <w:widowControl/>
        <w:suppressLineNumbers w:val="0"/>
        <w:jc w:val="center"/>
      </w:pPr>
      <w:r>
        <w:rPr>
          <w:rFonts w:hint="eastAsia" w:ascii="宋体" w:eastAsia="宋体" w:cs="宋体"/>
          <w:b/>
          <w:bCs/>
          <w:color w:val="000000"/>
          <w:kern w:val="0"/>
          <w:sz w:val="43"/>
          <w:szCs w:val="43"/>
          <w:lang w:val="en-US" w:eastAsia="zh-CN"/>
        </w:rPr>
        <w:t>阿坝州计量检定测试所2025年预算</w:t>
      </w:r>
    </w:p>
    <w:p w14:paraId="6FA30C8E">
      <w:pPr>
        <w:keepNext w:val="0"/>
        <w:keepLines w:val="0"/>
        <w:widowControl/>
        <w:suppressLineNumbers w:val="0"/>
        <w:jc w:val="center"/>
        <w:rPr>
          <w:rFonts w:hint="eastAsia" w:ascii="宋体" w:eastAsia="宋体" w:cs="宋体"/>
          <w:b/>
          <w:bCs/>
          <w:color w:val="000000"/>
          <w:kern w:val="0"/>
          <w:sz w:val="43"/>
          <w:szCs w:val="43"/>
          <w:lang w:val="en-US" w:eastAsia="zh-CN"/>
        </w:rPr>
      </w:pPr>
      <w:r>
        <w:rPr>
          <w:rFonts w:hint="eastAsia" w:ascii="宋体" w:eastAsia="宋体" w:cs="宋体"/>
          <w:b/>
          <w:bCs/>
          <w:color w:val="000000"/>
          <w:kern w:val="0"/>
          <w:sz w:val="43"/>
          <w:szCs w:val="43"/>
          <w:lang w:val="en-US" w:eastAsia="zh-CN"/>
        </w:rPr>
        <w:t>绩效评价自评报告</w:t>
      </w:r>
    </w:p>
    <w:p w14:paraId="73B0A99C">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704D747E">
      <w:pPr>
        <w:keepNext w:val="0"/>
        <w:keepLines w:val="0"/>
        <w:pageBreakBefore w:val="0"/>
        <w:widowControl/>
        <w:kinsoku/>
        <w:wordWrap/>
        <w:overflowPunct/>
        <w:topLinePunct w:val="0"/>
        <w:autoSpaceDE/>
        <w:autoSpaceDN/>
        <w:bidi w:val="0"/>
        <w:adjustRightInd w:val="0"/>
        <w:snapToGrid w:val="0"/>
        <w:spacing w:line="578" w:lineRule="exact"/>
        <w:ind w:left="0" w:firstLine="420" w:firstLineChars="200"/>
        <w:contextualSpacing/>
        <w:jc w:val="left"/>
        <w:textAlignment w:val="auto"/>
        <w:outlineLvl w:val="9"/>
        <w:rPr>
          <w:rFonts w:ascii="Times New Roman" w:hAnsi="Times New Roman" w:cs="Times New Roman"/>
          <w:szCs w:val="32"/>
        </w:rPr>
      </w:pPr>
      <w:r>
        <w:rPr>
          <w:rFonts w:ascii="Times New Roman" w:hAnsi="Times New Roman" w:eastAsia="黑体" w:cs="Times New Roman"/>
          <w:color w:val="000000"/>
          <w:kern w:val="0"/>
          <w:szCs w:val="32"/>
          <w:highlight w:val="none"/>
          <w:shd w:val="clear" w:color="auto" w:fill="FFFFFF"/>
          <w:lang w:val="zh-CN"/>
        </w:rPr>
        <w:t>一、</w:t>
      </w:r>
      <w:r>
        <w:rPr>
          <w:rFonts w:hint="eastAsia" w:eastAsia="黑体" w:cs="Times New Roman"/>
          <w:color w:val="000000"/>
          <w:kern w:val="0"/>
          <w:szCs w:val="32"/>
          <w:highlight w:val="none"/>
          <w:shd w:val="clear" w:color="auto" w:fill="FFFFFF"/>
          <w:lang w:val="en-US" w:eastAsia="zh-CN"/>
        </w:rPr>
        <w:t>单位</w:t>
      </w:r>
      <w:r>
        <w:rPr>
          <w:rFonts w:ascii="Times New Roman" w:hAnsi="Times New Roman" w:eastAsia="黑体" w:cs="Times New Roman"/>
          <w:color w:val="000000"/>
          <w:kern w:val="0"/>
          <w:szCs w:val="32"/>
          <w:highlight w:val="none"/>
          <w:shd w:val="clear" w:color="auto" w:fill="FFFFFF"/>
          <w:lang w:val="zh-CN"/>
        </w:rPr>
        <w:t>基本情况</w:t>
      </w:r>
    </w:p>
    <w:p w14:paraId="0F093D7F">
      <w:pPr>
        <w:keepNext w:val="0"/>
        <w:keepLines w:val="0"/>
        <w:pageBreakBefore w:val="0"/>
        <w:widowControl/>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（一）机构组成。</w:t>
      </w:r>
    </w:p>
    <w:p w14:paraId="7588D87C">
      <w:pPr>
        <w:pStyle w:val="17"/>
        <w:keepNext w:val="0"/>
        <w:keepLines w:val="0"/>
        <w:widowControl/>
        <w:suppressLineNumbers w:val="0"/>
        <w:ind w:left="0" w:firstLine="640"/>
        <w:rPr>
          <w:rFonts w:ascii="Times New Roman" w:hAnsi="Times New Roman" w:eastAsia="楷体_GB2312" w:cs="Times New Roman"/>
          <w:b/>
          <w:bCs/>
          <w:color w:val="000000"/>
          <w:kern w:val="0"/>
          <w:szCs w:val="32"/>
          <w:highlight w:val="none"/>
          <w:shd w:val="clear" w:color="auto" w:fill="FFFFFF"/>
          <w:lang w:val="zh-CN"/>
        </w:rPr>
      </w:pPr>
      <w:r>
        <w:rPr>
          <w:rFonts w:hint="eastAsia" w:ascii="仿宋_GB2312" w:eastAsia="仿宋_GB2312" w:cs="宋体"/>
          <w:color w:val="000000"/>
          <w:sz w:val="32"/>
          <w:szCs w:val="32"/>
          <w:shd w:val="clear" w:color="auto" w:fill="FFFFFF"/>
          <w:lang w:val="en-US" w:eastAsia="zh-CN" w:bidi="ar-SA"/>
        </w:rPr>
        <w:t>阿坝州计量检定测试所是阿坝州市场监督管理局依法设置的计量检定机构，公益一类事业单位，执行事业单位会计制度。</w:t>
      </w:r>
    </w:p>
    <w:p w14:paraId="54417453">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机构职能。</w:t>
      </w:r>
    </w:p>
    <w:p w14:paraId="28021B92">
      <w:pPr>
        <w:widowControl/>
        <w:adjustRightInd w:val="0"/>
        <w:snapToGrid w:val="0"/>
        <w:spacing w:line="560" w:lineRule="exact"/>
        <w:ind w:firstLine="720"/>
        <w:jc w:val="left"/>
        <w:rPr>
          <w:rFonts w:ascii="Times New Roman" w:hAnsi="Times New Roman" w:eastAsia="楷体_GB2312" w:cs="Times New Roman"/>
          <w:b/>
          <w:bCs/>
          <w:color w:val="000000"/>
          <w:kern w:val="0"/>
          <w:szCs w:val="32"/>
          <w:highlight w:val="none"/>
          <w:shd w:val="clear" w:color="auto" w:fill="FFFFFF"/>
          <w:lang w:val="en-US" w:eastAsia="zh-CN"/>
        </w:rPr>
      </w:pPr>
      <w:r>
        <w:rPr>
          <w:rFonts w:hint="eastAsia" w:ascii="仿宋_GB2312" w:eastAsia="仿宋_GB2312" w:cs="宋体"/>
          <w:color w:val="000000"/>
          <w:sz w:val="32"/>
          <w:szCs w:val="32"/>
          <w:shd w:val="clear" w:color="auto" w:fill="FFFFFF"/>
          <w:lang w:val="en-US" w:eastAsia="zh-CN" w:bidi="ar-SA"/>
        </w:rPr>
        <w:t>我单位系国家法定计量检定机构，业务范围：为量值准确提供测试检定保障，坚持准确、可靠、优质、高效的方针，实现检测数据准确、可靠、检测服务优质、高效，为社会提供公正的计量检测结果，为市场监督管理提供计量技术保证，组织管理量值传递、监督、管理、检测计量器具。</w:t>
      </w:r>
    </w:p>
    <w:p w14:paraId="3800F746">
      <w:pPr>
        <w:keepNext w:val="0"/>
        <w:keepLines w:val="0"/>
        <w:pageBreakBefore w:val="0"/>
        <w:widowControl w:val="0"/>
        <w:numPr>
          <w:ilvl w:val="0"/>
          <w:numId w:val="5"/>
        </w:numPr>
        <w:kinsoku/>
        <w:wordWrap/>
        <w:overflowPunct/>
        <w:topLinePunct w:val="0"/>
        <w:autoSpaceDE/>
        <w:autoSpaceDN/>
        <w:bidi w:val="0"/>
        <w:adjustRightInd/>
        <w:snapToGrid/>
        <w:spacing w:line="600" w:lineRule="exact"/>
        <w:ind w:left="0" w:firstLine="422" w:firstLineChars="200"/>
        <w:textAlignment w:val="auto"/>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人员概况。</w:t>
      </w:r>
    </w:p>
    <w:p w14:paraId="3865E28F">
      <w:pPr>
        <w:widowControl/>
        <w:adjustRightInd w:val="0"/>
        <w:snapToGrid w:val="0"/>
        <w:spacing w:line="560" w:lineRule="exact"/>
        <w:ind w:firstLine="720"/>
        <w:jc w:val="left"/>
        <w:rPr>
          <w:rFonts w:ascii="仿宋_GB2312" w:eastAsia="仿宋_GB2312" w:cs="宋体"/>
          <w:color w:val="000000"/>
          <w:sz w:val="32"/>
          <w:szCs w:val="32"/>
          <w:shd w:val="clear" w:color="auto" w:fill="FFFFFF"/>
          <w:lang w:val="en-US" w:eastAsia="zh-CN" w:bidi="ar-SA"/>
        </w:rPr>
      </w:pPr>
      <w:r>
        <w:rPr>
          <w:rFonts w:ascii="仿宋_GB2312" w:eastAsia="仿宋_GB2312" w:cs="宋体"/>
          <w:color w:val="000000"/>
          <w:sz w:val="32"/>
          <w:szCs w:val="32"/>
          <w:shd w:val="clear" w:color="auto" w:fill="FFFFFF"/>
          <w:lang w:val="en-US" w:eastAsia="zh-CN" w:bidi="ar-SA"/>
        </w:rPr>
        <w:t>截至202</w:t>
      </w:r>
      <w:r>
        <w:rPr>
          <w:rFonts w:hint="eastAsia" w:ascii="仿宋_GB2312" w:hAnsi="仿宋_GB2312" w:cs="宋体"/>
          <w:color w:val="000000"/>
          <w:sz w:val="32"/>
          <w:szCs w:val="32"/>
          <w:shd w:val="clear" w:color="auto" w:fill="FFFFFF"/>
          <w:lang w:val="en-US" w:eastAsia="zh-CN" w:bidi="ar-SA"/>
        </w:rPr>
        <w:t>5</w:t>
      </w:r>
      <w:r>
        <w:rPr>
          <w:rFonts w:ascii="仿宋_GB2312" w:eastAsia="仿宋_GB2312" w:cs="宋体"/>
          <w:color w:val="000000"/>
          <w:sz w:val="32"/>
          <w:szCs w:val="32"/>
          <w:shd w:val="clear" w:color="auto" w:fill="FFFFFF"/>
          <w:lang w:val="en-US" w:eastAsia="zh-CN" w:bidi="ar-SA"/>
        </w:rPr>
        <w:t>年末，</w:t>
      </w:r>
      <w:r>
        <w:rPr>
          <w:rFonts w:hint="eastAsia" w:ascii="仿宋_GB2312" w:hAnsi="仿宋_GB2312" w:cs="宋体"/>
          <w:color w:val="000000"/>
          <w:sz w:val="32"/>
          <w:szCs w:val="32"/>
          <w:shd w:val="clear" w:color="auto" w:fill="FFFFFF"/>
          <w:lang w:val="en-US" w:eastAsia="zh-CN" w:bidi="ar-SA"/>
        </w:rPr>
        <w:t>阿坝州计量检定测试所</w:t>
      </w:r>
      <w:r>
        <w:rPr>
          <w:rFonts w:hint="eastAsia" w:ascii="仿宋_GB2312" w:eastAsia="仿宋_GB2312" w:cs="宋体"/>
          <w:color w:val="000000"/>
          <w:sz w:val="32"/>
          <w:szCs w:val="32"/>
          <w:shd w:val="clear" w:color="auto" w:fill="FFFFFF"/>
          <w:lang w:val="en-US" w:eastAsia="zh-CN" w:bidi="ar-SA"/>
        </w:rPr>
        <w:t>人员编制10人，202</w:t>
      </w:r>
      <w:r>
        <w:rPr>
          <w:rFonts w:hint="eastAsia" w:ascii="仿宋_GB2312" w:hAnsi="仿宋_GB2312" w:cs="宋体"/>
          <w:color w:val="000000"/>
          <w:sz w:val="32"/>
          <w:szCs w:val="32"/>
          <w:shd w:val="clear" w:color="auto" w:fill="FFFFFF"/>
          <w:lang w:val="en-US" w:eastAsia="zh-CN" w:bidi="ar-SA"/>
        </w:rPr>
        <w:t>5</w:t>
      </w:r>
      <w:r>
        <w:rPr>
          <w:rFonts w:hint="eastAsia" w:ascii="仿宋_GB2312" w:eastAsia="仿宋_GB2312" w:cs="宋体"/>
          <w:color w:val="000000"/>
          <w:sz w:val="32"/>
          <w:szCs w:val="32"/>
          <w:shd w:val="clear" w:color="auto" w:fill="FFFFFF"/>
          <w:lang w:val="en-US" w:eastAsia="zh-CN" w:bidi="ar-SA"/>
        </w:rPr>
        <w:t>年末实际在编人数9人，退休人员4人，临时聘用人员3人。</w:t>
      </w:r>
    </w:p>
    <w:p w14:paraId="79F14999">
      <w:pPr>
        <w:keepNext w:val="0"/>
        <w:keepLines w:val="0"/>
        <w:pageBreakBefore w:val="0"/>
        <w:widowControl/>
        <w:kinsoku/>
        <w:wordWrap/>
        <w:overflowPunct/>
        <w:topLinePunct w:val="0"/>
        <w:autoSpaceDE/>
        <w:autoSpaceDN/>
        <w:bidi w:val="0"/>
        <w:adjustRightInd w:val="0"/>
        <w:snapToGrid w:val="0"/>
        <w:spacing w:line="578" w:lineRule="exact"/>
        <w:ind w:firstLine="42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二、</w:t>
      </w: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14:paraId="089E60D9">
      <w:pPr>
        <w:keepNext w:val="0"/>
        <w:keepLines w:val="0"/>
        <w:pageBreakBefore w:val="0"/>
        <w:widowControl/>
        <w:kinsoku/>
        <w:wordWrap/>
        <w:overflowPunct/>
        <w:topLinePunct w:val="0"/>
        <w:autoSpaceDE/>
        <w:autoSpaceDN/>
        <w:bidi w:val="0"/>
        <w:adjustRightInd w:val="0"/>
        <w:snapToGrid w:val="0"/>
        <w:spacing w:line="578" w:lineRule="exact"/>
        <w:ind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（一）收入情况。</w:t>
      </w:r>
    </w:p>
    <w:p w14:paraId="0B9243A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宋体"/>
          <w:color w:val="000000"/>
          <w:sz w:val="32"/>
          <w:szCs w:val="32"/>
          <w:shd w:val="clear" w:color="auto" w:fill="FFFFFF"/>
          <w:lang w:val="zh-CN" w:eastAsia="zh-CN" w:bidi="ar-SA"/>
        </w:rPr>
      </w:pPr>
      <w:r>
        <w:rPr>
          <w:rFonts w:hint="eastAsia" w:ascii="仿宋_GB2312" w:eastAsia="仿宋_GB2312" w:cs="宋体"/>
          <w:color w:val="000000"/>
          <w:sz w:val="32"/>
          <w:szCs w:val="32"/>
          <w:shd w:val="clear" w:color="auto" w:fill="FFFFFF"/>
          <w:lang w:val="zh-CN" w:eastAsia="zh-CN" w:bidi="ar-SA"/>
        </w:rPr>
        <w:t>202</w:t>
      </w:r>
      <w:r>
        <w:rPr>
          <w:rFonts w:hint="eastAsia" w:ascii="仿宋_GB2312" w:hAnsi="仿宋_GB2312" w:cs="宋体"/>
          <w:color w:val="000000"/>
          <w:sz w:val="32"/>
          <w:szCs w:val="32"/>
          <w:shd w:val="clear" w:color="auto" w:fill="FFFFFF"/>
          <w:lang w:val="en-US" w:eastAsia="zh-CN" w:bidi="ar-SA"/>
        </w:rPr>
        <w:t>5</w:t>
      </w:r>
      <w:r>
        <w:rPr>
          <w:rFonts w:hint="eastAsia" w:ascii="仿宋_GB2312" w:eastAsia="仿宋_GB2312" w:cs="宋体"/>
          <w:color w:val="000000"/>
          <w:sz w:val="32"/>
          <w:szCs w:val="32"/>
          <w:shd w:val="clear" w:color="auto" w:fill="FFFFFF"/>
          <w:lang w:val="zh-CN" w:eastAsia="zh-CN" w:bidi="ar-SA"/>
        </w:rPr>
        <w:t>年全年总收入</w:t>
      </w:r>
      <w:r>
        <w:rPr>
          <w:rFonts w:hint="eastAsia" w:ascii="仿宋_GB2312" w:hAnsi="仿宋_GB2312" w:cs="宋体"/>
          <w:color w:val="000000"/>
          <w:sz w:val="32"/>
          <w:szCs w:val="32"/>
          <w:shd w:val="clear" w:color="auto" w:fill="FFFFFF"/>
          <w:lang w:val="en-US" w:eastAsia="zh-CN" w:bidi="ar-SA"/>
        </w:rPr>
        <w:t>531.50</w:t>
      </w:r>
      <w:r>
        <w:rPr>
          <w:rFonts w:hint="eastAsia" w:ascii="仿宋_GB2312" w:eastAsia="仿宋_GB2312" w:cs="宋体"/>
          <w:color w:val="000000"/>
          <w:sz w:val="32"/>
          <w:szCs w:val="32"/>
          <w:shd w:val="clear" w:color="auto" w:fill="FFFFFF"/>
          <w:lang w:val="en-US" w:eastAsia="zh-CN" w:bidi="ar-SA"/>
        </w:rPr>
        <w:t>万</w:t>
      </w:r>
      <w:r>
        <w:rPr>
          <w:rFonts w:hint="eastAsia" w:ascii="仿宋_GB2312" w:eastAsia="仿宋_GB2312" w:cs="宋体"/>
          <w:color w:val="000000"/>
          <w:sz w:val="32"/>
          <w:szCs w:val="32"/>
          <w:shd w:val="clear" w:color="auto" w:fill="FFFFFF"/>
          <w:lang w:val="zh-CN" w:eastAsia="zh-CN" w:bidi="ar-SA"/>
        </w:rPr>
        <w:t>元，其中本年收入</w:t>
      </w:r>
      <w:r>
        <w:rPr>
          <w:rFonts w:hint="eastAsia" w:ascii="仿宋_GB2312" w:hAnsi="仿宋_GB2312" w:cs="宋体"/>
          <w:color w:val="000000"/>
          <w:sz w:val="32"/>
          <w:szCs w:val="32"/>
          <w:shd w:val="clear" w:color="auto" w:fill="FFFFFF"/>
          <w:lang w:val="en-US" w:eastAsia="zh-CN" w:bidi="ar-SA"/>
        </w:rPr>
        <w:t>531.50万</w:t>
      </w:r>
      <w:r>
        <w:rPr>
          <w:rFonts w:hint="eastAsia" w:ascii="仿宋_GB2312" w:eastAsia="仿宋_GB2312" w:cs="宋体"/>
          <w:color w:val="000000"/>
          <w:sz w:val="32"/>
          <w:szCs w:val="32"/>
          <w:shd w:val="clear" w:color="auto" w:fill="FFFFFF"/>
          <w:lang w:val="zh-CN" w:eastAsia="zh-CN" w:bidi="ar-SA"/>
        </w:rPr>
        <w:t>元，年初结转和结余</w:t>
      </w:r>
      <w:r>
        <w:rPr>
          <w:rFonts w:hint="eastAsia" w:ascii="仿宋_GB2312" w:eastAsia="仿宋_GB2312" w:cs="宋体"/>
          <w:color w:val="000000"/>
          <w:sz w:val="32"/>
          <w:szCs w:val="32"/>
          <w:shd w:val="clear" w:color="auto" w:fill="FFFFFF"/>
          <w:lang w:val="en-US" w:eastAsia="zh-CN" w:bidi="ar-SA"/>
        </w:rPr>
        <w:t>0万</w:t>
      </w:r>
      <w:r>
        <w:rPr>
          <w:rFonts w:hint="eastAsia" w:ascii="仿宋_GB2312" w:eastAsia="仿宋_GB2312" w:cs="宋体"/>
          <w:color w:val="000000"/>
          <w:sz w:val="32"/>
          <w:szCs w:val="32"/>
          <w:shd w:val="clear" w:color="auto" w:fill="FFFFFF"/>
          <w:lang w:val="zh-CN" w:eastAsia="zh-CN" w:bidi="ar-SA"/>
        </w:rPr>
        <w:t>元。财政资金收入总额</w:t>
      </w:r>
      <w:r>
        <w:rPr>
          <w:rFonts w:hint="eastAsia" w:ascii="仿宋_GB2312" w:hAnsi="仿宋_GB2312" w:cs="宋体"/>
          <w:color w:val="000000"/>
          <w:sz w:val="32"/>
          <w:szCs w:val="32"/>
          <w:shd w:val="clear" w:color="auto" w:fill="FFFFFF"/>
          <w:lang w:val="en-US" w:eastAsia="zh-CN" w:bidi="ar-SA"/>
        </w:rPr>
        <w:t>531.50</w:t>
      </w:r>
      <w:r>
        <w:rPr>
          <w:rFonts w:hint="eastAsia" w:ascii="仿宋_GB2312" w:eastAsia="仿宋_GB2312" w:cs="宋体"/>
          <w:color w:val="000000"/>
          <w:sz w:val="32"/>
          <w:szCs w:val="32"/>
          <w:shd w:val="clear" w:color="auto" w:fill="FFFFFF"/>
          <w:lang w:val="en-US" w:eastAsia="zh-CN" w:bidi="ar-SA"/>
        </w:rPr>
        <w:t>万</w:t>
      </w:r>
      <w:r>
        <w:rPr>
          <w:rFonts w:hint="eastAsia" w:ascii="仿宋_GB2312" w:eastAsia="仿宋_GB2312" w:cs="宋体"/>
          <w:color w:val="000000"/>
          <w:sz w:val="32"/>
          <w:szCs w:val="32"/>
          <w:shd w:val="clear" w:color="auto" w:fill="FFFFFF"/>
          <w:lang w:val="zh-CN" w:eastAsia="zh-CN" w:bidi="ar-SA"/>
        </w:rPr>
        <w:t>元，占总收入100%</w:t>
      </w:r>
      <w:r>
        <w:rPr>
          <w:rFonts w:hint="eastAsia" w:ascii="仿宋_GB2312" w:hAnsi="仿宋_GB2312" w:cs="宋体"/>
          <w:color w:val="000000"/>
          <w:sz w:val="32"/>
          <w:szCs w:val="32"/>
          <w:shd w:val="clear" w:color="auto" w:fill="FFFFFF"/>
          <w:lang w:val="zh-CN" w:eastAsia="zh-CN" w:bidi="ar-SA"/>
        </w:rPr>
        <w:t>。</w:t>
      </w:r>
    </w:p>
    <w:p w14:paraId="631D3850">
      <w:pPr>
        <w:keepNext w:val="0"/>
        <w:keepLines w:val="0"/>
        <w:pageBreakBefore w:val="0"/>
        <w:widowControl/>
        <w:numPr>
          <w:ilvl w:val="0"/>
          <w:numId w:val="6"/>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支出情况。</w:t>
      </w:r>
    </w:p>
    <w:p w14:paraId="725E2C7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仿宋_GB2312" w:eastAsia="仿宋_GB2312" w:cs="宋体"/>
          <w:color w:val="000000"/>
          <w:sz w:val="32"/>
          <w:szCs w:val="32"/>
          <w:shd w:val="clear" w:color="auto" w:fill="FFFFFF"/>
          <w:lang w:val="en-US" w:eastAsia="zh-CN" w:bidi="ar-SA"/>
        </w:rPr>
      </w:pPr>
      <w:r>
        <w:rPr>
          <w:rFonts w:hint="eastAsia" w:ascii="仿宋_GB2312" w:eastAsia="仿宋_GB2312" w:cs="宋体"/>
          <w:color w:val="000000"/>
          <w:sz w:val="32"/>
          <w:szCs w:val="32"/>
          <w:shd w:val="clear" w:color="auto" w:fill="FFFFFF"/>
          <w:lang w:val="zh-CN" w:eastAsia="zh-CN" w:bidi="ar-SA"/>
        </w:rPr>
        <w:t>202</w:t>
      </w:r>
      <w:r>
        <w:rPr>
          <w:rFonts w:hint="eastAsia" w:ascii="仿宋_GB2312" w:hAnsi="仿宋_GB2312" w:cs="宋体"/>
          <w:color w:val="000000"/>
          <w:sz w:val="32"/>
          <w:szCs w:val="32"/>
          <w:shd w:val="clear" w:color="auto" w:fill="FFFFFF"/>
          <w:lang w:val="en-US" w:eastAsia="zh-CN" w:bidi="ar-SA"/>
        </w:rPr>
        <w:t>5</w:t>
      </w:r>
      <w:r>
        <w:rPr>
          <w:rFonts w:hint="eastAsia" w:ascii="仿宋_GB2312" w:eastAsia="仿宋_GB2312" w:cs="宋体"/>
          <w:color w:val="000000"/>
          <w:sz w:val="32"/>
          <w:szCs w:val="32"/>
          <w:shd w:val="clear" w:color="auto" w:fill="FFFFFF"/>
          <w:lang w:val="zh-CN" w:eastAsia="zh-CN" w:bidi="ar-SA"/>
        </w:rPr>
        <w:t>年财政资金支出总额</w:t>
      </w:r>
      <w:r>
        <w:rPr>
          <w:rFonts w:hint="eastAsia" w:ascii="仿宋_GB2312" w:hAnsi="仿宋_GB2312" w:cs="宋体"/>
          <w:color w:val="000000"/>
          <w:sz w:val="32"/>
          <w:szCs w:val="32"/>
          <w:shd w:val="clear" w:color="auto" w:fill="FFFFFF"/>
          <w:lang w:val="en-US" w:eastAsia="zh-CN" w:bidi="ar-SA"/>
        </w:rPr>
        <w:t>531.50</w:t>
      </w:r>
      <w:r>
        <w:rPr>
          <w:rFonts w:hint="eastAsia" w:ascii="仿宋_GB2312" w:eastAsia="仿宋_GB2312" w:cs="宋体"/>
          <w:color w:val="000000"/>
          <w:sz w:val="32"/>
          <w:szCs w:val="32"/>
          <w:shd w:val="clear" w:color="auto" w:fill="FFFFFF"/>
          <w:lang w:val="en-US" w:eastAsia="zh-CN" w:bidi="ar-SA"/>
        </w:rPr>
        <w:t>万</w:t>
      </w:r>
      <w:r>
        <w:rPr>
          <w:rFonts w:hint="eastAsia" w:ascii="仿宋_GB2312" w:eastAsia="仿宋_GB2312" w:cs="宋体"/>
          <w:color w:val="000000"/>
          <w:sz w:val="32"/>
          <w:szCs w:val="32"/>
          <w:shd w:val="clear" w:color="auto" w:fill="FFFFFF"/>
          <w:lang w:val="zh-CN" w:eastAsia="zh-CN" w:bidi="ar-SA"/>
        </w:rPr>
        <w:t>元，其中基本支出</w:t>
      </w:r>
      <w:r>
        <w:rPr>
          <w:rFonts w:hint="eastAsia" w:ascii="仿宋_GB2312" w:hAnsi="仿宋_GB2312" w:cs="宋体"/>
          <w:color w:val="000000"/>
          <w:sz w:val="32"/>
          <w:szCs w:val="32"/>
          <w:shd w:val="clear" w:color="auto" w:fill="FFFFFF"/>
          <w:lang w:val="en-US" w:eastAsia="zh-CN" w:bidi="ar-SA"/>
        </w:rPr>
        <w:t>284.01</w:t>
      </w:r>
      <w:r>
        <w:rPr>
          <w:rFonts w:hint="eastAsia" w:ascii="仿宋_GB2312" w:eastAsia="仿宋_GB2312" w:cs="宋体"/>
          <w:color w:val="000000"/>
          <w:sz w:val="32"/>
          <w:szCs w:val="32"/>
          <w:shd w:val="clear" w:color="auto" w:fill="FFFFFF"/>
          <w:lang w:val="en-US" w:eastAsia="zh-CN" w:bidi="ar-SA"/>
        </w:rPr>
        <w:t>万</w:t>
      </w:r>
      <w:r>
        <w:rPr>
          <w:rFonts w:hint="eastAsia" w:ascii="仿宋_GB2312" w:eastAsia="仿宋_GB2312" w:cs="宋体"/>
          <w:color w:val="000000"/>
          <w:sz w:val="32"/>
          <w:szCs w:val="32"/>
          <w:shd w:val="clear" w:color="auto" w:fill="FFFFFF"/>
          <w:lang w:val="zh-CN" w:eastAsia="zh-CN" w:bidi="ar-SA"/>
        </w:rPr>
        <w:t>元，项目支出</w:t>
      </w:r>
      <w:r>
        <w:rPr>
          <w:rFonts w:hint="eastAsia" w:ascii="仿宋_GB2312" w:hAnsi="仿宋_GB2312" w:cs="宋体"/>
          <w:color w:val="000000"/>
          <w:sz w:val="32"/>
          <w:szCs w:val="32"/>
          <w:shd w:val="clear" w:color="auto" w:fill="FFFFFF"/>
          <w:lang w:val="en-US" w:eastAsia="zh-CN" w:bidi="ar-SA"/>
        </w:rPr>
        <w:t>247.49</w:t>
      </w:r>
      <w:r>
        <w:rPr>
          <w:rFonts w:hint="eastAsia" w:ascii="仿宋_GB2312" w:eastAsia="仿宋_GB2312" w:cs="宋体"/>
          <w:color w:val="000000"/>
          <w:sz w:val="32"/>
          <w:szCs w:val="32"/>
          <w:shd w:val="clear" w:color="auto" w:fill="FFFFFF"/>
          <w:lang w:val="en-US" w:eastAsia="zh-CN" w:bidi="ar-SA"/>
        </w:rPr>
        <w:t>万</w:t>
      </w:r>
      <w:r>
        <w:rPr>
          <w:rFonts w:hint="eastAsia" w:ascii="仿宋_GB2312" w:eastAsia="仿宋_GB2312" w:cs="宋体"/>
          <w:color w:val="000000"/>
          <w:sz w:val="32"/>
          <w:szCs w:val="32"/>
          <w:shd w:val="clear" w:color="auto" w:fill="FFFFFF"/>
          <w:lang w:val="zh-CN" w:eastAsia="zh-CN" w:bidi="ar-SA"/>
        </w:rPr>
        <w:t>元。</w:t>
      </w:r>
      <w:r>
        <w:rPr>
          <w:rFonts w:hint="eastAsia" w:ascii="仿宋_GB2312" w:eastAsia="仿宋_GB2312" w:cs="宋体"/>
          <w:color w:val="000000"/>
          <w:sz w:val="32"/>
          <w:szCs w:val="32"/>
          <w:shd w:val="clear" w:color="auto" w:fill="FFFFFF"/>
          <w:lang w:val="en-US" w:eastAsia="zh-CN" w:bidi="ar-SA"/>
        </w:rPr>
        <w:t>其中基本支出占支出总计的</w:t>
      </w:r>
      <w:r>
        <w:rPr>
          <w:rFonts w:hint="eastAsia" w:ascii="仿宋_GB2312" w:hAnsi="仿宋_GB2312" w:cs="宋体"/>
          <w:color w:val="000000"/>
          <w:sz w:val="32"/>
          <w:szCs w:val="32"/>
          <w:shd w:val="clear" w:color="auto" w:fill="FFFFFF"/>
          <w:lang w:val="en-US" w:eastAsia="zh-CN" w:bidi="ar-SA"/>
        </w:rPr>
        <w:t>53.44</w:t>
      </w:r>
      <w:r>
        <w:rPr>
          <w:rFonts w:hint="eastAsia" w:ascii="仿宋_GB2312" w:eastAsia="仿宋_GB2312" w:cs="宋体"/>
          <w:color w:val="000000"/>
          <w:sz w:val="32"/>
          <w:szCs w:val="32"/>
          <w:shd w:val="clear" w:color="auto" w:fill="FFFFFF"/>
          <w:lang w:val="en-US" w:eastAsia="zh-CN" w:bidi="ar-SA"/>
        </w:rPr>
        <w:t>%；项目支出占支出总计的</w:t>
      </w:r>
      <w:r>
        <w:rPr>
          <w:rFonts w:hint="eastAsia" w:ascii="仿宋_GB2312" w:hAnsi="仿宋_GB2312" w:cs="宋体"/>
          <w:color w:val="000000"/>
          <w:sz w:val="32"/>
          <w:szCs w:val="32"/>
          <w:shd w:val="clear" w:color="auto" w:fill="FFFFFF"/>
          <w:lang w:val="en-US" w:eastAsia="zh-CN" w:bidi="ar-SA"/>
        </w:rPr>
        <w:t>46.56</w:t>
      </w:r>
      <w:r>
        <w:rPr>
          <w:rFonts w:hint="eastAsia" w:ascii="仿宋_GB2312" w:eastAsia="仿宋_GB2312" w:cs="宋体"/>
          <w:color w:val="000000"/>
          <w:sz w:val="32"/>
          <w:szCs w:val="32"/>
          <w:shd w:val="clear" w:color="auto" w:fill="FFFFFF"/>
          <w:lang w:val="en-US" w:eastAsia="zh-CN" w:bidi="ar-SA"/>
        </w:rPr>
        <w:t>%。</w:t>
      </w:r>
      <w:r>
        <w:rPr>
          <w:rFonts w:hint="eastAsia" w:ascii="仿宋_GB2312" w:hAnsi="仿宋_GB2312" w:cs="宋体"/>
          <w:color w:val="000000"/>
          <w:sz w:val="32"/>
          <w:szCs w:val="32"/>
          <w:shd w:val="clear" w:color="auto" w:fill="FFFFFF"/>
          <w:lang w:val="en-US" w:eastAsia="zh-CN" w:bidi="ar-SA"/>
        </w:rPr>
        <w:t>较好地完成了年初预定的各项目标任务。</w:t>
      </w:r>
    </w:p>
    <w:p w14:paraId="15E27030">
      <w:pPr>
        <w:keepNext w:val="0"/>
        <w:keepLines w:val="0"/>
        <w:pageBreakBefore w:val="0"/>
        <w:widowControl/>
        <w:numPr>
          <w:ilvl w:val="0"/>
          <w:numId w:val="6"/>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r>
        <w:rPr>
          <w:rFonts w:ascii="Times New Roman" w:hAnsi="Times New Roman" w:eastAsia="楷体_GB2312" w:cs="Times New Roman"/>
          <w:b/>
          <w:szCs w:val="32"/>
          <w:lang w:eastAsia="zh-CN"/>
        </w:rPr>
        <w:t>。</w:t>
      </w:r>
    </w:p>
    <w:p w14:paraId="3DB87F1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仿宋_GB2312" w:eastAsia="仿宋_GB2312" w:cs="宋体"/>
          <w:color w:val="000000"/>
          <w:sz w:val="32"/>
          <w:szCs w:val="32"/>
          <w:shd w:val="clear" w:color="auto" w:fill="FFFFFF"/>
          <w:lang w:val="zh-CN" w:eastAsia="zh-CN" w:bidi="ar-SA"/>
        </w:rPr>
      </w:pPr>
      <w:r>
        <w:rPr>
          <w:rFonts w:hint="eastAsia" w:ascii="仿宋_GB2312" w:eastAsia="仿宋_GB2312" w:cs="宋体"/>
          <w:color w:val="000000"/>
          <w:sz w:val="32"/>
          <w:szCs w:val="32"/>
          <w:shd w:val="clear" w:color="auto" w:fill="FFFFFF"/>
          <w:lang w:val="en-US" w:eastAsia="zh-CN" w:bidi="ar-SA"/>
        </w:rPr>
        <w:t>我单位2025年决算报表无结余结转情况。</w:t>
      </w:r>
    </w:p>
    <w:p w14:paraId="34B4E7AF">
      <w:pPr>
        <w:keepNext w:val="0"/>
        <w:keepLines w:val="0"/>
        <w:pageBreakBefore w:val="0"/>
        <w:widowControl/>
        <w:kinsoku/>
        <w:wordWrap/>
        <w:overflowPunct/>
        <w:topLinePunct w:val="0"/>
        <w:autoSpaceDE/>
        <w:autoSpaceDN/>
        <w:bidi w:val="0"/>
        <w:adjustRightInd w:val="0"/>
        <w:snapToGrid w:val="0"/>
        <w:spacing w:line="578" w:lineRule="exact"/>
        <w:ind w:firstLine="42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三、</w:t>
      </w:r>
      <w:r>
        <w:rPr>
          <w:rFonts w:ascii="Times New Roman" w:hAnsi="Times New Roman" w:eastAsia="黑体" w:cs="Times New Roman"/>
          <w:color w:val="000000"/>
          <w:kern w:val="0"/>
          <w:szCs w:val="32"/>
          <w:highlight w:val="none"/>
          <w:u w:val="none"/>
          <w:shd w:val="clear" w:color="auto" w:fill="FFFFFF"/>
        </w:rPr>
        <w:t>部门</w:t>
      </w:r>
      <w:r>
        <w:rPr>
          <w:rFonts w:ascii="Times New Roman" w:hAnsi="Times New Roman" w:eastAsia="黑体" w:cs="Times New Roman"/>
          <w:color w:val="000000"/>
          <w:kern w:val="0"/>
          <w:szCs w:val="32"/>
          <w:highlight w:val="none"/>
          <w:u w:val="none"/>
          <w:shd w:val="clear" w:color="auto" w:fill="FFFFFF"/>
          <w:lang w:eastAsia="zh-CN"/>
        </w:rPr>
        <w:t>预算</w:t>
      </w:r>
      <w:r>
        <w:rPr>
          <w:rFonts w:ascii="Times New Roman" w:hAnsi="Times New Roman" w:eastAsia="黑体" w:cs="Times New Roman"/>
          <w:color w:val="000000"/>
          <w:kern w:val="0"/>
          <w:szCs w:val="32"/>
          <w:highlight w:val="none"/>
          <w:u w:val="none"/>
          <w:shd w:val="clear" w:color="auto" w:fill="FFFFFF"/>
        </w:rPr>
        <w:t>绩效</w:t>
      </w:r>
      <w:r>
        <w:rPr>
          <w:rFonts w:ascii="Times New Roman" w:hAnsi="Times New Roman" w:eastAsia="黑体" w:cs="Times New Roman"/>
          <w:color w:val="000000"/>
          <w:kern w:val="0"/>
          <w:szCs w:val="32"/>
          <w:highlight w:val="none"/>
          <w:u w:val="none"/>
          <w:shd w:val="clear" w:color="auto" w:fill="FFFFFF"/>
          <w:lang w:eastAsia="zh-CN"/>
        </w:rPr>
        <w:t>分析</w:t>
      </w:r>
    </w:p>
    <w:p w14:paraId="185273A0">
      <w:pPr>
        <w:keepNext w:val="0"/>
        <w:keepLines w:val="0"/>
        <w:pageBreakBefore w:val="0"/>
        <w:widowControl w:val="0"/>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（一）部门预算总体绩效分析。</w:t>
      </w:r>
    </w:p>
    <w:p w14:paraId="526E86FE">
      <w:pPr>
        <w:keepNext w:val="0"/>
        <w:keepLines w:val="0"/>
        <w:pageBreakBefore w:val="0"/>
        <w:widowControl w:val="0"/>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en-US" w:eastAsia="zh-CN"/>
        </w:rPr>
        <w:t>1.</w:t>
      </w:r>
      <w:r>
        <w:rPr>
          <w:rFonts w:hint="eastAsia" w:eastAsia="楷体_GB2312" w:cs="Times New Roman"/>
          <w:b/>
          <w:bCs/>
          <w:color w:val="000000"/>
          <w:kern w:val="0"/>
          <w:szCs w:val="32"/>
          <w:highlight w:val="none"/>
          <w:shd w:val="clear" w:color="auto" w:fill="FFFFFF"/>
          <w:lang w:val="en-US" w:eastAsia="zh-CN"/>
        </w:rPr>
        <w:t xml:space="preserve">  </w:t>
      </w:r>
      <w:r>
        <w:rPr>
          <w:rFonts w:ascii="Times New Roman" w:hAnsi="Times New Roman" w:eastAsia="楷体_GB2312" w:cs="Times New Roman"/>
          <w:b/>
          <w:bCs/>
          <w:color w:val="000000"/>
          <w:kern w:val="0"/>
          <w:szCs w:val="32"/>
          <w:highlight w:val="none"/>
          <w:shd w:val="clear" w:color="auto" w:fill="FFFFFF"/>
          <w:lang w:val="zh-CN"/>
        </w:rPr>
        <w:t>履职效能。</w:t>
      </w:r>
      <w:r>
        <w:rPr>
          <w:rFonts w:hint="eastAsia"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en-US" w:eastAsia="zh-CN"/>
        </w:rPr>
        <w:t>得分</w:t>
      </w:r>
      <w:r>
        <w:rPr>
          <w:rFonts w:hint="eastAsia" w:eastAsia="楷体_GB2312" w:cs="Times New Roman"/>
          <w:b/>
          <w:bCs/>
          <w:color w:val="000000"/>
          <w:kern w:val="0"/>
          <w:szCs w:val="32"/>
          <w:highlight w:val="none"/>
          <w:shd w:val="clear" w:color="auto" w:fill="FFFFFF"/>
          <w:lang w:val="en-US" w:eastAsia="zh-CN"/>
        </w:rPr>
        <w:t>15</w:t>
      </w:r>
      <w:r>
        <w:rPr>
          <w:rFonts w:hint="eastAsia" w:ascii="Times New Roman" w:hAnsi="Times New Roman" w:eastAsia="楷体_GB2312" w:cs="Times New Roman"/>
          <w:b/>
          <w:bCs/>
          <w:color w:val="000000"/>
          <w:kern w:val="0"/>
          <w:szCs w:val="32"/>
          <w:highlight w:val="none"/>
          <w:shd w:val="clear" w:color="auto" w:fill="FFFFFF"/>
          <w:lang w:val="en-US" w:eastAsia="zh-CN"/>
        </w:rPr>
        <w:t>分</w:t>
      </w:r>
      <w:r>
        <w:rPr>
          <w:rFonts w:hint="eastAsia" w:ascii="Times New Roman" w:hAnsi="Times New Roman" w:eastAsia="楷体_GB2312" w:cs="Times New Roman"/>
          <w:b/>
          <w:bCs/>
          <w:color w:val="000000"/>
          <w:kern w:val="0"/>
          <w:szCs w:val="32"/>
          <w:highlight w:val="none"/>
          <w:shd w:val="clear" w:color="auto" w:fill="FFFFFF"/>
          <w:lang w:val="zh-CN"/>
        </w:rPr>
        <w:t>）</w:t>
      </w:r>
    </w:p>
    <w:p w14:paraId="45ED022A">
      <w:pPr>
        <w:widowControl w:val="0"/>
        <w:suppressAutoHyphens w:val="0"/>
        <w:autoSpaceDN w:val="0"/>
        <w:ind w:firstLine="422" w:firstLineChars="200"/>
        <w:rPr>
          <w:rFonts w:ascii="楷体_GB2312" w:eastAsia="楷体_GB2312" w:cs="楷体_GB2312"/>
          <w:b/>
          <w:bCs/>
          <w:color w:val="000000"/>
          <w:kern w:val="0"/>
          <w:szCs w:val="32"/>
          <w:highlight w:val="none"/>
          <w:shd w:val="clear" w:color="auto" w:fill="FFFFFF"/>
          <w:lang w:val="en-US" w:eastAsia="zh-CN"/>
        </w:rPr>
      </w:pPr>
      <w:r>
        <w:rPr>
          <w:rFonts w:hint="eastAsia" w:ascii="楷体_GB2312" w:eastAsia="楷体_GB2312" w:cs="楷体_GB2312"/>
          <w:b/>
          <w:bCs/>
          <w:color w:val="000000"/>
          <w:kern w:val="0"/>
          <w:szCs w:val="32"/>
          <w:highlight w:val="none"/>
          <w:shd w:val="clear" w:color="auto" w:fill="FFFFFF"/>
          <w:lang w:val="en-US" w:eastAsia="zh-CN"/>
        </w:rPr>
        <w:t>（1）计量检定/校准履职情况</w:t>
      </w:r>
    </w:p>
    <w:p w14:paraId="20498AB2">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eastAsia="仿宋_GB2312" w:cs="宋体"/>
          <w:color w:val="000000"/>
          <w:sz w:val="32"/>
          <w:szCs w:val="32"/>
          <w:shd w:val="clear" w:color="auto" w:fill="FFFFFF"/>
          <w:lang w:val="zh-CN" w:eastAsia="zh-CN" w:bidi="ar-SA"/>
        </w:rPr>
      </w:pPr>
      <w:r>
        <w:rPr>
          <w:rFonts w:hint="eastAsia" w:ascii="仿宋_GB2312" w:eastAsia="仿宋_GB2312" w:cs="宋体"/>
          <w:color w:val="000000"/>
          <w:sz w:val="32"/>
          <w:szCs w:val="32"/>
          <w:shd w:val="clear" w:color="auto" w:fill="FFFFFF"/>
          <w:lang w:val="zh-CN" w:eastAsia="zh-CN" w:bidi="ar-SA"/>
        </w:rPr>
        <w:t>2025 年，全所上下凝心聚力、同向发力，围绕计量工作的法定职责与时代使命，统筹推进法制计量、科学计量、工业计量协同发展，各项工作呈现出“稳中有进、进中提质、质中创优”的良好态势。全年累计为</w:t>
      </w:r>
      <w:r>
        <w:rPr>
          <w:rFonts w:hint="eastAsia" w:ascii="仿宋_GB2312" w:eastAsia="仿宋_GB2312" w:cs="宋体"/>
          <w:color w:val="000000"/>
          <w:sz w:val="32"/>
          <w:szCs w:val="32"/>
          <w:shd w:val="clear" w:color="auto" w:fill="FFFFFF"/>
          <w:lang w:val="en-US" w:eastAsia="zh-CN" w:bidi="ar-SA"/>
        </w:rPr>
        <w:t>7315家</w:t>
      </w:r>
      <w:r>
        <w:rPr>
          <w:rFonts w:hint="eastAsia" w:ascii="仿宋_GB2312" w:eastAsia="仿宋_GB2312" w:cs="宋体"/>
          <w:color w:val="000000"/>
          <w:sz w:val="32"/>
          <w:szCs w:val="32"/>
          <w:shd w:val="clear" w:color="auto" w:fill="FFFFFF"/>
          <w:lang w:val="zh-CN" w:eastAsia="zh-CN" w:bidi="ar-SA"/>
        </w:rPr>
        <w:t>服务对象提供各类计量器具检定</w:t>
      </w:r>
      <w:r>
        <w:rPr>
          <w:rFonts w:hint="eastAsia" w:ascii="仿宋_GB2312" w:eastAsia="仿宋_GB2312" w:cs="宋体"/>
          <w:color w:val="000000"/>
          <w:sz w:val="32"/>
          <w:szCs w:val="32"/>
          <w:shd w:val="clear" w:color="auto" w:fill="FFFFFF"/>
          <w:lang w:val="en-US" w:eastAsia="zh-CN" w:bidi="ar-SA"/>
        </w:rPr>
        <w:t>/</w:t>
      </w:r>
      <w:r>
        <w:rPr>
          <w:rFonts w:hint="eastAsia" w:ascii="仿宋_GB2312" w:eastAsia="仿宋_GB2312" w:cs="宋体"/>
          <w:color w:val="000000"/>
          <w:sz w:val="32"/>
          <w:szCs w:val="32"/>
          <w:shd w:val="clear" w:color="auto" w:fill="FFFFFF"/>
          <w:lang w:val="zh-CN" w:eastAsia="zh-CN" w:bidi="ar-SA"/>
        </w:rPr>
        <w:t>校准业务，完成检定</w:t>
      </w:r>
      <w:r>
        <w:rPr>
          <w:rFonts w:hint="eastAsia" w:ascii="仿宋_GB2312" w:eastAsia="仿宋_GB2312" w:cs="宋体"/>
          <w:color w:val="000000"/>
          <w:sz w:val="32"/>
          <w:szCs w:val="32"/>
          <w:shd w:val="clear" w:color="auto" w:fill="FFFFFF"/>
          <w:lang w:val="en-US" w:eastAsia="zh-CN" w:bidi="ar-SA"/>
        </w:rPr>
        <w:t>/</w:t>
      </w:r>
      <w:r>
        <w:rPr>
          <w:rFonts w:hint="eastAsia" w:ascii="仿宋_GB2312" w:eastAsia="仿宋_GB2312" w:cs="宋体"/>
          <w:color w:val="000000"/>
          <w:sz w:val="32"/>
          <w:szCs w:val="32"/>
          <w:shd w:val="clear" w:color="auto" w:fill="FFFFFF"/>
          <w:lang w:val="zh-CN" w:eastAsia="zh-CN" w:bidi="ar-SA"/>
        </w:rPr>
        <w:t>校准各类计量器具</w:t>
      </w:r>
      <w:r>
        <w:rPr>
          <w:rFonts w:hint="eastAsia" w:ascii="仿宋_GB2312" w:eastAsia="仿宋_GB2312" w:cs="宋体"/>
          <w:color w:val="000000"/>
          <w:sz w:val="32"/>
          <w:szCs w:val="32"/>
          <w:shd w:val="clear" w:color="auto" w:fill="FFFFFF"/>
          <w:lang w:val="en-US" w:eastAsia="zh-CN" w:bidi="ar-SA"/>
        </w:rPr>
        <w:t>29951</w:t>
      </w:r>
      <w:r>
        <w:rPr>
          <w:rFonts w:hint="eastAsia" w:ascii="仿宋_GB2312" w:eastAsia="仿宋_GB2312" w:cs="宋体"/>
          <w:color w:val="000000"/>
          <w:sz w:val="32"/>
          <w:szCs w:val="32"/>
          <w:shd w:val="clear" w:color="auto" w:fill="FFFFFF"/>
          <w:lang w:val="zh-CN" w:eastAsia="zh-CN" w:bidi="ar-SA"/>
        </w:rPr>
        <w:t>台（件），同比增长</w:t>
      </w:r>
      <w:r>
        <w:rPr>
          <w:rFonts w:hint="eastAsia" w:ascii="仿宋_GB2312" w:eastAsia="仿宋_GB2312" w:cs="宋体"/>
          <w:color w:val="000000"/>
          <w:sz w:val="32"/>
          <w:szCs w:val="32"/>
          <w:shd w:val="clear" w:color="auto" w:fill="FFFFFF"/>
          <w:lang w:val="en-US" w:eastAsia="zh-CN" w:bidi="ar-SA"/>
        </w:rPr>
        <w:t>16.7</w:t>
      </w:r>
      <w:r>
        <w:rPr>
          <w:rFonts w:hint="eastAsia" w:ascii="仿宋_GB2312" w:eastAsia="仿宋_GB2312" w:cs="宋体"/>
          <w:color w:val="000000"/>
          <w:sz w:val="32"/>
          <w:szCs w:val="32"/>
          <w:shd w:val="clear" w:color="auto" w:fill="FFFFFF"/>
          <w:lang w:val="zh-CN" w:eastAsia="zh-CN" w:bidi="ar-SA"/>
        </w:rPr>
        <w:t>%，免收各类计量检测费用653.78万元；实现量值传递零差错、服务保障零投诉。</w:t>
      </w:r>
    </w:p>
    <w:p w14:paraId="091C0BDA">
      <w:pPr>
        <w:widowControl w:val="0"/>
        <w:suppressAutoHyphens w:val="0"/>
        <w:autoSpaceDN w:val="0"/>
        <w:ind w:firstLine="211" w:firstLineChars="100"/>
        <w:rPr>
          <w:rFonts w:hint="eastAsia" w:ascii="楷体_GB2312" w:eastAsia="楷体_GB2312" w:cs="楷体_GB2312"/>
          <w:b/>
          <w:bCs/>
          <w:color w:val="000000"/>
          <w:kern w:val="0"/>
          <w:szCs w:val="32"/>
          <w:highlight w:val="none"/>
          <w:shd w:val="clear" w:color="auto" w:fill="FFFFFF"/>
          <w:lang w:val="zh-CN" w:eastAsia="zh-CN"/>
        </w:rPr>
      </w:pPr>
      <w:r>
        <w:rPr>
          <w:rFonts w:hint="eastAsia" w:ascii="楷体_GB2312" w:eastAsia="楷体_GB2312" w:cs="楷体_GB2312"/>
          <w:b/>
          <w:bCs/>
          <w:color w:val="000000"/>
          <w:kern w:val="0"/>
          <w:szCs w:val="32"/>
          <w:highlight w:val="none"/>
          <w:shd w:val="clear" w:color="auto" w:fill="FFFFFF"/>
          <w:lang w:val="en-US" w:eastAsia="zh-CN"/>
        </w:rPr>
        <w:t>（2）计量标准建立及更新履职情况</w:t>
      </w:r>
    </w:p>
    <w:p w14:paraId="5FB5A982">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eastAsia="仿宋_GB2312" w:cs="宋体"/>
          <w:color w:val="000000"/>
          <w:sz w:val="32"/>
          <w:szCs w:val="32"/>
          <w:shd w:val="clear" w:color="auto" w:fill="FFFFFF"/>
          <w:lang w:val="zh-CN" w:eastAsia="zh-CN" w:bidi="ar-SA"/>
        </w:rPr>
      </w:pPr>
      <w:r>
        <w:rPr>
          <w:rFonts w:hint="eastAsia" w:ascii="仿宋_GB2312" w:eastAsia="仿宋_GB2312" w:cs="仿宋_GB2312"/>
          <w:sz w:val="32"/>
          <w:szCs w:val="40"/>
          <w:lang w:bidi="ar-SA"/>
        </w:rPr>
        <w:t>在</w:t>
      </w:r>
      <w:r>
        <w:rPr>
          <w:rFonts w:hint="eastAsia" w:ascii="仿宋_GB2312" w:eastAsia="仿宋_GB2312" w:cs="仿宋_GB2312"/>
          <w:sz w:val="32"/>
          <w:szCs w:val="40"/>
          <w:lang w:eastAsia="zh-CN" w:bidi="ar-SA"/>
        </w:rPr>
        <w:t>社会公用计量标准建设方面</w:t>
      </w:r>
      <w:r>
        <w:rPr>
          <w:rFonts w:hint="eastAsia" w:ascii="仿宋_GB2312" w:eastAsia="仿宋_GB2312" w:cs="仿宋_GB2312"/>
          <w:sz w:val="32"/>
          <w:szCs w:val="40"/>
          <w:lang w:bidi="ar-SA"/>
        </w:rPr>
        <w:t>，新增计量标准</w:t>
      </w:r>
      <w:r>
        <w:rPr>
          <w:rFonts w:hint="eastAsia" w:ascii="仿宋_GB2312" w:eastAsia="仿宋_GB2312" w:cs="仿宋_GB2312"/>
          <w:sz w:val="32"/>
          <w:szCs w:val="40"/>
          <w:lang w:val="en-US" w:eastAsia="zh-CN" w:bidi="ar-SA"/>
        </w:rPr>
        <w:t>3</w:t>
      </w:r>
      <w:r>
        <w:rPr>
          <w:rFonts w:hint="eastAsia" w:ascii="仿宋_GB2312" w:eastAsia="仿宋_GB2312" w:cs="仿宋_GB2312"/>
          <w:sz w:val="32"/>
          <w:szCs w:val="40"/>
          <w:lang w:bidi="ar-SA"/>
        </w:rPr>
        <w:t>项，</w:t>
      </w:r>
      <w:r>
        <w:rPr>
          <w:rFonts w:hint="eastAsia" w:ascii="仿宋_GB2312" w:eastAsia="仿宋_GB2312" w:cs="仿宋_GB2312"/>
          <w:sz w:val="32"/>
          <w:szCs w:val="40"/>
          <w:lang w:eastAsia="zh-CN" w:bidi="ar-SA"/>
        </w:rPr>
        <w:t>更新</w:t>
      </w:r>
      <w:r>
        <w:rPr>
          <w:rFonts w:hint="eastAsia" w:ascii="仿宋_GB2312" w:eastAsia="仿宋_GB2312" w:cs="仿宋_GB2312"/>
          <w:sz w:val="32"/>
          <w:szCs w:val="40"/>
          <w:lang w:bidi="ar-SA"/>
        </w:rPr>
        <w:t>计量标准</w:t>
      </w:r>
      <w:r>
        <w:rPr>
          <w:rFonts w:hint="eastAsia" w:ascii="仿宋_GB2312" w:eastAsia="仿宋_GB2312" w:cs="仿宋_GB2312"/>
          <w:sz w:val="32"/>
          <w:szCs w:val="40"/>
          <w:lang w:val="en-US" w:eastAsia="zh-CN" w:bidi="ar-SA"/>
        </w:rPr>
        <w:t>4</w:t>
      </w:r>
      <w:r>
        <w:rPr>
          <w:rFonts w:hint="eastAsia" w:ascii="仿宋_GB2312" w:eastAsia="仿宋_GB2312" w:cs="仿宋_GB2312"/>
          <w:sz w:val="32"/>
          <w:szCs w:val="40"/>
          <w:lang w:bidi="ar-SA"/>
        </w:rPr>
        <w:t>项，</w:t>
      </w:r>
      <w:r>
        <w:rPr>
          <w:rFonts w:hint="eastAsia" w:ascii="仿宋_GB2312" w:eastAsia="仿宋_GB2312" w:cs="仿宋_GB2312"/>
          <w:sz w:val="32"/>
          <w:szCs w:val="40"/>
          <w:lang w:eastAsia="zh-CN" w:bidi="ar-SA"/>
        </w:rPr>
        <w:t>弥补我州部分计量检测领域空白</w:t>
      </w:r>
      <w:r>
        <w:rPr>
          <w:rFonts w:hint="eastAsia" w:ascii="仿宋_GB2312" w:eastAsia="仿宋_GB2312" w:cs="仿宋_GB2312"/>
          <w:sz w:val="32"/>
          <w:szCs w:val="40"/>
          <w:lang w:bidi="ar-SA"/>
        </w:rPr>
        <w:t>；在服务保障方面，深耕传统领域、拓展新兴赛道，民生计量保障全覆盖，新兴产业服务精准化，</w:t>
      </w:r>
      <w:r>
        <w:rPr>
          <w:rFonts w:hint="eastAsia" w:ascii="仿宋_GB2312" w:eastAsia="仿宋_GB2312" w:cs="仿宋_GB2312"/>
          <w:sz w:val="32"/>
          <w:szCs w:val="40"/>
          <w:lang w:eastAsia="zh-CN" w:bidi="ar-SA"/>
        </w:rPr>
        <w:t>满足客户需求</w:t>
      </w:r>
      <w:r>
        <w:rPr>
          <w:rFonts w:hint="eastAsia" w:ascii="仿宋_GB2312" w:eastAsia="仿宋_GB2312" w:cs="仿宋_GB2312"/>
          <w:sz w:val="32"/>
          <w:szCs w:val="40"/>
          <w:lang w:bidi="ar-SA"/>
        </w:rPr>
        <w:t>；在队伍建设方面，人才梯队结构持续优化，专业素养显著提升，为计量事业长远发展筑牢人才根基。</w:t>
      </w:r>
    </w:p>
    <w:p w14:paraId="4C360CF3">
      <w:pPr>
        <w:widowControl w:val="0"/>
        <w:suppressAutoHyphens w:val="0"/>
        <w:autoSpaceDN w:val="0"/>
        <w:ind w:firstLine="422" w:firstLineChars="200"/>
        <w:rPr>
          <w:rFonts w:ascii="楷体_GB2312" w:eastAsia="楷体_GB2312" w:cs="楷体_GB2312"/>
          <w:b/>
          <w:bCs/>
          <w:color w:val="000000"/>
          <w:kern w:val="0"/>
          <w:szCs w:val="32"/>
          <w:highlight w:val="none"/>
          <w:shd w:val="clear" w:color="auto" w:fill="FFFFFF"/>
          <w:lang w:val="en-US" w:eastAsia="zh-CN"/>
        </w:rPr>
      </w:pPr>
      <w:r>
        <w:rPr>
          <w:rFonts w:hint="eastAsia" w:ascii="楷体_GB2312" w:eastAsia="楷体_GB2312" w:cs="楷体_GB2312"/>
          <w:b/>
          <w:bCs/>
          <w:color w:val="000000"/>
          <w:kern w:val="0"/>
          <w:szCs w:val="32"/>
          <w:highlight w:val="none"/>
          <w:shd w:val="clear" w:color="auto" w:fill="FFFFFF"/>
          <w:lang w:val="en-US" w:eastAsia="zh-CN"/>
        </w:rPr>
        <w:t>（3）省级市场监管任务履职情况</w:t>
      </w:r>
    </w:p>
    <w:p w14:paraId="152E7197">
      <w:pPr>
        <w:widowControl w:val="0"/>
        <w:suppressAutoHyphens w:val="0"/>
        <w:autoSpaceDN w:val="0"/>
        <w:spacing w:line="560" w:lineRule="exact"/>
        <w:ind w:firstLine="640" w:firstLineChars="200"/>
        <w:rPr>
          <w:rFonts w:eastAsia="仿宋_GB2312"/>
          <w:lang w:val="en-US" w:eastAsia="zh-CN"/>
        </w:rPr>
      </w:pPr>
      <w:r>
        <w:rPr>
          <w:rFonts w:hint="eastAsia" w:ascii="仿宋_GB2312" w:eastAsia="仿宋_GB2312" w:cs="仿宋_GB2312"/>
          <w:sz w:val="32"/>
          <w:szCs w:val="40"/>
          <w:lang w:eastAsia="zh-CN" w:bidi="ar-SA"/>
        </w:rPr>
        <w:t>积极配合省、州局开展定量包装商品净含量省级监督检验、</w:t>
      </w:r>
      <w:r>
        <w:rPr>
          <w:rFonts w:hint="eastAsia" w:ascii="仿宋_GB2312" w:hAnsi="仿宋_GB2312" w:cs="仿宋_GB2312"/>
          <w:sz w:val="32"/>
          <w:szCs w:val="40"/>
          <w:lang w:val="en-US" w:eastAsia="zh-CN" w:bidi="ar-SA"/>
        </w:rPr>
        <w:t>动态汽车衡计量监督检查、</w:t>
      </w:r>
      <w:r>
        <w:rPr>
          <w:rFonts w:hint="eastAsia" w:ascii="仿宋_GB2312" w:eastAsia="仿宋_GB2312" w:cs="仿宋_GB2312"/>
          <w:sz w:val="32"/>
          <w:szCs w:val="40"/>
          <w:lang w:eastAsia="zh-CN" w:bidi="ar-SA"/>
        </w:rPr>
        <w:t>能源计量审查、燃油加油机暗访、重大节假日等专项检查，为行政监管提供有力的技术支撑；在计量法律法规宣传方面，通过“</w:t>
      </w:r>
      <w:r>
        <w:rPr>
          <w:rFonts w:hint="eastAsia" w:ascii="仿宋_GB2312" w:eastAsia="仿宋_GB2312" w:cs="仿宋_GB2312"/>
          <w:sz w:val="32"/>
          <w:szCs w:val="40"/>
          <w:lang w:val="en-US" w:eastAsia="zh-CN" w:bidi="ar-SA"/>
        </w:rPr>
        <w:t>315消费者权益保护日</w:t>
      </w:r>
      <w:r>
        <w:rPr>
          <w:rFonts w:hint="eastAsia" w:ascii="仿宋_GB2312" w:eastAsia="仿宋_GB2312" w:cs="仿宋_GB2312"/>
          <w:sz w:val="32"/>
          <w:szCs w:val="40"/>
          <w:lang w:eastAsia="zh-CN" w:bidi="ar-SA"/>
        </w:rPr>
        <w:t>”、“</w:t>
      </w:r>
      <w:r>
        <w:rPr>
          <w:rFonts w:hint="eastAsia" w:ascii="仿宋_GB2312" w:eastAsia="仿宋_GB2312" w:cs="仿宋_GB2312"/>
          <w:sz w:val="32"/>
          <w:szCs w:val="40"/>
          <w:lang w:val="en-US" w:eastAsia="zh-CN" w:bidi="ar-SA"/>
        </w:rPr>
        <w:t>5.20世界计量日</w:t>
      </w:r>
      <w:r>
        <w:rPr>
          <w:rFonts w:hint="eastAsia" w:ascii="仿宋_GB2312" w:eastAsia="仿宋_GB2312" w:cs="仿宋_GB2312"/>
          <w:sz w:val="32"/>
          <w:szCs w:val="40"/>
          <w:lang w:eastAsia="zh-CN" w:bidi="ar-SA"/>
        </w:rPr>
        <w:t>”“手机变砝码”等活动向社会宣传计量法律法规和日常计量常识，提高了广大群众对计量工作的认知</w:t>
      </w:r>
      <w:r>
        <w:rPr>
          <w:rFonts w:hint="eastAsia" w:ascii="仿宋_GB2312" w:hAnsi="仿宋_GB2312" w:cs="仿宋_GB2312"/>
          <w:sz w:val="32"/>
          <w:szCs w:val="40"/>
          <w:lang w:eastAsia="zh-CN" w:bidi="ar-SA"/>
        </w:rPr>
        <w:t>。</w:t>
      </w:r>
    </w:p>
    <w:p w14:paraId="2A464ABC">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223" w:firstLine="422" w:firstLineChars="200"/>
        <w:contextualSpacing/>
        <w:jc w:val="left"/>
        <w:textAlignment w:val="auto"/>
        <w:outlineLvl w:val="9"/>
        <w:rPr>
          <w:rFonts w:hint="eastAsia"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预算管理。</w:t>
      </w:r>
      <w:r>
        <w:rPr>
          <w:rFonts w:hint="eastAsia"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en-US" w:eastAsia="zh-CN"/>
        </w:rPr>
        <w:t>得分</w:t>
      </w:r>
      <w:r>
        <w:rPr>
          <w:rFonts w:hint="eastAsia" w:eastAsia="楷体_GB2312" w:cs="Times New Roman"/>
          <w:b/>
          <w:bCs/>
          <w:color w:val="000000"/>
          <w:kern w:val="0"/>
          <w:szCs w:val="32"/>
          <w:highlight w:val="none"/>
          <w:shd w:val="clear" w:color="auto" w:fill="FFFFFF"/>
          <w:lang w:val="en-US" w:eastAsia="zh-CN"/>
        </w:rPr>
        <w:t>23.4</w:t>
      </w:r>
      <w:r>
        <w:rPr>
          <w:rFonts w:hint="eastAsia" w:ascii="Times New Roman" w:hAnsi="Times New Roman" w:eastAsia="楷体_GB2312" w:cs="Times New Roman"/>
          <w:b/>
          <w:bCs/>
          <w:color w:val="000000"/>
          <w:kern w:val="0"/>
          <w:szCs w:val="32"/>
          <w:highlight w:val="none"/>
          <w:shd w:val="clear" w:color="auto" w:fill="FFFFFF"/>
          <w:lang w:val="en-US" w:eastAsia="zh-CN"/>
        </w:rPr>
        <w:t>分</w:t>
      </w:r>
      <w:r>
        <w:rPr>
          <w:rFonts w:hint="eastAsia" w:ascii="Times New Roman" w:hAnsi="Times New Roman" w:eastAsia="楷体_GB2312" w:cs="Times New Roman"/>
          <w:b/>
          <w:bCs/>
          <w:color w:val="000000"/>
          <w:kern w:val="0"/>
          <w:szCs w:val="32"/>
          <w:highlight w:val="none"/>
          <w:shd w:val="clear" w:color="auto" w:fill="FFFFFF"/>
          <w:lang w:val="zh-CN"/>
        </w:rPr>
        <w:t>）</w:t>
      </w:r>
    </w:p>
    <w:p w14:paraId="172940D8">
      <w:pPr>
        <w:widowControl w:val="0"/>
        <w:suppressAutoHyphens w:val="0"/>
        <w:autoSpaceDN w:val="0"/>
        <w:ind w:firstLine="422" w:firstLineChars="200"/>
        <w:rPr>
          <w:rFonts w:hint="eastAsia" w:ascii="楷体_GB2312" w:eastAsia="楷体_GB2312" w:cs="楷体_GB2312"/>
          <w:b/>
          <w:bCs/>
          <w:color w:val="000000"/>
          <w:kern w:val="0"/>
          <w:szCs w:val="32"/>
          <w:highlight w:val="none"/>
          <w:shd w:val="clear" w:color="auto" w:fill="FFFFFF"/>
          <w:lang w:val="en-US" w:eastAsia="zh-CN"/>
        </w:rPr>
      </w:pPr>
      <w:r>
        <w:rPr>
          <w:rFonts w:hint="eastAsia" w:ascii="楷体_GB2312" w:eastAsia="楷体_GB2312" w:cs="楷体_GB2312"/>
          <w:b/>
          <w:bCs/>
          <w:color w:val="000000"/>
          <w:kern w:val="0"/>
          <w:szCs w:val="32"/>
          <w:highlight w:val="none"/>
          <w:shd w:val="clear" w:color="auto" w:fill="FFFFFF"/>
          <w:lang w:val="zh-CN" w:eastAsia="zh-CN"/>
        </w:rPr>
        <w:t>（</w:t>
      </w:r>
      <w:r>
        <w:rPr>
          <w:rFonts w:hint="eastAsia" w:ascii="楷体_GB2312" w:eastAsia="楷体_GB2312" w:cs="楷体_GB2312"/>
          <w:b/>
          <w:bCs/>
          <w:color w:val="000000"/>
          <w:kern w:val="0"/>
          <w:szCs w:val="32"/>
          <w:highlight w:val="none"/>
          <w:shd w:val="clear" w:color="auto" w:fill="FFFFFF"/>
          <w:lang w:val="en-US" w:eastAsia="zh-CN"/>
        </w:rPr>
        <w:t>1）预算编制质量</w:t>
      </w:r>
    </w:p>
    <w:p w14:paraId="3C4F9847">
      <w:pPr>
        <w:widowControl w:val="0"/>
        <w:suppressAutoHyphens w:val="0"/>
        <w:autoSpaceDN w:val="0"/>
        <w:spacing w:line="560" w:lineRule="exact"/>
        <w:ind w:firstLine="640" w:firstLineChars="200"/>
        <w:rPr>
          <w:rFonts w:ascii="仿宋_GB2312" w:eastAsia="仿宋_GB2312" w:cs="仿宋_GB2312"/>
          <w:sz w:val="32"/>
          <w:szCs w:val="40"/>
          <w:lang w:val="en-US" w:eastAsia="zh-CN" w:bidi="ar-SA"/>
        </w:rPr>
      </w:pPr>
      <w:r>
        <w:rPr>
          <w:rFonts w:hint="eastAsia" w:ascii="仿宋_GB2312" w:eastAsia="仿宋_GB2312" w:cs="仿宋_GB2312"/>
          <w:sz w:val="32"/>
          <w:szCs w:val="40"/>
          <w:lang w:val="zh-CN" w:eastAsia="zh-CN" w:bidi="ar-SA"/>
        </w:rPr>
        <w:t>我所严格按照州财政局、州局相关预算编制要求，结合我所年度工作</w:t>
      </w:r>
      <w:r>
        <w:rPr>
          <w:rFonts w:hint="eastAsia" w:ascii="仿宋_GB2312" w:eastAsia="仿宋_GB2312" w:cs="仿宋_GB2312"/>
          <w:sz w:val="32"/>
          <w:szCs w:val="40"/>
          <w:lang w:val="en-US" w:eastAsia="zh-CN" w:bidi="ar-SA"/>
        </w:rPr>
        <w:t>目标任务</w:t>
      </w:r>
      <w:r>
        <w:rPr>
          <w:rFonts w:hint="eastAsia" w:ascii="仿宋_GB2312" w:eastAsia="仿宋_GB2312" w:cs="仿宋_GB2312"/>
          <w:sz w:val="32"/>
          <w:szCs w:val="40"/>
          <w:lang w:val="zh-CN" w:eastAsia="zh-CN" w:bidi="ar-SA"/>
        </w:rPr>
        <w:t>，积极总结以往年度预算执行情况，认真编制了</w:t>
      </w:r>
      <w:r>
        <w:rPr>
          <w:rFonts w:hint="eastAsia" w:ascii="仿宋_GB2312" w:eastAsia="仿宋_GB2312" w:cs="仿宋_GB2312"/>
          <w:sz w:val="32"/>
          <w:szCs w:val="40"/>
          <w:lang w:val="en-US" w:eastAsia="zh-CN" w:bidi="ar-SA"/>
        </w:rPr>
        <w:t>2025年度预算，</w:t>
      </w:r>
      <w:r>
        <w:rPr>
          <w:rFonts w:hint="eastAsia" w:ascii="仿宋_GB2312" w:eastAsia="仿宋_GB2312" w:cs="仿宋_GB2312"/>
          <w:sz w:val="32"/>
          <w:szCs w:val="40"/>
          <w:lang w:val="zh-CN" w:eastAsia="zh-CN" w:bidi="ar-SA"/>
        </w:rPr>
        <w:t>进一步保证了预算编制的科学性和准确性。</w:t>
      </w:r>
      <w:r>
        <w:rPr>
          <w:rFonts w:hint="eastAsia" w:ascii="仿宋_GB2312" w:eastAsia="仿宋_GB2312" w:cs="仿宋_GB2312"/>
          <w:sz w:val="32"/>
          <w:szCs w:val="40"/>
          <w:lang w:val="en-US" w:eastAsia="zh-CN" w:bidi="ar-SA"/>
        </w:rPr>
        <w:t>按“部门预算绩效评价指标体系”进行评分，</w:t>
      </w:r>
      <w:r>
        <w:rPr>
          <w:rFonts w:hint="eastAsia" w:ascii="仿宋_GB2312" w:eastAsia="仿宋_GB2312" w:cs="仿宋_GB2312"/>
          <w:sz w:val="32"/>
          <w:szCs w:val="40"/>
          <w:lang w:val="zh-CN" w:eastAsia="zh-CN" w:bidi="ar-SA"/>
        </w:rPr>
        <w:t>得分</w:t>
      </w:r>
      <w:r>
        <w:rPr>
          <w:rFonts w:hint="eastAsia" w:ascii="仿宋_GB2312" w:eastAsia="仿宋_GB2312" w:cs="仿宋_GB2312"/>
          <w:sz w:val="32"/>
          <w:szCs w:val="40"/>
          <w:lang w:val="en-US" w:eastAsia="zh-CN" w:bidi="ar-SA"/>
        </w:rPr>
        <w:t>6.81分。</w:t>
      </w:r>
    </w:p>
    <w:p w14:paraId="0786803D">
      <w:pPr>
        <w:widowControl w:val="0"/>
        <w:suppressAutoHyphens w:val="0"/>
        <w:autoSpaceDN w:val="0"/>
        <w:ind w:firstLine="422" w:firstLineChars="200"/>
        <w:rPr>
          <w:rFonts w:hint="eastAsia" w:ascii="楷体_GB2312" w:eastAsia="楷体_GB2312" w:cs="楷体_GB2312"/>
          <w:b/>
          <w:bCs/>
          <w:color w:val="000000"/>
          <w:kern w:val="0"/>
          <w:szCs w:val="32"/>
          <w:highlight w:val="none"/>
          <w:shd w:val="clear" w:color="auto" w:fill="FFFFFF"/>
          <w:lang w:val="en-US" w:eastAsia="zh-CN"/>
        </w:rPr>
      </w:pPr>
      <w:r>
        <w:rPr>
          <w:rFonts w:hint="eastAsia" w:ascii="楷体_GB2312" w:eastAsia="楷体_GB2312" w:cs="楷体_GB2312"/>
          <w:b/>
          <w:bCs/>
          <w:color w:val="000000"/>
          <w:kern w:val="0"/>
          <w:szCs w:val="32"/>
          <w:highlight w:val="none"/>
          <w:shd w:val="clear" w:color="auto" w:fill="FFFFFF"/>
          <w:lang w:val="en-US" w:eastAsia="zh-CN"/>
        </w:rPr>
        <w:t>（2）单位收入统筹</w:t>
      </w:r>
    </w:p>
    <w:p w14:paraId="5FAA40E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eastAsia="仿宋_GB2312" w:cs="Times New Roman"/>
          <w:color w:val="FF0000"/>
          <w:kern w:val="0"/>
          <w:szCs w:val="32"/>
          <w:highlight w:val="none"/>
          <w:shd w:val="clear" w:color="auto" w:fill="FFFFFF"/>
          <w:lang w:val="en-US" w:eastAsia="zh-CN"/>
        </w:rPr>
      </w:pPr>
      <w:r>
        <w:rPr>
          <w:rFonts w:hint="eastAsia" w:cs="Times New Roman"/>
          <w:sz w:val="32"/>
          <w:szCs w:val="32"/>
          <w:highlight w:val="none"/>
          <w:u w:val="none"/>
          <w:lang w:val="en-US" w:eastAsia="zh-CN"/>
        </w:rPr>
        <w:t>我单位</w:t>
      </w:r>
      <w:r>
        <w:rPr>
          <w:rFonts w:hint="eastAsia" w:ascii="Times New Roman" w:hAnsi="Times New Roman" w:eastAsia="仿宋_GB2312" w:cs="Times New Roman"/>
          <w:sz w:val="32"/>
          <w:szCs w:val="32"/>
          <w:highlight w:val="none"/>
          <w:u w:val="none"/>
          <w:lang w:val="zh-CN" w:eastAsia="zh-CN"/>
        </w:rPr>
        <w:t>收入</w:t>
      </w:r>
      <w:r>
        <w:rPr>
          <w:rFonts w:hint="eastAsia" w:cs="Times New Roman"/>
          <w:sz w:val="32"/>
          <w:szCs w:val="32"/>
          <w:highlight w:val="none"/>
          <w:u w:val="none"/>
          <w:lang w:val="en-US" w:eastAsia="zh-CN"/>
        </w:rPr>
        <w:t>已全部</w:t>
      </w:r>
      <w:r>
        <w:rPr>
          <w:rFonts w:hint="eastAsia" w:ascii="Times New Roman" w:hAnsi="Times New Roman" w:eastAsia="仿宋_GB2312" w:cs="Times New Roman"/>
          <w:sz w:val="32"/>
          <w:szCs w:val="32"/>
          <w:highlight w:val="none"/>
          <w:u w:val="none"/>
          <w:lang w:val="zh-CN" w:eastAsia="zh-CN"/>
        </w:rPr>
        <w:t>纳入统筹，得分</w:t>
      </w:r>
      <w:r>
        <w:rPr>
          <w:rFonts w:hint="eastAsia" w:ascii="Times New Roman" w:hAnsi="Times New Roman" w:eastAsia="仿宋_GB2312" w:cs="Times New Roman"/>
          <w:sz w:val="32"/>
          <w:szCs w:val="32"/>
          <w:highlight w:val="none"/>
          <w:u w:val="none"/>
          <w:lang w:val="en-US" w:eastAsia="zh-CN"/>
        </w:rPr>
        <w:t>4分</w:t>
      </w:r>
      <w:r>
        <w:rPr>
          <w:rFonts w:hint="eastAsia" w:cs="Times New Roman"/>
          <w:color w:val="auto"/>
          <w:kern w:val="0"/>
          <w:szCs w:val="32"/>
          <w:highlight w:val="none"/>
          <w:shd w:val="clear" w:color="auto" w:fill="FFFFFF"/>
          <w:lang w:val="zh-CN"/>
        </w:rPr>
        <w:t>。</w:t>
      </w:r>
      <w:r>
        <w:rPr>
          <w:rFonts w:hint="eastAsia" w:cs="Times New Roman"/>
          <w:color w:val="auto"/>
          <w:kern w:val="0"/>
          <w:szCs w:val="32"/>
          <w:highlight w:val="none"/>
          <w:shd w:val="clear" w:color="auto" w:fill="FFFFFF"/>
          <w:lang w:val="en-US" w:eastAsia="zh-CN"/>
        </w:rPr>
        <w:t xml:space="preserve">                        </w:t>
      </w:r>
      <w:r>
        <w:rPr>
          <w:rFonts w:hint="eastAsia" w:cs="Times New Roman"/>
          <w:color w:val="FF0000"/>
          <w:kern w:val="0"/>
          <w:szCs w:val="32"/>
          <w:highlight w:val="none"/>
          <w:shd w:val="clear" w:color="auto" w:fill="FFFFFF"/>
          <w:lang w:val="en-US" w:eastAsia="zh-CN"/>
        </w:rPr>
        <w:t xml:space="preserve">                                                                                      </w:t>
      </w:r>
    </w:p>
    <w:p w14:paraId="665B6B42">
      <w:pPr>
        <w:widowControl w:val="0"/>
        <w:suppressAutoHyphens w:val="0"/>
        <w:autoSpaceDN w:val="0"/>
        <w:ind w:firstLine="422" w:firstLineChars="200"/>
        <w:rPr>
          <w:rFonts w:hint="eastAsia" w:ascii="楷体_GB2312" w:eastAsia="楷体_GB2312" w:cs="楷体_GB2312"/>
          <w:b/>
          <w:bCs/>
          <w:color w:val="000000"/>
          <w:kern w:val="0"/>
          <w:szCs w:val="32"/>
          <w:highlight w:val="none"/>
          <w:shd w:val="clear" w:color="auto" w:fill="FFFFFF"/>
          <w:lang w:val="zh-CN" w:eastAsia="zh-CN"/>
        </w:rPr>
      </w:pPr>
      <w:r>
        <w:rPr>
          <w:rFonts w:hint="eastAsia" w:ascii="楷体_GB2312" w:eastAsia="楷体_GB2312" w:cs="楷体_GB2312"/>
          <w:b/>
          <w:bCs/>
          <w:color w:val="000000"/>
          <w:kern w:val="0"/>
          <w:szCs w:val="32"/>
          <w:highlight w:val="none"/>
          <w:shd w:val="clear" w:color="auto" w:fill="FFFFFF"/>
          <w:lang w:val="zh-CN" w:eastAsia="zh-CN"/>
        </w:rPr>
        <w:t>（</w:t>
      </w:r>
      <w:r>
        <w:rPr>
          <w:rFonts w:hint="eastAsia" w:ascii="楷体_GB2312" w:eastAsia="楷体_GB2312" w:cs="楷体_GB2312"/>
          <w:b/>
          <w:bCs/>
          <w:color w:val="000000"/>
          <w:kern w:val="0"/>
          <w:szCs w:val="32"/>
          <w:highlight w:val="none"/>
          <w:shd w:val="clear" w:color="auto" w:fill="FFFFFF"/>
          <w:lang w:val="en-US" w:eastAsia="zh-CN"/>
        </w:rPr>
        <w:t>3</w:t>
      </w:r>
      <w:r>
        <w:rPr>
          <w:rFonts w:hint="eastAsia" w:ascii="楷体_GB2312" w:eastAsia="楷体_GB2312" w:cs="楷体_GB2312"/>
          <w:b/>
          <w:bCs/>
          <w:color w:val="000000"/>
          <w:kern w:val="0"/>
          <w:szCs w:val="32"/>
          <w:highlight w:val="none"/>
          <w:shd w:val="clear" w:color="auto" w:fill="FFFFFF"/>
          <w:lang w:val="zh-CN" w:eastAsia="zh-CN"/>
        </w:rPr>
        <w:t>）支出执行进度</w:t>
      </w:r>
      <w:r>
        <w:rPr>
          <w:rFonts w:hint="eastAsia" w:ascii="楷体_GB2312" w:eastAsia="楷体_GB2312" w:cs="楷体_GB2312"/>
          <w:b/>
          <w:bCs/>
          <w:color w:val="000000"/>
          <w:kern w:val="0"/>
          <w:szCs w:val="32"/>
          <w:highlight w:val="none"/>
          <w:shd w:val="clear" w:color="auto" w:fill="FFFFFF"/>
          <w:lang w:val="en-US" w:eastAsia="zh-CN"/>
        </w:rPr>
        <w:t xml:space="preserve"> </w:t>
      </w:r>
    </w:p>
    <w:p w14:paraId="08A94F9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lang w:val="zh-CN"/>
        </w:rPr>
      </w:pPr>
      <w:r>
        <w:rPr>
          <w:rFonts w:hint="eastAsia" w:ascii="仿宋_GB2312" w:eastAsia="仿宋_GB2312" w:cs="仿宋_GB2312"/>
          <w:sz w:val="32"/>
          <w:szCs w:val="40"/>
          <w:lang w:val="en-US" w:eastAsia="zh-CN" w:bidi="ar-SA"/>
        </w:rPr>
        <w:t>我所严格按照预算执行要求，合理安排预算进度，稳步推进年度预算绩效管理。 2025年我所全年预算数为546.51万元，6月，我所完成支付数为344.23万元，1至6月预算执行进度62.99%，10月我所完成支付数为442.79万元，1至10月预算执行进度81.02%，得分5.84分。</w:t>
      </w:r>
      <w:r>
        <w:rPr>
          <w:rFonts w:hint="eastAsia" w:cs="Times New Roman"/>
          <w:color w:val="FF0000"/>
          <w:kern w:val="0"/>
          <w:szCs w:val="32"/>
          <w:highlight w:val="none"/>
          <w:shd w:val="clear" w:color="auto" w:fill="FFFFFF"/>
          <w:lang w:val="en-US" w:eastAsia="zh-CN"/>
        </w:rPr>
        <w:t xml:space="preserve">                                                      </w:t>
      </w:r>
    </w:p>
    <w:p w14:paraId="1669C611">
      <w:pPr>
        <w:widowControl w:val="0"/>
        <w:suppressAutoHyphens w:val="0"/>
        <w:autoSpaceDN w:val="0"/>
        <w:ind w:firstLine="422" w:firstLineChars="200"/>
        <w:rPr>
          <w:rFonts w:hint="eastAsia" w:ascii="楷体_GB2312" w:eastAsia="楷体_GB2312" w:cs="楷体_GB2312"/>
          <w:b/>
          <w:bCs/>
          <w:color w:val="000000"/>
          <w:kern w:val="0"/>
          <w:szCs w:val="32"/>
          <w:highlight w:val="none"/>
          <w:shd w:val="clear" w:color="auto" w:fill="FFFFFF"/>
          <w:lang w:val="zh-CN" w:eastAsia="zh-CN"/>
        </w:rPr>
      </w:pPr>
      <w:r>
        <w:rPr>
          <w:rFonts w:hint="eastAsia" w:ascii="楷体_GB2312" w:eastAsia="楷体_GB2312" w:cs="楷体_GB2312"/>
          <w:b/>
          <w:bCs/>
          <w:color w:val="000000"/>
          <w:kern w:val="0"/>
          <w:szCs w:val="32"/>
          <w:highlight w:val="none"/>
          <w:shd w:val="clear" w:color="auto" w:fill="FFFFFF"/>
          <w:lang w:val="zh-CN" w:eastAsia="zh-CN"/>
        </w:rPr>
        <w:t>（</w:t>
      </w:r>
      <w:r>
        <w:rPr>
          <w:rFonts w:hint="eastAsia" w:ascii="楷体_GB2312" w:eastAsia="楷体_GB2312" w:cs="楷体_GB2312"/>
          <w:b/>
          <w:bCs/>
          <w:color w:val="000000"/>
          <w:kern w:val="0"/>
          <w:szCs w:val="32"/>
          <w:highlight w:val="none"/>
          <w:shd w:val="clear" w:color="auto" w:fill="FFFFFF"/>
          <w:lang w:val="en-US" w:eastAsia="zh-CN"/>
        </w:rPr>
        <w:t>4</w:t>
      </w:r>
      <w:r>
        <w:rPr>
          <w:rFonts w:hint="eastAsia" w:ascii="楷体_GB2312" w:eastAsia="楷体_GB2312" w:cs="楷体_GB2312"/>
          <w:b/>
          <w:bCs/>
          <w:color w:val="000000"/>
          <w:kern w:val="0"/>
          <w:szCs w:val="32"/>
          <w:highlight w:val="none"/>
          <w:shd w:val="clear" w:color="auto" w:fill="FFFFFF"/>
          <w:lang w:val="zh-CN" w:eastAsia="zh-CN"/>
        </w:rPr>
        <w:t>）预算年终结余</w:t>
      </w:r>
      <w:r>
        <w:rPr>
          <w:rFonts w:hint="eastAsia" w:ascii="楷体_GB2312" w:eastAsia="楷体_GB2312" w:cs="楷体_GB2312"/>
          <w:b/>
          <w:bCs/>
          <w:color w:val="000000"/>
          <w:kern w:val="0"/>
          <w:szCs w:val="32"/>
          <w:highlight w:val="none"/>
          <w:shd w:val="clear" w:color="auto" w:fill="FFFFFF"/>
          <w:lang w:val="en-US" w:eastAsia="zh-CN"/>
        </w:rPr>
        <w:t xml:space="preserve"> </w:t>
      </w:r>
    </w:p>
    <w:p w14:paraId="4F01679E">
      <w:pPr>
        <w:pStyle w:val="19"/>
        <w:ind w:firstLine="640" w:firstLineChars="200"/>
        <w:rPr>
          <w:lang w:val="en-US" w:eastAsia="zh-CN"/>
        </w:rPr>
      </w:pPr>
      <w:r>
        <w:rPr>
          <w:rFonts w:hint="eastAsia" w:cs="Times New Roman"/>
          <w:sz w:val="32"/>
          <w:szCs w:val="32"/>
          <w:highlight w:val="none"/>
          <w:u w:val="none"/>
          <w:lang w:val="en-US" w:eastAsia="zh-CN"/>
        </w:rPr>
        <w:t>2025年我单位年终预算注销资金为67.4万元，单位预算结余率为12.33%。</w:t>
      </w:r>
      <w:r>
        <w:rPr>
          <w:rFonts w:hint="eastAsia" w:cs="Times New Roman"/>
          <w:color w:val="auto"/>
          <w:kern w:val="0"/>
          <w:szCs w:val="32"/>
          <w:highlight w:val="none"/>
          <w:shd w:val="clear" w:color="auto" w:fill="FFFFFF"/>
          <w:lang w:val="en-US" w:eastAsia="zh-CN"/>
        </w:rPr>
        <w:t>得分1.75分。</w:t>
      </w:r>
    </w:p>
    <w:p w14:paraId="20E0D006">
      <w:pPr>
        <w:widowControl w:val="0"/>
        <w:suppressAutoHyphens w:val="0"/>
        <w:autoSpaceDN w:val="0"/>
        <w:ind w:firstLine="422" w:firstLineChars="200"/>
        <w:rPr>
          <w:rFonts w:hint="eastAsia" w:ascii="楷体_GB2312" w:eastAsia="楷体_GB2312" w:cs="楷体_GB2312"/>
          <w:b/>
          <w:bCs/>
          <w:color w:val="000000"/>
          <w:kern w:val="0"/>
          <w:szCs w:val="32"/>
          <w:highlight w:val="none"/>
          <w:shd w:val="clear" w:color="auto" w:fill="FFFFFF"/>
          <w:lang w:val="zh-CN" w:eastAsia="zh-CN"/>
        </w:rPr>
      </w:pPr>
      <w:r>
        <w:rPr>
          <w:rFonts w:hint="eastAsia" w:ascii="楷体_GB2312" w:eastAsia="楷体_GB2312" w:cs="楷体_GB2312"/>
          <w:b/>
          <w:bCs/>
          <w:color w:val="000000"/>
          <w:kern w:val="0"/>
          <w:szCs w:val="32"/>
          <w:highlight w:val="none"/>
          <w:shd w:val="clear" w:color="auto" w:fill="FFFFFF"/>
          <w:lang w:val="zh-CN" w:eastAsia="zh-CN"/>
        </w:rPr>
        <w:t>（</w:t>
      </w:r>
      <w:r>
        <w:rPr>
          <w:rFonts w:hint="eastAsia" w:ascii="楷体_GB2312" w:eastAsia="楷体_GB2312" w:cs="楷体_GB2312"/>
          <w:b/>
          <w:bCs/>
          <w:color w:val="000000"/>
          <w:kern w:val="0"/>
          <w:szCs w:val="32"/>
          <w:highlight w:val="none"/>
          <w:shd w:val="clear" w:color="auto" w:fill="FFFFFF"/>
          <w:lang w:val="en-US" w:eastAsia="zh-CN"/>
        </w:rPr>
        <w:t>5</w:t>
      </w:r>
      <w:r>
        <w:rPr>
          <w:rFonts w:hint="eastAsia" w:ascii="楷体_GB2312" w:eastAsia="楷体_GB2312" w:cs="楷体_GB2312"/>
          <w:b/>
          <w:bCs/>
          <w:color w:val="000000"/>
          <w:kern w:val="0"/>
          <w:szCs w:val="32"/>
          <w:highlight w:val="none"/>
          <w:shd w:val="clear" w:color="auto" w:fill="FFFFFF"/>
          <w:lang w:val="zh-CN" w:eastAsia="zh-CN"/>
        </w:rPr>
        <w:t>）严控一般性支出</w:t>
      </w:r>
      <w:r>
        <w:rPr>
          <w:rFonts w:ascii="楷体_GB2312" w:eastAsia="楷体_GB2312" w:cs="楷体_GB2312"/>
          <w:b/>
          <w:bCs/>
          <w:color w:val="000000"/>
          <w:kern w:val="0"/>
          <w:szCs w:val="32"/>
          <w:highlight w:val="none"/>
          <w:shd w:val="clear" w:color="auto" w:fill="FFFFFF"/>
          <w:lang w:val="zh-CN" w:eastAsia="zh-CN"/>
        </w:rPr>
        <w:t>进行绩效分析</w:t>
      </w:r>
    </w:p>
    <w:p w14:paraId="38C5E810">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eastAsia="仿宋_GB2312" w:cs="Times New Roman"/>
          <w:kern w:val="2"/>
          <w:sz w:val="32"/>
          <w:szCs w:val="32"/>
          <w:highlight w:val="none"/>
          <w:u w:val="none"/>
          <w:lang w:val="en-US" w:eastAsia="zh-CN" w:bidi="ar-SA"/>
        </w:rPr>
      </w:pPr>
      <w:r>
        <w:rPr>
          <w:rFonts w:hint="eastAsia" w:ascii="Times New Roman" w:hAnsi="Times New Roman" w:eastAsia="仿宋_GB2312" w:cs="Times New Roman"/>
          <w:kern w:val="2"/>
          <w:sz w:val="32"/>
          <w:szCs w:val="32"/>
          <w:highlight w:val="none"/>
          <w:u w:val="none"/>
          <w:lang w:val="zh-CN" w:eastAsia="zh-CN" w:bidi="ar-SA"/>
        </w:rPr>
        <w:t>严控一般性支出：</w:t>
      </w:r>
      <w:r>
        <w:rPr>
          <w:rFonts w:hint="eastAsia" w:ascii="Times New Roman" w:hAnsi="Times New Roman" w:eastAsia="仿宋_GB2312" w:cs="Times New Roman"/>
          <w:kern w:val="2"/>
          <w:sz w:val="32"/>
          <w:szCs w:val="32"/>
          <w:highlight w:val="none"/>
          <w:u w:val="none"/>
          <w:lang w:val="en-US" w:eastAsia="zh-CN" w:bidi="ar-SA"/>
        </w:rPr>
        <w:t>2025年我所严控一般性支出，一般性支出财政拨款预算执行数，相较2024年下降9.61%，得分5分。</w:t>
      </w:r>
    </w:p>
    <w:p w14:paraId="10B46927">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财务管理。</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得分10分</w:t>
      </w:r>
      <w:r>
        <w:rPr>
          <w:rFonts w:hint="eastAsia" w:eastAsia="楷体_GB2312" w:cs="Times New Roman"/>
          <w:b/>
          <w:bCs/>
          <w:color w:val="000000"/>
          <w:kern w:val="0"/>
          <w:szCs w:val="32"/>
          <w:highlight w:val="none"/>
          <w:shd w:val="clear" w:color="auto" w:fill="FFFFFF"/>
          <w:lang w:val="zh-CN"/>
        </w:rPr>
        <w:t>）</w:t>
      </w:r>
    </w:p>
    <w:p w14:paraId="32C40CC0">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Cs w:val="32"/>
          <w:highlight w:val="none"/>
          <w:shd w:val="clear" w:color="auto" w:fill="FFFFFF"/>
          <w:lang w:val="zh-CN"/>
        </w:rPr>
      </w:pPr>
      <w:r>
        <w:rPr>
          <w:rFonts w:hint="eastAsia" w:ascii="仿宋_GB2312" w:hAnsi="仿宋_GB2312"/>
          <w:sz w:val="32"/>
          <w:szCs w:val="32"/>
          <w:lang w:val="en-US" w:eastAsia="zh-CN"/>
        </w:rPr>
        <w:t>我</w:t>
      </w:r>
      <w:r>
        <w:rPr>
          <w:rFonts w:hint="eastAsia" w:ascii="仿宋_GB2312" w:eastAsia="仿宋_GB2312"/>
          <w:sz w:val="32"/>
          <w:szCs w:val="32"/>
          <w:lang w:val="zh-CN"/>
        </w:rPr>
        <w:t>单位已制定财务管理制度并得到落实，得分</w:t>
      </w:r>
      <w:r>
        <w:rPr>
          <w:rFonts w:hint="eastAsia" w:ascii="仿宋_GB2312" w:eastAsia="仿宋_GB2312"/>
          <w:sz w:val="32"/>
          <w:szCs w:val="32"/>
          <w:lang w:val="en-US" w:eastAsia="zh-CN"/>
        </w:rPr>
        <w:t>4分</w:t>
      </w:r>
      <w:r>
        <w:rPr>
          <w:rFonts w:hint="eastAsia" w:ascii="仿宋_GB2312" w:eastAsia="仿宋_GB2312"/>
          <w:sz w:val="32"/>
          <w:szCs w:val="32"/>
          <w:lang w:val="zh-CN"/>
        </w:rPr>
        <w:t>；财务岗位设置合理设置财务工作岗位，明确职责权限，并严格实行不相容</w:t>
      </w:r>
      <w:r>
        <w:rPr>
          <w:rFonts w:hint="eastAsia" w:ascii="仿宋_GB2312" w:eastAsia="仿宋_GB2312"/>
          <w:color w:val="auto"/>
          <w:sz w:val="32"/>
          <w:szCs w:val="32"/>
          <w:lang w:val="zh-CN"/>
        </w:rPr>
        <w:t>岗位分离，得分</w:t>
      </w:r>
      <w:r>
        <w:rPr>
          <w:rFonts w:hint="eastAsia" w:ascii="仿宋_GB2312" w:eastAsia="仿宋_GB2312"/>
          <w:color w:val="auto"/>
          <w:sz w:val="32"/>
          <w:szCs w:val="32"/>
          <w:lang w:val="en-US" w:eastAsia="zh-CN"/>
        </w:rPr>
        <w:t>2分</w:t>
      </w:r>
      <w:r>
        <w:rPr>
          <w:rFonts w:hint="eastAsia" w:ascii="仿宋_GB2312" w:eastAsia="仿宋_GB2312"/>
          <w:color w:val="auto"/>
          <w:sz w:val="32"/>
          <w:szCs w:val="32"/>
          <w:lang w:val="zh-CN"/>
        </w:rPr>
        <w:t>；资金使用规范，符合相关财务管理制度规定，得分</w:t>
      </w:r>
      <w:r>
        <w:rPr>
          <w:rFonts w:hint="eastAsia" w:ascii="仿宋_GB2312" w:eastAsia="仿宋_GB2312"/>
          <w:color w:val="auto"/>
          <w:sz w:val="32"/>
          <w:szCs w:val="32"/>
          <w:lang w:val="en-US" w:eastAsia="zh-CN"/>
        </w:rPr>
        <w:t>4分</w:t>
      </w:r>
      <w:r>
        <w:rPr>
          <w:rFonts w:hint="eastAsia" w:ascii="仿宋_GB2312" w:eastAsia="仿宋_GB2312"/>
          <w:color w:val="auto"/>
          <w:sz w:val="32"/>
          <w:szCs w:val="32"/>
          <w:lang w:val="zh-CN"/>
        </w:rPr>
        <w:t>。</w:t>
      </w:r>
    </w:p>
    <w:p w14:paraId="4FCD9A7C">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auto"/>
          <w:kern w:val="0"/>
          <w:szCs w:val="32"/>
          <w:highlight w:val="none"/>
          <w:shd w:val="clear" w:color="auto" w:fill="FFFFFF"/>
          <w:lang w:val="zh-CN"/>
        </w:rPr>
        <w:t>资产管理</w:t>
      </w:r>
      <w:r>
        <w:rPr>
          <w:rFonts w:hint="eastAsia" w:eastAsia="楷体_GB2312" w:cs="Times New Roman"/>
          <w:b/>
          <w:bCs/>
          <w:color w:val="auto"/>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得分7.8分</w:t>
      </w:r>
      <w:r>
        <w:rPr>
          <w:rFonts w:hint="eastAsia" w:eastAsia="楷体_GB2312" w:cs="Times New Roman"/>
          <w:b/>
          <w:bCs/>
          <w:color w:val="000000"/>
          <w:kern w:val="0"/>
          <w:szCs w:val="32"/>
          <w:highlight w:val="none"/>
          <w:shd w:val="clear" w:color="auto" w:fill="FFFFFF"/>
          <w:lang w:val="zh-CN"/>
        </w:rPr>
        <w:t>）</w:t>
      </w:r>
    </w:p>
    <w:p w14:paraId="796333E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hAnsi="仿宋_GB2312"/>
          <w:sz w:val="32"/>
          <w:szCs w:val="32"/>
          <w:lang w:val="en-US" w:eastAsia="zh-CN"/>
        </w:rPr>
      </w:pPr>
      <w:r>
        <w:rPr>
          <w:rFonts w:hint="eastAsia" w:ascii="仿宋_GB2312" w:hAnsi="仿宋_GB2312"/>
          <w:sz w:val="32"/>
          <w:szCs w:val="32"/>
          <w:lang w:val="en-US" w:eastAsia="zh-CN"/>
        </w:rPr>
        <w:t>我单位人均资产变化率为-1.17%，较州直行政事业单位人均资产变化率24.28%小，得1.5分；人均资产增长率小于0，得1.5分。共计3分。</w:t>
      </w:r>
    </w:p>
    <w:p w14:paraId="36858F0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sz w:val="32"/>
          <w:szCs w:val="32"/>
          <w:lang w:val="en-US" w:eastAsia="zh-CN"/>
        </w:rPr>
      </w:pPr>
      <w:r>
        <w:rPr>
          <w:rFonts w:hint="eastAsia" w:ascii="仿宋_GB2312" w:hAnsi="仿宋_GB2312"/>
          <w:sz w:val="32"/>
          <w:szCs w:val="32"/>
          <w:lang w:val="en-US" w:eastAsia="zh-CN"/>
        </w:rPr>
        <w:t>资产利用率：截至2025年12月31日，我单位超最低使用年限的办公家具账面价值20498.5元，办公家具账面价值342936.5元，办公家具超最低使用年限资产利用率为5.98%；我单位超最低使用年限资的办公设备账面价值43855万元，办公设备账面价值76465元，办公设备超最低使用年限资产利用率为57.35%；对照州直行政事业单位平均值，得分1.8分。</w:t>
      </w:r>
    </w:p>
    <w:p w14:paraId="1A8CCCD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hAnsi="仿宋_GB2312"/>
          <w:sz w:val="32"/>
          <w:szCs w:val="32"/>
          <w:lang w:val="en-US" w:eastAsia="zh-CN"/>
        </w:rPr>
      </w:pPr>
      <w:r>
        <w:rPr>
          <w:rFonts w:hint="eastAsia" w:ascii="仿宋_GB2312" w:hAnsi="仿宋_GB2312"/>
          <w:sz w:val="32"/>
          <w:szCs w:val="32"/>
          <w:lang w:val="en-US" w:eastAsia="zh-CN"/>
        </w:rPr>
        <w:t>资产盘活情况：我单位无闲置资产，得分3分。</w:t>
      </w:r>
    </w:p>
    <w:p w14:paraId="5868AABB">
      <w:pPr>
        <w:keepNext w:val="0"/>
        <w:keepLines w:val="0"/>
        <w:pageBreakBefore w:val="0"/>
        <w:widowControl w:val="0"/>
        <w:numPr>
          <w:ilvl w:val="0"/>
          <w:numId w:val="7"/>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采购管理。</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得分5.64分</w:t>
      </w:r>
      <w:r>
        <w:rPr>
          <w:rFonts w:hint="eastAsia" w:eastAsia="楷体_GB2312" w:cs="Times New Roman"/>
          <w:b/>
          <w:bCs/>
          <w:color w:val="000000"/>
          <w:kern w:val="0"/>
          <w:szCs w:val="32"/>
          <w:highlight w:val="none"/>
          <w:shd w:val="clear" w:color="auto" w:fill="FFFFFF"/>
          <w:lang w:val="zh-CN"/>
        </w:rPr>
        <w:t>）</w:t>
      </w:r>
    </w:p>
    <w:p w14:paraId="2584A177">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hAnsi="仿宋_GB2312"/>
          <w:color w:val="auto"/>
          <w:sz w:val="32"/>
          <w:szCs w:val="32"/>
          <w:lang w:val="en-US" w:eastAsia="zh-CN"/>
        </w:rPr>
      </w:pPr>
      <w:r>
        <w:rPr>
          <w:rFonts w:hint="eastAsia" w:ascii="仿宋_GB2312" w:eastAsia="仿宋_GB2312"/>
          <w:color w:val="auto"/>
          <w:sz w:val="32"/>
          <w:szCs w:val="32"/>
          <w:lang w:val="zh-CN"/>
        </w:rPr>
        <w:t>支持中小企业发展：单位严格执行政府采购促进中小企业发展相关管理办法</w:t>
      </w:r>
      <w:r>
        <w:rPr>
          <w:rFonts w:hint="eastAsia" w:ascii="仿宋_GB2312" w:hAnsi="仿宋_GB2312"/>
          <w:color w:val="auto"/>
          <w:sz w:val="32"/>
          <w:szCs w:val="32"/>
          <w:lang w:val="zh-CN"/>
        </w:rPr>
        <w:t>，</w:t>
      </w:r>
      <w:r>
        <w:rPr>
          <w:rFonts w:hint="eastAsia" w:ascii="仿宋_GB2312" w:hAnsi="仿宋_GB2312"/>
          <w:color w:val="auto"/>
          <w:sz w:val="32"/>
          <w:szCs w:val="32"/>
          <w:lang w:val="en-US" w:eastAsia="zh-CN"/>
        </w:rPr>
        <w:t>所有政府采购项目均为专门面向中小企业采购；得分3分。</w:t>
      </w:r>
    </w:p>
    <w:p w14:paraId="1D5FB3B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Cs w:val="32"/>
          <w:highlight w:val="none"/>
          <w:shd w:val="clear" w:color="auto" w:fill="FFFFFF"/>
          <w:lang w:val="zh-CN"/>
        </w:rPr>
      </w:pPr>
      <w:r>
        <w:rPr>
          <w:rFonts w:hint="eastAsia" w:ascii="仿宋_GB2312" w:hAnsi="仿宋_GB2312"/>
          <w:color w:val="auto"/>
          <w:sz w:val="32"/>
          <w:szCs w:val="32"/>
          <w:lang w:val="en-US" w:eastAsia="zh-CN"/>
        </w:rPr>
        <w:t>采购执行率：2025年我单位政府采购项目资金支付比例为88%，得分2.64分。</w:t>
      </w:r>
    </w:p>
    <w:p w14:paraId="2316BE83">
      <w:pPr>
        <w:keepNext w:val="0"/>
        <w:keepLines w:val="0"/>
        <w:pageBreakBefore w:val="0"/>
        <w:widowControl/>
        <w:kinsoku/>
        <w:wordWrap/>
        <w:overflowPunct/>
        <w:topLinePunct w:val="0"/>
        <w:autoSpaceDE/>
        <w:autoSpaceDN/>
        <w:bidi w:val="0"/>
        <w:adjustRightInd w:val="0"/>
        <w:snapToGrid w:val="0"/>
        <w:spacing w:line="578" w:lineRule="exact"/>
        <w:ind w:firstLine="42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p>
    <w:p w14:paraId="4F1E2754">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zh-CN" w:eastAsia="zh-CN"/>
        </w:rPr>
      </w:pPr>
      <w:r>
        <w:rPr>
          <w:rFonts w:hint="eastAsia" w:ascii="仿宋_GB2312" w:eastAsia="仿宋_GB2312"/>
          <w:color w:val="auto"/>
          <w:sz w:val="32"/>
          <w:szCs w:val="32"/>
          <w:lang w:val="en-US" w:eastAsia="zh-CN"/>
        </w:rPr>
        <w:t>我单位</w:t>
      </w:r>
      <w:r>
        <w:rPr>
          <w:rFonts w:ascii="仿宋_GB2312" w:eastAsia="仿宋_GB2312"/>
          <w:color w:val="auto"/>
          <w:sz w:val="32"/>
          <w:szCs w:val="32"/>
          <w:lang w:val="en-US" w:eastAsia="zh-CN"/>
        </w:rPr>
        <w:t>常年项目绩效分析。</w:t>
      </w:r>
      <w:r>
        <w:rPr>
          <w:rFonts w:ascii="仿宋_GB2312" w:eastAsia="仿宋_GB2312"/>
          <w:color w:val="auto"/>
          <w:sz w:val="32"/>
          <w:szCs w:val="32"/>
          <w:lang w:val="zh-CN" w:eastAsia="zh-CN"/>
        </w:rPr>
        <w:t>该类项目总数</w:t>
      </w:r>
      <w:r>
        <w:rPr>
          <w:rFonts w:hint="eastAsia" w:ascii="仿宋_GB2312" w:eastAsia="仿宋_GB2312"/>
          <w:color w:val="auto"/>
          <w:sz w:val="32"/>
          <w:szCs w:val="32"/>
          <w:lang w:val="en-US" w:eastAsia="zh-CN"/>
        </w:rPr>
        <w:t>2</w:t>
      </w:r>
      <w:r>
        <w:rPr>
          <w:rFonts w:ascii="仿宋_GB2312" w:eastAsia="仿宋_GB2312"/>
          <w:color w:val="auto"/>
          <w:sz w:val="32"/>
          <w:szCs w:val="32"/>
          <w:lang w:val="zh-CN" w:eastAsia="zh-CN"/>
        </w:rPr>
        <w:t>个，涉及预算总金额</w:t>
      </w:r>
      <w:r>
        <w:rPr>
          <w:rFonts w:hint="eastAsia" w:ascii="仿宋_GB2312" w:eastAsia="仿宋_GB2312"/>
          <w:color w:val="auto"/>
          <w:sz w:val="32"/>
          <w:szCs w:val="32"/>
          <w:lang w:val="en-US" w:eastAsia="zh-CN"/>
        </w:rPr>
        <w:t>112.44</w:t>
      </w:r>
      <w:r>
        <w:rPr>
          <w:rFonts w:ascii="仿宋_GB2312" w:eastAsia="仿宋_GB2312"/>
          <w:color w:val="auto"/>
          <w:sz w:val="32"/>
          <w:szCs w:val="32"/>
          <w:lang w:val="zh-CN" w:eastAsia="zh-CN"/>
        </w:rPr>
        <w:t>万元，</w:t>
      </w:r>
      <w:r>
        <w:rPr>
          <w:rFonts w:ascii="仿宋_GB2312" w:eastAsia="仿宋_GB2312"/>
          <w:color w:val="auto"/>
          <w:sz w:val="32"/>
          <w:szCs w:val="32"/>
          <w:lang w:val="zh-CN"/>
        </w:rPr>
        <w:t>1</w:t>
      </w:r>
      <w:r>
        <w:rPr>
          <w:rFonts w:hint="eastAsia" w:ascii="仿宋_GB2312" w:eastAsia="仿宋_GB2312"/>
          <w:color w:val="auto"/>
          <w:sz w:val="32"/>
          <w:szCs w:val="32"/>
          <w:lang w:val="zh-CN" w:eastAsia="zh-CN"/>
        </w:rPr>
        <w:t>—</w:t>
      </w:r>
      <w:r>
        <w:rPr>
          <w:rFonts w:ascii="仿宋_GB2312" w:eastAsia="仿宋_GB2312"/>
          <w:color w:val="auto"/>
          <w:sz w:val="32"/>
          <w:szCs w:val="32"/>
          <w:lang w:val="zh-CN"/>
        </w:rPr>
        <w:t>1</w:t>
      </w:r>
      <w:r>
        <w:rPr>
          <w:rFonts w:ascii="仿宋_GB2312" w:eastAsia="仿宋_GB2312"/>
          <w:color w:val="auto"/>
          <w:sz w:val="32"/>
          <w:szCs w:val="32"/>
          <w:lang w:val="en-US" w:eastAsia="zh-CN"/>
        </w:rPr>
        <w:t>2</w:t>
      </w:r>
      <w:r>
        <w:rPr>
          <w:rFonts w:ascii="仿宋_GB2312" w:eastAsia="仿宋_GB2312"/>
          <w:color w:val="auto"/>
          <w:sz w:val="32"/>
          <w:szCs w:val="32"/>
          <w:lang w:val="zh-CN"/>
        </w:rPr>
        <w:t>月预算执行总体进度为</w:t>
      </w:r>
      <w:r>
        <w:rPr>
          <w:rFonts w:hint="eastAsia" w:ascii="仿宋_GB2312" w:eastAsia="仿宋_GB2312"/>
          <w:color w:val="auto"/>
          <w:sz w:val="32"/>
          <w:szCs w:val="32"/>
          <w:lang w:val="en-US" w:eastAsia="zh-CN"/>
        </w:rPr>
        <w:t>88.41</w:t>
      </w:r>
      <w:r>
        <w:rPr>
          <w:rFonts w:ascii="仿宋_GB2312" w:eastAsia="仿宋_GB2312"/>
          <w:color w:val="auto"/>
          <w:sz w:val="32"/>
          <w:szCs w:val="32"/>
          <w:lang w:val="en-US" w:eastAsia="zh-CN"/>
        </w:rPr>
        <w:t xml:space="preserve"> </w:t>
      </w:r>
      <w:r>
        <w:rPr>
          <w:rFonts w:ascii="仿宋_GB2312" w:eastAsia="仿宋_GB2312"/>
          <w:color w:val="auto"/>
          <w:sz w:val="32"/>
          <w:szCs w:val="32"/>
          <w:lang w:val="zh-CN"/>
        </w:rPr>
        <w:t>%，其中：</w:t>
      </w:r>
      <w:r>
        <w:rPr>
          <w:rFonts w:ascii="仿宋_GB2312" w:eastAsia="仿宋_GB2312"/>
          <w:color w:val="auto"/>
          <w:sz w:val="32"/>
          <w:szCs w:val="32"/>
          <w:lang w:val="zh-CN" w:eastAsia="zh-CN"/>
        </w:rPr>
        <w:t>预算结余率大于</w:t>
      </w:r>
      <w:r>
        <w:rPr>
          <w:rFonts w:ascii="仿宋_GB2312" w:eastAsia="仿宋_GB2312"/>
          <w:color w:val="auto"/>
          <w:sz w:val="32"/>
          <w:szCs w:val="32"/>
          <w:lang w:val="en-US" w:eastAsia="zh-CN"/>
        </w:rPr>
        <w:t>10%</w:t>
      </w:r>
      <w:r>
        <w:rPr>
          <w:rFonts w:ascii="仿宋_GB2312" w:eastAsia="仿宋_GB2312"/>
          <w:color w:val="auto"/>
          <w:sz w:val="32"/>
          <w:szCs w:val="32"/>
          <w:lang w:val="zh-CN" w:eastAsia="zh-CN"/>
        </w:rPr>
        <w:t>的项目共计</w:t>
      </w:r>
      <w:r>
        <w:rPr>
          <w:rFonts w:hint="eastAsia" w:ascii="仿宋_GB2312" w:eastAsia="仿宋_GB2312"/>
          <w:color w:val="auto"/>
          <w:sz w:val="32"/>
          <w:szCs w:val="32"/>
          <w:lang w:val="en-US" w:eastAsia="zh-CN"/>
        </w:rPr>
        <w:t>1</w:t>
      </w:r>
      <w:r>
        <w:rPr>
          <w:rFonts w:ascii="仿宋_GB2312" w:eastAsia="仿宋_GB2312"/>
          <w:color w:val="auto"/>
          <w:sz w:val="32"/>
          <w:szCs w:val="32"/>
          <w:lang w:val="zh-CN" w:eastAsia="zh-CN"/>
        </w:rPr>
        <w:t>个。</w:t>
      </w:r>
    </w:p>
    <w:p w14:paraId="4A42893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zh-CN" w:eastAsia="zh-CN"/>
        </w:rPr>
      </w:pPr>
      <w:r>
        <w:rPr>
          <w:rFonts w:ascii="仿宋_GB2312" w:eastAsia="仿宋_GB2312"/>
          <w:color w:val="auto"/>
          <w:sz w:val="32"/>
          <w:szCs w:val="32"/>
          <w:lang w:val="en-US" w:eastAsia="zh-CN"/>
        </w:rPr>
        <w:t>阶段（</w:t>
      </w:r>
      <w:r>
        <w:rPr>
          <w:rFonts w:hint="eastAsia" w:ascii="仿宋_GB2312" w:eastAsia="仿宋_GB2312"/>
          <w:color w:val="auto"/>
          <w:sz w:val="32"/>
          <w:szCs w:val="32"/>
          <w:lang w:val="en-US" w:eastAsia="zh-CN"/>
        </w:rPr>
        <w:t>含</w:t>
      </w:r>
      <w:r>
        <w:rPr>
          <w:rFonts w:ascii="仿宋_GB2312" w:eastAsia="仿宋_GB2312"/>
          <w:color w:val="auto"/>
          <w:sz w:val="32"/>
          <w:szCs w:val="32"/>
          <w:lang w:val="en-US" w:eastAsia="zh-CN"/>
        </w:rPr>
        <w:t>一次性）项目绩效分析。</w:t>
      </w:r>
      <w:r>
        <w:rPr>
          <w:rFonts w:ascii="仿宋_GB2312" w:eastAsia="仿宋_GB2312"/>
          <w:color w:val="auto"/>
          <w:sz w:val="32"/>
          <w:szCs w:val="32"/>
          <w:lang w:val="zh-CN" w:eastAsia="zh-CN"/>
        </w:rPr>
        <w:t>该类项目总数</w:t>
      </w:r>
      <w:r>
        <w:rPr>
          <w:rFonts w:hint="eastAsia" w:ascii="仿宋_GB2312" w:eastAsia="仿宋_GB2312"/>
          <w:color w:val="auto"/>
          <w:sz w:val="32"/>
          <w:szCs w:val="32"/>
          <w:lang w:val="en-US" w:eastAsia="zh-CN"/>
        </w:rPr>
        <w:t>2</w:t>
      </w:r>
      <w:r>
        <w:rPr>
          <w:rFonts w:ascii="仿宋_GB2312" w:eastAsia="仿宋_GB2312"/>
          <w:color w:val="auto"/>
          <w:sz w:val="32"/>
          <w:szCs w:val="32"/>
          <w:lang w:val="zh-CN" w:eastAsia="zh-CN"/>
        </w:rPr>
        <w:t>个，涉及预算总金额</w:t>
      </w:r>
      <w:r>
        <w:rPr>
          <w:rFonts w:hint="eastAsia" w:ascii="仿宋_GB2312" w:eastAsia="仿宋_GB2312"/>
          <w:color w:val="auto"/>
          <w:sz w:val="32"/>
          <w:szCs w:val="32"/>
          <w:lang w:val="en-US" w:eastAsia="zh-CN"/>
        </w:rPr>
        <w:t>168.5</w:t>
      </w:r>
      <w:r>
        <w:rPr>
          <w:rFonts w:ascii="仿宋_GB2312" w:eastAsia="仿宋_GB2312"/>
          <w:color w:val="auto"/>
          <w:sz w:val="32"/>
          <w:szCs w:val="32"/>
          <w:lang w:val="zh-CN" w:eastAsia="zh-CN"/>
        </w:rPr>
        <w:t>万元，</w:t>
      </w:r>
      <w:r>
        <w:rPr>
          <w:rFonts w:ascii="仿宋_GB2312" w:eastAsia="仿宋_GB2312"/>
          <w:color w:val="auto"/>
          <w:sz w:val="32"/>
          <w:szCs w:val="32"/>
          <w:lang w:val="zh-CN"/>
        </w:rPr>
        <w:t>1</w:t>
      </w:r>
      <w:r>
        <w:rPr>
          <w:rFonts w:hint="eastAsia" w:ascii="仿宋_GB2312" w:eastAsia="仿宋_GB2312"/>
          <w:color w:val="auto"/>
          <w:sz w:val="32"/>
          <w:szCs w:val="32"/>
          <w:lang w:val="zh-CN" w:eastAsia="zh-CN"/>
        </w:rPr>
        <w:t>—</w:t>
      </w:r>
      <w:r>
        <w:rPr>
          <w:rFonts w:ascii="仿宋_GB2312" w:eastAsia="仿宋_GB2312"/>
          <w:color w:val="auto"/>
          <w:sz w:val="32"/>
          <w:szCs w:val="32"/>
          <w:lang w:val="zh-CN"/>
        </w:rPr>
        <w:t>1</w:t>
      </w:r>
      <w:r>
        <w:rPr>
          <w:rFonts w:ascii="仿宋_GB2312" w:eastAsia="仿宋_GB2312"/>
          <w:color w:val="auto"/>
          <w:sz w:val="32"/>
          <w:szCs w:val="32"/>
          <w:lang w:val="en-US" w:eastAsia="zh-CN"/>
        </w:rPr>
        <w:t>2</w:t>
      </w:r>
      <w:r>
        <w:rPr>
          <w:rFonts w:ascii="仿宋_GB2312" w:eastAsia="仿宋_GB2312"/>
          <w:color w:val="auto"/>
          <w:sz w:val="32"/>
          <w:szCs w:val="32"/>
          <w:lang w:val="zh-CN"/>
        </w:rPr>
        <w:t>月预算执行总体进度为</w:t>
      </w:r>
      <w:r>
        <w:rPr>
          <w:rFonts w:hint="eastAsia" w:ascii="仿宋_GB2312" w:eastAsia="仿宋_GB2312"/>
          <w:color w:val="auto"/>
          <w:sz w:val="32"/>
          <w:szCs w:val="32"/>
          <w:lang w:val="en-US" w:eastAsia="zh-CN"/>
        </w:rPr>
        <w:t>88</w:t>
      </w:r>
      <w:r>
        <w:rPr>
          <w:rFonts w:ascii="仿宋_GB2312" w:eastAsia="仿宋_GB2312"/>
          <w:color w:val="auto"/>
          <w:sz w:val="32"/>
          <w:szCs w:val="32"/>
          <w:lang w:val="zh-CN"/>
        </w:rPr>
        <w:t>%，其中：</w:t>
      </w:r>
      <w:r>
        <w:rPr>
          <w:rFonts w:ascii="仿宋_GB2312" w:eastAsia="仿宋_GB2312"/>
          <w:color w:val="auto"/>
          <w:sz w:val="32"/>
          <w:szCs w:val="32"/>
          <w:lang w:val="zh-CN" w:eastAsia="zh-CN"/>
        </w:rPr>
        <w:t>预算结余率大于</w:t>
      </w:r>
      <w:r>
        <w:rPr>
          <w:rFonts w:ascii="仿宋_GB2312" w:eastAsia="仿宋_GB2312"/>
          <w:color w:val="auto"/>
          <w:sz w:val="32"/>
          <w:szCs w:val="32"/>
          <w:lang w:val="en-US" w:eastAsia="zh-CN"/>
        </w:rPr>
        <w:t>10%</w:t>
      </w:r>
      <w:r>
        <w:rPr>
          <w:rFonts w:ascii="仿宋_GB2312" w:eastAsia="仿宋_GB2312"/>
          <w:color w:val="auto"/>
          <w:sz w:val="32"/>
          <w:szCs w:val="32"/>
          <w:lang w:val="zh-CN" w:eastAsia="zh-CN"/>
        </w:rPr>
        <w:t>的项目共计</w:t>
      </w:r>
      <w:r>
        <w:rPr>
          <w:rFonts w:hint="eastAsia" w:ascii="仿宋_GB2312" w:eastAsia="仿宋_GB2312"/>
          <w:color w:val="auto"/>
          <w:sz w:val="32"/>
          <w:szCs w:val="32"/>
          <w:lang w:val="en-US" w:eastAsia="zh-CN"/>
        </w:rPr>
        <w:t>1</w:t>
      </w:r>
      <w:r>
        <w:rPr>
          <w:rFonts w:ascii="仿宋_GB2312" w:eastAsia="仿宋_GB2312"/>
          <w:color w:val="auto"/>
          <w:sz w:val="32"/>
          <w:szCs w:val="32"/>
          <w:lang w:val="zh-CN" w:eastAsia="zh-CN"/>
        </w:rPr>
        <w:t>个。</w:t>
      </w:r>
    </w:p>
    <w:p w14:paraId="5319CDF9">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项目决策。</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得分11.5分</w:t>
      </w:r>
      <w:r>
        <w:rPr>
          <w:rFonts w:hint="eastAsia" w:eastAsia="楷体_GB2312" w:cs="Times New Roman"/>
          <w:b/>
          <w:bCs/>
          <w:color w:val="000000"/>
          <w:kern w:val="0"/>
          <w:szCs w:val="32"/>
          <w:highlight w:val="none"/>
          <w:shd w:val="clear" w:color="auto" w:fill="FFFFFF"/>
          <w:lang w:val="zh-CN"/>
        </w:rPr>
        <w:t>）</w:t>
      </w:r>
    </w:p>
    <w:p w14:paraId="11567D0A">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zh-CN"/>
        </w:rPr>
        <w:t>决策程序：</w:t>
      </w:r>
      <w:r>
        <w:rPr>
          <w:rFonts w:hint="eastAsia" w:ascii="仿宋_GB2312" w:hAnsi="仿宋_GB2312"/>
          <w:color w:val="auto"/>
          <w:sz w:val="32"/>
          <w:szCs w:val="32"/>
          <w:lang w:val="en-US" w:eastAsia="zh-CN"/>
        </w:rPr>
        <w:t>我单位</w:t>
      </w:r>
      <w:r>
        <w:rPr>
          <w:rFonts w:hint="eastAsia" w:ascii="仿宋_GB2312" w:eastAsia="仿宋_GB2312"/>
          <w:color w:val="auto"/>
          <w:sz w:val="32"/>
          <w:szCs w:val="32"/>
          <w:lang w:val="zh-CN"/>
        </w:rPr>
        <w:t>预算项目设立按规定履行评估论证、申报程序，得分</w:t>
      </w:r>
      <w:r>
        <w:rPr>
          <w:rFonts w:hint="eastAsia" w:ascii="仿宋_GB2312" w:eastAsia="仿宋_GB2312"/>
          <w:color w:val="auto"/>
          <w:sz w:val="32"/>
          <w:szCs w:val="32"/>
          <w:lang w:val="en-US" w:eastAsia="zh-CN"/>
        </w:rPr>
        <w:t>4分。</w:t>
      </w:r>
    </w:p>
    <w:p w14:paraId="6D403E3E">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zh-CN"/>
        </w:rPr>
      </w:pPr>
      <w:r>
        <w:rPr>
          <w:rFonts w:hint="eastAsia" w:ascii="仿宋_GB2312" w:eastAsia="仿宋_GB2312"/>
          <w:color w:val="auto"/>
          <w:sz w:val="32"/>
          <w:szCs w:val="32"/>
          <w:lang w:val="zh-CN"/>
        </w:rPr>
        <w:t>目标设置：</w:t>
      </w:r>
      <w:r>
        <w:rPr>
          <w:rFonts w:hint="eastAsia" w:ascii="仿宋_GB2312" w:hAnsi="仿宋_GB2312"/>
          <w:color w:val="auto"/>
          <w:sz w:val="32"/>
          <w:szCs w:val="32"/>
          <w:lang w:val="en-US" w:eastAsia="zh-CN"/>
        </w:rPr>
        <w:t>我单位</w:t>
      </w:r>
      <w:r>
        <w:rPr>
          <w:rFonts w:hint="eastAsia" w:ascii="仿宋_GB2312" w:eastAsia="仿宋_GB2312"/>
          <w:color w:val="auto"/>
          <w:sz w:val="32"/>
          <w:szCs w:val="32"/>
          <w:lang w:val="zh-CN"/>
        </w:rPr>
        <w:t>绩效目标设置科学合理、规范</w:t>
      </w:r>
      <w:r>
        <w:rPr>
          <w:rFonts w:hint="eastAsia" w:ascii="仿宋_GB2312" w:hAnsi="仿宋_GB2312"/>
          <w:color w:val="auto"/>
          <w:sz w:val="32"/>
          <w:szCs w:val="32"/>
          <w:lang w:val="en-US" w:eastAsia="zh-CN"/>
        </w:rPr>
        <w:t>较</w:t>
      </w:r>
      <w:r>
        <w:rPr>
          <w:rFonts w:hint="eastAsia" w:ascii="仿宋_GB2312" w:eastAsia="仿宋_GB2312"/>
          <w:color w:val="auto"/>
          <w:sz w:val="32"/>
          <w:szCs w:val="32"/>
          <w:lang w:val="zh-CN"/>
        </w:rPr>
        <w:t>完整、量化</w:t>
      </w:r>
      <w:r>
        <w:rPr>
          <w:rFonts w:hint="eastAsia" w:ascii="仿宋_GB2312" w:hAnsi="仿宋_GB2312"/>
          <w:color w:val="auto"/>
          <w:sz w:val="32"/>
          <w:szCs w:val="32"/>
          <w:lang w:val="en-US" w:eastAsia="zh-CN"/>
        </w:rPr>
        <w:t>较</w:t>
      </w:r>
      <w:r>
        <w:rPr>
          <w:rFonts w:hint="eastAsia" w:ascii="仿宋_GB2312" w:eastAsia="仿宋_GB2312"/>
          <w:color w:val="auto"/>
          <w:sz w:val="32"/>
          <w:szCs w:val="32"/>
          <w:lang w:val="zh-CN"/>
        </w:rPr>
        <w:t>细化、预算</w:t>
      </w:r>
      <w:r>
        <w:rPr>
          <w:rFonts w:hint="eastAsia" w:ascii="仿宋_GB2312" w:hAnsi="仿宋_GB2312"/>
          <w:color w:val="auto"/>
          <w:sz w:val="32"/>
          <w:szCs w:val="32"/>
          <w:lang w:val="en-US" w:eastAsia="zh-CN"/>
        </w:rPr>
        <w:t>基本</w:t>
      </w:r>
      <w:r>
        <w:rPr>
          <w:rFonts w:hint="eastAsia" w:ascii="仿宋_GB2312" w:eastAsia="仿宋_GB2312"/>
          <w:color w:val="auto"/>
          <w:sz w:val="32"/>
          <w:szCs w:val="32"/>
          <w:lang w:val="zh-CN"/>
        </w:rPr>
        <w:t>匹配，得分</w:t>
      </w:r>
      <w:r>
        <w:rPr>
          <w:rFonts w:hint="eastAsia" w:ascii="仿宋_GB2312" w:hAnsi="仿宋_GB2312"/>
          <w:color w:val="auto"/>
          <w:sz w:val="32"/>
          <w:szCs w:val="32"/>
          <w:lang w:val="en-US" w:eastAsia="zh-CN"/>
        </w:rPr>
        <w:t>3.5</w:t>
      </w:r>
      <w:r>
        <w:rPr>
          <w:rFonts w:hint="eastAsia" w:ascii="仿宋_GB2312" w:eastAsia="仿宋_GB2312"/>
          <w:color w:val="auto"/>
          <w:sz w:val="32"/>
          <w:szCs w:val="32"/>
          <w:lang w:val="en-US" w:eastAsia="zh-CN"/>
        </w:rPr>
        <w:t>分。</w:t>
      </w:r>
    </w:p>
    <w:p w14:paraId="3886588A">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zh-CN"/>
        </w:rPr>
      </w:pPr>
      <w:r>
        <w:rPr>
          <w:rFonts w:hint="eastAsia" w:ascii="仿宋_GB2312" w:eastAsia="仿宋_GB2312"/>
          <w:color w:val="auto"/>
          <w:sz w:val="32"/>
          <w:szCs w:val="32"/>
          <w:lang w:val="zh-CN"/>
        </w:rPr>
        <w:t>项目入库：</w:t>
      </w:r>
      <w:r>
        <w:rPr>
          <w:rFonts w:hint="eastAsia" w:ascii="仿宋_GB2312" w:hAnsi="仿宋_GB2312"/>
          <w:color w:val="auto"/>
          <w:sz w:val="32"/>
          <w:szCs w:val="32"/>
          <w:lang w:val="en-US" w:eastAsia="zh-CN"/>
        </w:rPr>
        <w:t>我单位</w:t>
      </w:r>
      <w:r>
        <w:rPr>
          <w:rFonts w:hint="eastAsia" w:ascii="仿宋_GB2312" w:eastAsia="仿宋_GB2312"/>
          <w:color w:val="auto"/>
          <w:sz w:val="32"/>
          <w:szCs w:val="32"/>
          <w:lang w:val="zh-CN"/>
        </w:rPr>
        <w:t>预算项目在规定时间内完成项目入库，得分</w:t>
      </w:r>
      <w:r>
        <w:rPr>
          <w:rFonts w:hint="eastAsia" w:ascii="仿宋_GB2312" w:eastAsia="仿宋_GB2312"/>
          <w:color w:val="auto"/>
          <w:sz w:val="32"/>
          <w:szCs w:val="32"/>
          <w:lang w:val="en-US" w:eastAsia="zh-CN"/>
        </w:rPr>
        <w:t>4分。</w:t>
      </w:r>
    </w:p>
    <w:p w14:paraId="1881B857">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en-US" w:eastAsia="zh-CN"/>
        </w:rPr>
        <w:t>项目执行</w:t>
      </w: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得分10分</w:t>
      </w:r>
      <w:r>
        <w:rPr>
          <w:rFonts w:hint="eastAsia" w:eastAsia="楷体_GB2312" w:cs="Times New Roman"/>
          <w:b/>
          <w:bCs/>
          <w:color w:val="000000"/>
          <w:kern w:val="0"/>
          <w:szCs w:val="32"/>
          <w:highlight w:val="none"/>
          <w:shd w:val="clear" w:color="auto" w:fill="FFFFFF"/>
          <w:lang w:val="zh-CN"/>
        </w:rPr>
        <w:t>）</w:t>
      </w:r>
    </w:p>
    <w:p w14:paraId="6219E074">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zh-CN"/>
        </w:rPr>
      </w:pPr>
      <w:r>
        <w:rPr>
          <w:rFonts w:hint="eastAsia" w:ascii="仿宋_GB2312" w:eastAsia="仿宋_GB2312"/>
          <w:color w:val="auto"/>
          <w:sz w:val="32"/>
          <w:szCs w:val="32"/>
          <w:lang w:val="zh-CN"/>
        </w:rPr>
        <w:t>执行同向：部门预算项目实际列支内容与绩效目标设置方向相符，得分</w:t>
      </w:r>
      <w:r>
        <w:rPr>
          <w:rFonts w:hint="eastAsia" w:ascii="仿宋_GB2312" w:eastAsia="仿宋_GB2312"/>
          <w:color w:val="auto"/>
          <w:sz w:val="32"/>
          <w:szCs w:val="32"/>
          <w:lang w:val="en-US" w:eastAsia="zh-CN"/>
        </w:rPr>
        <w:t>4分。</w:t>
      </w:r>
    </w:p>
    <w:p w14:paraId="3A1D5A9E">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zh-CN"/>
        </w:rPr>
      </w:pPr>
      <w:r>
        <w:rPr>
          <w:rFonts w:hint="eastAsia" w:ascii="仿宋_GB2312" w:eastAsia="仿宋_GB2312"/>
          <w:color w:val="auto"/>
          <w:sz w:val="32"/>
          <w:szCs w:val="32"/>
          <w:lang w:val="zh-CN"/>
        </w:rPr>
        <w:t>项目调整：部门预算项目采取对应调整措施，得分</w:t>
      </w:r>
      <w:r>
        <w:rPr>
          <w:rFonts w:hint="eastAsia" w:ascii="仿宋_GB2312" w:eastAsia="仿宋_GB2312"/>
          <w:color w:val="auto"/>
          <w:sz w:val="32"/>
          <w:szCs w:val="32"/>
          <w:lang w:val="en-US" w:eastAsia="zh-CN"/>
        </w:rPr>
        <w:t>4分。</w:t>
      </w:r>
    </w:p>
    <w:p w14:paraId="62A9755A">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ascii="楷体_GB2312" w:hAnsi="楷体_GB2312" w:eastAsia="仿宋_GB2312" w:cs="楷体_GB2312"/>
          <w:color w:val="000000"/>
          <w:kern w:val="0"/>
          <w:szCs w:val="32"/>
          <w:highlight w:val="none"/>
          <w:shd w:val="clear" w:color="auto" w:fill="FFFFFF"/>
          <w:lang w:val="en-US" w:eastAsia="zh-CN"/>
        </w:rPr>
      </w:pPr>
      <w:r>
        <w:rPr>
          <w:rFonts w:hint="eastAsia" w:ascii="仿宋_GB2312" w:eastAsia="仿宋_GB2312"/>
          <w:color w:val="auto"/>
          <w:sz w:val="32"/>
          <w:szCs w:val="32"/>
          <w:lang w:val="zh-CN"/>
        </w:rPr>
        <w:t>执行结果：</w:t>
      </w:r>
      <w:r>
        <w:rPr>
          <w:rFonts w:hint="eastAsia" w:ascii="仿宋_GB2312" w:hAnsi="仿宋_GB2312"/>
          <w:color w:val="auto"/>
          <w:sz w:val="32"/>
          <w:szCs w:val="32"/>
          <w:lang w:val="en-US" w:eastAsia="zh-CN"/>
        </w:rPr>
        <w:t>我单位2个常年项目中预算结余率大于10%的1个，2个一次性项目有1个结余率小于10%，得分2分。</w:t>
      </w:r>
    </w:p>
    <w:p w14:paraId="74E6D69B">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目标实现。</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得分9.25分）</w:t>
      </w:r>
    </w:p>
    <w:p w14:paraId="14E2C108">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zh-CN"/>
        </w:rPr>
      </w:pPr>
      <w:r>
        <w:rPr>
          <w:rFonts w:hint="eastAsia" w:ascii="仿宋_GB2312" w:eastAsia="仿宋_GB2312"/>
          <w:color w:val="auto"/>
          <w:sz w:val="32"/>
          <w:szCs w:val="32"/>
          <w:lang w:val="zh-CN"/>
        </w:rPr>
        <w:t>目标完成：</w:t>
      </w:r>
      <w:r>
        <w:rPr>
          <w:rFonts w:hint="eastAsia" w:ascii="仿宋_GB2312" w:hAnsi="仿宋_GB2312"/>
          <w:color w:val="auto"/>
          <w:sz w:val="32"/>
          <w:szCs w:val="32"/>
          <w:lang w:val="en-US" w:eastAsia="zh-CN"/>
        </w:rPr>
        <w:t>我单位4个项目中3个完成了绩效目标的数量指标</w:t>
      </w:r>
      <w:r>
        <w:rPr>
          <w:rFonts w:hint="eastAsia" w:ascii="仿宋_GB2312" w:eastAsia="仿宋_GB2312"/>
          <w:color w:val="auto"/>
          <w:sz w:val="32"/>
          <w:szCs w:val="32"/>
          <w:lang w:val="zh-CN"/>
        </w:rPr>
        <w:t>，得分</w:t>
      </w:r>
      <w:r>
        <w:rPr>
          <w:rFonts w:hint="eastAsia" w:ascii="仿宋_GB2312" w:hAnsi="仿宋_GB2312"/>
          <w:color w:val="auto"/>
          <w:sz w:val="32"/>
          <w:szCs w:val="32"/>
          <w:lang w:val="en-US" w:eastAsia="zh-CN"/>
        </w:rPr>
        <w:t>3</w:t>
      </w:r>
      <w:r>
        <w:rPr>
          <w:rFonts w:hint="eastAsia" w:ascii="仿宋_GB2312" w:eastAsia="仿宋_GB2312"/>
          <w:color w:val="auto"/>
          <w:sz w:val="32"/>
          <w:szCs w:val="32"/>
          <w:lang w:val="en-US" w:eastAsia="zh-CN"/>
        </w:rPr>
        <w:t>分。</w:t>
      </w:r>
    </w:p>
    <w:p w14:paraId="436DE472">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zh-CN"/>
        </w:rPr>
        <w:t>目标偏离：</w:t>
      </w:r>
      <w:r>
        <w:rPr>
          <w:rFonts w:hint="eastAsia" w:ascii="仿宋_GB2312" w:hAnsi="仿宋_GB2312"/>
          <w:color w:val="auto"/>
          <w:sz w:val="32"/>
          <w:szCs w:val="32"/>
          <w:lang w:val="en-US" w:eastAsia="zh-CN"/>
        </w:rPr>
        <w:t>我单位4个项目中有4个</w:t>
      </w:r>
      <w:r>
        <w:rPr>
          <w:rFonts w:hint="eastAsia" w:ascii="仿宋_GB2312" w:eastAsia="仿宋_GB2312"/>
          <w:color w:val="auto"/>
          <w:sz w:val="32"/>
          <w:szCs w:val="32"/>
          <w:lang w:val="zh-CN"/>
        </w:rPr>
        <w:t>项目绩效目标数量指标实现程度与预期目标的偏离度在30%以内，得分</w:t>
      </w:r>
      <w:r>
        <w:rPr>
          <w:rFonts w:hint="eastAsia" w:ascii="仿宋_GB2312" w:hAnsi="仿宋_GB2312"/>
          <w:color w:val="auto"/>
          <w:sz w:val="32"/>
          <w:szCs w:val="32"/>
          <w:lang w:val="en-US" w:eastAsia="zh-CN"/>
        </w:rPr>
        <w:t>4</w:t>
      </w:r>
      <w:r>
        <w:rPr>
          <w:rFonts w:hint="eastAsia" w:ascii="仿宋_GB2312" w:eastAsia="仿宋_GB2312"/>
          <w:color w:val="auto"/>
          <w:sz w:val="32"/>
          <w:szCs w:val="32"/>
          <w:lang w:val="en-US" w:eastAsia="zh-CN"/>
        </w:rPr>
        <w:t>分。</w:t>
      </w:r>
    </w:p>
    <w:p w14:paraId="6323F3D5">
      <w:pPr>
        <w:keepNext w:val="0"/>
        <w:keepLines w:val="0"/>
        <w:pageBreakBefore w:val="0"/>
        <w:widowControl w:val="0"/>
        <w:kinsoku/>
        <w:wordWrap/>
        <w:overflowPunct/>
        <w:topLinePunct w:val="0"/>
        <w:autoSpaceDE/>
        <w:autoSpaceDN/>
        <w:bidi w:val="0"/>
        <w:adjustRightInd/>
        <w:spacing w:line="700" w:lineRule="exact"/>
        <w:ind w:firstLine="800" w:firstLineChars="250"/>
        <w:jc w:val="left"/>
        <w:textAlignment w:val="auto"/>
        <w:rPr>
          <w:rFonts w:ascii="Times New Roman" w:hAnsi="Times New Roman" w:eastAsia="仿宋_GB2312" w:cs="Times New Roman"/>
          <w:sz w:val="32"/>
          <w:szCs w:val="32"/>
          <w:u w:val="none"/>
          <w:lang w:val="en-US" w:eastAsia="zh-CN"/>
        </w:rPr>
      </w:pPr>
      <w:r>
        <w:rPr>
          <w:rFonts w:hint="eastAsia" w:ascii="仿宋_GB2312" w:eastAsia="仿宋_GB2312"/>
          <w:color w:val="auto"/>
          <w:sz w:val="32"/>
          <w:szCs w:val="32"/>
          <w:lang w:val="zh-CN"/>
        </w:rPr>
        <w:t>实现效果：</w:t>
      </w:r>
      <w:r>
        <w:rPr>
          <w:rFonts w:hint="eastAsia" w:ascii="仿宋_GB2312" w:hAnsi="仿宋_GB2312"/>
          <w:color w:val="auto"/>
          <w:sz w:val="32"/>
          <w:szCs w:val="32"/>
          <w:lang w:val="en-US" w:eastAsia="zh-CN"/>
        </w:rPr>
        <w:t>我单位4个项目中有3个</w:t>
      </w:r>
      <w:r>
        <w:rPr>
          <w:rFonts w:hint="eastAsia" w:ascii="仿宋_GB2312" w:eastAsia="仿宋_GB2312"/>
          <w:color w:val="auto"/>
          <w:sz w:val="32"/>
          <w:szCs w:val="32"/>
          <w:lang w:val="zh-CN"/>
        </w:rPr>
        <w:t>项目完成绩效目标效益指标，</w:t>
      </w:r>
      <w:r>
        <w:rPr>
          <w:rFonts w:hint="eastAsia" w:ascii="仿宋_GB2312" w:eastAsia="仿宋_GB2312"/>
          <w:sz w:val="32"/>
          <w:szCs w:val="32"/>
          <w:lang w:val="zh-CN"/>
        </w:rPr>
        <w:t>得分</w:t>
      </w:r>
      <w:r>
        <w:rPr>
          <w:rFonts w:hint="eastAsia" w:ascii="仿宋_GB2312" w:hAnsi="仿宋_GB2312"/>
          <w:sz w:val="32"/>
          <w:szCs w:val="32"/>
          <w:lang w:val="en-US" w:eastAsia="zh-CN"/>
        </w:rPr>
        <w:t>2.25</w:t>
      </w:r>
      <w:r>
        <w:rPr>
          <w:rFonts w:hint="eastAsia" w:ascii="仿宋_GB2312" w:eastAsia="仿宋_GB2312"/>
          <w:sz w:val="32"/>
          <w:szCs w:val="32"/>
          <w:lang w:val="en-US" w:eastAsia="zh-CN"/>
        </w:rPr>
        <w:t>分。</w:t>
      </w:r>
    </w:p>
    <w:p w14:paraId="03B5998C">
      <w:pPr>
        <w:keepNext w:val="0"/>
        <w:keepLines w:val="0"/>
        <w:pageBreakBefore w:val="0"/>
        <w:widowControl w:val="0"/>
        <w:numPr>
          <w:ilvl w:val="0"/>
          <w:numId w:val="6"/>
        </w:numPr>
        <w:kinsoku/>
        <w:wordWrap/>
        <w:overflowPunct/>
        <w:topLinePunct w:val="0"/>
        <w:autoSpaceDE/>
        <w:autoSpaceDN/>
        <w:bidi w:val="0"/>
        <w:snapToGrid w:val="0"/>
        <w:spacing w:line="600" w:lineRule="exact"/>
        <w:ind w:left="0" w:firstLine="422" w:firstLineChars="200"/>
        <w:textAlignment w:val="auto"/>
        <w:rPr>
          <w:rFonts w:ascii="Times New Roman" w:hAnsi="Times New Roman" w:eastAsia="楷体_GB2312" w:cs="Times New Roman"/>
          <w:b/>
          <w:bCs/>
          <w:szCs w:val="32"/>
          <w:lang w:val="zh-CN"/>
        </w:rPr>
      </w:pPr>
      <w:r>
        <w:rPr>
          <w:rFonts w:ascii="Times New Roman" w:hAnsi="Times New Roman" w:eastAsia="楷体_GB2312" w:cs="Times New Roman"/>
          <w:b/>
          <w:bCs/>
          <w:szCs w:val="32"/>
          <w:lang w:val="zh-CN"/>
        </w:rPr>
        <w:t>绩效结果应用情况。</w:t>
      </w:r>
    </w:p>
    <w:p w14:paraId="45E652A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绩效评价结果已作为本单位科学制定预算的核心依据，结合年度支出情况，通过绩效数据分析，动态调整了预算支出，确保资金使用效率与目标达成相匹配。我单位绩效评价结果均通过单位门户网站、政务公开平台等向社会公开，主动接受公众监督。对于绩效自评工作中发现的问题，及时进行有效整改。</w:t>
      </w:r>
    </w:p>
    <w:p w14:paraId="0A1782F9">
      <w:pPr>
        <w:keepNext w:val="0"/>
        <w:keepLines w:val="0"/>
        <w:pageBreakBefore w:val="0"/>
        <w:widowControl/>
        <w:kinsoku/>
        <w:wordWrap/>
        <w:overflowPunct/>
        <w:topLinePunct w:val="0"/>
        <w:autoSpaceDE/>
        <w:autoSpaceDN/>
        <w:bidi w:val="0"/>
        <w:adjustRightInd w:val="0"/>
        <w:snapToGrid w:val="0"/>
        <w:spacing w:line="578" w:lineRule="exact"/>
        <w:ind w:firstLine="42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14:paraId="07B7A448">
      <w:pPr>
        <w:keepNext w:val="0"/>
        <w:keepLines w:val="0"/>
        <w:pageBreakBefore w:val="0"/>
        <w:widowControl/>
        <w:kinsoku/>
        <w:wordWrap/>
        <w:overflowPunct/>
        <w:topLinePunct w:val="0"/>
        <w:autoSpaceDE/>
        <w:autoSpaceDN/>
        <w:bidi w:val="0"/>
        <w:adjustRightInd w:val="0"/>
        <w:snapToGrid w:val="0"/>
        <w:spacing w:line="578" w:lineRule="exact"/>
        <w:ind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（一）评价结论。</w:t>
      </w:r>
    </w:p>
    <w:p w14:paraId="4D672EC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 经自评，本单位2025年度部门预算绩效综合评分为92.54分，绩效目标总体完成情况良好，资金使用规范高效，但在部分领域仍存在优化空间。</w:t>
      </w:r>
    </w:p>
    <w:p w14:paraId="031218FE">
      <w:pPr>
        <w:keepNext w:val="0"/>
        <w:keepLines w:val="0"/>
        <w:pageBreakBefore w:val="0"/>
        <w:widowControl/>
        <w:numPr>
          <w:ilvl w:val="0"/>
          <w:numId w:val="9"/>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存在问题。</w:t>
      </w:r>
    </w:p>
    <w:p w14:paraId="1C53622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预算执行效率不均衡：部分项目执行周期长，因资金下达时间较晚，启动较晚，影响中期执行进度。</w:t>
      </w:r>
    </w:p>
    <w:p w14:paraId="35193936">
      <w:pPr>
        <w:keepNext w:val="0"/>
        <w:keepLines w:val="0"/>
        <w:pageBreakBefore w:val="0"/>
        <w:widowControl/>
        <w:numPr>
          <w:ilvl w:val="0"/>
          <w:numId w:val="9"/>
        </w:numPr>
        <w:kinsoku/>
        <w:wordWrap/>
        <w:overflowPunct/>
        <w:topLinePunct w:val="0"/>
        <w:autoSpaceDE/>
        <w:autoSpaceDN/>
        <w:bidi w:val="0"/>
        <w:adjustRightInd w:val="0"/>
        <w:snapToGrid w:val="0"/>
        <w:spacing w:line="578" w:lineRule="exact"/>
        <w:ind w:left="0" w:firstLine="42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改进建议。</w:t>
      </w:r>
      <w:bookmarkStart w:id="81" w:name="_Hlk110546638"/>
    </w:p>
    <w:p w14:paraId="3EA1073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对执行周期长的项目，提前完成前期准备，确保资金下达后立即启动，避免因启动晚影响执行进度；建立月度资金执行率监控机制，对执行率偏低的项目及时预警，督促整改。</w:t>
      </w:r>
      <w:bookmarkEnd w:id="81"/>
    </w:p>
    <w:p w14:paraId="0E4D4E8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eastAsia="仿宋_GB2312"/>
          <w:color w:val="auto"/>
          <w:sz w:val="32"/>
          <w:szCs w:val="32"/>
          <w:lang w:val="en-US" w:eastAsia="zh-CN"/>
        </w:rPr>
      </w:pPr>
      <w:r>
        <w:rPr>
          <w:rFonts w:ascii="仿宋_GB2312" w:eastAsia="仿宋_GB2312"/>
          <w:color w:val="auto"/>
          <w:sz w:val="32"/>
          <w:szCs w:val="32"/>
          <w:lang w:val="en-US" w:eastAsia="zh-CN"/>
        </w:rPr>
        <w:t>附表：</w:t>
      </w:r>
      <w:r>
        <w:rPr>
          <w:rFonts w:hint="eastAsia" w:ascii="仿宋_GB2312" w:eastAsia="仿宋_GB2312"/>
          <w:color w:val="auto"/>
          <w:sz w:val="32"/>
          <w:szCs w:val="32"/>
          <w:lang w:val="en-US" w:eastAsia="zh-CN"/>
        </w:rPr>
        <w:t>1.部门预算绩效自评打分表</w:t>
      </w:r>
    </w:p>
    <w:p w14:paraId="2A31941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仿宋_GB2312" w:eastAsia="仿宋_GB2312"/>
          <w:color w:val="auto"/>
          <w:sz w:val="32"/>
          <w:szCs w:val="32"/>
          <w:lang w:val="en-US" w:eastAsia="zh-CN"/>
        </w:rPr>
      </w:pPr>
      <w:r>
        <w:rPr>
          <w:rFonts w:hint="eastAsia" w:ascii="仿宋_GB2312" w:eastAsia="仿宋_GB2312"/>
          <w:color w:val="auto"/>
          <w:sz w:val="32"/>
          <w:szCs w:val="32"/>
          <w:lang w:val="en-US" w:eastAsia="zh-CN"/>
        </w:rPr>
        <w:t>2.</w:t>
      </w:r>
      <w:r>
        <w:rPr>
          <w:rFonts w:ascii="仿宋_GB2312" w:eastAsia="仿宋_GB2312"/>
          <w:color w:val="auto"/>
          <w:sz w:val="32"/>
          <w:szCs w:val="32"/>
          <w:lang w:val="en-US" w:eastAsia="zh-CN"/>
        </w:rPr>
        <w:t>部门预算项目支出绩效评价表（202</w:t>
      </w:r>
      <w:r>
        <w:rPr>
          <w:rFonts w:hint="eastAsia" w:ascii="仿宋_GB2312" w:eastAsia="仿宋_GB2312"/>
          <w:color w:val="auto"/>
          <w:sz w:val="32"/>
          <w:szCs w:val="32"/>
          <w:lang w:val="en-US" w:eastAsia="zh-CN"/>
        </w:rPr>
        <w:t>5</w:t>
      </w:r>
      <w:r>
        <w:rPr>
          <w:rFonts w:ascii="仿宋_GB2312" w:eastAsia="仿宋_GB2312"/>
          <w:color w:val="auto"/>
          <w:sz w:val="32"/>
          <w:szCs w:val="32"/>
          <w:lang w:val="en-US" w:eastAsia="zh-CN"/>
        </w:rPr>
        <w:t>年度）</w:t>
      </w:r>
    </w:p>
    <w:p w14:paraId="4321BCDD">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cs="Times New Roman"/>
          <w:color w:val="000000"/>
          <w:kern w:val="0"/>
          <w:szCs w:val="32"/>
          <w:highlight w:val="none"/>
          <w:shd w:val="clear" w:color="auto" w:fill="FFFFFF"/>
          <w:lang w:val="en-US" w:eastAsia="zh-CN"/>
        </w:rPr>
        <w:br w:type="page"/>
      </w: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2F15F203">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rPr>
      </w:pPr>
      <w:r>
        <w:rPr>
          <w:rFonts w:hint="eastAsia" w:ascii="Times New Roman" w:hAnsi="Times New Roman" w:eastAsia="方正小标宋简体" w:cs="Times New Roman"/>
          <w:i w:val="0"/>
          <w:color w:val="000000"/>
          <w:kern w:val="0"/>
          <w:sz w:val="44"/>
          <w:szCs w:val="44"/>
          <w:u w:val="none"/>
          <w:lang w:val="en-US" w:eastAsia="zh-CN"/>
        </w:rPr>
        <w:t>部门预算绩效自评打分表</w:t>
      </w:r>
    </w:p>
    <w:tbl>
      <w:tblPr>
        <w:tblStyle w:val="20"/>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8"/>
        <w:gridCol w:w="1358"/>
        <w:gridCol w:w="1665"/>
        <w:gridCol w:w="720"/>
        <w:gridCol w:w="4657"/>
        <w:gridCol w:w="833"/>
        <w:gridCol w:w="478"/>
      </w:tblGrid>
      <w:tr w14:paraId="0A91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84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绩效评价指标分值</w:t>
            </w:r>
          </w:p>
        </w:tc>
        <w:tc>
          <w:tcPr>
            <w:tcW w:w="46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05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833" w:type="dxa"/>
            <w:vMerge w:val="restart"/>
            <w:tcBorders>
              <w:top w:val="single" w:color="000000" w:sz="4" w:space="0"/>
              <w:left w:val="single" w:color="000000" w:sz="4" w:space="0"/>
              <w:bottom w:val="nil"/>
              <w:right w:val="single" w:color="000000" w:sz="4" w:space="0"/>
            </w:tcBorders>
            <w:shd w:val="clear" w:color="auto" w:fill="auto"/>
            <w:noWrap/>
            <w:vAlign w:val="center"/>
          </w:tcPr>
          <w:p w14:paraId="3EDC00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78" w:type="dxa"/>
            <w:vMerge w:val="restart"/>
            <w:tcBorders>
              <w:top w:val="single" w:color="000000" w:sz="4" w:space="0"/>
              <w:left w:val="single" w:color="000000" w:sz="4" w:space="0"/>
              <w:bottom w:val="nil"/>
              <w:right w:val="single" w:color="000000" w:sz="4" w:space="0"/>
            </w:tcBorders>
            <w:shd w:val="clear" w:color="auto" w:fill="auto"/>
            <w:noWrap/>
            <w:vAlign w:val="center"/>
          </w:tcPr>
          <w:p w14:paraId="3DEB60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1F9A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tcBorders>
              <w:top w:val="single" w:color="000000" w:sz="4" w:space="0"/>
              <w:left w:val="single" w:color="000000" w:sz="4" w:space="0"/>
              <w:bottom w:val="single" w:color="000000" w:sz="4" w:space="0"/>
              <w:right w:val="nil"/>
            </w:tcBorders>
            <w:shd w:val="clear" w:color="auto" w:fill="auto"/>
            <w:noWrap/>
            <w:vAlign w:val="center"/>
          </w:tcPr>
          <w:p w14:paraId="1753A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95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8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72E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46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F521"/>
        </w:tc>
        <w:tc>
          <w:tcPr>
            <w:tcW w:w="833" w:type="dxa"/>
            <w:vMerge w:val="continue"/>
            <w:tcBorders>
              <w:top w:val="nil"/>
              <w:left w:val="single" w:color="000000" w:sz="4" w:space="0"/>
              <w:bottom w:val="single" w:color="000000" w:sz="4" w:space="0"/>
              <w:right w:val="single" w:color="000000" w:sz="4" w:space="0"/>
            </w:tcBorders>
            <w:shd w:val="clear" w:color="auto" w:fill="auto"/>
            <w:noWrap/>
            <w:vAlign w:val="center"/>
          </w:tcPr>
          <w:p w14:paraId="767001F1"/>
        </w:tc>
        <w:tc>
          <w:tcPr>
            <w:tcW w:w="478" w:type="dxa"/>
            <w:vMerge w:val="continue"/>
            <w:tcBorders>
              <w:top w:val="nil"/>
              <w:left w:val="single" w:color="000000" w:sz="4" w:space="0"/>
              <w:bottom w:val="single" w:color="000000" w:sz="4" w:space="0"/>
              <w:right w:val="single" w:color="000000" w:sz="4" w:space="0"/>
            </w:tcBorders>
            <w:shd w:val="clear" w:color="auto" w:fill="auto"/>
            <w:noWrap/>
            <w:vAlign w:val="center"/>
          </w:tcPr>
          <w:p w14:paraId="2E2C6C3E"/>
        </w:tc>
      </w:tr>
      <w:tr w14:paraId="1440F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1A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36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履职效能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5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履职效果</w:t>
            </w:r>
          </w:p>
        </w:tc>
        <w:tc>
          <w:tcPr>
            <w:tcW w:w="720" w:type="dxa"/>
            <w:tcBorders>
              <w:top w:val="nil"/>
              <w:left w:val="single" w:color="000000" w:sz="4" w:space="0"/>
              <w:bottom w:val="single" w:color="000000" w:sz="4" w:space="0"/>
              <w:right w:val="single" w:color="000000" w:sz="4" w:space="0"/>
            </w:tcBorders>
            <w:shd w:val="clear" w:color="auto" w:fill="auto"/>
            <w:noWrap/>
            <w:vAlign w:val="center"/>
          </w:tcPr>
          <w:p w14:paraId="4C0EB1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15</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50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部门整体绩效目标中选定3</w:t>
            </w:r>
            <w:r>
              <w:rPr>
                <w:rFonts w:hint="eastAsia" w:ascii="宋体" w:cs="宋体"/>
                <w:i w:val="0"/>
                <w:color w:val="000000"/>
                <w:kern w:val="0"/>
                <w:sz w:val="24"/>
                <w:szCs w:val="24"/>
                <w:u w:val="none"/>
                <w:lang w:val="en-US" w:eastAsia="zh-CN"/>
              </w:rPr>
              <w:t>—</w:t>
            </w:r>
            <w:r>
              <w:rPr>
                <w:rFonts w:hint="eastAsia" w:ascii="宋体" w:eastAsia="宋体" w:cs="宋体"/>
                <w:i w:val="0"/>
                <w:color w:val="000000"/>
                <w:kern w:val="0"/>
                <w:sz w:val="24"/>
                <w:szCs w:val="24"/>
                <w:u w:val="none"/>
                <w:lang w:val="en-US" w:eastAsia="zh-CN"/>
              </w:rPr>
              <w:t>5个核心职能目标，反映该项职能目标完成效果情况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19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A2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05E7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AD0E1"/>
        </w:tc>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7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预算管理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81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778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CF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部门是否严格按要求编制年初部门预算，年初预算编制的科学性和准确性</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58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6.81</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45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3F49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057C"/>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DAE4"/>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D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9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0B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部门统筹自有收入程度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F4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7A6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7346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CEFD"/>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6864"/>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9E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B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6</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CF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部门1至6月、1至10月预算执行情况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1B5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5.84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EE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4B49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85B6"/>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F215"/>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7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EF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81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部门整体年终预算结余情况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02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1.75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ED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1886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E62A"/>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9B79"/>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5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E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5</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606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A2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60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5996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8589C"/>
        </w:tc>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41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财务管理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A9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B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90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部门财务管理制度建立情况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53F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818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6A15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1DFA"/>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07748"/>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52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F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2</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6C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部门财务岗位设置是否符合相关财务管理制度要求</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9B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DC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9A6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37BF"/>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C9B88"/>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74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E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783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部门资金使用是否符合相关财务管理制度规定</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63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56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338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309D"/>
        </w:tc>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F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5C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D0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87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部门人均资产变化情况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11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32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46C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C8CB"/>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D0F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2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02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A8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部门资产超最低使用年限情况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DE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1.8</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37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7213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20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5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D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C60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4E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部门闲置一年以上的资产盘活情况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8CE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BA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36DC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0AFC"/>
        </w:tc>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97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采购管理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5A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1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25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部门是否严格执行政府采购促进中小企业发展相关管理办法</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E0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F9D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7FAB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A123"/>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CF40"/>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1F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6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0B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部门政府采购项目资金支付比例情况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4F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2.64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72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C7B6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DE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（35分）</w:t>
            </w:r>
          </w:p>
        </w:tc>
        <w:tc>
          <w:tcPr>
            <w:tcW w:w="1358" w:type="dxa"/>
            <w:vMerge w:val="restart"/>
            <w:tcBorders>
              <w:top w:val="single" w:color="000000" w:sz="4" w:space="0"/>
              <w:left w:val="single" w:color="000000" w:sz="4" w:space="0"/>
              <w:bottom w:val="nil"/>
              <w:right w:val="single" w:color="000000" w:sz="4" w:space="0"/>
            </w:tcBorders>
            <w:shd w:val="clear" w:color="auto" w:fill="auto"/>
            <w:noWrap/>
            <w:vAlign w:val="center"/>
          </w:tcPr>
          <w:p w14:paraId="38AA7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A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D1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9C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部门预算项目设立是否按规定履行评估论证、申报程序</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7C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76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333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E5AB"/>
        </w:tc>
        <w:tc>
          <w:tcPr>
            <w:tcW w:w="1358"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BBCE7CB"/>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C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F7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0B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784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89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6FD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B28A"/>
        </w:tc>
        <w:tc>
          <w:tcPr>
            <w:tcW w:w="1358"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F3E6431"/>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E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8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9E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部门预算项目是否在规定时</w:t>
            </w:r>
            <w:r>
              <w:rPr>
                <w:rFonts w:hint="eastAsia" w:ascii="宋体" w:cs="宋体"/>
                <w:i w:val="0"/>
                <w:color w:val="000000"/>
                <w:kern w:val="0"/>
                <w:sz w:val="24"/>
                <w:szCs w:val="24"/>
                <w:u w:val="none"/>
                <w:lang w:val="en-US" w:eastAsia="zh-CN"/>
              </w:rPr>
              <w:t>间内</w:t>
            </w:r>
            <w:r>
              <w:rPr>
                <w:rFonts w:hint="eastAsia" w:ascii="宋体" w:eastAsia="宋体" w:cs="宋体"/>
                <w:i w:val="0"/>
                <w:color w:val="000000"/>
                <w:kern w:val="0"/>
                <w:sz w:val="24"/>
                <w:szCs w:val="24"/>
                <w:u w:val="none"/>
                <w:lang w:val="en-US" w:eastAsia="zh-CN"/>
              </w:rPr>
              <w:t>完成项目入库</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D6B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B85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5D4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F951"/>
        </w:tc>
        <w:tc>
          <w:tcPr>
            <w:tcW w:w="1358" w:type="dxa"/>
            <w:vMerge w:val="restart"/>
            <w:tcBorders>
              <w:top w:val="single" w:color="000000" w:sz="4" w:space="0"/>
              <w:left w:val="single" w:color="000000" w:sz="4" w:space="0"/>
              <w:bottom w:val="nil"/>
              <w:right w:val="single" w:color="000000" w:sz="4" w:space="0"/>
            </w:tcBorders>
            <w:shd w:val="clear" w:color="auto" w:fill="auto"/>
            <w:noWrap/>
            <w:vAlign w:val="center"/>
          </w:tcPr>
          <w:p w14:paraId="44052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项目执行</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B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6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C0B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部门预算项目实际列支内容是否与绩效目标设置方向相符</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EA4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FA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E1F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1390"/>
        </w:tc>
        <w:tc>
          <w:tcPr>
            <w:tcW w:w="1358"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2306165"/>
        </w:tc>
        <w:tc>
          <w:tcPr>
            <w:tcW w:w="1665" w:type="dxa"/>
            <w:tcBorders>
              <w:top w:val="single" w:color="000000" w:sz="4" w:space="0"/>
              <w:left w:val="single" w:color="000000" w:sz="4" w:space="0"/>
              <w:bottom w:val="nil"/>
              <w:right w:val="single" w:color="000000" w:sz="4" w:space="0"/>
            </w:tcBorders>
            <w:shd w:val="clear" w:color="auto" w:fill="auto"/>
            <w:noWrap/>
            <w:vAlign w:val="center"/>
          </w:tcPr>
          <w:p w14:paraId="5CC21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B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4C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部门预算项目是否采取对应调整措施</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DC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A9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B2D6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3C6E"/>
        </w:tc>
        <w:tc>
          <w:tcPr>
            <w:tcW w:w="1358"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AF9DEC"/>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2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3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4B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部门预算项目预算执行情况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2D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7A3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E24E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51CE"/>
        </w:tc>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5B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目标实现</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8A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2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AEF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部门预算项目绩效目标数量指标完成情况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AC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4E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9494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64CD"/>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57D6"/>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B0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D0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4</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534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部门预算项目绩效目标数量指标实现程度与预期目标的偏离情况</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CE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C5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FAC3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0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6118D"/>
        </w:tc>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FB87"/>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A2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8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3</w:t>
            </w:r>
          </w:p>
        </w:tc>
        <w:tc>
          <w:tcPr>
            <w:tcW w:w="4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1FA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部门预算项目绩效目标效益指标实施效果</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50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2.25</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4B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E386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950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25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b/>
                <w:i w:val="0"/>
                <w:color w:val="000000"/>
                <w:kern w:val="0"/>
                <w:sz w:val="24"/>
                <w:szCs w:val="24"/>
                <w:u w:val="none"/>
                <w:lang w:val="en-US" w:eastAsia="zh-CN"/>
              </w:rPr>
              <w:t>合计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1D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92.59</w:t>
            </w:r>
          </w:p>
        </w:tc>
        <w:tc>
          <w:tcPr>
            <w:tcW w:w="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86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23DBD78C">
      <w:pPr>
        <w:pStyle w:val="15"/>
        <w:pageBreakBefore w:val="0"/>
        <w:widowControl w:val="0"/>
        <w:kinsoku/>
        <w:wordWrap/>
        <w:overflowPunct/>
        <w:topLinePunct w:val="0"/>
        <w:autoSpaceDE/>
        <w:autoSpaceDN/>
        <w:bidi w:val="0"/>
        <w:adjustRightInd/>
        <w:snapToGrid/>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14:paraId="379A50DA">
      <w:pPr>
        <w:pStyle w:val="15"/>
        <w:pageBreakBefore w:val="0"/>
        <w:widowControl w:val="0"/>
        <w:kinsoku/>
        <w:wordWrap/>
        <w:overflowPunct/>
        <w:topLinePunct w:val="0"/>
        <w:autoSpaceDE/>
        <w:autoSpaceDN/>
        <w:bidi w:val="0"/>
        <w:adjustRightInd/>
        <w:snapToGrid/>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p>
    <w:p w14:paraId="54DBEBFA">
      <w:pPr>
        <w:pStyle w:val="15"/>
        <w:pageBreakBefore w:val="0"/>
        <w:widowControl w:val="0"/>
        <w:kinsoku/>
        <w:wordWrap/>
        <w:overflowPunct/>
        <w:topLinePunct w:val="0"/>
        <w:autoSpaceDE/>
        <w:autoSpaceDN/>
        <w:bidi w:val="0"/>
        <w:adjustRightInd/>
        <w:snapToGrid/>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0"/>
        <w:gridCol w:w="560"/>
        <w:gridCol w:w="689"/>
        <w:gridCol w:w="1247"/>
        <w:gridCol w:w="555"/>
        <w:gridCol w:w="555"/>
        <w:gridCol w:w="602"/>
        <w:gridCol w:w="503"/>
        <w:gridCol w:w="273"/>
        <w:gridCol w:w="273"/>
        <w:gridCol w:w="2755"/>
      </w:tblGrid>
      <w:tr w14:paraId="038E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757F">
            <w:pPr>
              <w:keepNext w:val="0"/>
              <w:keepLines w:val="0"/>
              <w:widowControl/>
              <w:suppressLineNumbers w:val="0"/>
              <w:snapToGrid w:val="0"/>
              <w:jc w:val="center"/>
              <w:textAlignment w:val="center"/>
              <w:rPr>
                <w:rFonts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37D68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B71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193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51320022R000005203810</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追加州级部门建房补贴</w:t>
            </w:r>
          </w:p>
        </w:tc>
      </w:tr>
      <w:tr w14:paraId="1C9FA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986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C69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5C685B94">
            <w:pPr>
              <w:keepNext w:val="0"/>
              <w:keepLines w:val="0"/>
              <w:widowControl/>
              <w:suppressLineNumbers w:val="0"/>
              <w:snapToGrid w:val="0"/>
              <w:jc w:val="left"/>
              <w:textAlignment w:val="center"/>
              <w:rPr>
                <w:rFonts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D45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5A085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3BF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D97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B9C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EB98">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56BCD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49CB8"/>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0352"/>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896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591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严格执行相关政策，保障工资及时、足额发放或社保及时、足额缴纳，预算编制科学合理，无结余资金</w:t>
            </w:r>
          </w:p>
        </w:tc>
      </w:tr>
      <w:tr w14:paraId="6048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6DA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911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728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6B3E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48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12F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196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03D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11D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FB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B2E8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DD5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67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49A15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03B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CD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6FA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95A8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A2B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569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9AFC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95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13396">
            <w:pPr>
              <w:snapToGrid w:val="0"/>
              <w:rPr>
                <w:rFonts w:hint="eastAsia" w:ascii="黑体" w:eastAsia="黑体" w:cs="黑体"/>
                <w:i/>
                <w:iCs/>
                <w:color w:val="000000"/>
                <w:sz w:val="18"/>
                <w:szCs w:val="18"/>
                <w:u w:val="none"/>
              </w:rPr>
            </w:pPr>
          </w:p>
        </w:tc>
      </w:tr>
      <w:tr w14:paraId="5D79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D73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A0D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5F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519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BF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D7C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BDC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7DE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E5C1"/>
        </w:tc>
      </w:tr>
      <w:tr w14:paraId="2793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DAE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2AD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B9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D9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FA5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0E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3E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823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2F05F"/>
        </w:tc>
      </w:tr>
      <w:tr w14:paraId="5D7F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5B47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7DF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44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8D3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66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8B0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CA9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8F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07DC"/>
        </w:tc>
      </w:tr>
      <w:tr w14:paraId="1552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7CB6"/>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B2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7BB5">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144C">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EB5F">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A27A">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CC5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E9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31C78"/>
        </w:tc>
      </w:tr>
      <w:tr w14:paraId="286C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974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2B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42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A7C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E4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71C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D0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4C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AE8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44A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1B49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3DF9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BE4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89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A26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E9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EB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7EE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83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541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80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CB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5B25A">
            <w:pPr>
              <w:snapToGrid w:val="0"/>
              <w:jc w:val="center"/>
              <w:rPr>
                <w:rFonts w:hint="eastAsia" w:ascii="微软雅黑" w:eastAsia="微软雅黑" w:cs="微软雅黑"/>
                <w:i/>
                <w:iCs/>
                <w:color w:val="000000"/>
                <w:sz w:val="16"/>
                <w:szCs w:val="16"/>
                <w:u w:val="none"/>
              </w:rPr>
            </w:pPr>
          </w:p>
        </w:tc>
      </w:tr>
      <w:tr w14:paraId="7F1DF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625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410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E4A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BA7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CF1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B35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E4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9F3EF">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281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660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5642">
            <w:pPr>
              <w:snapToGrid w:val="0"/>
              <w:jc w:val="center"/>
              <w:rPr>
                <w:rFonts w:hint="eastAsia" w:ascii="微软雅黑" w:eastAsia="微软雅黑" w:cs="微软雅黑"/>
                <w:i/>
                <w:iCs/>
                <w:color w:val="000000"/>
                <w:sz w:val="16"/>
                <w:szCs w:val="16"/>
                <w:u w:val="none"/>
              </w:rPr>
            </w:pPr>
          </w:p>
        </w:tc>
      </w:tr>
      <w:tr w14:paraId="50B17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051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924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9CDA">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DD8E">
            <w:pPr>
              <w:snapToGrid w:val="0"/>
              <w:rPr>
                <w:rFonts w:hint="eastAsia" w:ascii="宋体" w:eastAsia="宋体" w:cs="宋体"/>
                <w:i w:val="0"/>
                <w:iCs w:val="0"/>
                <w:color w:val="000000"/>
                <w:sz w:val="18"/>
                <w:szCs w:val="18"/>
                <w:u w:val="none"/>
              </w:rPr>
            </w:pPr>
          </w:p>
        </w:tc>
      </w:tr>
      <w:tr w14:paraId="6B759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958E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984A">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1B68A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47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FB641">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02631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A8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5D1D">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73E4A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B123">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58DE">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29A41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758DC672">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34D5DB3F">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74063011">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3DAAB645">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495AD9EB">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7FA93D7F">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31196A79">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24293F5B">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36CBCCF3">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2CF5F79A">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1B9DC3F">
            <w:pPr>
              <w:snapToGrid w:val="0"/>
              <w:rPr>
                <w:rFonts w:hint="eastAsia" w:ascii="宋体" w:eastAsia="宋体" w:cs="宋体"/>
                <w:i w:val="0"/>
                <w:iCs w:val="0"/>
                <w:color w:val="000000"/>
                <w:sz w:val="18"/>
                <w:szCs w:val="18"/>
                <w:u w:val="none"/>
              </w:rPr>
            </w:pPr>
          </w:p>
        </w:tc>
      </w:tr>
      <w:tr w14:paraId="34B5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65920">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6B55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947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A4E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51320023R000007728618</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目标绩效奖（按月随工资发放70%部分）</w:t>
            </w:r>
          </w:p>
        </w:tc>
      </w:tr>
      <w:tr w14:paraId="5AEBC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1D0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20C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6A37A99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62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727EF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52E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967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BE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7149">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0D8FD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74D9B"/>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19963"/>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A2EF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73D0">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7828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467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2AB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2D74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2DB8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335D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62A0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1E2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50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220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30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679E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F6E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F9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CE58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8B2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66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0A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D0E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01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9C7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97F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087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1064">
            <w:pPr>
              <w:snapToGrid w:val="0"/>
              <w:rPr>
                <w:rFonts w:hint="eastAsia" w:ascii="黑体" w:eastAsia="黑体" w:cs="黑体"/>
                <w:i/>
                <w:iCs/>
                <w:color w:val="000000"/>
                <w:sz w:val="18"/>
                <w:szCs w:val="18"/>
                <w:u w:val="none"/>
              </w:rPr>
            </w:pPr>
          </w:p>
        </w:tc>
      </w:tr>
      <w:tr w14:paraId="0C78B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0EF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BC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CA1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A6E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385F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37.39</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D53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974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5202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338A"/>
        </w:tc>
      </w:tr>
      <w:tr w14:paraId="4979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041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6F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C1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966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10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5755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D432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544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A0DB"/>
        </w:tc>
      </w:tr>
      <w:tr w14:paraId="32858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532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EF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6D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315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EC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6B0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84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E3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0708"/>
        </w:tc>
      </w:tr>
      <w:tr w14:paraId="7799D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A90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8D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57C5">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D31E">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CA5D0">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3E7DF">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9C9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08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F684"/>
        </w:tc>
      </w:tr>
      <w:tr w14:paraId="4E81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5C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C655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C0E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E37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77C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A5D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36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A2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4E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D4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E7C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DEE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33C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CE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88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67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A0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7B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EB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9C3B7">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133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EEC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CD8C">
            <w:pPr>
              <w:snapToGrid w:val="0"/>
              <w:jc w:val="center"/>
              <w:rPr>
                <w:rFonts w:hint="eastAsia" w:ascii="微软雅黑" w:eastAsia="微软雅黑" w:cs="微软雅黑"/>
                <w:i/>
                <w:iCs/>
                <w:color w:val="000000"/>
                <w:sz w:val="16"/>
                <w:szCs w:val="16"/>
                <w:u w:val="none"/>
              </w:rPr>
            </w:pPr>
          </w:p>
        </w:tc>
      </w:tr>
      <w:tr w14:paraId="3A5A1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C4A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8296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1CF8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5DCD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37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849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F5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A57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DE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9D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7E84">
            <w:pPr>
              <w:snapToGrid w:val="0"/>
              <w:jc w:val="center"/>
              <w:rPr>
                <w:rFonts w:hint="eastAsia" w:ascii="微软雅黑" w:eastAsia="微软雅黑" w:cs="微软雅黑"/>
                <w:i/>
                <w:iCs/>
                <w:color w:val="000000"/>
                <w:sz w:val="16"/>
                <w:szCs w:val="16"/>
                <w:u w:val="none"/>
              </w:rPr>
            </w:pPr>
          </w:p>
        </w:tc>
      </w:tr>
      <w:tr w14:paraId="4B035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3D4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ACD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0B8C">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82B70">
            <w:pPr>
              <w:snapToGrid w:val="0"/>
              <w:rPr>
                <w:rFonts w:hint="eastAsia" w:ascii="宋体" w:eastAsia="宋体" w:cs="宋体"/>
                <w:i w:val="0"/>
                <w:iCs w:val="0"/>
                <w:color w:val="000000"/>
                <w:sz w:val="18"/>
                <w:szCs w:val="18"/>
                <w:u w:val="none"/>
              </w:rPr>
            </w:pPr>
          </w:p>
        </w:tc>
      </w:tr>
      <w:tr w14:paraId="29BB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CA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5385">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4A2F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A0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BFFC">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609E6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F43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A5C9">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14:paraId="44DB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64A4">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FB7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791F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5AD39B63">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589F9886">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5727DF26">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747D329F">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769CD6FC">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370B7B70">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7D0E5A5D">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07878504">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3293C77F">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52D63045">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6B971509">
            <w:pPr>
              <w:snapToGrid w:val="0"/>
              <w:rPr>
                <w:rFonts w:hint="eastAsia" w:ascii="宋体" w:eastAsia="宋体" w:cs="宋体"/>
                <w:i w:val="0"/>
                <w:iCs w:val="0"/>
                <w:color w:val="000000"/>
                <w:sz w:val="18"/>
                <w:szCs w:val="18"/>
                <w:u w:val="none"/>
              </w:rPr>
            </w:pPr>
          </w:p>
        </w:tc>
      </w:tr>
      <w:tr w14:paraId="3A83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A2B5">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6C487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D676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CA4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51320023R000009914893-工资性支出</w:t>
            </w:r>
          </w:p>
        </w:tc>
      </w:tr>
      <w:tr w14:paraId="0E109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8930">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ECC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2733BA79">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4C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4561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431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F30D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7B0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BF13">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156C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AF4E"/>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A4482"/>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BE86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0636">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2F876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3A77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6D5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391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12BC0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75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C3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5AF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5D23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A5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F9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F10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3B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0A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130F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9C7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05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9D2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92.45</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BB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87.62</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05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87.62</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2B4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106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595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2071">
            <w:pPr>
              <w:snapToGrid w:val="0"/>
              <w:rPr>
                <w:rFonts w:hint="eastAsia" w:ascii="黑体" w:eastAsia="黑体" w:cs="黑体"/>
                <w:i/>
                <w:iCs/>
                <w:color w:val="000000"/>
                <w:sz w:val="18"/>
                <w:szCs w:val="18"/>
                <w:u w:val="none"/>
              </w:rPr>
            </w:pPr>
          </w:p>
        </w:tc>
      </w:tr>
      <w:tr w14:paraId="6DE33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AD02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2A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376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92.45</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4A7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87.62</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99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87.62</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9D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B30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5C4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98D0"/>
        </w:tc>
      </w:tr>
      <w:tr w14:paraId="38DE5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DB8E"/>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4AE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E7D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E7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85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782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0B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A5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C152"/>
        </w:tc>
      </w:tr>
      <w:tr w14:paraId="3B9B3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9A2E"/>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34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88C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022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BB8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B8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F3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AE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21B9"/>
        </w:tc>
      </w:tr>
      <w:tr w14:paraId="27293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F93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CEA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C9CD">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81D8">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DFAB4">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0B46">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C09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6B3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C95A"/>
        </w:tc>
      </w:tr>
      <w:tr w14:paraId="1FF83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D32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31F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FC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8BC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8784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4B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54D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01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B05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1B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008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01A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29C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AF0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1A0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3B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D70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67C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679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4424">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18F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70F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0B18">
            <w:pPr>
              <w:snapToGrid w:val="0"/>
              <w:jc w:val="center"/>
              <w:rPr>
                <w:rFonts w:hint="eastAsia" w:ascii="微软雅黑" w:eastAsia="微软雅黑" w:cs="微软雅黑"/>
                <w:i/>
                <w:iCs/>
                <w:color w:val="000000"/>
                <w:sz w:val="16"/>
                <w:szCs w:val="16"/>
                <w:u w:val="none"/>
              </w:rPr>
            </w:pPr>
          </w:p>
        </w:tc>
      </w:tr>
      <w:tr w14:paraId="5DFDD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81B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2E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9FCB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E09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F7B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4D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3AA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194D">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77C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BD2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CCE9">
            <w:pPr>
              <w:snapToGrid w:val="0"/>
              <w:jc w:val="center"/>
              <w:rPr>
                <w:rFonts w:hint="eastAsia" w:ascii="微软雅黑" w:eastAsia="微软雅黑" w:cs="微软雅黑"/>
                <w:i/>
                <w:iCs/>
                <w:color w:val="000000"/>
                <w:sz w:val="16"/>
                <w:szCs w:val="16"/>
                <w:u w:val="none"/>
              </w:rPr>
            </w:pPr>
          </w:p>
        </w:tc>
      </w:tr>
      <w:tr w14:paraId="219C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37B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17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E636">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3ECC">
            <w:pPr>
              <w:snapToGrid w:val="0"/>
              <w:rPr>
                <w:rFonts w:hint="eastAsia" w:ascii="宋体" w:eastAsia="宋体" w:cs="宋体"/>
                <w:i w:val="0"/>
                <w:iCs w:val="0"/>
                <w:color w:val="000000"/>
                <w:sz w:val="18"/>
                <w:szCs w:val="18"/>
                <w:u w:val="none"/>
              </w:rPr>
            </w:pPr>
          </w:p>
        </w:tc>
      </w:tr>
      <w:tr w14:paraId="55A61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039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C5D7">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14C4D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5A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0B76">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5D15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D71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002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2042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88054">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项目负责人：谢海艳</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BA41">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3FCE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25857106">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3C25B0DB">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1B033520">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4941A074">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5B0C25DB">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2798A653">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79E51B97">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74F798F2">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41F215FA">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531518A9">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5DAFAE17">
            <w:pPr>
              <w:snapToGrid w:val="0"/>
              <w:rPr>
                <w:rFonts w:hint="eastAsia" w:ascii="宋体" w:eastAsia="宋体" w:cs="宋体"/>
                <w:i w:val="0"/>
                <w:iCs w:val="0"/>
                <w:color w:val="000000"/>
                <w:sz w:val="18"/>
                <w:szCs w:val="18"/>
                <w:u w:val="none"/>
              </w:rPr>
            </w:pPr>
          </w:p>
        </w:tc>
      </w:tr>
      <w:tr w14:paraId="7B68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253B">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04904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9329">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C09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51320023R000009915221</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单位缴费</w:t>
            </w:r>
          </w:p>
        </w:tc>
      </w:tr>
      <w:tr w14:paraId="0160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5415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1459">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698D9D0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12FA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23088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E53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40B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BF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EE53">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2E0A3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6D58"/>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1894"/>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9981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EA96">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5EBC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86B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589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1DD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0436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A7A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26C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88B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4C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1E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F5B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75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1B0A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673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249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31F8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C2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21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67.10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805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62.27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F8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62.27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F7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38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03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A9D2">
            <w:pPr>
              <w:snapToGrid w:val="0"/>
              <w:rPr>
                <w:rFonts w:hint="eastAsia" w:ascii="黑体" w:eastAsia="黑体" w:cs="黑体"/>
                <w:i/>
                <w:iCs/>
                <w:color w:val="000000"/>
                <w:sz w:val="18"/>
                <w:szCs w:val="18"/>
                <w:u w:val="none"/>
              </w:rPr>
            </w:pPr>
          </w:p>
        </w:tc>
      </w:tr>
      <w:tr w14:paraId="67B3C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C5B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8D9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C9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67.10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9FE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62.27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03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62.27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CB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C7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873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6A90"/>
        </w:tc>
      </w:tr>
      <w:tr w14:paraId="7C63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E30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A30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76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EFF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D3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D4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637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3BE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78E1"/>
        </w:tc>
      </w:tr>
      <w:tr w14:paraId="028F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703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5C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318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751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30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7C2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72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91E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075B"/>
        </w:tc>
      </w:tr>
      <w:tr w14:paraId="56A3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F86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CF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2FD9">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E388">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3320">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2847C">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B5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BE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79F8"/>
        </w:tc>
      </w:tr>
      <w:tr w14:paraId="6090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0F6A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B34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F7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975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BF1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A32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32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D6C0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C1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D2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23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D14E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5CF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924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824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E8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F3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962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83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4915">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CE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E56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1D4A">
            <w:pPr>
              <w:snapToGrid w:val="0"/>
              <w:jc w:val="center"/>
              <w:rPr>
                <w:rFonts w:hint="eastAsia" w:ascii="微软雅黑" w:eastAsia="微软雅黑" w:cs="微软雅黑"/>
                <w:i/>
                <w:iCs/>
                <w:color w:val="000000"/>
                <w:sz w:val="16"/>
                <w:szCs w:val="16"/>
                <w:u w:val="none"/>
              </w:rPr>
            </w:pPr>
          </w:p>
        </w:tc>
      </w:tr>
      <w:tr w14:paraId="35C88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7EC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569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0F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CC0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C6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8FB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DC2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2EE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5A4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B7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9DE0D">
            <w:pPr>
              <w:snapToGrid w:val="0"/>
              <w:jc w:val="center"/>
              <w:rPr>
                <w:rFonts w:hint="eastAsia" w:ascii="微软雅黑" w:eastAsia="微软雅黑" w:cs="微软雅黑"/>
                <w:i/>
                <w:iCs/>
                <w:color w:val="000000"/>
                <w:sz w:val="16"/>
                <w:szCs w:val="16"/>
                <w:u w:val="none"/>
              </w:rPr>
            </w:pPr>
          </w:p>
        </w:tc>
      </w:tr>
      <w:tr w14:paraId="6E99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15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1ACB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E1BB">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7DDA">
            <w:pPr>
              <w:snapToGrid w:val="0"/>
              <w:rPr>
                <w:rFonts w:hint="eastAsia" w:ascii="宋体" w:eastAsia="宋体" w:cs="宋体"/>
                <w:i w:val="0"/>
                <w:iCs w:val="0"/>
                <w:color w:val="000000"/>
                <w:sz w:val="18"/>
                <w:szCs w:val="18"/>
                <w:u w:val="none"/>
              </w:rPr>
            </w:pPr>
          </w:p>
        </w:tc>
      </w:tr>
      <w:tr w14:paraId="3761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A118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C30E">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5027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62A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06D5">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22F0B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D60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E894">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7C6E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E5DA">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项目负责人：范安飞</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D67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67D1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562A2F30">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55E9C72B">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04405AB6">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76B54272">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03F075DB">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58CDF32C">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5AA08F83">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4348C0E9">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0D58C334">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5D665DF5">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801FC40">
            <w:pPr>
              <w:snapToGrid w:val="0"/>
              <w:rPr>
                <w:rFonts w:hint="eastAsia" w:ascii="宋体" w:eastAsia="宋体" w:cs="宋体"/>
                <w:i w:val="0"/>
                <w:iCs w:val="0"/>
                <w:color w:val="000000"/>
                <w:sz w:val="18"/>
                <w:szCs w:val="18"/>
                <w:u w:val="none"/>
              </w:rPr>
            </w:pPr>
          </w:p>
        </w:tc>
      </w:tr>
      <w:tr w14:paraId="1552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4AD48">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4EE1C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8FF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8EE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51320023R000009915925</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聘用人员经费</w:t>
            </w:r>
          </w:p>
        </w:tc>
      </w:tr>
      <w:tr w14:paraId="4A396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F23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EE1F">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1D08124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58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6CCE7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C66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5FB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E69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4841">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5CD8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07CC"/>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B345"/>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B5DF">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76C4">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6845E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6BF3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967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678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12E6F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12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F5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A8D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0B2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2C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20DE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F61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64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8FA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1022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1AB7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197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CA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28.16</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1D95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25.25</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76B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25.25</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337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CE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77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F04D">
            <w:pPr>
              <w:snapToGrid w:val="0"/>
              <w:rPr>
                <w:rFonts w:hint="eastAsia" w:ascii="黑体" w:eastAsia="黑体" w:cs="黑体"/>
                <w:i/>
                <w:iCs/>
                <w:color w:val="000000"/>
                <w:sz w:val="18"/>
                <w:szCs w:val="18"/>
                <w:u w:val="none"/>
              </w:rPr>
            </w:pPr>
          </w:p>
        </w:tc>
      </w:tr>
      <w:tr w14:paraId="3C0A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BD6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B6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2B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28.16</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FD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25.25</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3D1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25.25</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9A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570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086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9753"/>
        </w:tc>
      </w:tr>
      <w:tr w14:paraId="74FE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0546"/>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D2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1C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EB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E0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CF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E9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95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0BB8"/>
        </w:tc>
      </w:tr>
      <w:tr w14:paraId="05066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5495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60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74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B17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A7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E37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4C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6B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7ECB"/>
        </w:tc>
      </w:tr>
      <w:tr w14:paraId="6F3B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FA6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78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05AB">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7CB4">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9234">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FDE4">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DC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FEE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9BF0"/>
        </w:tc>
      </w:tr>
      <w:tr w14:paraId="0769C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39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E1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D1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8929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F10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287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D80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EB8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E6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254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95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B5B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C32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98C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827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34C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8206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848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B15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7DA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D5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6D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50F4">
            <w:pPr>
              <w:snapToGrid w:val="0"/>
              <w:jc w:val="center"/>
              <w:rPr>
                <w:rFonts w:hint="eastAsia" w:ascii="微软雅黑" w:eastAsia="微软雅黑" w:cs="微软雅黑"/>
                <w:i/>
                <w:iCs/>
                <w:color w:val="000000"/>
                <w:sz w:val="16"/>
                <w:szCs w:val="16"/>
                <w:u w:val="none"/>
              </w:rPr>
            </w:pPr>
          </w:p>
        </w:tc>
      </w:tr>
      <w:tr w14:paraId="2ECC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982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7A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1C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88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756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1C3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51AB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10C2">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2AF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8BC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C3C6E">
            <w:pPr>
              <w:snapToGrid w:val="0"/>
              <w:jc w:val="center"/>
              <w:rPr>
                <w:rFonts w:hint="eastAsia" w:ascii="微软雅黑" w:eastAsia="微软雅黑" w:cs="微软雅黑"/>
                <w:i/>
                <w:iCs/>
                <w:color w:val="000000"/>
                <w:sz w:val="16"/>
                <w:szCs w:val="16"/>
                <w:u w:val="none"/>
              </w:rPr>
            </w:pPr>
          </w:p>
        </w:tc>
      </w:tr>
      <w:tr w14:paraId="163D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F4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C2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E610">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38FD3">
            <w:pPr>
              <w:snapToGrid w:val="0"/>
              <w:rPr>
                <w:rFonts w:hint="eastAsia" w:ascii="宋体" w:eastAsia="宋体" w:cs="宋体"/>
                <w:i w:val="0"/>
                <w:iCs w:val="0"/>
                <w:color w:val="000000"/>
                <w:sz w:val="18"/>
                <w:szCs w:val="18"/>
                <w:u w:val="none"/>
              </w:rPr>
            </w:pPr>
          </w:p>
        </w:tc>
      </w:tr>
      <w:tr w14:paraId="6DD6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D7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D7B9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54C41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03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0BA4">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0E25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013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56E6">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4F6B7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6AD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263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3C6CC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47F6102A">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0DAEAFD6">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781FD802">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1F0F5190">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5B7B9376">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58405657">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7609EA3E">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561E2A4C">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2349226E">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50DCDEEB">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D851471">
            <w:pPr>
              <w:snapToGrid w:val="0"/>
              <w:rPr>
                <w:rFonts w:hint="eastAsia" w:ascii="宋体" w:eastAsia="宋体" w:cs="宋体"/>
                <w:i w:val="0"/>
                <w:iCs w:val="0"/>
                <w:color w:val="000000"/>
                <w:sz w:val="18"/>
                <w:szCs w:val="18"/>
                <w:u w:val="none"/>
              </w:rPr>
            </w:pPr>
          </w:p>
        </w:tc>
      </w:tr>
      <w:tr w14:paraId="3963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4F5B">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70EB6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3A1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121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51320023Y000009917272</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日常公用经费</w:t>
            </w:r>
          </w:p>
        </w:tc>
      </w:tr>
      <w:tr w14:paraId="741E7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8FE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7CE1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35CBEC20">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CC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45725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D307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83E7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72C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B0F3">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71D0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02C0"/>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32F3"/>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504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8F8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提高预算编制质量，严格执行预算，保障单位日常运转。</w:t>
            </w:r>
          </w:p>
        </w:tc>
      </w:tr>
      <w:tr w14:paraId="6A97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8E2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ECE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5DB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r>
      <w:tr w14:paraId="72841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E6D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EE5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C50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7E0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A69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09D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FC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73F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B4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81B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615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AA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41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31.52</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339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30.02</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D6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30.02</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19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CC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F3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AC20B">
            <w:pPr>
              <w:snapToGrid w:val="0"/>
              <w:rPr>
                <w:rFonts w:hint="eastAsia" w:ascii="黑体" w:eastAsia="黑体" w:cs="黑体"/>
                <w:i/>
                <w:iCs/>
                <w:color w:val="000000"/>
                <w:sz w:val="18"/>
                <w:szCs w:val="18"/>
                <w:u w:val="none"/>
              </w:rPr>
            </w:pPr>
          </w:p>
        </w:tc>
      </w:tr>
      <w:tr w14:paraId="41C8D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874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1E8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017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31.52</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13E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30.02</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19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30.02</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8D2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CDB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9C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ABC6A"/>
        </w:tc>
      </w:tr>
      <w:tr w14:paraId="0C568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92C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12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41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33E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19F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8A5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A05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D77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E923"/>
        </w:tc>
      </w:tr>
      <w:tr w14:paraId="17CAF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9DB5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8C6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1F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8E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21F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13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1AB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61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D9BA"/>
        </w:tc>
      </w:tr>
      <w:tr w14:paraId="6B01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77C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F61B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8165E">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F973">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C77E">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CCE5">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A4C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7A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95901"/>
        </w:tc>
      </w:tr>
      <w:tr w14:paraId="61D4F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51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0F6E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0D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6B5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9F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C9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B8B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50A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33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FE3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8BA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2605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83B5"/>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30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76B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6C6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科目调整次数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FB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AE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172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8DD1">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AA0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F8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B806">
            <w:pPr>
              <w:snapToGrid w:val="0"/>
              <w:jc w:val="center"/>
              <w:rPr>
                <w:rFonts w:hint="eastAsia" w:ascii="微软雅黑" w:eastAsia="微软雅黑" w:cs="微软雅黑"/>
                <w:i/>
                <w:iCs/>
                <w:color w:val="000000"/>
                <w:sz w:val="16"/>
                <w:szCs w:val="16"/>
                <w:u w:val="none"/>
              </w:rPr>
            </w:pPr>
          </w:p>
        </w:tc>
      </w:tr>
      <w:tr w14:paraId="05C7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3A87"/>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0022"/>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05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B3A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预算编制准确率（计算方法为：∣（执行数</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预算数）/预算数∣）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C3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C24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BD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DCA9">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7CD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3B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99D7">
            <w:pPr>
              <w:snapToGrid w:val="0"/>
              <w:jc w:val="center"/>
              <w:rPr>
                <w:rFonts w:hint="eastAsia" w:ascii="微软雅黑" w:eastAsia="微软雅黑" w:cs="微软雅黑"/>
                <w:i/>
                <w:iCs/>
                <w:color w:val="000000"/>
                <w:sz w:val="16"/>
                <w:szCs w:val="16"/>
                <w:u w:val="none"/>
              </w:rPr>
            </w:pPr>
          </w:p>
        </w:tc>
      </w:tr>
      <w:tr w14:paraId="08AD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7C07"/>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D46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56B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FF6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“三公经费”控制率[计算方法为：（</w:t>
            </w:r>
            <w:r>
              <w:rPr>
                <w:rFonts w:hint="eastAsia" w:ascii="宋体" w:cs="宋体"/>
                <w:i w:val="0"/>
                <w:iCs w:val="0"/>
                <w:color w:val="000000"/>
                <w:kern w:val="0"/>
                <w:sz w:val="18"/>
                <w:szCs w:val="18"/>
                <w:u w:val="none"/>
                <w:lang w:val="en-US" w:eastAsia="zh-CN"/>
              </w:rPr>
              <w:t>“三公”经费</w:t>
            </w:r>
            <w:r>
              <w:rPr>
                <w:rFonts w:ascii="宋体" w:eastAsia="宋体" w:cs="宋体"/>
                <w:i w:val="0"/>
                <w:iCs w:val="0"/>
                <w:color w:val="000000"/>
                <w:kern w:val="0"/>
                <w:sz w:val="18"/>
                <w:szCs w:val="18"/>
                <w:u w:val="none"/>
                <w:lang w:val="en-US" w:eastAsia="zh-CN"/>
              </w:rPr>
              <w:t>实际支出数/预算安排数]×100%）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CF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F90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D5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D2FD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65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1A1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94D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526A">
            <w:pPr>
              <w:snapToGrid w:val="0"/>
              <w:jc w:val="center"/>
              <w:rPr>
                <w:rFonts w:hint="eastAsia" w:ascii="微软雅黑" w:eastAsia="微软雅黑" w:cs="微软雅黑"/>
                <w:i/>
                <w:iCs/>
                <w:color w:val="000000"/>
                <w:sz w:val="16"/>
                <w:szCs w:val="16"/>
                <w:u w:val="none"/>
              </w:rPr>
            </w:pPr>
          </w:p>
        </w:tc>
      </w:tr>
      <w:tr w14:paraId="3B23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ECB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0D2A"/>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CD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3E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运转保障率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C10E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F38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DC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8DF2">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24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02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0709">
            <w:pPr>
              <w:snapToGrid w:val="0"/>
              <w:jc w:val="center"/>
              <w:rPr>
                <w:rFonts w:hint="eastAsia" w:ascii="微软雅黑" w:eastAsia="微软雅黑" w:cs="微软雅黑"/>
                <w:i/>
                <w:iCs/>
                <w:color w:val="000000"/>
                <w:sz w:val="16"/>
                <w:szCs w:val="16"/>
                <w:u w:val="none"/>
              </w:rPr>
            </w:pPr>
          </w:p>
        </w:tc>
      </w:tr>
      <w:tr w14:paraId="56C05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F94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04D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607B">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0101">
            <w:pPr>
              <w:snapToGrid w:val="0"/>
              <w:rPr>
                <w:rFonts w:hint="eastAsia" w:ascii="宋体" w:eastAsia="宋体" w:cs="宋体"/>
                <w:i w:val="0"/>
                <w:iCs w:val="0"/>
                <w:color w:val="000000"/>
                <w:sz w:val="18"/>
                <w:szCs w:val="18"/>
                <w:u w:val="none"/>
              </w:rPr>
            </w:pPr>
          </w:p>
        </w:tc>
      </w:tr>
      <w:tr w14:paraId="74A97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64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6054">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0F29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1EE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D5B8">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3335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28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2F36">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5440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8EA5">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0CE3">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5E0D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640DD5F0">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604D3CDD">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26D192AF">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4282C023">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6B886E1D">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7F3011DD">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3AD1C789">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0FF3567A">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43E06DBA">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4FD4352F">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8DD9CDB">
            <w:pPr>
              <w:snapToGrid w:val="0"/>
              <w:rPr>
                <w:rFonts w:hint="eastAsia" w:ascii="宋体" w:eastAsia="宋体" w:cs="宋体"/>
                <w:i w:val="0"/>
                <w:iCs w:val="0"/>
                <w:color w:val="000000"/>
                <w:sz w:val="18"/>
                <w:szCs w:val="18"/>
                <w:u w:val="none"/>
              </w:rPr>
            </w:pPr>
          </w:p>
        </w:tc>
      </w:tr>
      <w:tr w14:paraId="57A0E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554D">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4CB4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F74B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68359">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51320024R000010654621</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退休人员经费</w:t>
            </w:r>
          </w:p>
        </w:tc>
      </w:tr>
      <w:tr w14:paraId="685F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27C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B01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1530C8EB">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45D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00DD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355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442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A9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5656">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6837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E16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595A"/>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012A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A46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735E2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D82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5E7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9D7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7105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43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95B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93B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6F5E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B01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40D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4E1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80C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B1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3011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149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645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FC9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08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15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0AB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6C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B10AB">
            <w:pPr>
              <w:snapToGrid w:val="0"/>
              <w:jc w:val="center"/>
              <w:rPr>
                <w:rFonts w:hint="eastAsia" w:ascii="宋体" w:eastAsia="宋体" w:cs="宋体"/>
                <w:i w:val="0"/>
                <w:iCs w:val="0"/>
                <w:color w:val="000000"/>
                <w:sz w:val="18"/>
                <w:szCs w:val="18"/>
                <w:u w:val="none"/>
              </w:rPr>
            </w:pP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C644">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0F521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EBB4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FD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3B5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A9E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48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01F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6F7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A0D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61E1"/>
        </w:tc>
      </w:tr>
      <w:tr w14:paraId="394F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49A2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53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28F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B9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8A6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93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03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4F8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4372"/>
        </w:tc>
      </w:tr>
      <w:tr w14:paraId="3EB0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7F1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633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DB7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21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46F7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38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84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676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E6B7"/>
        </w:tc>
      </w:tr>
      <w:tr w14:paraId="0ADFA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87E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849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78C0">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15BF">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0C320">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EBB1">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82A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B8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3948"/>
        </w:tc>
      </w:tr>
      <w:tr w14:paraId="76325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FB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5A0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0F1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24F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319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05F7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ED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FA8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AFE9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FCF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80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0AB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E596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16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04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643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40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54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2A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53B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B2F7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74E5">
            <w:pPr>
              <w:snapToGrid w:val="0"/>
              <w:jc w:val="center"/>
              <w:rPr>
                <w:rFonts w:hint="eastAsia" w:ascii="宋体" w:eastAsia="宋体" w:cs="宋体"/>
                <w:i w:val="0"/>
                <w:iCs w:val="0"/>
                <w:color w:val="000000"/>
                <w:sz w:val="18"/>
                <w:szCs w:val="18"/>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1B21">
            <w:pPr>
              <w:snapToGrid w:val="0"/>
              <w:jc w:val="center"/>
              <w:rPr>
                <w:rFonts w:hint="eastAsia" w:ascii="微软雅黑" w:eastAsia="微软雅黑" w:cs="微软雅黑"/>
                <w:i/>
                <w:iCs/>
                <w:color w:val="000000"/>
                <w:sz w:val="16"/>
                <w:szCs w:val="16"/>
                <w:u w:val="none"/>
              </w:rPr>
            </w:pPr>
          </w:p>
        </w:tc>
      </w:tr>
      <w:tr w14:paraId="1DD4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CB8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BB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5A2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582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F78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FB8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B0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113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BA7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B75C">
            <w:pPr>
              <w:snapToGrid w:val="0"/>
              <w:jc w:val="center"/>
              <w:rPr>
                <w:rFonts w:hint="eastAsia" w:ascii="宋体" w:eastAsia="宋体" w:cs="宋体"/>
                <w:i w:val="0"/>
                <w:iCs w:val="0"/>
                <w:color w:val="000000"/>
                <w:sz w:val="18"/>
                <w:szCs w:val="18"/>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52CB">
            <w:pPr>
              <w:snapToGrid w:val="0"/>
              <w:jc w:val="center"/>
              <w:rPr>
                <w:rFonts w:hint="eastAsia" w:ascii="微软雅黑" w:eastAsia="微软雅黑" w:cs="微软雅黑"/>
                <w:i/>
                <w:iCs/>
                <w:color w:val="000000"/>
                <w:sz w:val="16"/>
                <w:szCs w:val="16"/>
                <w:u w:val="none"/>
              </w:rPr>
            </w:pPr>
          </w:p>
        </w:tc>
      </w:tr>
      <w:tr w14:paraId="19CF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9DB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88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FFBB">
            <w:pPr>
              <w:snapToGrid w:val="0"/>
              <w:rPr>
                <w:rFonts w:hint="eastAsia" w:ascii="宋体" w:eastAsia="宋体" w:cs="宋体"/>
                <w:i w:val="0"/>
                <w:iCs w:val="0"/>
                <w:color w:val="000000"/>
                <w:sz w:val="18"/>
                <w:szCs w:val="18"/>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C833">
            <w:pPr>
              <w:snapToGrid w:val="0"/>
              <w:rPr>
                <w:rFonts w:hint="eastAsia" w:ascii="宋体" w:eastAsia="宋体" w:cs="宋体"/>
                <w:i w:val="0"/>
                <w:iCs w:val="0"/>
                <w:color w:val="000000"/>
                <w:sz w:val="18"/>
                <w:szCs w:val="18"/>
                <w:u w:val="none"/>
              </w:rPr>
            </w:pPr>
          </w:p>
        </w:tc>
      </w:tr>
      <w:tr w14:paraId="2B6E5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6DB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5010">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5A89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C83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0696">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3F4E8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F1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2634">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3C1D0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C67E">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项目负责人：范安飞</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DA99">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0E02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35224D72">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300DB0E5">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2C5C6C60">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3D19A283">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3EF6DFAB">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2A9F5928">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049A4DCB">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5403E854">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25358084">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751EF8FF">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62978C1B">
            <w:pPr>
              <w:snapToGrid w:val="0"/>
              <w:rPr>
                <w:rFonts w:hint="eastAsia" w:ascii="宋体" w:eastAsia="宋体" w:cs="宋体"/>
                <w:i w:val="0"/>
                <w:iCs w:val="0"/>
                <w:color w:val="000000"/>
                <w:sz w:val="18"/>
                <w:szCs w:val="18"/>
                <w:u w:val="none"/>
              </w:rPr>
            </w:pPr>
          </w:p>
        </w:tc>
      </w:tr>
      <w:tr w14:paraId="1F307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0C75">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4A2B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96D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2F2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51320024T000010424621</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隐蔽式加油机检测系统采购</w:t>
            </w:r>
          </w:p>
        </w:tc>
      </w:tr>
      <w:tr w14:paraId="1E8D3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96B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4D1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6A66B66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7362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676C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791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954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9CE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171E">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3CCF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DC58"/>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A7A1E"/>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2BC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为做好我州加油机检测工作，打击违法行为。我所计划购置1套隐蔽式加油机检测系统，总计资金50万元。</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D59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完成了隐蔽式加油机检测系统的采购任务，并完成验收投入使用，有效打击了加油机违法行为。</w:t>
            </w:r>
          </w:p>
        </w:tc>
      </w:tr>
      <w:tr w14:paraId="6F46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A23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ABA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C4C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严格按照采购程序完成了采购任务，并完成资产的验收入库，设备已正常投入使用。</w:t>
            </w:r>
          </w:p>
        </w:tc>
      </w:tr>
      <w:tr w14:paraId="4926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001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B03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40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4AB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B6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0A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63E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281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823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2103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3C6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764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20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980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A2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778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21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CC7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1DCBD">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本项目为上年结转资金</w:t>
            </w:r>
          </w:p>
        </w:tc>
      </w:tr>
      <w:tr w14:paraId="5B47A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34F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4D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0F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842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A1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48.50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81D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F75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35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439A"/>
        </w:tc>
      </w:tr>
      <w:tr w14:paraId="66BD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0BD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62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1A18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33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4E4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39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C7B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E1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D2AD"/>
        </w:tc>
      </w:tr>
      <w:tr w14:paraId="0136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E9E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FF5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EC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36E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801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A7B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B1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97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0ECE2"/>
        </w:tc>
      </w:tr>
      <w:tr w14:paraId="4904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F71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9E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8181">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6621">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C819">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93F6">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1C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9B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AECE"/>
        </w:tc>
      </w:tr>
      <w:tr w14:paraId="5FD5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447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094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02AE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A2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51B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04E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6B4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E5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E3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8FB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4F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0012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B0E9"/>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2B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15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3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购置隐蔽式加油机检测系统数量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D3E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D8A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6A3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C30AA">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FFA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90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7C24">
            <w:pPr>
              <w:snapToGrid w:val="0"/>
              <w:jc w:val="center"/>
              <w:rPr>
                <w:rFonts w:hint="eastAsia" w:ascii="微软雅黑" w:eastAsia="微软雅黑" w:cs="微软雅黑"/>
                <w:i/>
                <w:iCs/>
                <w:color w:val="000000"/>
                <w:sz w:val="16"/>
                <w:szCs w:val="16"/>
                <w:u w:val="none"/>
              </w:rPr>
            </w:pPr>
          </w:p>
        </w:tc>
      </w:tr>
      <w:tr w14:paraId="461F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AFA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52E8"/>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6E3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F13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CD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53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D5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C49D">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18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7474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81C8">
            <w:pPr>
              <w:snapToGrid w:val="0"/>
              <w:jc w:val="center"/>
              <w:rPr>
                <w:rFonts w:hint="eastAsia" w:ascii="微软雅黑" w:eastAsia="微软雅黑" w:cs="微软雅黑"/>
                <w:i/>
                <w:iCs/>
                <w:color w:val="000000"/>
                <w:sz w:val="16"/>
                <w:szCs w:val="16"/>
                <w:u w:val="none"/>
              </w:rPr>
            </w:pPr>
          </w:p>
        </w:tc>
      </w:tr>
      <w:tr w14:paraId="5E1D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7D3F"/>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8BED"/>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D6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4A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FCA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9D8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B3DA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C2CD">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17D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35EF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DC0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因设备涉及改装，上年末未完成验收</w:t>
            </w:r>
          </w:p>
        </w:tc>
      </w:tr>
      <w:tr w14:paraId="0254A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FD99"/>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8AB3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E7C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E18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加油机作弊投诉数量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9C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D6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393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次/年</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37A9">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3</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E4E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E6F4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AE30">
            <w:pPr>
              <w:snapToGrid w:val="0"/>
              <w:jc w:val="center"/>
              <w:rPr>
                <w:rFonts w:hint="eastAsia" w:ascii="微软雅黑" w:eastAsia="微软雅黑" w:cs="微软雅黑"/>
                <w:i/>
                <w:iCs/>
                <w:color w:val="000000"/>
                <w:sz w:val="16"/>
                <w:szCs w:val="16"/>
                <w:u w:val="none"/>
              </w:rPr>
            </w:pPr>
          </w:p>
        </w:tc>
      </w:tr>
      <w:tr w14:paraId="2215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6DFE1"/>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68707"/>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8EE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D5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计量检定能力范围</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C09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503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D7A6">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604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283B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85C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A035">
            <w:pPr>
              <w:snapToGrid w:val="0"/>
              <w:jc w:val="center"/>
              <w:rPr>
                <w:rFonts w:hint="eastAsia" w:ascii="微软雅黑" w:eastAsia="微软雅黑" w:cs="微软雅黑"/>
                <w:i/>
                <w:iCs/>
                <w:color w:val="000000"/>
                <w:sz w:val="16"/>
                <w:szCs w:val="16"/>
                <w:u w:val="none"/>
              </w:rPr>
            </w:pPr>
          </w:p>
        </w:tc>
      </w:tr>
      <w:tr w14:paraId="5708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015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394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5AB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C9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设备使用人员满意度</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74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BCB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优良</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1DF4">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A61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优良</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C84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F0A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3480">
            <w:pPr>
              <w:snapToGrid w:val="0"/>
              <w:jc w:val="center"/>
              <w:rPr>
                <w:rFonts w:hint="eastAsia" w:ascii="微软雅黑" w:eastAsia="微软雅黑" w:cs="微软雅黑"/>
                <w:i/>
                <w:iCs/>
                <w:color w:val="000000"/>
                <w:sz w:val="16"/>
                <w:szCs w:val="16"/>
                <w:u w:val="none"/>
              </w:rPr>
            </w:pPr>
          </w:p>
        </w:tc>
      </w:tr>
      <w:tr w14:paraId="2A7E0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2F5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ADE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450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5293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项目成本</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A0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F0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D6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FF4B">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48.5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FE3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DCF5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B4BC0">
            <w:pPr>
              <w:snapToGrid w:val="0"/>
              <w:jc w:val="center"/>
              <w:rPr>
                <w:rFonts w:hint="eastAsia" w:ascii="微软雅黑" w:eastAsia="微软雅黑" w:cs="微软雅黑"/>
                <w:i/>
                <w:iCs/>
                <w:color w:val="000000"/>
                <w:sz w:val="16"/>
                <w:szCs w:val="16"/>
                <w:u w:val="none"/>
              </w:rPr>
            </w:pPr>
          </w:p>
        </w:tc>
      </w:tr>
      <w:tr w14:paraId="4697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76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C14D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FBD7">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D927">
            <w:pPr>
              <w:snapToGrid w:val="0"/>
              <w:rPr>
                <w:rFonts w:hint="eastAsia" w:ascii="宋体" w:eastAsia="宋体" w:cs="宋体"/>
                <w:i w:val="0"/>
                <w:iCs w:val="0"/>
                <w:color w:val="000000"/>
                <w:sz w:val="18"/>
                <w:szCs w:val="18"/>
                <w:u w:val="none"/>
              </w:rPr>
            </w:pPr>
          </w:p>
        </w:tc>
      </w:tr>
      <w:tr w14:paraId="563D3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624C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1F5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该项目资金使用基本达到预期目标，较好地完成了项目目标任务，按照部门预算项目支出绩效自评表自评得分为90分。</w:t>
            </w:r>
          </w:p>
        </w:tc>
      </w:tr>
      <w:tr w14:paraId="3446D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F6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8C8B">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00D9C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10A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8092">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2F48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A0E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4AB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40574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00121CD9">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2E2DE88C">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65AB6459">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10EA11E5">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60EEB4E3">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647D0BAF">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15CE4205">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691C8599">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0C9DCAEE">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31AF1404">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5443877F">
            <w:pPr>
              <w:snapToGrid w:val="0"/>
              <w:rPr>
                <w:rFonts w:hint="eastAsia" w:ascii="宋体" w:eastAsia="宋体" w:cs="宋体"/>
                <w:i w:val="0"/>
                <w:iCs w:val="0"/>
                <w:color w:val="000000"/>
                <w:sz w:val="18"/>
                <w:szCs w:val="18"/>
                <w:u w:val="none"/>
              </w:rPr>
            </w:pPr>
          </w:p>
        </w:tc>
      </w:tr>
      <w:tr w14:paraId="1EEEE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97537">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2A0E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6A8C0">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C5E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51320025R000012338995</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追加人员工资性支出</w:t>
            </w:r>
          </w:p>
        </w:tc>
      </w:tr>
      <w:tr w14:paraId="76060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992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8E68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74C6D9E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74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23CC6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48E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8E0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C4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F135">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137C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C9A9"/>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D362"/>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74B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75E9">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4DB7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7A4F"/>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2E8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B7B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087C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D0E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3E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E199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6A3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5D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F4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69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4B0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31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B1B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CE9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DE6D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700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C2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6.09</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D7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6.09</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86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4F2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375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3350">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追加原因为人员工资正常调整</w:t>
            </w:r>
          </w:p>
        </w:tc>
      </w:tr>
      <w:tr w14:paraId="7EFE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70F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EB30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4A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98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6.09</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E46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6.09</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7E7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B6A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E2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0EFD"/>
        </w:tc>
      </w:tr>
      <w:tr w14:paraId="5690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C36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EEB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AFB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D65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7D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1F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C30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96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2C0FD"/>
        </w:tc>
      </w:tr>
      <w:tr w14:paraId="6132D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60FF"/>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4F7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7C03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01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286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341E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A7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C4B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789F"/>
        </w:tc>
      </w:tr>
      <w:tr w14:paraId="481DD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5D5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8AA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D556">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6363">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CD17">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8A151">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2CE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3D6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C0650"/>
        </w:tc>
      </w:tr>
      <w:tr w14:paraId="3CB0F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B7B7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97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F66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F10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3A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04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351D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2B0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618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5B2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2B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616B9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2D4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67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ADB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B1E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9E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372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E1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652E">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84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93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6635">
            <w:pPr>
              <w:snapToGrid w:val="0"/>
              <w:jc w:val="center"/>
              <w:rPr>
                <w:rFonts w:hint="eastAsia" w:ascii="微软雅黑" w:eastAsia="微软雅黑" w:cs="微软雅黑"/>
                <w:i/>
                <w:iCs/>
                <w:color w:val="000000"/>
                <w:sz w:val="16"/>
                <w:szCs w:val="16"/>
                <w:u w:val="none"/>
              </w:rPr>
            </w:pPr>
          </w:p>
        </w:tc>
      </w:tr>
      <w:tr w14:paraId="7926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800F"/>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3B1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29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B72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3E2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C1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95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D2DEB">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6B4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5F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E9CF3">
            <w:pPr>
              <w:snapToGrid w:val="0"/>
              <w:jc w:val="center"/>
              <w:rPr>
                <w:rFonts w:hint="eastAsia" w:ascii="微软雅黑" w:eastAsia="微软雅黑" w:cs="微软雅黑"/>
                <w:i/>
                <w:iCs/>
                <w:color w:val="000000"/>
                <w:sz w:val="16"/>
                <w:szCs w:val="16"/>
                <w:u w:val="none"/>
              </w:rPr>
            </w:pPr>
          </w:p>
        </w:tc>
      </w:tr>
      <w:tr w14:paraId="37EC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0CF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4B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4B84">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C01F">
            <w:pPr>
              <w:snapToGrid w:val="0"/>
              <w:rPr>
                <w:rFonts w:hint="eastAsia" w:ascii="宋体" w:eastAsia="宋体" w:cs="宋体"/>
                <w:i w:val="0"/>
                <w:iCs w:val="0"/>
                <w:color w:val="000000"/>
                <w:sz w:val="18"/>
                <w:szCs w:val="18"/>
                <w:u w:val="none"/>
              </w:rPr>
            </w:pPr>
          </w:p>
        </w:tc>
      </w:tr>
      <w:tr w14:paraId="446C8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99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31AFE">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6E089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B2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040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1B6DC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BD8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EED2">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46109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23C4">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项目负责人：谢海艳</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0F88">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64397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597EDF1A">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5237EF41">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4739A921">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4ED71CE5">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5304F9FD">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0E72810C">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78D6264C">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4285A54F">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6F111C3A">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62A22DBC">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244E344A">
            <w:pPr>
              <w:snapToGrid w:val="0"/>
              <w:rPr>
                <w:rFonts w:hint="eastAsia" w:ascii="宋体" w:eastAsia="宋体" w:cs="宋体"/>
                <w:i w:val="0"/>
                <w:iCs w:val="0"/>
                <w:color w:val="000000"/>
                <w:sz w:val="18"/>
                <w:szCs w:val="18"/>
                <w:u w:val="none"/>
              </w:rPr>
            </w:pPr>
          </w:p>
        </w:tc>
      </w:tr>
      <w:tr w14:paraId="425E7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2C30">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29AB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765B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D01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51320025R000012408768</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年度考核奖（30%）</w:t>
            </w:r>
          </w:p>
        </w:tc>
      </w:tr>
      <w:tr w14:paraId="4B89F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1CA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129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2A6A2E60">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4B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167E9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4FA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B22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1B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1546D">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219FF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03F7"/>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EA36"/>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DB7D">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536A">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严格执行相关政策，保障工资及时、足额发放或社保及时、足额缴纳，预算编制科学合理，减少结余资金。</w:t>
            </w:r>
          </w:p>
        </w:tc>
      </w:tr>
      <w:tr w14:paraId="4F282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7E9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7BC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E80F">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严格执行相关政策，保障工资及时、足额发放或社保及时、足额缴纳，预算编制科学合理，减少结余资金。</w:t>
            </w:r>
          </w:p>
        </w:tc>
      </w:tr>
      <w:tr w14:paraId="7636E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91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28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A2E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52E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27B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AD9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A2C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503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B6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F38A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E81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5D6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0B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63B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14.87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6B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14.87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82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33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5D8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8FD3">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追加原因按实际应发追加</w:t>
            </w:r>
          </w:p>
        </w:tc>
      </w:tr>
      <w:tr w14:paraId="1282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34656"/>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3A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FCC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32B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14.87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E5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14.87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FCB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3EE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AABE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54CCC"/>
        </w:tc>
      </w:tr>
      <w:tr w14:paraId="5C2D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510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F26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81D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C68D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8B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CB3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7B4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F55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B2A2"/>
        </w:tc>
      </w:tr>
      <w:tr w14:paraId="093A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559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AD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FA7E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A1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48E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1C2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9D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E88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3A4F"/>
        </w:tc>
      </w:tr>
      <w:tr w14:paraId="5507B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8CE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63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05F0E">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F2CE">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4CFA">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BE972">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9CB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48D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DE50D"/>
        </w:tc>
      </w:tr>
      <w:tr w14:paraId="5D415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EC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37E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54C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BD9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33CF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42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6FD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79D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76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4A4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D24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13AA1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80E3"/>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C5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6DA0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7B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发放（缴纳）覆盖率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10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91E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30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F317">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CF2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F61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AE64">
            <w:pPr>
              <w:snapToGrid w:val="0"/>
              <w:jc w:val="center"/>
              <w:rPr>
                <w:rFonts w:hint="eastAsia" w:ascii="微软雅黑" w:eastAsia="微软雅黑" w:cs="微软雅黑"/>
                <w:i/>
                <w:iCs/>
                <w:color w:val="000000"/>
                <w:sz w:val="16"/>
                <w:szCs w:val="16"/>
                <w:u w:val="none"/>
              </w:rPr>
            </w:pPr>
          </w:p>
        </w:tc>
      </w:tr>
      <w:tr w14:paraId="1802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B6A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53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A2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CA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足额保障率（参保率）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3C4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E9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C19D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F6E9">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A66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CD2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3FAB">
            <w:pPr>
              <w:snapToGrid w:val="0"/>
              <w:jc w:val="center"/>
              <w:rPr>
                <w:rFonts w:hint="eastAsia" w:ascii="微软雅黑" w:eastAsia="微软雅黑" w:cs="微软雅黑"/>
                <w:i/>
                <w:iCs/>
                <w:color w:val="000000"/>
                <w:sz w:val="16"/>
                <w:szCs w:val="16"/>
                <w:u w:val="none"/>
              </w:rPr>
            </w:pPr>
          </w:p>
        </w:tc>
      </w:tr>
      <w:tr w14:paraId="3A5EE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04B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EAC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F770">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70D4">
            <w:pPr>
              <w:snapToGrid w:val="0"/>
              <w:rPr>
                <w:rFonts w:hint="eastAsia" w:ascii="宋体" w:eastAsia="宋体" w:cs="宋体"/>
                <w:i w:val="0"/>
                <w:iCs w:val="0"/>
                <w:color w:val="000000"/>
                <w:sz w:val="18"/>
                <w:szCs w:val="18"/>
                <w:u w:val="none"/>
              </w:rPr>
            </w:pPr>
          </w:p>
        </w:tc>
      </w:tr>
      <w:tr w14:paraId="1E6A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11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C707">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40C0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08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6D17">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6FC6A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EE6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0C5F">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2EF6D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B8C1B">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项目负责人：谢海艳</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2CB39">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680E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54F9FD8A">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434B9496">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2F1908AF">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66B67AF0">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6B252AE4">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14A17E5B">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76E96331">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5F4D5815">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01C8CE55">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6610495F">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0C562B2A">
            <w:pPr>
              <w:snapToGrid w:val="0"/>
              <w:rPr>
                <w:rFonts w:hint="eastAsia" w:ascii="宋体" w:eastAsia="宋体" w:cs="宋体"/>
                <w:i w:val="0"/>
                <w:iCs w:val="0"/>
                <w:color w:val="000000"/>
                <w:sz w:val="18"/>
                <w:szCs w:val="18"/>
                <w:u w:val="none"/>
              </w:rPr>
            </w:pPr>
          </w:p>
        </w:tc>
      </w:tr>
      <w:tr w14:paraId="3AEC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4A12">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3E879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342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303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51320025T000012480134-2025年全州计量检定工作专项经费</w:t>
            </w:r>
          </w:p>
        </w:tc>
      </w:tr>
      <w:tr w14:paraId="303F5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734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023E1">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56225E9E">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12C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33AE2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B3E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10F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CD9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DE7C">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08D80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561F"/>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4244"/>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2C9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完成全州计量器具检定约20000台、件及计量器具校准2000台件</w:t>
            </w:r>
            <w:r>
              <w:rPr>
                <w:rFonts w:hint="eastAsia" w:ascii="宋体" w:cs="宋体"/>
                <w:i w:val="0"/>
                <w:iCs w:val="0"/>
                <w:color w:val="000000"/>
                <w:kern w:val="0"/>
                <w:sz w:val="18"/>
                <w:szCs w:val="18"/>
                <w:u w:val="none"/>
                <w:lang w:val="en-US" w:eastAsia="zh-CN"/>
              </w:rPr>
              <w:t>，以</w:t>
            </w:r>
            <w:r>
              <w:rPr>
                <w:rFonts w:ascii="宋体" w:eastAsia="宋体" w:cs="宋体"/>
                <w:i w:val="0"/>
                <w:iCs w:val="0"/>
                <w:color w:val="000000"/>
                <w:kern w:val="0"/>
                <w:sz w:val="18"/>
                <w:szCs w:val="18"/>
                <w:u w:val="none"/>
                <w:lang w:val="en-US" w:eastAsia="zh-CN"/>
              </w:rPr>
              <w:t>及州局下达的其他任务；按计划完成全州计量器具周期检定；保障了计量器具的量值准确可靠，维护广大群众的利益。</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66C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完成全州计量器具检定约20000台、件及计量器具校准2000台件，以及州局下达的其他任务；按计划完成全州计量器具周期检定；保障了计量器具的量值准确可靠，维护广大群众的利益。</w:t>
            </w:r>
          </w:p>
        </w:tc>
      </w:tr>
      <w:tr w14:paraId="5CFDC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C79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856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3C4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完成全州计量器具检定/校准29951台件</w:t>
            </w:r>
            <w:r>
              <w:rPr>
                <w:rFonts w:hint="eastAsia" w:ascii="宋体" w:cs="宋体"/>
                <w:i w:val="0"/>
                <w:iCs w:val="0"/>
                <w:color w:val="000000"/>
                <w:kern w:val="0"/>
                <w:sz w:val="18"/>
                <w:szCs w:val="18"/>
                <w:u w:val="none"/>
                <w:lang w:val="en-US" w:eastAsia="zh-CN"/>
              </w:rPr>
              <w:t>，以</w:t>
            </w:r>
            <w:r>
              <w:rPr>
                <w:rFonts w:ascii="宋体" w:eastAsia="宋体" w:cs="宋体"/>
                <w:i w:val="0"/>
                <w:iCs w:val="0"/>
                <w:color w:val="000000"/>
                <w:kern w:val="0"/>
                <w:sz w:val="18"/>
                <w:szCs w:val="18"/>
                <w:u w:val="none"/>
                <w:lang w:val="en-US" w:eastAsia="zh-CN"/>
              </w:rPr>
              <w:t>及州局下达的其他任务；按计划完成全州计量器具周期检定；保障了计量器具的量值准确可靠，维护广大群众的利益。</w:t>
            </w:r>
          </w:p>
        </w:tc>
      </w:tr>
      <w:tr w14:paraId="1407E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82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756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DD9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207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B7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AC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F4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D95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F22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B0C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CBD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57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58D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75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93.97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60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93.97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A49E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79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278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14C1">
            <w:pPr>
              <w:snapToGrid w:val="0"/>
              <w:rPr>
                <w:rFonts w:hint="eastAsia" w:ascii="黑体" w:eastAsia="黑体" w:cs="黑体"/>
                <w:i/>
                <w:iCs/>
                <w:color w:val="000000"/>
                <w:sz w:val="18"/>
                <w:szCs w:val="18"/>
                <w:u w:val="none"/>
              </w:rPr>
            </w:pPr>
          </w:p>
        </w:tc>
      </w:tr>
      <w:tr w14:paraId="533E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4ED6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3C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45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107.00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D6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93.97</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A5F4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93.97</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B2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DFF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9302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2F66"/>
        </w:tc>
      </w:tr>
      <w:tr w14:paraId="1B0E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63D6"/>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A34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6F2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A2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7A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02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1FF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273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96C5"/>
        </w:tc>
      </w:tr>
      <w:tr w14:paraId="0183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FCC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D6E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AC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52D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FE2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7A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4F1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FE7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A827"/>
        </w:tc>
      </w:tr>
      <w:tr w14:paraId="0A287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3934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F3A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C021">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A502">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FE16">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789C">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5BD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EB8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C83C"/>
        </w:tc>
      </w:tr>
      <w:tr w14:paraId="5A7F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42C2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421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D1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B9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CCC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81C4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7A8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7767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FF5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EC0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DCB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7E2C7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BB57"/>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386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C10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3DA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完成全州计量器具检定数量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A7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55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CB4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个（台、套、件、辆）</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CCDC">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28753</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0EF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B96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1FD1">
            <w:pPr>
              <w:snapToGrid w:val="0"/>
              <w:jc w:val="center"/>
              <w:rPr>
                <w:rFonts w:hint="eastAsia" w:ascii="微软雅黑" w:eastAsia="微软雅黑" w:cs="微软雅黑"/>
                <w:i/>
                <w:iCs/>
                <w:color w:val="000000"/>
                <w:sz w:val="16"/>
                <w:szCs w:val="16"/>
                <w:u w:val="none"/>
              </w:rPr>
            </w:pPr>
          </w:p>
        </w:tc>
      </w:tr>
      <w:tr w14:paraId="1E8D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6A33"/>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1D3B"/>
        </w:tc>
        <w:tc>
          <w:tcPr>
            <w:tcW w:w="5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EB93"/>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C1F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完成计量器具校准数量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EC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7D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CF7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个（台、套、件、辆）</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AD3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1198</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9F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7DE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C36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校准计量器具送检数量较少，多为检定</w:t>
            </w:r>
          </w:p>
        </w:tc>
      </w:tr>
      <w:tr w14:paraId="19934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35E7"/>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118F"/>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089E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A0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计量检定工作达标率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6FD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198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3553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EEAC">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CA0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4C0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4245A">
            <w:pPr>
              <w:snapToGrid w:val="0"/>
              <w:jc w:val="center"/>
              <w:rPr>
                <w:rFonts w:hint="eastAsia" w:ascii="微软雅黑" w:eastAsia="微软雅黑" w:cs="微软雅黑"/>
                <w:i/>
                <w:iCs/>
                <w:color w:val="000000"/>
                <w:sz w:val="16"/>
                <w:szCs w:val="16"/>
                <w:u w:val="none"/>
              </w:rPr>
            </w:pPr>
          </w:p>
        </w:tc>
      </w:tr>
      <w:tr w14:paraId="240B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F7AEC"/>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C9AC"/>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59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E0D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hint="eastAsia" w:ascii="宋体" w:cs="宋体"/>
                <w:i w:val="0"/>
                <w:iCs w:val="0"/>
                <w:color w:val="000000"/>
                <w:kern w:val="0"/>
                <w:sz w:val="18"/>
                <w:szCs w:val="18"/>
                <w:u w:val="none"/>
                <w:lang w:val="en-US" w:eastAsia="zh-CN"/>
              </w:rPr>
              <w:t>鉴定</w:t>
            </w:r>
            <w:r>
              <w:rPr>
                <w:rFonts w:ascii="宋体" w:eastAsia="宋体" w:cs="宋体"/>
                <w:i w:val="0"/>
                <w:iCs w:val="0"/>
                <w:color w:val="000000"/>
                <w:kern w:val="0"/>
                <w:sz w:val="18"/>
                <w:szCs w:val="18"/>
                <w:u w:val="none"/>
                <w:lang w:val="en-US" w:eastAsia="zh-CN"/>
              </w:rPr>
              <w:t>报告出具及时率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B1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863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AE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56FB">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98</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B5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4F65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C1ED2">
            <w:pPr>
              <w:snapToGrid w:val="0"/>
              <w:jc w:val="center"/>
              <w:rPr>
                <w:rFonts w:hint="eastAsia" w:ascii="微软雅黑" w:eastAsia="微软雅黑" w:cs="微软雅黑"/>
                <w:i/>
                <w:iCs/>
                <w:color w:val="000000"/>
                <w:sz w:val="16"/>
                <w:szCs w:val="16"/>
                <w:u w:val="none"/>
              </w:rPr>
            </w:pPr>
          </w:p>
        </w:tc>
      </w:tr>
      <w:tr w14:paraId="7481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CABD"/>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4E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4DF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1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维护市场公平交易秩序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62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B0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市场公平交易秩序稳定</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466A">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C75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市场公平交易秩序稳定</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4CD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1DF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6932">
            <w:pPr>
              <w:snapToGrid w:val="0"/>
              <w:jc w:val="center"/>
              <w:rPr>
                <w:rFonts w:hint="eastAsia" w:ascii="微软雅黑" w:eastAsia="微软雅黑" w:cs="微软雅黑"/>
                <w:i/>
                <w:iCs/>
                <w:color w:val="000000"/>
                <w:sz w:val="16"/>
                <w:szCs w:val="16"/>
                <w:u w:val="none"/>
              </w:rPr>
            </w:pPr>
          </w:p>
        </w:tc>
      </w:tr>
      <w:tr w14:paraId="17413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1181"/>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EC0B2"/>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B0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EA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保障全州计量器具的量值准确可靠</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AB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01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8179">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78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9CD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1B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2022">
            <w:pPr>
              <w:snapToGrid w:val="0"/>
              <w:jc w:val="center"/>
              <w:rPr>
                <w:rFonts w:hint="eastAsia" w:ascii="微软雅黑" w:eastAsia="微软雅黑" w:cs="微软雅黑"/>
                <w:i/>
                <w:iCs/>
                <w:color w:val="000000"/>
                <w:sz w:val="16"/>
                <w:szCs w:val="16"/>
                <w:u w:val="none"/>
              </w:rPr>
            </w:pPr>
          </w:p>
        </w:tc>
      </w:tr>
      <w:tr w14:paraId="43D43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017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B6A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1D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76D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0D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2F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00DD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744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7D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22F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DB6A">
            <w:pPr>
              <w:snapToGrid w:val="0"/>
              <w:jc w:val="center"/>
              <w:rPr>
                <w:rFonts w:hint="eastAsia" w:ascii="微软雅黑" w:eastAsia="微软雅黑" w:cs="微软雅黑"/>
                <w:i/>
                <w:iCs/>
                <w:color w:val="000000"/>
                <w:sz w:val="16"/>
                <w:szCs w:val="16"/>
                <w:u w:val="none"/>
              </w:rPr>
            </w:pPr>
          </w:p>
        </w:tc>
      </w:tr>
      <w:tr w14:paraId="505E0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C899"/>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114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98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309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项目成本</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26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9CD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118.2</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7C7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337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118.2</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2A5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57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A3CB">
            <w:pPr>
              <w:snapToGrid w:val="0"/>
              <w:jc w:val="center"/>
              <w:rPr>
                <w:rFonts w:hint="eastAsia" w:ascii="微软雅黑" w:eastAsia="微软雅黑" w:cs="微软雅黑"/>
                <w:i/>
                <w:iCs/>
                <w:color w:val="000000"/>
                <w:sz w:val="16"/>
                <w:szCs w:val="16"/>
                <w:u w:val="none"/>
              </w:rPr>
            </w:pPr>
          </w:p>
        </w:tc>
      </w:tr>
      <w:tr w14:paraId="19BC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40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194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B1EE">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D3EF">
            <w:pPr>
              <w:snapToGrid w:val="0"/>
              <w:rPr>
                <w:rFonts w:hint="eastAsia" w:ascii="宋体" w:eastAsia="宋体" w:cs="宋体"/>
                <w:i w:val="0"/>
                <w:iCs w:val="0"/>
                <w:color w:val="000000"/>
                <w:sz w:val="18"/>
                <w:szCs w:val="18"/>
                <w:u w:val="none"/>
              </w:rPr>
            </w:pPr>
          </w:p>
        </w:tc>
      </w:tr>
      <w:tr w14:paraId="6C8B4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DF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6942">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该项目资金使用达到预期目标，较好地完成了项目目标任务，按照部门预算项目支出绩效自评表自评得分为98分。</w:t>
            </w:r>
          </w:p>
        </w:tc>
      </w:tr>
      <w:tr w14:paraId="62F7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1C66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37E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目标设定存在偏差。</w:t>
            </w:r>
          </w:p>
        </w:tc>
      </w:tr>
      <w:tr w14:paraId="5C345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58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DE1E">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改进下年绩效指标的设定。</w:t>
            </w:r>
          </w:p>
        </w:tc>
      </w:tr>
      <w:tr w14:paraId="68756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82A4">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项目负责人：魏丽娜</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CAB73">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73E5E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12C72155">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794A55F9">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429FC6B4">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1E8398F1">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0FD88C98">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2DC34D2C">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2460320C">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25310ACC">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0BDA1F4F">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43407094">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62DC0F54">
            <w:pPr>
              <w:snapToGrid w:val="0"/>
              <w:rPr>
                <w:rFonts w:hint="eastAsia" w:ascii="宋体" w:eastAsia="宋体" w:cs="宋体"/>
                <w:i w:val="0"/>
                <w:iCs w:val="0"/>
                <w:color w:val="000000"/>
                <w:sz w:val="18"/>
                <w:szCs w:val="18"/>
                <w:u w:val="none"/>
              </w:rPr>
            </w:pPr>
          </w:p>
        </w:tc>
      </w:tr>
      <w:tr w14:paraId="1292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CD38">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7B0A9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9D1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8525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51320025T000012482952</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民生类计量检测设备更新</w:t>
            </w:r>
          </w:p>
        </w:tc>
      </w:tr>
      <w:tr w14:paraId="1786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B9B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9BB0">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24552F1A">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A05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57CB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222A0">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588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EC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8100">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61BA8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F22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CA28"/>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E94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购置水表检定装置、燃气表检定装置各2套，提高检定工作效率，各2套，更好</w:t>
            </w:r>
            <w:r>
              <w:rPr>
                <w:rFonts w:hint="eastAsia" w:ascii="宋体" w:cs="宋体"/>
                <w:i w:val="0"/>
                <w:iCs w:val="0"/>
                <w:color w:val="000000"/>
                <w:kern w:val="0"/>
                <w:sz w:val="18"/>
                <w:szCs w:val="18"/>
                <w:u w:val="none"/>
                <w:lang w:val="en-US" w:eastAsia="zh-CN"/>
              </w:rPr>
              <w:t>地</w:t>
            </w:r>
            <w:r>
              <w:rPr>
                <w:rFonts w:ascii="宋体" w:eastAsia="宋体" w:cs="宋体"/>
                <w:i w:val="0"/>
                <w:iCs w:val="0"/>
                <w:color w:val="000000"/>
                <w:kern w:val="0"/>
                <w:sz w:val="18"/>
                <w:szCs w:val="18"/>
                <w:u w:val="none"/>
                <w:lang w:val="en-US" w:eastAsia="zh-CN"/>
              </w:rPr>
              <w:t>向全州提供水表、气表检定服务，资金成本不超预算。</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67D8">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购置水表检定装置、燃气表检定装置各2套，提高检定工作效率，各2套，更好地向全州提供水表、气表检定服务，资金成本不超预算。</w:t>
            </w:r>
          </w:p>
        </w:tc>
      </w:tr>
      <w:tr w14:paraId="4F24F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C3B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5615F">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08E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购置了水表检定装置、燃气表检定装置各2套，提高检定工作效率，各2套，更好</w:t>
            </w:r>
            <w:r>
              <w:rPr>
                <w:rFonts w:hint="eastAsia" w:ascii="宋体" w:cs="宋体"/>
                <w:i w:val="0"/>
                <w:iCs w:val="0"/>
                <w:color w:val="000000"/>
                <w:kern w:val="0"/>
                <w:sz w:val="18"/>
                <w:szCs w:val="18"/>
                <w:u w:val="none"/>
                <w:lang w:val="en-US" w:eastAsia="zh-CN"/>
              </w:rPr>
              <w:t>地</w:t>
            </w:r>
            <w:r>
              <w:rPr>
                <w:rFonts w:ascii="宋体" w:eastAsia="宋体" w:cs="宋体"/>
                <w:i w:val="0"/>
                <w:iCs w:val="0"/>
                <w:color w:val="000000"/>
                <w:kern w:val="0"/>
                <w:sz w:val="18"/>
                <w:szCs w:val="18"/>
                <w:u w:val="none"/>
                <w:lang w:val="en-US" w:eastAsia="zh-CN"/>
              </w:rPr>
              <w:t>向全州提供水表、气表检定服务，资金成本不超预算。</w:t>
            </w:r>
          </w:p>
        </w:tc>
      </w:tr>
      <w:tr w14:paraId="2C326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88A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B1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BF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8B4C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489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66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BAFE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1E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7309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F97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FB86"/>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300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360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F1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99.58</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6E5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99.58</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9BD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AE1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608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60EE">
            <w:pPr>
              <w:snapToGrid w:val="0"/>
              <w:rPr>
                <w:rFonts w:hint="eastAsia" w:ascii="黑体" w:eastAsia="黑体" w:cs="黑体"/>
                <w:i/>
                <w:iCs/>
                <w:color w:val="000000"/>
                <w:sz w:val="18"/>
                <w:szCs w:val="18"/>
                <w:u w:val="none"/>
              </w:rPr>
            </w:pPr>
          </w:p>
        </w:tc>
      </w:tr>
      <w:tr w14:paraId="6287D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B94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0D8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6FC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A7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99.58</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BDF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99.58</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9A5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A54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D67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7071"/>
        </w:tc>
      </w:tr>
      <w:tr w14:paraId="5357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A10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9B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D1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BF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B28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75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57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27D1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66FFF"/>
        </w:tc>
      </w:tr>
      <w:tr w14:paraId="55A25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5D38"/>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FE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345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7B8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92B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30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2B5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E89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0F09"/>
        </w:tc>
      </w:tr>
      <w:tr w14:paraId="060D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6C6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EC1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029F">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7FEF">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FB25">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D6D8">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198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51A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BA47F"/>
        </w:tc>
      </w:tr>
      <w:tr w14:paraId="101D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0E19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2BA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B1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4C2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4C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C2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0C0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908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EA4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4D9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725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E9C3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5B10"/>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BA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A9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4FA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民生类计量检测设备更新改造数量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31D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89D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2F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ABBE">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4</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1AF7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703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7F5A">
            <w:pPr>
              <w:snapToGrid w:val="0"/>
              <w:jc w:val="center"/>
              <w:rPr>
                <w:rFonts w:hint="eastAsia" w:ascii="微软雅黑" w:eastAsia="微软雅黑" w:cs="微软雅黑"/>
                <w:i/>
                <w:iCs/>
                <w:color w:val="000000"/>
                <w:sz w:val="16"/>
                <w:szCs w:val="16"/>
                <w:u w:val="none"/>
              </w:rPr>
            </w:pPr>
          </w:p>
        </w:tc>
      </w:tr>
      <w:tr w14:paraId="4526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AD31"/>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8CD1"/>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F18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C7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验收合格率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A1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08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35FE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2C0B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9D3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2E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4DE4">
            <w:pPr>
              <w:snapToGrid w:val="0"/>
              <w:jc w:val="center"/>
              <w:rPr>
                <w:rFonts w:hint="eastAsia" w:ascii="微软雅黑" w:eastAsia="微软雅黑" w:cs="微软雅黑"/>
                <w:i/>
                <w:iCs/>
                <w:color w:val="000000"/>
                <w:sz w:val="16"/>
                <w:szCs w:val="16"/>
                <w:u w:val="none"/>
              </w:rPr>
            </w:pPr>
          </w:p>
        </w:tc>
      </w:tr>
      <w:tr w14:paraId="67D78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8CBA"/>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A60C"/>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C8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96D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FB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F37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9BE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2DD5">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7E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3AE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E090">
            <w:pPr>
              <w:snapToGrid w:val="0"/>
              <w:jc w:val="center"/>
              <w:rPr>
                <w:rFonts w:hint="eastAsia" w:ascii="微软雅黑" w:eastAsia="微软雅黑" w:cs="微软雅黑"/>
                <w:i/>
                <w:iCs/>
                <w:color w:val="000000"/>
                <w:sz w:val="16"/>
                <w:szCs w:val="16"/>
                <w:u w:val="none"/>
              </w:rPr>
            </w:pPr>
          </w:p>
        </w:tc>
      </w:tr>
      <w:tr w14:paraId="5CCF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C879"/>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6F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B28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10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提升水表、气表检定工作效率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C191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CCD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6046">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99C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显著提升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AF4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90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19A5E">
            <w:pPr>
              <w:snapToGrid w:val="0"/>
              <w:jc w:val="center"/>
              <w:rPr>
                <w:rFonts w:hint="eastAsia" w:ascii="微软雅黑" w:eastAsia="微软雅黑" w:cs="微软雅黑"/>
                <w:i/>
                <w:iCs/>
                <w:color w:val="000000"/>
                <w:sz w:val="16"/>
                <w:szCs w:val="16"/>
                <w:u w:val="none"/>
              </w:rPr>
            </w:pPr>
          </w:p>
        </w:tc>
      </w:tr>
      <w:tr w14:paraId="083E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1E66"/>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1E20"/>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43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8DD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水表/气表检定结果误差率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145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2AC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548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8042">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B8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11D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21C1">
            <w:pPr>
              <w:snapToGrid w:val="0"/>
              <w:jc w:val="center"/>
              <w:rPr>
                <w:rFonts w:hint="eastAsia" w:ascii="微软雅黑" w:eastAsia="微软雅黑" w:cs="微软雅黑"/>
                <w:i/>
                <w:iCs/>
                <w:color w:val="000000"/>
                <w:sz w:val="16"/>
                <w:szCs w:val="16"/>
                <w:u w:val="none"/>
              </w:rPr>
            </w:pPr>
          </w:p>
        </w:tc>
      </w:tr>
      <w:tr w14:paraId="215E6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C3990"/>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FB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61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4E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设备使用者对设备的满意度</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0F19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6AD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70A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471DE">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3B9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0C3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637D">
            <w:pPr>
              <w:snapToGrid w:val="0"/>
              <w:jc w:val="center"/>
              <w:rPr>
                <w:rFonts w:hint="eastAsia" w:ascii="微软雅黑" w:eastAsia="微软雅黑" w:cs="微软雅黑"/>
                <w:i/>
                <w:iCs/>
                <w:color w:val="000000"/>
                <w:sz w:val="16"/>
                <w:szCs w:val="16"/>
                <w:u w:val="none"/>
              </w:rPr>
            </w:pPr>
          </w:p>
        </w:tc>
      </w:tr>
      <w:tr w14:paraId="1D095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3A8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5CC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D94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18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项目成本</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8EA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E90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121</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B217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万元</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54974">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99.58</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63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A718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8F3B">
            <w:pPr>
              <w:snapToGrid w:val="0"/>
              <w:jc w:val="center"/>
              <w:rPr>
                <w:rFonts w:hint="eastAsia" w:ascii="微软雅黑" w:eastAsia="微软雅黑" w:cs="微软雅黑"/>
                <w:i/>
                <w:iCs/>
                <w:color w:val="000000"/>
                <w:sz w:val="16"/>
                <w:szCs w:val="16"/>
                <w:u w:val="none"/>
              </w:rPr>
            </w:pPr>
          </w:p>
        </w:tc>
      </w:tr>
      <w:tr w14:paraId="48701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48F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27D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C612">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8D6D">
            <w:pPr>
              <w:snapToGrid w:val="0"/>
              <w:rPr>
                <w:rFonts w:hint="eastAsia" w:ascii="宋体" w:eastAsia="宋体" w:cs="宋体"/>
                <w:i w:val="0"/>
                <w:iCs w:val="0"/>
                <w:color w:val="000000"/>
                <w:sz w:val="18"/>
                <w:szCs w:val="18"/>
                <w:u w:val="none"/>
              </w:rPr>
            </w:pPr>
          </w:p>
        </w:tc>
      </w:tr>
      <w:tr w14:paraId="4C4E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24D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B72B">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7AD7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24C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F71F">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4A01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2B2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8299">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2149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96CA">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F7F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w:t>
            </w:r>
          </w:p>
        </w:tc>
      </w:tr>
      <w:tr w14:paraId="2BBE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1DEE92DF">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454C818F">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6FF2FBB6">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268F1035">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1ECA9CD2">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6DDB8D4D">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3B4F0011">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5B816CC3">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1C2B3A5B">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1992E2E3">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0D8F916D">
            <w:pPr>
              <w:snapToGrid w:val="0"/>
              <w:rPr>
                <w:rFonts w:hint="eastAsia" w:ascii="宋体" w:eastAsia="宋体" w:cs="宋体"/>
                <w:i w:val="0"/>
                <w:iCs w:val="0"/>
                <w:color w:val="000000"/>
                <w:sz w:val="18"/>
                <w:szCs w:val="18"/>
                <w:u w:val="none"/>
              </w:rPr>
            </w:pPr>
          </w:p>
        </w:tc>
      </w:tr>
      <w:tr w14:paraId="668C0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D20B7">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7A98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68A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786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51320025Y000012974203</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日常公用经费（其他运转类）</w:t>
            </w:r>
          </w:p>
        </w:tc>
      </w:tr>
      <w:tr w14:paraId="3E93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C76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A0F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61A8247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5672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5096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8F3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1A01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EC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F51F2">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4E2C6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050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9784"/>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AC0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4592">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提高预算编制质量，严格执行预算，保障单位日常运转。</w:t>
            </w:r>
          </w:p>
        </w:tc>
      </w:tr>
      <w:tr w14:paraId="01BD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9F38"/>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6B99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4AB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r>
      <w:tr w14:paraId="57631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DE9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4044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468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88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B8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56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64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977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40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77D8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EF3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9F3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924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15.21</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EDD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10.50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5DA5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10.50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11F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C04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FA2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A97E8">
            <w:pPr>
              <w:snapToGrid w:val="0"/>
              <w:rPr>
                <w:rFonts w:hint="eastAsia" w:ascii="黑体" w:eastAsia="黑体" w:cs="黑体"/>
                <w:i/>
                <w:iCs/>
                <w:color w:val="000000"/>
                <w:sz w:val="18"/>
                <w:szCs w:val="18"/>
                <w:u w:val="none"/>
              </w:rPr>
            </w:pPr>
          </w:p>
        </w:tc>
      </w:tr>
      <w:tr w14:paraId="4917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153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B1E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1A5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15.21</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34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10.50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954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10.50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BC3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4C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ADD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D251"/>
        </w:tc>
      </w:tr>
      <w:tr w14:paraId="2A3A5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84C8"/>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52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97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264C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7CF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70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E767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49A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ABAD"/>
        </w:tc>
      </w:tr>
      <w:tr w14:paraId="6C30D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033E"/>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CDE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E3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A81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E724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7CF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266E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1A8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58319"/>
        </w:tc>
      </w:tr>
      <w:tr w14:paraId="2F246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060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356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767B">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C00C">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A9E6">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946B">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AC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988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6376"/>
        </w:tc>
      </w:tr>
      <w:tr w14:paraId="7E849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708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14D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667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DF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57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1C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36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8E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F78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16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22A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78F3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A2CC"/>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484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DB9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48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科目调整次数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383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F3F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C36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4D81">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E2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4DA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EB6C">
            <w:pPr>
              <w:snapToGrid w:val="0"/>
              <w:jc w:val="center"/>
              <w:rPr>
                <w:rFonts w:hint="eastAsia" w:ascii="微软雅黑" w:eastAsia="微软雅黑" w:cs="微软雅黑"/>
                <w:i/>
                <w:iCs/>
                <w:color w:val="000000"/>
                <w:sz w:val="16"/>
                <w:szCs w:val="16"/>
                <w:u w:val="none"/>
              </w:rPr>
            </w:pPr>
          </w:p>
        </w:tc>
      </w:tr>
      <w:tr w14:paraId="3F9E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0978"/>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4105D"/>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374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63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预算编制准确率（计算方法为：∣（执行数</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预算数）/预算数∣）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CECE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DE0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CA0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D903">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44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B7B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B8D6">
            <w:pPr>
              <w:snapToGrid w:val="0"/>
              <w:jc w:val="center"/>
              <w:rPr>
                <w:rFonts w:hint="eastAsia" w:ascii="微软雅黑" w:eastAsia="微软雅黑" w:cs="微软雅黑"/>
                <w:i/>
                <w:iCs/>
                <w:color w:val="000000"/>
                <w:sz w:val="16"/>
                <w:szCs w:val="16"/>
                <w:u w:val="none"/>
              </w:rPr>
            </w:pPr>
          </w:p>
        </w:tc>
      </w:tr>
      <w:tr w14:paraId="4C21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01A2"/>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10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E2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58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“三公经费”控制率[计算方法为：（</w:t>
            </w:r>
            <w:r>
              <w:rPr>
                <w:rFonts w:hint="eastAsia" w:ascii="宋体" w:cs="宋体"/>
                <w:i w:val="0"/>
                <w:iCs w:val="0"/>
                <w:color w:val="000000"/>
                <w:kern w:val="0"/>
                <w:sz w:val="18"/>
                <w:szCs w:val="18"/>
                <w:u w:val="none"/>
                <w:lang w:val="en-US" w:eastAsia="zh-CN"/>
              </w:rPr>
              <w:t>“三公”经费</w:t>
            </w:r>
            <w:r>
              <w:rPr>
                <w:rFonts w:ascii="宋体" w:eastAsia="宋体" w:cs="宋体"/>
                <w:i w:val="0"/>
                <w:iCs w:val="0"/>
                <w:color w:val="000000"/>
                <w:kern w:val="0"/>
                <w:sz w:val="18"/>
                <w:szCs w:val="18"/>
                <w:u w:val="none"/>
                <w:lang w:val="en-US" w:eastAsia="zh-CN"/>
              </w:rPr>
              <w:t>实际支出数/预算安排数]×100%）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BF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561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3E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6AB2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64</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36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31F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C2CA4">
            <w:pPr>
              <w:snapToGrid w:val="0"/>
              <w:jc w:val="center"/>
              <w:rPr>
                <w:rFonts w:hint="eastAsia" w:ascii="微软雅黑" w:eastAsia="微软雅黑" w:cs="微软雅黑"/>
                <w:i/>
                <w:iCs/>
                <w:color w:val="000000"/>
                <w:sz w:val="16"/>
                <w:szCs w:val="16"/>
                <w:u w:val="none"/>
              </w:rPr>
            </w:pPr>
          </w:p>
        </w:tc>
      </w:tr>
      <w:tr w14:paraId="3283D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99E9"/>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AA30"/>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F505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3A1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运转保障率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1E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67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C48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15A6">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D8B1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ED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C984">
            <w:pPr>
              <w:snapToGrid w:val="0"/>
              <w:jc w:val="center"/>
              <w:rPr>
                <w:rFonts w:hint="eastAsia" w:ascii="微软雅黑" w:eastAsia="微软雅黑" w:cs="微软雅黑"/>
                <w:i/>
                <w:iCs/>
                <w:color w:val="000000"/>
                <w:sz w:val="16"/>
                <w:szCs w:val="16"/>
                <w:u w:val="none"/>
              </w:rPr>
            </w:pPr>
          </w:p>
        </w:tc>
      </w:tr>
      <w:tr w14:paraId="16F5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06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D6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11F8">
            <w:pPr>
              <w:keepNext w:val="0"/>
              <w:keepLines w:val="0"/>
              <w:widowControl/>
              <w:suppressLineNumbers w:val="0"/>
              <w:snapToGrid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4F06">
            <w:pPr>
              <w:snapToGrid w:val="0"/>
              <w:rPr>
                <w:rFonts w:hint="eastAsia" w:ascii="宋体" w:eastAsia="宋体" w:cs="宋体"/>
                <w:i w:val="0"/>
                <w:iCs w:val="0"/>
                <w:color w:val="000000"/>
                <w:sz w:val="18"/>
                <w:szCs w:val="18"/>
                <w:u w:val="none"/>
              </w:rPr>
            </w:pPr>
          </w:p>
        </w:tc>
      </w:tr>
      <w:tr w14:paraId="2A21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60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370C">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该项目资金使用达到预期目标，圆满完成了项目目标任务，按照部门预算项目支出绩效自评表自评得分为100分。</w:t>
            </w:r>
          </w:p>
        </w:tc>
      </w:tr>
      <w:tr w14:paraId="0AD0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4B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FFE94">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57B75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A35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A15E">
            <w:pPr>
              <w:keepNext w:val="0"/>
              <w:keepLines w:val="0"/>
              <w:widowControl/>
              <w:suppressLineNumbers w:val="0"/>
              <w:snapToGrid w:val="0"/>
              <w:jc w:val="left"/>
              <w:textAlignment w:val="center"/>
              <w:rPr>
                <w:rFonts w:hint="eastAsia" w:ascii="微软雅黑" w:eastAsia="微软雅黑" w:cs="微软雅黑"/>
                <w:i w:val="0"/>
                <w:iCs w:val="0"/>
                <w:color w:val="000000"/>
                <w:sz w:val="16"/>
                <w:szCs w:val="16"/>
                <w:u w:val="none"/>
              </w:rPr>
            </w:pPr>
            <w:r>
              <w:rPr>
                <w:rFonts w:hint="eastAsia" w:ascii="微软雅黑" w:eastAsia="微软雅黑" w:cs="微软雅黑"/>
                <w:i w:val="0"/>
                <w:iCs w:val="0"/>
                <w:color w:val="000000"/>
                <w:kern w:val="0"/>
                <w:sz w:val="16"/>
                <w:szCs w:val="16"/>
                <w:u w:val="none"/>
                <w:lang w:val="en-US" w:eastAsia="zh-CN"/>
              </w:rPr>
              <w:t>无。</w:t>
            </w:r>
          </w:p>
        </w:tc>
      </w:tr>
      <w:tr w14:paraId="0243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2B1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7FA1">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00EB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32283BA1">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584FE874">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71A3CAE3">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245F9A3A">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25F5265D">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482CF20D">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0D715E33">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33DA14CA">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7E5916B8">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10FD7361">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868BACF">
            <w:pPr>
              <w:snapToGrid w:val="0"/>
              <w:rPr>
                <w:rFonts w:hint="eastAsia" w:ascii="宋体" w:eastAsia="宋体" w:cs="宋体"/>
                <w:i w:val="0"/>
                <w:iCs w:val="0"/>
                <w:color w:val="000000"/>
                <w:sz w:val="18"/>
                <w:szCs w:val="18"/>
                <w:u w:val="none"/>
              </w:rPr>
            </w:pPr>
          </w:p>
        </w:tc>
      </w:tr>
      <w:tr w14:paraId="7221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454C">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063A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269E">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A1E5">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51320025Y000013371712</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财政代管资金</w:t>
            </w:r>
          </w:p>
        </w:tc>
      </w:tr>
      <w:tr w14:paraId="0E10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9AC8">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9FC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10945FCC">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410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0B994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3C9AA">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B22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E97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BF6E">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09BAA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B907"/>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A03E"/>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09DA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86E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提高预算编制质量，严格执行预算，保障单位日常运转。</w:t>
            </w:r>
          </w:p>
        </w:tc>
      </w:tr>
      <w:tr w14:paraId="710F1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B877"/>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C0A4">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F81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提高预算编制质量，严格执行预算，保障单位日常运转</w:t>
            </w:r>
          </w:p>
        </w:tc>
      </w:tr>
      <w:tr w14:paraId="45368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7B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84A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573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4B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9E0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C60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D3E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552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95B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5235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0D45"/>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C8AA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3B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E5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15.01</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FFB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93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85C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29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8C5E">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本年未有代管资金的使用情况</w:t>
            </w:r>
          </w:p>
        </w:tc>
      </w:tr>
      <w:tr w14:paraId="263A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D18B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26D9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FB8A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037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3FD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2EC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A80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97E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E661"/>
        </w:tc>
      </w:tr>
      <w:tr w14:paraId="746D5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936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753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12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0C9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955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03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3B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80C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B037"/>
        </w:tc>
      </w:tr>
      <w:tr w14:paraId="1086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94DDA"/>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326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54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89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15.01</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EA79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CAB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9547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85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5003"/>
        </w:tc>
      </w:tr>
      <w:tr w14:paraId="58E97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E88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F2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2DA5">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2E6A">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AD98A">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A257">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0DC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61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FEBC"/>
        </w:tc>
      </w:tr>
      <w:tr w14:paraId="25D0C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90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1B07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B27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2F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24D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4B6E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9C4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F8F5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5E3E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6F9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85B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496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0F6A"/>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E4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6980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0A9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科目调整次数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AD59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6D8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773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010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EA3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95B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1925">
            <w:pPr>
              <w:snapToGrid w:val="0"/>
              <w:jc w:val="center"/>
              <w:rPr>
                <w:rFonts w:hint="eastAsia" w:ascii="微软雅黑" w:eastAsia="微软雅黑" w:cs="微软雅黑"/>
                <w:i/>
                <w:iCs/>
                <w:color w:val="000000"/>
                <w:sz w:val="16"/>
                <w:szCs w:val="16"/>
                <w:u w:val="none"/>
              </w:rPr>
            </w:pPr>
          </w:p>
        </w:tc>
      </w:tr>
      <w:tr w14:paraId="2CBC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4A40"/>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C808"/>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BD8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05C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预算编制准确率（计算方法为：∣（执行数</w:t>
            </w:r>
            <w:r>
              <w:rPr>
                <w:rFonts w:hint="eastAsia" w:ascii="宋体" w:cs="宋体"/>
                <w:i w:val="0"/>
                <w:iCs w:val="0"/>
                <w:color w:val="000000"/>
                <w:kern w:val="0"/>
                <w:sz w:val="18"/>
                <w:szCs w:val="18"/>
                <w:u w:val="none"/>
                <w:lang w:val="en-US" w:eastAsia="zh-CN"/>
              </w:rPr>
              <w:t>－</w:t>
            </w:r>
            <w:r>
              <w:rPr>
                <w:rFonts w:ascii="宋体" w:eastAsia="宋体" w:cs="宋体"/>
                <w:i w:val="0"/>
                <w:iCs w:val="0"/>
                <w:color w:val="000000"/>
                <w:kern w:val="0"/>
                <w:sz w:val="18"/>
                <w:szCs w:val="18"/>
                <w:u w:val="none"/>
                <w:lang w:val="en-US" w:eastAsia="zh-CN"/>
              </w:rPr>
              <w:t>预算数）/预算数∣）</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73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BD9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8DA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A34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9BE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BB4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882B">
            <w:pPr>
              <w:snapToGrid w:val="0"/>
              <w:jc w:val="center"/>
              <w:rPr>
                <w:rFonts w:hint="eastAsia" w:ascii="微软雅黑" w:eastAsia="微软雅黑" w:cs="微软雅黑"/>
                <w:i/>
                <w:iCs/>
                <w:color w:val="000000"/>
                <w:sz w:val="16"/>
                <w:szCs w:val="16"/>
                <w:u w:val="none"/>
              </w:rPr>
            </w:pPr>
          </w:p>
        </w:tc>
      </w:tr>
      <w:tr w14:paraId="3AF2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BB0F"/>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DBD0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E5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0B3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“三公经费”控制率[计算方法为：（</w:t>
            </w:r>
            <w:r>
              <w:rPr>
                <w:rFonts w:hint="eastAsia" w:ascii="宋体" w:cs="宋体"/>
                <w:i w:val="0"/>
                <w:iCs w:val="0"/>
                <w:color w:val="000000"/>
                <w:kern w:val="0"/>
                <w:sz w:val="18"/>
                <w:szCs w:val="18"/>
                <w:u w:val="none"/>
                <w:lang w:val="en-US" w:eastAsia="zh-CN"/>
              </w:rPr>
              <w:t>“三公”经费</w:t>
            </w:r>
            <w:r>
              <w:rPr>
                <w:rFonts w:ascii="宋体" w:eastAsia="宋体" w:cs="宋体"/>
                <w:i w:val="0"/>
                <w:iCs w:val="0"/>
                <w:color w:val="000000"/>
                <w:kern w:val="0"/>
                <w:sz w:val="18"/>
                <w:szCs w:val="18"/>
                <w:u w:val="none"/>
                <w:lang w:val="en-US" w:eastAsia="zh-CN"/>
              </w:rPr>
              <w:t>实际支出数/预算安排数]×100%）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E6F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0CE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96F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65718">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70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DEE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2B69">
            <w:pPr>
              <w:snapToGrid w:val="0"/>
              <w:jc w:val="center"/>
              <w:rPr>
                <w:rFonts w:hint="eastAsia" w:ascii="微软雅黑" w:eastAsia="微软雅黑" w:cs="微软雅黑"/>
                <w:i/>
                <w:iCs/>
                <w:color w:val="000000"/>
                <w:sz w:val="16"/>
                <w:szCs w:val="16"/>
                <w:u w:val="none"/>
              </w:rPr>
            </w:pPr>
          </w:p>
        </w:tc>
      </w:tr>
      <w:tr w14:paraId="41097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579E"/>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E357"/>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2D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5DFF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运转保障率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82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6C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3796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1A40">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25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2DC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3329">
            <w:pPr>
              <w:snapToGrid w:val="0"/>
              <w:jc w:val="center"/>
              <w:rPr>
                <w:rFonts w:hint="eastAsia" w:ascii="微软雅黑" w:eastAsia="微软雅黑" w:cs="微软雅黑"/>
                <w:i/>
                <w:iCs/>
                <w:color w:val="000000"/>
                <w:sz w:val="16"/>
                <w:szCs w:val="16"/>
                <w:u w:val="none"/>
              </w:rPr>
            </w:pPr>
          </w:p>
        </w:tc>
      </w:tr>
      <w:tr w14:paraId="6727F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C2A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BF1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3916">
            <w:pPr>
              <w:snapToGrid w:val="0"/>
              <w:rPr>
                <w:rFonts w:hint="eastAsia" w:ascii="宋体" w:eastAsia="宋体" w:cs="宋体"/>
                <w:i w:val="0"/>
                <w:iCs w:val="0"/>
                <w:color w:val="000000"/>
                <w:sz w:val="18"/>
                <w:szCs w:val="18"/>
                <w:u w:val="none"/>
              </w:rPr>
            </w:pP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06B8">
            <w:pPr>
              <w:snapToGrid w:val="0"/>
              <w:rPr>
                <w:rFonts w:hint="eastAsia" w:ascii="宋体" w:eastAsia="宋体" w:cs="宋体"/>
                <w:i w:val="0"/>
                <w:iCs w:val="0"/>
                <w:color w:val="000000"/>
                <w:sz w:val="18"/>
                <w:szCs w:val="18"/>
                <w:u w:val="none"/>
              </w:rPr>
            </w:pPr>
          </w:p>
        </w:tc>
      </w:tr>
      <w:tr w14:paraId="04FA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0A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B9AB">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严格执行预算，保障单位日常运转，自评为100分。</w:t>
            </w:r>
          </w:p>
        </w:tc>
      </w:tr>
      <w:tr w14:paraId="7C2F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34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331AF">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14:paraId="35923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679C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8A87">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14:paraId="77358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9C7F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6418">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r w14:paraId="0D3CE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nil"/>
              <w:left w:val="nil"/>
              <w:bottom w:val="nil"/>
              <w:right w:val="nil"/>
            </w:tcBorders>
            <w:shd w:val="clear" w:color="auto" w:fill="auto"/>
            <w:noWrap/>
            <w:vAlign w:val="center"/>
          </w:tcPr>
          <w:p w14:paraId="49FD4B07">
            <w:pPr>
              <w:snapToGrid w:val="0"/>
              <w:rPr>
                <w:rFonts w:hint="eastAsia" w:ascii="宋体" w:eastAsia="宋体" w:cs="宋体"/>
                <w:i w:val="0"/>
                <w:iCs w:val="0"/>
                <w:color w:val="000000"/>
                <w:sz w:val="18"/>
                <w:szCs w:val="18"/>
                <w:u w:val="none"/>
              </w:rPr>
            </w:pPr>
          </w:p>
        </w:tc>
        <w:tc>
          <w:tcPr>
            <w:tcW w:w="349" w:type="pct"/>
            <w:tcBorders>
              <w:top w:val="nil"/>
              <w:left w:val="nil"/>
              <w:bottom w:val="nil"/>
              <w:right w:val="nil"/>
            </w:tcBorders>
            <w:shd w:val="clear" w:color="auto" w:fill="auto"/>
            <w:noWrap/>
            <w:vAlign w:val="center"/>
          </w:tcPr>
          <w:p w14:paraId="73BFDF75">
            <w:pPr>
              <w:snapToGrid w:val="0"/>
              <w:rPr>
                <w:rFonts w:hint="eastAsia" w:ascii="宋体" w:eastAsia="宋体" w:cs="宋体"/>
                <w:i w:val="0"/>
                <w:iCs w:val="0"/>
                <w:color w:val="000000"/>
                <w:sz w:val="18"/>
                <w:szCs w:val="18"/>
                <w:u w:val="none"/>
              </w:rPr>
            </w:pPr>
          </w:p>
        </w:tc>
        <w:tc>
          <w:tcPr>
            <w:tcW w:w="539" w:type="pct"/>
            <w:tcBorders>
              <w:top w:val="nil"/>
              <w:left w:val="nil"/>
              <w:bottom w:val="nil"/>
              <w:right w:val="nil"/>
            </w:tcBorders>
            <w:shd w:val="clear" w:color="auto" w:fill="auto"/>
            <w:noWrap/>
            <w:vAlign w:val="center"/>
          </w:tcPr>
          <w:p w14:paraId="6AF02366">
            <w:pPr>
              <w:snapToGrid w:val="0"/>
              <w:rPr>
                <w:rFonts w:hint="eastAsia" w:ascii="宋体" w:eastAsia="宋体" w:cs="宋体"/>
                <w:i w:val="0"/>
                <w:iCs w:val="0"/>
                <w:color w:val="000000"/>
                <w:sz w:val="18"/>
                <w:szCs w:val="18"/>
                <w:u w:val="none"/>
              </w:rPr>
            </w:pPr>
          </w:p>
        </w:tc>
        <w:tc>
          <w:tcPr>
            <w:tcW w:w="771" w:type="pct"/>
            <w:tcBorders>
              <w:top w:val="nil"/>
              <w:left w:val="nil"/>
              <w:bottom w:val="nil"/>
              <w:right w:val="nil"/>
            </w:tcBorders>
            <w:shd w:val="clear" w:color="auto" w:fill="auto"/>
            <w:noWrap/>
            <w:vAlign w:val="center"/>
          </w:tcPr>
          <w:p w14:paraId="2BD6F4B4">
            <w:pPr>
              <w:snapToGrid w:val="0"/>
              <w:rPr>
                <w:rFonts w:hint="eastAsia" w:ascii="宋体" w:eastAsia="宋体" w:cs="宋体"/>
                <w:i w:val="0"/>
                <w:iCs w:val="0"/>
                <w:color w:val="000000"/>
                <w:sz w:val="18"/>
                <w:szCs w:val="18"/>
                <w:u w:val="none"/>
              </w:rPr>
            </w:pPr>
          </w:p>
        </w:tc>
        <w:tc>
          <w:tcPr>
            <w:tcW w:w="395" w:type="pct"/>
            <w:tcBorders>
              <w:top w:val="nil"/>
              <w:left w:val="nil"/>
              <w:bottom w:val="nil"/>
              <w:right w:val="nil"/>
            </w:tcBorders>
            <w:shd w:val="clear" w:color="auto" w:fill="auto"/>
            <w:noWrap/>
            <w:vAlign w:val="center"/>
          </w:tcPr>
          <w:p w14:paraId="256C4916">
            <w:pPr>
              <w:snapToGrid w:val="0"/>
              <w:rPr>
                <w:rFonts w:hint="eastAsia" w:ascii="宋体" w:eastAsia="宋体" w:cs="宋体"/>
                <w:i w:val="0"/>
                <w:iCs w:val="0"/>
                <w:color w:val="000000"/>
                <w:sz w:val="18"/>
                <w:szCs w:val="18"/>
                <w:u w:val="none"/>
              </w:rPr>
            </w:pPr>
          </w:p>
        </w:tc>
        <w:tc>
          <w:tcPr>
            <w:tcW w:w="396" w:type="pct"/>
            <w:tcBorders>
              <w:top w:val="nil"/>
              <w:left w:val="nil"/>
              <w:bottom w:val="nil"/>
              <w:right w:val="nil"/>
            </w:tcBorders>
            <w:shd w:val="clear" w:color="auto" w:fill="auto"/>
            <w:noWrap/>
            <w:vAlign w:val="center"/>
          </w:tcPr>
          <w:p w14:paraId="44D31B1B">
            <w:pPr>
              <w:snapToGrid w:val="0"/>
              <w:rPr>
                <w:rFonts w:hint="eastAsia" w:ascii="宋体" w:eastAsia="宋体" w:cs="宋体"/>
                <w:i w:val="0"/>
                <w:iCs w:val="0"/>
                <w:color w:val="000000"/>
                <w:sz w:val="18"/>
                <w:szCs w:val="18"/>
                <w:u w:val="none"/>
              </w:rPr>
            </w:pPr>
          </w:p>
        </w:tc>
        <w:tc>
          <w:tcPr>
            <w:tcW w:w="445" w:type="pct"/>
            <w:tcBorders>
              <w:top w:val="nil"/>
              <w:left w:val="nil"/>
              <w:bottom w:val="nil"/>
              <w:right w:val="nil"/>
            </w:tcBorders>
            <w:shd w:val="clear" w:color="auto" w:fill="auto"/>
            <w:noWrap/>
            <w:vAlign w:val="center"/>
          </w:tcPr>
          <w:p w14:paraId="4D24D51B">
            <w:pPr>
              <w:snapToGrid w:val="0"/>
              <w:rPr>
                <w:rFonts w:hint="eastAsia" w:ascii="宋体" w:eastAsia="宋体" w:cs="宋体"/>
                <w:i w:val="0"/>
                <w:iCs w:val="0"/>
                <w:color w:val="000000"/>
                <w:sz w:val="18"/>
                <w:szCs w:val="18"/>
                <w:u w:val="none"/>
              </w:rPr>
            </w:pPr>
          </w:p>
        </w:tc>
        <w:tc>
          <w:tcPr>
            <w:tcW w:w="492" w:type="pct"/>
            <w:tcBorders>
              <w:top w:val="nil"/>
              <w:left w:val="nil"/>
              <w:bottom w:val="nil"/>
              <w:right w:val="nil"/>
            </w:tcBorders>
            <w:shd w:val="clear" w:color="auto" w:fill="auto"/>
            <w:noWrap/>
            <w:vAlign w:val="center"/>
          </w:tcPr>
          <w:p w14:paraId="433DA1A9">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53F0F403">
            <w:pPr>
              <w:snapToGrid w:val="0"/>
              <w:rPr>
                <w:rFonts w:hint="eastAsia" w:ascii="宋体" w:eastAsia="宋体" w:cs="宋体"/>
                <w:i w:val="0"/>
                <w:iCs w:val="0"/>
                <w:color w:val="000000"/>
                <w:sz w:val="18"/>
                <w:szCs w:val="18"/>
                <w:u w:val="none"/>
              </w:rPr>
            </w:pPr>
          </w:p>
        </w:tc>
        <w:tc>
          <w:tcPr>
            <w:tcW w:w="272" w:type="pct"/>
            <w:tcBorders>
              <w:top w:val="nil"/>
              <w:left w:val="nil"/>
              <w:bottom w:val="nil"/>
              <w:right w:val="nil"/>
            </w:tcBorders>
            <w:shd w:val="clear" w:color="auto" w:fill="auto"/>
            <w:noWrap/>
            <w:vAlign w:val="center"/>
          </w:tcPr>
          <w:p w14:paraId="0E35CD2E">
            <w:pPr>
              <w:snapToGrid w:val="0"/>
              <w:rPr>
                <w:rFonts w:hint="eastAsia" w:ascii="宋体" w:eastAsia="宋体" w:cs="宋体"/>
                <w:i w:val="0"/>
                <w:iCs w:val="0"/>
                <w:color w:val="000000"/>
                <w:sz w:val="18"/>
                <w:szCs w:val="18"/>
                <w:u w:val="none"/>
              </w:rPr>
            </w:pPr>
          </w:p>
        </w:tc>
        <w:tc>
          <w:tcPr>
            <w:tcW w:w="721" w:type="pct"/>
            <w:tcBorders>
              <w:top w:val="nil"/>
              <w:left w:val="nil"/>
              <w:bottom w:val="nil"/>
              <w:right w:val="nil"/>
            </w:tcBorders>
            <w:shd w:val="clear" w:color="auto" w:fill="auto"/>
            <w:noWrap/>
            <w:vAlign w:val="center"/>
          </w:tcPr>
          <w:p w14:paraId="7B7EC90C">
            <w:pPr>
              <w:snapToGrid w:val="0"/>
              <w:rPr>
                <w:rFonts w:hint="eastAsia" w:ascii="宋体" w:eastAsia="宋体" w:cs="宋体"/>
                <w:i w:val="0"/>
                <w:iCs w:val="0"/>
                <w:color w:val="000000"/>
                <w:sz w:val="18"/>
                <w:szCs w:val="18"/>
                <w:u w:val="none"/>
              </w:rPr>
            </w:pPr>
          </w:p>
        </w:tc>
      </w:tr>
      <w:tr w14:paraId="431CF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91C4">
            <w:pPr>
              <w:keepNext w:val="0"/>
              <w:keepLines w:val="0"/>
              <w:widowControl/>
              <w:suppressLineNumbers w:val="0"/>
              <w:snapToGrid w:val="0"/>
              <w:jc w:val="center"/>
              <w:textAlignment w:val="center"/>
              <w:rPr>
                <w:rFonts w:hint="eastAsia" w:ascii="黑体" w:eastAsia="黑体" w:cs="黑体"/>
                <w:b/>
                <w:bCs/>
                <w:i w:val="0"/>
                <w:iCs w:val="0"/>
                <w:color w:val="000000"/>
                <w:sz w:val="30"/>
                <w:szCs w:val="30"/>
                <w:u w:val="none"/>
              </w:rPr>
            </w:pPr>
            <w:r>
              <w:rPr>
                <w:rFonts w:hint="eastAsia" w:ascii="黑体" w:eastAsia="黑体" w:cs="黑体"/>
                <w:b/>
                <w:bCs/>
                <w:i w:val="0"/>
                <w:iCs w:val="0"/>
                <w:color w:val="000000"/>
                <w:kern w:val="0"/>
                <w:sz w:val="30"/>
                <w:szCs w:val="30"/>
                <w:u w:val="none"/>
                <w:lang w:val="en-US" w:eastAsia="zh-CN"/>
              </w:rPr>
              <w:t>部门预算项目支出绩效自评表（2025年度）</w:t>
            </w:r>
          </w:p>
        </w:tc>
      </w:tr>
      <w:tr w14:paraId="5269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B82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F153">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51320026T000014764190-2025年省市场监管专项资金</w:t>
            </w:r>
          </w:p>
        </w:tc>
      </w:tr>
      <w:tr w14:paraId="4B27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C45B">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5346">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州市场监督管理局部门</w:t>
            </w:r>
          </w:p>
        </w:tc>
        <w:tc>
          <w:tcPr>
            <w:tcW w:w="492" w:type="pct"/>
            <w:tcBorders>
              <w:top w:val="nil"/>
              <w:left w:val="nil"/>
              <w:bottom w:val="nil"/>
              <w:right w:val="nil"/>
            </w:tcBorders>
            <w:shd w:val="clear" w:color="auto" w:fill="auto"/>
            <w:noWrap/>
            <w:vAlign w:val="center"/>
          </w:tcPr>
          <w:p w14:paraId="4D229117">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实施单位 （盖章）</w:t>
            </w:r>
          </w:p>
        </w:tc>
        <w:tc>
          <w:tcPr>
            <w:tcW w:w="126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4DD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州计量检定测试所</w:t>
            </w:r>
          </w:p>
        </w:tc>
      </w:tr>
      <w:tr w14:paraId="135A2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E99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D85B2">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823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07542">
            <w:pPr>
              <w:keepNext w:val="0"/>
              <w:keepLines w:val="0"/>
              <w:widowControl/>
              <w:suppressLineNumbers w:val="0"/>
              <w:snapToGrid w:val="0"/>
              <w:jc w:val="center"/>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年度目标完成情况</w:t>
            </w:r>
          </w:p>
        </w:tc>
      </w:tr>
      <w:tr w14:paraId="43D7E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0C9F"/>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4460"/>
        </w:tc>
        <w:tc>
          <w:tcPr>
            <w:tcW w:w="2548"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98BC">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完成省局下达的定量包装商品净含量监督抽查100批次，14台动态汽车衡计量监督检查， 升级原有计量报检系统，建立民生计量器具智慧化平台，提升计量监管效率与服务水平。</w:t>
            </w:r>
          </w:p>
        </w:tc>
        <w:tc>
          <w:tcPr>
            <w:tcW w:w="175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E7EB">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完成省局下达的定量包装商品净含量监督抽查100批次，14台动态汽车衡计量监督检查， 升级原有计量报检系统，建立民生计量器具智慧化平台，提升计量监管效率与服务水平。</w:t>
            </w:r>
          </w:p>
        </w:tc>
      </w:tr>
      <w:tr w14:paraId="2850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8358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22170">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4305"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6137">
            <w:pPr>
              <w:keepNext w:val="0"/>
              <w:keepLines w:val="0"/>
              <w:widowControl/>
              <w:suppressLineNumbers w:val="0"/>
              <w:snapToGrid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完成了省局下达的定量包装商品净含量监督抽查100批次，14台动态汽车衡计量监督检查， 升级原有计量报检系统，建立民生计量器具智慧化平台，提升计量监管效率与服务水平。</w:t>
            </w:r>
          </w:p>
        </w:tc>
      </w:tr>
      <w:tr w14:paraId="228B0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B81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244B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B27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45E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0F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ED3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461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FC8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9D0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14:paraId="0136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431B"/>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AA5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0E8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FABD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5.44</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113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5.44</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FBA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69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16F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w:t>
            </w:r>
          </w:p>
        </w:tc>
        <w:tc>
          <w:tcPr>
            <w:tcW w:w="72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8060">
            <w:pPr>
              <w:keepNext w:val="0"/>
              <w:keepLines w:val="0"/>
              <w:widowControl/>
              <w:suppressLineNumbers w:val="0"/>
              <w:snapToGrid w:val="0"/>
              <w:jc w:val="left"/>
              <w:textAlignment w:val="center"/>
              <w:rPr>
                <w:rFonts w:hint="eastAsia" w:ascii="黑体" w:eastAsia="黑体" w:cs="黑体"/>
                <w:i/>
                <w:iCs/>
                <w:color w:val="000000"/>
                <w:sz w:val="18"/>
                <w:szCs w:val="18"/>
                <w:u w:val="none"/>
              </w:rPr>
            </w:pPr>
            <w:r>
              <w:rPr>
                <w:rFonts w:hint="eastAsia" w:ascii="黑体" w:eastAsia="黑体" w:cs="黑体"/>
                <w:i/>
                <w:iCs/>
                <w:color w:val="000000"/>
                <w:kern w:val="0"/>
                <w:sz w:val="18"/>
                <w:szCs w:val="18"/>
                <w:u w:val="none"/>
                <w:lang w:val="en-US" w:eastAsia="zh-CN"/>
              </w:rPr>
              <w:t>因资金下达时间（2025年11月）较晚，采购程序耗时较长，智慧化平台未在2025年度内完成履约验收。</w:t>
            </w:r>
          </w:p>
        </w:tc>
      </w:tr>
      <w:tr w14:paraId="3192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7EAD"/>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6245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D56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D42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5.44</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372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5.44</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455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AC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E2D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12B5"/>
        </w:tc>
      </w:tr>
      <w:tr w14:paraId="5F6F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0E58"/>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8AD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99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8BE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FD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936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7A0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B0A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197D"/>
        </w:tc>
      </w:tr>
      <w:tr w14:paraId="26B98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820A2"/>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71F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B62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E60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A9E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63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4F0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65D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E625"/>
        </w:tc>
      </w:tr>
      <w:tr w14:paraId="6D2D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2E54"/>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97C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1CE">
            <w:pPr>
              <w:snapToGrid w:val="0"/>
              <w:jc w:val="center"/>
              <w:rPr>
                <w:rFonts w:hint="eastAsia" w:ascii="微软雅黑" w:eastAsia="微软雅黑" w:cs="微软雅黑"/>
                <w:i/>
                <w:iCs/>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64A0">
            <w:pPr>
              <w:snapToGrid w:val="0"/>
              <w:jc w:val="center"/>
              <w:rPr>
                <w:rFonts w:hint="eastAsia" w:ascii="微软雅黑" w:eastAsia="微软雅黑" w:cs="微软雅黑"/>
                <w:i/>
                <w:iCs/>
                <w:color w:val="000000"/>
                <w:sz w:val="16"/>
                <w:szCs w:val="16"/>
                <w:u w:val="none"/>
              </w:rPr>
            </w:pPr>
          </w:p>
        </w:tc>
        <w:tc>
          <w:tcPr>
            <w:tcW w:w="123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0187">
            <w:pPr>
              <w:snapToGrid w:val="0"/>
              <w:jc w:val="center"/>
              <w:rPr>
                <w:rFonts w:hint="eastAsia" w:ascii="微软雅黑" w:eastAsia="微软雅黑" w:cs="微软雅黑"/>
                <w:i/>
                <w:iCs/>
                <w:color w:val="000000"/>
                <w:sz w:val="16"/>
                <w:szCs w:val="16"/>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E8FA">
            <w:pPr>
              <w:snapToGrid w:val="0"/>
              <w:jc w:val="center"/>
              <w:rPr>
                <w:rFonts w:hint="eastAsia" w:ascii="微软雅黑" w:eastAsia="微软雅黑" w:cs="微软雅黑"/>
                <w:i/>
                <w:iCs/>
                <w:color w:val="000000"/>
                <w:sz w:val="16"/>
                <w:szCs w:val="16"/>
                <w:u w:val="none"/>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AA2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E4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72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963C"/>
        </w:tc>
      </w:tr>
      <w:tr w14:paraId="3DE90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821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CDA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2B6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49E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F32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465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DF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C408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6E4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705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4BD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14:paraId="584C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8972"/>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8C3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5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89A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D3F3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动态汽车衡计量监督检查数量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1FD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CB01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7736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71EB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664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8FC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AA4E">
            <w:pPr>
              <w:snapToGrid w:val="0"/>
              <w:jc w:val="center"/>
              <w:rPr>
                <w:rFonts w:hint="eastAsia" w:ascii="宋体" w:eastAsia="宋体" w:cs="宋体"/>
                <w:i w:val="0"/>
                <w:iCs w:val="0"/>
                <w:color w:val="000000"/>
                <w:sz w:val="18"/>
                <w:szCs w:val="18"/>
                <w:u w:val="none"/>
              </w:rPr>
            </w:pPr>
          </w:p>
        </w:tc>
      </w:tr>
      <w:tr w14:paraId="1AD4A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31D6"/>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8565"/>
        </w:tc>
        <w:tc>
          <w:tcPr>
            <w:tcW w:w="5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D79E"/>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9D3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定量包装抽查数量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F02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DE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nil"/>
              <w:left w:val="nil"/>
              <w:bottom w:val="nil"/>
              <w:right w:val="nil"/>
            </w:tcBorders>
            <w:shd w:val="clear" w:color="auto" w:fill="auto"/>
            <w:noWrap/>
            <w:vAlign w:val="bottom"/>
          </w:tcPr>
          <w:p w14:paraId="0C8B9912">
            <w:pPr>
              <w:keepNext w:val="0"/>
              <w:keepLines w:val="0"/>
              <w:widowControl/>
              <w:suppressLineNumbers w:val="0"/>
              <w:snapToGrid w:val="0"/>
              <w:jc w:val="left"/>
              <w:textAlignment w:val="bottom"/>
              <w:rPr>
                <w:rFonts w:hint="eastAsia" w:ascii="宋体" w:eastAsia="宋体" w:cs="宋体"/>
                <w:i w:val="0"/>
                <w:iCs w:val="0"/>
                <w:color w:val="000000"/>
                <w:sz w:val="22"/>
                <w:szCs w:val="22"/>
                <w:u w:val="none"/>
              </w:rPr>
            </w:pPr>
            <w:r>
              <w:rPr>
                <w:rFonts w:hint="eastAsia" w:ascii="宋体" w:eastAsia="宋体" w:cs="宋体"/>
                <w:i w:val="0"/>
                <w:iCs w:val="0"/>
                <w:color w:val="000000"/>
                <w:kern w:val="0"/>
                <w:sz w:val="22"/>
                <w:szCs w:val="22"/>
                <w:u w:val="none"/>
                <w:lang w:val="en-US" w:eastAsia="zh-CN"/>
              </w:rPr>
              <w:t>批次</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F36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D660">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F117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E0C5C">
            <w:pPr>
              <w:snapToGrid w:val="0"/>
              <w:jc w:val="center"/>
              <w:rPr>
                <w:rFonts w:hint="eastAsia" w:ascii="宋体" w:eastAsia="宋体" w:cs="宋体"/>
                <w:i w:val="0"/>
                <w:iCs w:val="0"/>
                <w:color w:val="000000"/>
                <w:sz w:val="18"/>
                <w:szCs w:val="18"/>
                <w:u w:val="none"/>
              </w:rPr>
            </w:pPr>
          </w:p>
        </w:tc>
      </w:tr>
      <w:tr w14:paraId="246F0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50750"/>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BA055"/>
        </w:tc>
        <w:tc>
          <w:tcPr>
            <w:tcW w:w="53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DE3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B65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定量包装监督抽查不合格后处理</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6FD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00D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292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668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851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A6B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7A98">
            <w:pPr>
              <w:snapToGrid w:val="0"/>
              <w:jc w:val="center"/>
              <w:rPr>
                <w:rFonts w:hint="eastAsia" w:ascii="宋体" w:eastAsia="宋体" w:cs="宋体"/>
                <w:i w:val="0"/>
                <w:iCs w:val="0"/>
                <w:color w:val="000000"/>
                <w:sz w:val="18"/>
                <w:szCs w:val="18"/>
                <w:u w:val="none"/>
              </w:rPr>
            </w:pPr>
          </w:p>
        </w:tc>
      </w:tr>
      <w:tr w14:paraId="05C9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BE67"/>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9B29"/>
        </w:tc>
        <w:tc>
          <w:tcPr>
            <w:tcW w:w="53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92CC"/>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3A1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抽查过程合规性率</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322C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D803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59B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18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888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B72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1E37">
            <w:pPr>
              <w:snapToGrid w:val="0"/>
              <w:jc w:val="center"/>
              <w:rPr>
                <w:rFonts w:hint="eastAsia" w:ascii="宋体" w:eastAsia="宋体" w:cs="宋体"/>
                <w:i w:val="0"/>
                <w:iCs w:val="0"/>
                <w:color w:val="000000"/>
                <w:sz w:val="18"/>
                <w:szCs w:val="18"/>
                <w:u w:val="none"/>
              </w:rPr>
            </w:pPr>
          </w:p>
        </w:tc>
      </w:tr>
      <w:tr w14:paraId="098B6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F718"/>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1DC5"/>
        </w:tc>
        <w:tc>
          <w:tcPr>
            <w:tcW w:w="539" w:type="pct"/>
            <w:tcBorders>
              <w:top w:val="nil"/>
              <w:left w:val="single" w:color="000000" w:sz="4" w:space="0"/>
              <w:bottom w:val="single" w:color="000000" w:sz="4" w:space="0"/>
              <w:right w:val="single" w:color="000000" w:sz="4" w:space="0"/>
            </w:tcBorders>
            <w:shd w:val="clear" w:color="auto" w:fill="auto"/>
            <w:noWrap/>
            <w:vAlign w:val="center"/>
          </w:tcPr>
          <w:p w14:paraId="51F52B9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004C">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公平竞争的市场秩序</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BE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485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稳中向好</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65F9">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9F1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稳中向好</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28C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A62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5306">
            <w:pPr>
              <w:snapToGrid w:val="0"/>
              <w:jc w:val="center"/>
              <w:rPr>
                <w:rFonts w:hint="eastAsia" w:ascii="宋体" w:eastAsia="宋体" w:cs="宋体"/>
                <w:i w:val="0"/>
                <w:iCs w:val="0"/>
                <w:color w:val="000000"/>
                <w:sz w:val="18"/>
                <w:szCs w:val="18"/>
                <w:u w:val="none"/>
              </w:rPr>
            </w:pPr>
          </w:p>
        </w:tc>
      </w:tr>
      <w:tr w14:paraId="271A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DCF2"/>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86F5"/>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B42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0A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通过抽检、管理等保障良好的市场秩序</w:t>
            </w:r>
          </w:p>
        </w:tc>
        <w:tc>
          <w:tcPr>
            <w:tcW w:w="395" w:type="pct"/>
            <w:tcBorders>
              <w:top w:val="nil"/>
              <w:left w:val="nil"/>
              <w:bottom w:val="nil"/>
              <w:right w:val="nil"/>
            </w:tcBorders>
            <w:shd w:val="clear" w:color="auto" w:fill="auto"/>
            <w:noWrap/>
            <w:vAlign w:val="bottom"/>
          </w:tcPr>
          <w:p w14:paraId="3923D6AA">
            <w:pPr>
              <w:keepNext w:val="0"/>
              <w:keepLines w:val="0"/>
              <w:widowControl/>
              <w:suppressLineNumbers w:val="0"/>
              <w:snapToGrid w:val="0"/>
              <w:jc w:val="left"/>
              <w:textAlignment w:val="bottom"/>
              <w:rPr>
                <w:rFonts w:hint="eastAsia" w:ascii="宋体" w:eastAsia="宋体" w:cs="宋体"/>
                <w:i w:val="0"/>
                <w:iCs w:val="0"/>
                <w:color w:val="000000"/>
                <w:sz w:val="24"/>
                <w:szCs w:val="24"/>
                <w:u w:val="none"/>
              </w:rPr>
            </w:pPr>
            <w:r>
              <w:rPr>
                <w:rFonts w:hint="eastAsia" w:ascii="宋体" w:eastAsia="宋体" w:cs="宋体"/>
                <w:i w:val="0"/>
                <w:iCs w:val="0"/>
                <w:color w:val="000000"/>
                <w:kern w:val="0"/>
                <w:sz w:val="24"/>
                <w:szCs w:val="24"/>
                <w:u w:val="none"/>
                <w:lang w:val="en-US" w:eastAsia="zh-CN"/>
              </w:rPr>
              <w:t>定性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A20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4FA9">
            <w:pPr>
              <w:snapToGrid w:val="0"/>
              <w:jc w:val="center"/>
              <w:rPr>
                <w:rFonts w:hint="eastAsia" w:ascii="宋体" w:eastAsia="宋体" w:cs="宋体"/>
                <w:i w:val="0"/>
                <w:iCs w:val="0"/>
                <w:color w:val="000000"/>
                <w:sz w:val="18"/>
                <w:szCs w:val="18"/>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291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持续影响</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E3A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D879">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B1CC">
            <w:pPr>
              <w:snapToGrid w:val="0"/>
              <w:jc w:val="center"/>
              <w:rPr>
                <w:rFonts w:hint="eastAsia" w:ascii="宋体" w:eastAsia="宋体" w:cs="宋体"/>
                <w:i w:val="0"/>
                <w:iCs w:val="0"/>
                <w:color w:val="000000"/>
                <w:sz w:val="18"/>
                <w:szCs w:val="18"/>
                <w:u w:val="none"/>
              </w:rPr>
            </w:pPr>
          </w:p>
        </w:tc>
      </w:tr>
      <w:tr w14:paraId="3677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AD1C"/>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F8C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w:t>
            </w:r>
            <w:r>
              <w:rPr>
                <w:rFonts w:ascii="宋体" w:eastAsia="宋体" w:cs="宋体"/>
                <w:i w:val="0"/>
                <w:iCs w:val="0"/>
                <w:color w:val="000000"/>
                <w:kern w:val="0"/>
                <w:sz w:val="18"/>
                <w:szCs w:val="18"/>
                <w:u w:val="none"/>
                <w:lang w:val="en-US" w:eastAsia="zh-CN"/>
              </w:rPr>
              <w:br w:type="textWrapping"/>
            </w:r>
            <w:r>
              <w:rPr>
                <w:rFonts w:ascii="宋体" w:eastAsia="宋体" w:cs="宋体"/>
                <w:i w:val="0"/>
                <w:iCs w:val="0"/>
                <w:color w:val="000000"/>
                <w:kern w:val="0"/>
                <w:sz w:val="18"/>
                <w:szCs w:val="18"/>
                <w:u w:val="none"/>
                <w:lang w:val="en-US" w:eastAsia="zh-CN"/>
              </w:rPr>
              <w:t>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FB82">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7C3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智慧化平台使用者满意度</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7EF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C004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FEF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910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9F6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DF1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5A8F">
            <w:pPr>
              <w:snapToGrid w:val="0"/>
              <w:jc w:val="center"/>
              <w:rPr>
                <w:rFonts w:hint="eastAsia" w:ascii="宋体" w:eastAsia="宋体" w:cs="宋体"/>
                <w:i w:val="0"/>
                <w:iCs w:val="0"/>
                <w:color w:val="000000"/>
                <w:sz w:val="18"/>
                <w:szCs w:val="18"/>
                <w:u w:val="none"/>
              </w:rPr>
            </w:pPr>
          </w:p>
        </w:tc>
      </w:tr>
      <w:tr w14:paraId="52D3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8A41"/>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CFF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508D">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w:t>
            </w:r>
            <w:r>
              <w:rPr>
                <w:rFonts w:ascii="宋体" w:eastAsia="宋体" w:cs="宋体"/>
                <w:i w:val="0"/>
                <w:iCs w:val="0"/>
                <w:color w:val="000000"/>
                <w:kern w:val="0"/>
                <w:sz w:val="18"/>
                <w:szCs w:val="18"/>
                <w:u w:val="none"/>
                <w:lang w:val="en-US" w:eastAsia="zh-CN"/>
              </w:rPr>
              <w:br w:type="textWrapping"/>
            </w:r>
            <w:r>
              <w:rPr>
                <w:rFonts w:ascii="宋体" w:eastAsia="宋体" w:cs="宋体"/>
                <w:i w:val="0"/>
                <w:iCs w:val="0"/>
                <w:color w:val="000000"/>
                <w:kern w:val="0"/>
                <w:sz w:val="18"/>
                <w:szCs w:val="18"/>
                <w:u w:val="none"/>
                <w:lang w:val="en-US" w:eastAsia="zh-CN"/>
              </w:rPr>
              <w:t>指标</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A753">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定量包装抽查成本</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EE668">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1967F">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E9AB1">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元</w:t>
            </w:r>
          </w:p>
        </w:tc>
        <w:tc>
          <w:tcPr>
            <w:tcW w:w="4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EAF3">
            <w:pPr>
              <w:keepNext w:val="0"/>
              <w:keepLines w:val="0"/>
              <w:widowControl/>
              <w:suppressLineNumbers w:val="0"/>
              <w:snapToGrid w:val="0"/>
              <w:jc w:val="center"/>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500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F36E">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B76F7">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3B8F">
            <w:pPr>
              <w:snapToGrid w:val="0"/>
              <w:jc w:val="center"/>
              <w:rPr>
                <w:rFonts w:hint="eastAsia" w:ascii="微软雅黑" w:eastAsia="微软雅黑" w:cs="微软雅黑"/>
                <w:i/>
                <w:iCs/>
                <w:color w:val="000000"/>
                <w:sz w:val="16"/>
                <w:szCs w:val="16"/>
                <w:u w:val="none"/>
              </w:rPr>
            </w:pPr>
          </w:p>
        </w:tc>
      </w:tr>
      <w:tr w14:paraId="7AA7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34"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0C6A">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60F4">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30D6">
            <w:pPr>
              <w:keepNext w:val="0"/>
              <w:keepLines w:val="0"/>
              <w:widowControl/>
              <w:suppressLineNumbers w:val="0"/>
              <w:snapToGrid w:val="0"/>
              <w:jc w:val="right"/>
              <w:textAlignment w:val="center"/>
              <w:rPr>
                <w:rFonts w:ascii="宋体" w:eastAsia="宋体" w:cs="宋体"/>
                <w:i w:val="0"/>
                <w:iCs w:val="0"/>
                <w:color w:val="000000"/>
                <w:sz w:val="18"/>
                <w:szCs w:val="18"/>
                <w:u w:val="none"/>
                <w:lang w:val="en-US"/>
              </w:rPr>
            </w:pPr>
            <w:r>
              <w:rPr>
                <w:rFonts w:hint="eastAsia" w:ascii="宋体" w:eastAsia="宋体" w:cs="宋体"/>
                <w:i w:val="0"/>
                <w:iCs w:val="0"/>
                <w:color w:val="000000"/>
                <w:kern w:val="0"/>
                <w:sz w:val="18"/>
                <w:szCs w:val="18"/>
                <w:u w:val="none"/>
                <w:lang w:val="en-US" w:eastAsia="zh-CN"/>
              </w:rPr>
              <w:t>98.9</w:t>
            </w:r>
          </w:p>
        </w:tc>
        <w:tc>
          <w:tcPr>
            <w:tcW w:w="7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80486">
            <w:pPr>
              <w:snapToGrid w:val="0"/>
              <w:rPr>
                <w:rFonts w:hint="eastAsia" w:ascii="宋体" w:eastAsia="宋体" w:cs="宋体"/>
                <w:i w:val="0"/>
                <w:iCs w:val="0"/>
                <w:color w:val="000000"/>
                <w:sz w:val="18"/>
                <w:szCs w:val="18"/>
                <w:u w:val="none"/>
              </w:rPr>
            </w:pPr>
          </w:p>
        </w:tc>
      </w:tr>
      <w:tr w14:paraId="1DEF3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F25F6">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D499">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我所2025年省级市场监管局专项绩效目标设置合理，绩效监控覆盖项目全过程，项目资金使用合法合规，项目实施过程中未出现与绩效目标相符，按专项预算项自评体系自评得分98.9分。</w:t>
            </w:r>
          </w:p>
        </w:tc>
      </w:tr>
      <w:tr w14:paraId="2855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D0C5">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67B7">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14:paraId="3FFFC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3F9B">
            <w:pPr>
              <w:keepNext w:val="0"/>
              <w:keepLines w:val="0"/>
              <w:widowControl/>
              <w:suppressLineNumbers w:val="0"/>
              <w:snapToGrid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4655"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A66FF">
            <w:pPr>
              <w:keepNext w:val="0"/>
              <w:keepLines w:val="0"/>
              <w:widowControl/>
              <w:suppressLineNumbers w:val="0"/>
              <w:snapToGrid w:val="0"/>
              <w:jc w:val="left"/>
              <w:textAlignment w:val="center"/>
              <w:rPr>
                <w:rFonts w:hint="eastAsia" w:ascii="微软雅黑" w:eastAsia="微软雅黑" w:cs="微软雅黑"/>
                <w:i/>
                <w:iCs/>
                <w:color w:val="000000"/>
                <w:sz w:val="16"/>
                <w:szCs w:val="16"/>
                <w:u w:val="none"/>
              </w:rPr>
            </w:pPr>
            <w:r>
              <w:rPr>
                <w:rFonts w:hint="eastAsia" w:ascii="微软雅黑" w:eastAsia="微软雅黑" w:cs="微软雅黑"/>
                <w:i/>
                <w:iCs/>
                <w:color w:val="000000"/>
                <w:kern w:val="0"/>
                <w:sz w:val="16"/>
                <w:szCs w:val="16"/>
                <w:u w:val="none"/>
                <w:lang w:val="en-US" w:eastAsia="zh-CN"/>
              </w:rPr>
              <w:t>无。</w:t>
            </w:r>
          </w:p>
        </w:tc>
      </w:tr>
      <w:tr w14:paraId="55C4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51EF">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项目负责人：陈刚</w:t>
            </w:r>
          </w:p>
        </w:tc>
        <w:tc>
          <w:tcPr>
            <w:tcW w:w="259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28ED">
            <w:pPr>
              <w:keepNext w:val="0"/>
              <w:keepLines w:val="0"/>
              <w:widowControl/>
              <w:suppressLineNumbers w:val="0"/>
              <w:snapToGrid w:val="0"/>
              <w:jc w:val="left"/>
              <w:textAlignment w:val="center"/>
              <w:rPr>
                <w:rFonts w:hint="eastAsia" w:ascii="黑体" w:eastAsia="黑体" w:cs="黑体"/>
                <w:i w:val="0"/>
                <w:iCs w:val="0"/>
                <w:color w:val="000000"/>
                <w:sz w:val="18"/>
                <w:szCs w:val="18"/>
                <w:u w:val="none"/>
              </w:rPr>
            </w:pPr>
            <w:r>
              <w:rPr>
                <w:rFonts w:hint="eastAsia" w:ascii="黑体" w:eastAsia="黑体" w:cs="黑体"/>
                <w:i w:val="0"/>
                <w:iCs w:val="0"/>
                <w:color w:val="000000"/>
                <w:kern w:val="0"/>
                <w:sz w:val="18"/>
                <w:szCs w:val="18"/>
                <w:u w:val="none"/>
                <w:lang w:val="en-US" w:eastAsia="zh-CN"/>
              </w:rPr>
              <w:t>财务负责人：范安飞</w:t>
            </w:r>
          </w:p>
        </w:tc>
      </w:tr>
    </w:tbl>
    <w:p w14:paraId="2F51431C">
      <w:pPr>
        <w:pStyle w:val="26"/>
        <w:keepNext/>
        <w:keepLines/>
        <w:pageBreakBefore w:val="0"/>
        <w:widowControl w:val="0"/>
        <w:kinsoku/>
        <w:wordWrap/>
        <w:overflowPunct/>
        <w:topLinePunct w:val="0"/>
        <w:autoSpaceDE/>
        <w:autoSpaceDN/>
        <w:bidi w:val="0"/>
        <w:adjustRightInd/>
        <w:snapToGrid/>
        <w:spacing w:before="0" w:after="0" w:line="578" w:lineRule="exact"/>
        <w:ind w:firstLine="482" w:firstLineChars="200"/>
        <w:rPr>
          <w:lang w:val="en-US" w:eastAsia="zh-CN"/>
        </w:rPr>
      </w:pPr>
    </w:p>
    <w:p w14:paraId="4F6E9D5F">
      <w:pPr>
        <w:pStyle w:val="15"/>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3077BCEE">
      <w:pPr>
        <w:pStyle w:val="7"/>
        <w:rPr>
          <w:rFonts w:hint="eastAsia" w:ascii="Times New Roman" w:hAnsi="Times New Roman" w:cs="宋体"/>
          <w:color w:val="FF0000"/>
          <w:kern w:val="0"/>
          <w:sz w:val="32"/>
          <w:szCs w:val="32"/>
          <w:highlight w:val="yellow"/>
          <w:shd w:val="clear" w:color="auto" w:fill="FFFFFF"/>
          <w:lang w:val="zh-CN"/>
        </w:rPr>
      </w:pPr>
    </w:p>
    <w:p w14:paraId="4CBA2061">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705DC889">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27E245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eastAsia="方正小标宋简体" w:cs="Times New Roman"/>
          <w:sz w:val="44"/>
          <w:szCs w:val="44"/>
          <w:highlight w:val="none"/>
          <w:lang w:val="en-US" w:eastAsia="zh-CN"/>
        </w:rPr>
      </w:pPr>
      <w:r>
        <w:rPr>
          <w:rFonts w:hint="eastAsia" w:eastAsia="方正小标宋简体" w:cs="Times New Roman"/>
          <w:sz w:val="44"/>
          <w:szCs w:val="44"/>
          <w:highlight w:val="none"/>
          <w:lang w:val="en-US" w:eastAsia="zh-CN"/>
        </w:rPr>
        <w:t>阿坝州计量检定测试所</w:t>
      </w:r>
    </w:p>
    <w:p w14:paraId="1641FD9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sz w:val="44"/>
          <w:szCs w:val="44"/>
          <w:highlight w:val="none"/>
          <w:lang w:val="en-US" w:eastAsia="zh-CN"/>
        </w:rPr>
      </w:pPr>
      <w:r>
        <w:rPr>
          <w:rFonts w:ascii="Times New Roman" w:hAnsi="Times New Roman" w:eastAsia="方正小标宋简体" w:cs="Times New Roman"/>
          <w:sz w:val="44"/>
          <w:szCs w:val="44"/>
          <w:highlight w:val="none"/>
          <w:lang w:val="en-US" w:eastAsia="zh-CN"/>
        </w:rPr>
        <w:t>202</w:t>
      </w:r>
      <w:r>
        <w:rPr>
          <w:rFonts w:hint="eastAsia" w:eastAsia="方正小标宋简体" w:cs="Times New Roman"/>
          <w:sz w:val="44"/>
          <w:szCs w:val="44"/>
          <w:highlight w:val="none"/>
          <w:lang w:val="en-US" w:eastAsia="zh-CN"/>
        </w:rPr>
        <w:t>5</w:t>
      </w:r>
      <w:r>
        <w:rPr>
          <w:rFonts w:ascii="Times New Roman" w:hAnsi="Times New Roman" w:eastAsia="方正小标宋简体" w:cs="Times New Roman"/>
          <w:sz w:val="44"/>
          <w:szCs w:val="44"/>
          <w:highlight w:val="none"/>
          <w:lang w:val="en-US" w:eastAsia="zh-CN"/>
        </w:rPr>
        <w:t>年</w:t>
      </w:r>
      <w:r>
        <w:rPr>
          <w:rFonts w:hint="eastAsia" w:eastAsia="方正小标宋简体" w:cs="Times New Roman"/>
          <w:sz w:val="44"/>
          <w:szCs w:val="44"/>
          <w:highlight w:val="none"/>
          <w:lang w:val="en-US" w:eastAsia="zh-CN"/>
        </w:rPr>
        <w:t>省级财政</w:t>
      </w:r>
      <w:r>
        <w:rPr>
          <w:rFonts w:ascii="Times New Roman" w:hAnsi="Times New Roman" w:eastAsia="方正小标宋简体" w:cs="Times New Roman"/>
          <w:sz w:val="44"/>
          <w:szCs w:val="44"/>
          <w:highlight w:val="none"/>
          <w:lang w:val="en-US" w:eastAsia="zh-CN"/>
        </w:rPr>
        <w:t>市场监管专项资金绩效自评报告</w:t>
      </w:r>
    </w:p>
    <w:p w14:paraId="283D6868">
      <w:pPr>
        <w:pStyle w:val="33"/>
        <w:keepNext w:val="0"/>
        <w:keepLines w:val="0"/>
        <w:pageBreakBefore w:val="0"/>
        <w:widowControl w:val="0"/>
        <w:kinsoku/>
        <w:wordWrap/>
        <w:overflowPunct/>
        <w:topLinePunct w:val="0"/>
        <w:autoSpaceDE/>
        <w:autoSpaceDN/>
        <w:bidi w:val="0"/>
        <w:spacing w:line="578" w:lineRule="exact"/>
        <w:ind w:left="0" w:firstLine="640"/>
        <w:jc w:val="center"/>
        <w:textAlignment w:val="auto"/>
        <w:rPr>
          <w:rFonts w:ascii="Times New Roman" w:hAnsi="Times New Roman" w:cs="Times New Roman"/>
          <w:color w:val="auto"/>
          <w:kern w:val="2"/>
          <w:sz w:val="32"/>
          <w:szCs w:val="32"/>
          <w:highlight w:val="none"/>
        </w:rPr>
      </w:pPr>
    </w:p>
    <w:p w14:paraId="22C56B3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cs="Times New Roman"/>
          <w:color w:val="auto"/>
          <w:sz w:val="32"/>
          <w:szCs w:val="32"/>
          <w:highlight w:val="none"/>
          <w:u w:val="none"/>
          <w:lang w:val="zh-CN"/>
        </w:rPr>
      </w:pPr>
      <w:r>
        <w:rPr>
          <w:rFonts w:ascii="Times New Roman" w:hAnsi="Times New Roman" w:eastAsia="黑体" w:cs="Times New Roman"/>
          <w:color w:val="auto"/>
          <w:sz w:val="32"/>
          <w:szCs w:val="32"/>
          <w:highlight w:val="none"/>
          <w:u w:val="none"/>
        </w:rPr>
        <w:t>一、</w:t>
      </w:r>
      <w:r>
        <w:rPr>
          <w:rFonts w:ascii="Times New Roman" w:hAnsi="Times New Roman" w:eastAsia="黑体" w:cs="Times New Roman"/>
          <w:color w:val="auto"/>
          <w:sz w:val="32"/>
          <w:szCs w:val="32"/>
          <w:highlight w:val="none"/>
          <w:u w:val="none"/>
          <w:lang w:val="zh-CN"/>
        </w:rPr>
        <w:t>项目概况</w:t>
      </w:r>
    </w:p>
    <w:p w14:paraId="589005E5">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ascii="Times New Roman" w:hAnsi="Times New Roman" w:eastAsia="楷体_GB2312" w:cs="Times New Roman"/>
          <w:b/>
          <w:color w:val="auto"/>
          <w:sz w:val="32"/>
          <w:szCs w:val="32"/>
          <w:highlight w:val="none"/>
          <w:u w:val="none"/>
          <w:lang w:val="zh-CN"/>
        </w:rPr>
      </w:pPr>
      <w:r>
        <w:rPr>
          <w:rFonts w:ascii="Times New Roman" w:hAnsi="Times New Roman" w:eastAsia="楷体_GB2312" w:cs="Times New Roman"/>
          <w:b/>
          <w:color w:val="auto"/>
          <w:sz w:val="32"/>
          <w:szCs w:val="32"/>
          <w:highlight w:val="none"/>
          <w:u w:val="none"/>
          <w:lang w:val="zh-CN"/>
        </w:rPr>
        <w:t>（一）设立背景及基本情况。</w:t>
      </w:r>
    </w:p>
    <w:p w14:paraId="7E37C363">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hint="eastAsia" w:ascii="仿宋_GB2312" w:eastAsia="仿宋_GB2312" w:cs="仿宋_GB2312"/>
          <w:b w:val="0"/>
          <w:bCs w:val="0"/>
          <w:kern w:val="0"/>
          <w:position w:val="0"/>
          <w:sz w:val="32"/>
          <w:szCs w:val="32"/>
          <w:highlight w:val="none"/>
          <w:lang w:val="en-US" w:eastAsia="zh-CN" w:bidi="ar-SA"/>
        </w:rPr>
        <w:t>2025年，四川省市场监督管理局下达我单位省级财政市场监管专项资金20.6万元，专项用于定量包装商品净含量监督抽查、动态汽车衡计量监督检查及民生计量器具智慧化平台建设三项工作，为市场计量监管规范化、智慧化提供资金保障。</w:t>
      </w:r>
    </w:p>
    <w:p w14:paraId="102FAEFB">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firstLine="720"/>
        <w:textAlignment w:val="auto"/>
        <w:rPr>
          <w:rFonts w:ascii="Times New Roman" w:hAnsi="Times New Roman" w:eastAsia="楷体_GB2312" w:cs="Times New Roman"/>
          <w:b/>
          <w:color w:val="auto"/>
          <w:sz w:val="32"/>
          <w:szCs w:val="32"/>
          <w:highlight w:val="none"/>
          <w:u w:val="none"/>
          <w:lang w:val="en-US" w:eastAsia="zh-CN"/>
        </w:rPr>
      </w:pPr>
      <w:r>
        <w:rPr>
          <w:rFonts w:ascii="Times New Roman" w:hAnsi="Times New Roman" w:eastAsia="楷体_GB2312" w:cs="Times New Roman"/>
          <w:b/>
          <w:color w:val="auto"/>
          <w:sz w:val="32"/>
          <w:szCs w:val="32"/>
          <w:highlight w:val="none"/>
          <w:u w:val="none"/>
          <w:lang w:val="en-US" w:eastAsia="zh-CN"/>
        </w:rPr>
        <w:t>实施目的及支持方向。</w:t>
      </w:r>
    </w:p>
    <w:p w14:paraId="7C1F2AFF">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1. 完成省局下达的定量包装商品净含量监督抽查100批次，保障商品计量准确，维护消费者权益；</w:t>
      </w:r>
    </w:p>
    <w:p w14:paraId="58CC6A41">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2. 完成14台动态汽车衡计量监督检查，规范计量检测行为，确保贸易结算公平；</w:t>
      </w:r>
    </w:p>
    <w:p w14:paraId="3E84FB3D">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3. 升级原有计量报检系统，建立民生计量器具智慧化平台，提升计量监管效率与服务水平。</w:t>
      </w:r>
    </w:p>
    <w:p w14:paraId="27169069">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rPr>
          <w:rFonts w:ascii="Times New Roman" w:hAnsi="Times New Roman" w:eastAsia="楷体_GB2312" w:cs="Times New Roman"/>
          <w:b/>
          <w:color w:val="auto"/>
          <w:sz w:val="32"/>
          <w:szCs w:val="32"/>
          <w:highlight w:val="none"/>
          <w:u w:val="none"/>
          <w:lang w:val="zh-CN" w:eastAsia="zh-CN"/>
        </w:rPr>
      </w:pPr>
      <w:r>
        <w:rPr>
          <w:rFonts w:ascii="Times New Roman" w:hAnsi="Times New Roman" w:eastAsia="楷体_GB2312" w:cs="Times New Roman"/>
          <w:b/>
          <w:color w:val="auto"/>
          <w:sz w:val="32"/>
          <w:szCs w:val="32"/>
          <w:highlight w:val="none"/>
          <w:u w:val="none"/>
          <w:lang w:val="zh-CN" w:eastAsia="zh-CN"/>
        </w:rPr>
        <w:t>（三）</w:t>
      </w:r>
      <w:r>
        <w:rPr>
          <w:rFonts w:ascii="Times New Roman" w:hAnsi="Times New Roman" w:eastAsia="楷体_GB2312" w:cs="Times New Roman"/>
          <w:b/>
          <w:color w:val="auto"/>
          <w:sz w:val="32"/>
          <w:szCs w:val="32"/>
          <w:highlight w:val="none"/>
          <w:u w:val="none"/>
          <w:lang w:val="en-US" w:eastAsia="zh-CN"/>
        </w:rPr>
        <w:t>预算安排及分配管理</w:t>
      </w:r>
      <w:r>
        <w:rPr>
          <w:rFonts w:ascii="Times New Roman" w:hAnsi="Times New Roman" w:eastAsia="楷体_GB2312" w:cs="Times New Roman"/>
          <w:b/>
          <w:color w:val="auto"/>
          <w:sz w:val="32"/>
          <w:szCs w:val="32"/>
          <w:highlight w:val="none"/>
          <w:u w:val="none"/>
          <w:lang w:val="zh-CN" w:eastAsia="zh-CN"/>
        </w:rPr>
        <w:t>。</w:t>
      </w:r>
    </w:p>
    <w:p w14:paraId="7E406462">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hint="eastAsia" w:ascii="仿宋_GB2312" w:eastAsia="仿宋_GB2312" w:cs="仿宋_GB2312"/>
          <w:b w:val="0"/>
          <w:bCs w:val="0"/>
          <w:kern w:val="0"/>
          <w:position w:val="0"/>
          <w:sz w:val="32"/>
          <w:szCs w:val="32"/>
          <w:highlight w:val="none"/>
          <w:lang w:val="en-US" w:eastAsia="zh-CN" w:bidi="ar-SA"/>
        </w:rPr>
        <w:t>定量包装商品净含量监督抽查任务为100批次，按500元/批次计算，资金合计5万元；动态汽车衡计量监督检查任务为14台，资金合计0.5万元；民生计量器具智慧化平台是对原有计量报检进行升级，资金预算15.1万元。三项合计20.6万元。项目</w:t>
      </w:r>
      <w:r>
        <w:rPr>
          <w:rFonts w:hint="eastAsia" w:ascii="仿宋_GB2312" w:eastAsia="仿宋_GB2312" w:cs="仿宋_GB2312"/>
          <w:b w:val="0"/>
          <w:bCs w:val="0"/>
          <w:kern w:val="0"/>
          <w:position w:val="0"/>
          <w:sz w:val="32"/>
          <w:szCs w:val="32"/>
          <w:highlight w:val="none"/>
          <w:lang w:val="zh-CN" w:eastAsia="zh-CN" w:bidi="ar-SA"/>
        </w:rPr>
        <w:t>严格按照规定使用，做到专款专用。</w:t>
      </w:r>
    </w:p>
    <w:p w14:paraId="59C928FF">
      <w:pPr>
        <w:keepNext w:val="0"/>
        <w:keepLines w:val="0"/>
        <w:pageBreakBefore w:val="0"/>
        <w:widowControl w:val="0"/>
        <w:kinsoku/>
        <w:wordWrap/>
        <w:overflowPunct/>
        <w:topLinePunct w:val="0"/>
        <w:autoSpaceDE/>
        <w:autoSpaceDN/>
        <w:bidi w:val="0"/>
        <w:adjustRightInd w:val="0"/>
        <w:snapToGrid w:val="0"/>
        <w:spacing w:line="578" w:lineRule="exact"/>
        <w:ind w:left="720"/>
        <w:textAlignment w:val="auto"/>
        <w:rPr>
          <w:rFonts w:ascii="Times New Roman" w:hAnsi="Times New Roman" w:eastAsia="楷体_GB2312" w:cs="Times New Roman"/>
          <w:b/>
          <w:color w:val="auto"/>
          <w:sz w:val="32"/>
          <w:szCs w:val="32"/>
          <w:highlight w:val="none"/>
          <w:u w:val="none"/>
          <w:lang w:val="zh-CN" w:eastAsia="zh-CN"/>
        </w:rPr>
      </w:pPr>
      <w:r>
        <w:rPr>
          <w:rFonts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en-US" w:eastAsia="zh-CN"/>
        </w:rPr>
        <w:t>四</w:t>
      </w:r>
      <w:r>
        <w:rPr>
          <w:rFonts w:ascii="Times New Roman" w:hAnsi="Times New Roman" w:eastAsia="楷体_GB2312" w:cs="Times New Roman"/>
          <w:b/>
          <w:color w:val="auto"/>
          <w:sz w:val="32"/>
          <w:szCs w:val="32"/>
          <w:highlight w:val="none"/>
          <w:u w:val="none"/>
          <w:lang w:val="zh-CN" w:eastAsia="zh-CN"/>
        </w:rPr>
        <w:t>）项目绩效目标设置。</w:t>
      </w:r>
    </w:p>
    <w:p w14:paraId="0FEF0D3D">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结合资金分配方案与工作实际，我所设定8项绩效目标，其中定量指标6项、定性指标2项，目标清晰、量化可考，并按指标重要性合理设定权重，项目完成后通过核对指标完成情况开展自评。</w:t>
      </w:r>
    </w:p>
    <w:p w14:paraId="71D7BAE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rPr>
        <w:t>二、</w:t>
      </w:r>
      <w:r>
        <w:rPr>
          <w:rFonts w:ascii="Times New Roman" w:hAnsi="Times New Roman" w:eastAsia="黑体" w:cs="Times New Roman"/>
          <w:color w:val="auto"/>
          <w:sz w:val="32"/>
          <w:szCs w:val="32"/>
          <w:highlight w:val="none"/>
          <w:u w:val="none"/>
          <w:lang w:eastAsia="zh-CN"/>
        </w:rPr>
        <w:t>评价实施</w:t>
      </w:r>
    </w:p>
    <w:p w14:paraId="2F70CDC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hAnsi="Times New Roman" w:eastAsia="楷体_GB2312" w:cs="Times New Roman"/>
          <w:b/>
          <w:color w:val="auto"/>
          <w:sz w:val="32"/>
          <w:szCs w:val="32"/>
          <w:highlight w:val="none"/>
          <w:u w:val="none"/>
          <w:lang w:val="zh-CN"/>
        </w:rPr>
      </w:pPr>
      <w:r>
        <w:rPr>
          <w:rFonts w:ascii="Times New Roman" w:hAnsi="Times New Roman" w:eastAsia="楷体_GB2312" w:cs="Times New Roman"/>
          <w:b/>
          <w:color w:val="auto"/>
          <w:sz w:val="32"/>
          <w:szCs w:val="32"/>
          <w:highlight w:val="none"/>
          <w:u w:val="none"/>
          <w:lang w:val="zh-CN"/>
        </w:rPr>
        <w:t>（一）评价目的。</w:t>
      </w:r>
    </w:p>
    <w:p w14:paraId="64079BD3">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通过项目绩效自评，总结项目开展的经验、成果，进一步强化了项目绩效目标管理，进一步促进项目资金的有效利用。</w:t>
      </w:r>
    </w:p>
    <w:p w14:paraId="5084B8A6">
      <w:pPr>
        <w:keepNext w:val="0"/>
        <w:keepLines w:val="0"/>
        <w:pageBreakBefore w:val="0"/>
        <w:widowControl w:val="0"/>
        <w:numPr>
          <w:ilvl w:val="0"/>
          <w:numId w:val="11"/>
        </w:numPr>
        <w:kinsoku/>
        <w:wordWrap/>
        <w:overflowPunct/>
        <w:topLinePunct w:val="0"/>
        <w:autoSpaceDE/>
        <w:autoSpaceDN/>
        <w:bidi w:val="0"/>
        <w:adjustRightInd w:val="0"/>
        <w:snapToGrid w:val="0"/>
        <w:spacing w:line="578" w:lineRule="exact"/>
        <w:ind w:left="-2" w:firstLine="642"/>
        <w:textAlignment w:val="auto"/>
        <w:outlineLvl w:val="9"/>
        <w:rPr>
          <w:rFonts w:ascii="Times New Roman" w:hAnsi="Times New Roman" w:eastAsia="楷体_GB2312" w:cs="Times New Roman"/>
          <w:b/>
          <w:color w:val="auto"/>
          <w:sz w:val="32"/>
          <w:szCs w:val="32"/>
          <w:highlight w:val="none"/>
          <w:u w:val="none"/>
          <w:lang w:val="zh-CN"/>
        </w:rPr>
      </w:pPr>
      <w:r>
        <w:rPr>
          <w:rFonts w:ascii="Times New Roman" w:hAnsi="Times New Roman" w:eastAsia="楷体_GB2312" w:cs="Times New Roman"/>
          <w:b/>
          <w:color w:val="auto"/>
          <w:sz w:val="32"/>
          <w:szCs w:val="32"/>
          <w:highlight w:val="none"/>
          <w:u w:val="none"/>
          <w:lang w:val="zh-CN"/>
        </w:rPr>
        <w:t>预设问题及评价重点。</w:t>
      </w:r>
    </w:p>
    <w:p w14:paraId="1EB50F35">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此项目资金用于定量包装监督抽查、动态汽车衡计量监督检查、民生计量器具智慧化平台，我所在资金使用过程中严格按照“专款专用”原则，未出现不符合要求的资金支付，且确保了项目实施结果符合绩效目标。</w:t>
      </w:r>
    </w:p>
    <w:p w14:paraId="026AD8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hAnsi="Times New Roman" w:eastAsia="楷体_GB2312" w:cs="Times New Roman"/>
          <w:b/>
          <w:color w:val="auto"/>
          <w:sz w:val="32"/>
          <w:szCs w:val="32"/>
          <w:highlight w:val="none"/>
          <w:u w:val="none"/>
          <w:lang w:val="zh-CN"/>
        </w:rPr>
      </w:pPr>
      <w:r>
        <w:rPr>
          <w:rFonts w:ascii="Times New Roman" w:hAnsi="Times New Roman" w:eastAsia="楷体_GB2312" w:cs="Times New Roman"/>
          <w:b/>
          <w:color w:val="auto"/>
          <w:sz w:val="32"/>
          <w:szCs w:val="32"/>
          <w:highlight w:val="none"/>
          <w:u w:val="none"/>
          <w:lang w:val="zh-CN"/>
        </w:rPr>
        <w:t>（</w:t>
      </w:r>
      <w:r>
        <w:rPr>
          <w:rFonts w:ascii="Times New Roman" w:hAnsi="Times New Roman" w:eastAsia="楷体_GB2312" w:cs="Times New Roman"/>
          <w:b/>
          <w:color w:val="auto"/>
          <w:sz w:val="32"/>
          <w:szCs w:val="32"/>
          <w:highlight w:val="none"/>
          <w:u w:val="none"/>
          <w:lang w:val="en-US" w:eastAsia="zh-CN"/>
        </w:rPr>
        <w:t>三</w:t>
      </w:r>
      <w:r>
        <w:rPr>
          <w:rFonts w:ascii="Times New Roman" w:hAnsi="Times New Roman" w:eastAsia="楷体_GB2312" w:cs="Times New Roman"/>
          <w:b/>
          <w:color w:val="auto"/>
          <w:sz w:val="32"/>
          <w:szCs w:val="32"/>
          <w:highlight w:val="none"/>
          <w:u w:val="none"/>
          <w:lang w:val="zh-CN"/>
        </w:rPr>
        <w:t>）评价方法。</w:t>
      </w:r>
    </w:p>
    <w:p w14:paraId="19A418F0">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cs="仿宋_GB2312"/>
          <w:b w:val="0"/>
          <w:bCs w:val="0"/>
          <w:kern w:val="0"/>
          <w:position w:val="0"/>
          <w:sz w:val="32"/>
          <w:szCs w:val="32"/>
          <w:highlight w:val="none"/>
          <w:lang w:val="en-US" w:eastAsia="zh-CN" w:bidi="ar-SA"/>
        </w:rPr>
        <w:t>我</w:t>
      </w:r>
      <w:r>
        <w:rPr>
          <w:rFonts w:hint="eastAsia" w:ascii="仿宋_GB2312" w:eastAsia="仿宋_GB2312" w:cs="仿宋_GB2312"/>
          <w:b w:val="0"/>
          <w:bCs w:val="0"/>
          <w:kern w:val="0"/>
          <w:position w:val="0"/>
          <w:sz w:val="32"/>
          <w:szCs w:val="32"/>
          <w:highlight w:val="none"/>
          <w:lang w:val="en-US" w:eastAsia="zh-CN" w:bidi="ar-SA"/>
        </w:rPr>
        <w:t>单位采用单位自评法对该项进行了评价。</w:t>
      </w:r>
      <w:r>
        <w:rPr>
          <w:rFonts w:hint="eastAsia" w:ascii="仿宋_GB2312" w:eastAsia="仿宋_GB2312" w:cs="仿宋_GB2312"/>
          <w:b w:val="0"/>
          <w:bCs w:val="0"/>
          <w:kern w:val="0"/>
          <w:position w:val="0"/>
          <w:sz w:val="32"/>
          <w:szCs w:val="32"/>
          <w:highlight w:val="none"/>
          <w:lang w:val="zh-CN" w:eastAsia="zh-CN" w:bidi="ar-SA"/>
        </w:rPr>
        <w:t>在项目</w:t>
      </w:r>
      <w:r>
        <w:rPr>
          <w:rFonts w:hint="eastAsia" w:ascii="仿宋_GB2312" w:eastAsia="仿宋_GB2312" w:cs="仿宋_GB2312"/>
          <w:b w:val="0"/>
          <w:bCs w:val="0"/>
          <w:kern w:val="0"/>
          <w:position w:val="0"/>
          <w:sz w:val="32"/>
          <w:szCs w:val="32"/>
          <w:highlight w:val="none"/>
          <w:lang w:val="en-US" w:eastAsia="zh-CN" w:bidi="ar-SA"/>
        </w:rPr>
        <w:t>完成后</w:t>
      </w:r>
      <w:r>
        <w:rPr>
          <w:rFonts w:hint="eastAsia" w:ascii="仿宋_GB2312" w:eastAsia="仿宋_GB2312" w:cs="仿宋_GB2312"/>
          <w:b w:val="0"/>
          <w:bCs w:val="0"/>
          <w:kern w:val="0"/>
          <w:position w:val="0"/>
          <w:sz w:val="32"/>
          <w:szCs w:val="32"/>
          <w:highlight w:val="none"/>
          <w:lang w:val="zh-CN" w:eastAsia="zh-CN" w:bidi="ar-SA"/>
        </w:rPr>
        <w:t>，我所随机抽取</w:t>
      </w:r>
      <w:r>
        <w:rPr>
          <w:rFonts w:hint="eastAsia" w:ascii="仿宋_GB2312" w:eastAsia="仿宋_GB2312" w:cs="仿宋_GB2312"/>
          <w:b w:val="0"/>
          <w:bCs w:val="0"/>
          <w:kern w:val="0"/>
          <w:position w:val="0"/>
          <w:sz w:val="32"/>
          <w:szCs w:val="32"/>
          <w:highlight w:val="none"/>
          <w:lang w:val="en-US" w:eastAsia="zh-CN" w:bidi="ar-SA"/>
        </w:rPr>
        <w:t>1批次抽检资料进行检查</w:t>
      </w:r>
      <w:r>
        <w:rPr>
          <w:rFonts w:hint="eastAsia" w:ascii="仿宋_GB2312" w:eastAsia="仿宋_GB2312" w:cs="仿宋_GB2312"/>
          <w:b w:val="0"/>
          <w:bCs w:val="0"/>
          <w:kern w:val="0"/>
          <w:position w:val="0"/>
          <w:sz w:val="32"/>
          <w:szCs w:val="32"/>
          <w:highlight w:val="none"/>
          <w:lang w:val="zh-CN" w:eastAsia="zh-CN" w:bidi="ar-SA"/>
        </w:rPr>
        <w:t>，</w:t>
      </w:r>
      <w:r>
        <w:rPr>
          <w:rFonts w:hint="eastAsia" w:ascii="仿宋_GB2312" w:eastAsia="仿宋_GB2312" w:cs="仿宋_GB2312"/>
          <w:b w:val="0"/>
          <w:bCs w:val="0"/>
          <w:kern w:val="0"/>
          <w:position w:val="0"/>
          <w:sz w:val="32"/>
          <w:szCs w:val="32"/>
          <w:highlight w:val="none"/>
          <w:lang w:val="en-US" w:eastAsia="zh-CN" w:bidi="ar-SA"/>
        </w:rPr>
        <w:t>抽检资料符合相关要求</w:t>
      </w:r>
      <w:r>
        <w:rPr>
          <w:rFonts w:hint="eastAsia" w:ascii="仿宋_GB2312" w:eastAsia="仿宋_GB2312" w:cs="仿宋_GB2312"/>
          <w:b w:val="0"/>
          <w:bCs w:val="0"/>
          <w:kern w:val="0"/>
          <w:position w:val="0"/>
          <w:sz w:val="32"/>
          <w:szCs w:val="32"/>
          <w:highlight w:val="none"/>
          <w:lang w:val="zh-CN" w:eastAsia="zh-CN" w:bidi="ar-SA"/>
        </w:rPr>
        <w:t>，</w:t>
      </w:r>
      <w:r>
        <w:rPr>
          <w:rFonts w:hint="eastAsia" w:cs="仿宋_GB2312"/>
          <w:b w:val="0"/>
          <w:bCs w:val="0"/>
          <w:kern w:val="0"/>
          <w:position w:val="0"/>
          <w:sz w:val="32"/>
          <w:szCs w:val="32"/>
          <w:highlight w:val="none"/>
          <w:lang w:val="zh-CN" w:eastAsia="zh-CN" w:bidi="ar-SA"/>
        </w:rPr>
        <w:t>目前</w:t>
      </w:r>
      <w:r>
        <w:rPr>
          <w:rFonts w:hint="eastAsia" w:ascii="仿宋_GB2312" w:eastAsia="仿宋_GB2312" w:cs="仿宋_GB2312"/>
          <w:b w:val="0"/>
          <w:bCs w:val="0"/>
          <w:kern w:val="0"/>
          <w:position w:val="0"/>
          <w:sz w:val="32"/>
          <w:szCs w:val="32"/>
          <w:highlight w:val="none"/>
          <w:lang w:val="zh-CN" w:eastAsia="zh-CN" w:bidi="ar-SA"/>
        </w:rPr>
        <w:t>尚未接到任何投诉：</w:t>
      </w:r>
      <w:r>
        <w:rPr>
          <w:rFonts w:hint="eastAsia" w:ascii="仿宋_GB2312" w:eastAsia="仿宋_GB2312" w:cs="仿宋_GB2312"/>
          <w:b w:val="0"/>
          <w:bCs w:val="0"/>
          <w:kern w:val="0"/>
          <w:position w:val="0"/>
          <w:sz w:val="32"/>
          <w:szCs w:val="32"/>
          <w:highlight w:val="none"/>
          <w:lang w:val="en-US" w:eastAsia="zh-CN" w:bidi="ar-SA"/>
        </w:rPr>
        <w:t>对升级的平台通过单位自评法进行评价。</w:t>
      </w:r>
    </w:p>
    <w:p w14:paraId="65923C4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s="Times New Roman"/>
          <w:color w:val="auto"/>
          <w:sz w:val="32"/>
          <w:szCs w:val="32"/>
          <w:highlight w:val="none"/>
          <w:u w:val="none"/>
          <w:lang w:val="zh-CN"/>
        </w:rPr>
      </w:pPr>
      <w:r>
        <w:rPr>
          <w:rFonts w:ascii="Times New Roman" w:hAnsi="Times New Roman" w:eastAsia="黑体" w:cs="Times New Roman"/>
          <w:color w:val="auto"/>
          <w:sz w:val="32"/>
          <w:szCs w:val="32"/>
          <w:highlight w:val="none"/>
          <w:u w:val="none"/>
        </w:rPr>
        <w:t>三、</w:t>
      </w:r>
      <w:r>
        <w:rPr>
          <w:rFonts w:ascii="Times New Roman" w:hAnsi="Times New Roman" w:eastAsia="黑体" w:cs="Times New Roman"/>
          <w:color w:val="auto"/>
          <w:sz w:val="32"/>
          <w:szCs w:val="32"/>
          <w:highlight w:val="none"/>
          <w:u w:val="none"/>
          <w:lang w:eastAsia="zh-CN"/>
        </w:rPr>
        <w:t>绩效分析</w:t>
      </w:r>
      <w:r>
        <w:rPr>
          <w:rFonts w:ascii="Times New Roman" w:hAnsi="Times New Roman" w:cs="Times New Roman"/>
          <w:color w:val="auto"/>
          <w:sz w:val="32"/>
          <w:szCs w:val="32"/>
          <w:highlight w:val="none"/>
          <w:u w:val="none"/>
          <w:lang w:val="zh-CN"/>
        </w:rPr>
        <w:tab/>
      </w:r>
    </w:p>
    <w:p w14:paraId="1218833B">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ascii="仿宋_GB2312" w:eastAsia="仿宋_GB2312" w:cs="仿宋_GB2312"/>
          <w:b w:val="0"/>
          <w:bCs w:val="0"/>
          <w:kern w:val="0"/>
          <w:position w:val="0"/>
          <w:sz w:val="32"/>
          <w:szCs w:val="32"/>
          <w:highlight w:val="none"/>
          <w:lang w:val="zh-CN" w:eastAsia="zh-CN" w:bidi="ar-SA"/>
        </w:rPr>
        <w:t>根据项目预算绩效评价指标体系“通用指标”“专用指标”“个性指标”涉及二、三级指标进行逐项绩效分析并评分</w:t>
      </w:r>
      <w:r>
        <w:rPr>
          <w:rFonts w:ascii="仿宋_GB2312" w:eastAsia="仿宋_GB2312" w:cs="仿宋_GB2312"/>
          <w:b w:val="0"/>
          <w:bCs w:val="0"/>
          <w:kern w:val="0"/>
          <w:position w:val="0"/>
          <w:sz w:val="32"/>
          <w:szCs w:val="32"/>
          <w:highlight w:val="none"/>
          <w:lang w:val="en-US" w:eastAsia="zh-CN" w:bidi="ar-SA"/>
        </w:rPr>
        <w:t>。</w:t>
      </w:r>
    </w:p>
    <w:p w14:paraId="6A59C68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hAnsi="Times New Roman" w:eastAsia="楷体_GB2312" w:cs="Times New Roman"/>
          <w:b/>
          <w:color w:val="auto"/>
          <w:sz w:val="32"/>
          <w:szCs w:val="32"/>
          <w:highlight w:val="none"/>
          <w:u w:val="none"/>
          <w:lang w:val="en-US" w:eastAsia="zh-CN"/>
        </w:rPr>
      </w:pPr>
      <w:r>
        <w:rPr>
          <w:rFonts w:ascii="Times New Roman" w:hAnsi="Times New Roman" w:eastAsia="楷体_GB2312" w:cs="Times New Roman"/>
          <w:b/>
          <w:color w:val="auto"/>
          <w:sz w:val="32"/>
          <w:szCs w:val="32"/>
          <w:highlight w:val="none"/>
          <w:u w:val="none"/>
          <w:lang w:val="zh-CN"/>
        </w:rPr>
        <w:t>（一）</w:t>
      </w:r>
      <w:r>
        <w:rPr>
          <w:rFonts w:ascii="Times New Roman" w:hAnsi="Times New Roman" w:eastAsia="楷体_GB2312" w:cs="Times New Roman"/>
          <w:b/>
          <w:color w:val="auto"/>
          <w:sz w:val="32"/>
          <w:szCs w:val="32"/>
          <w:highlight w:val="none"/>
          <w:u w:val="none"/>
          <w:lang w:val="en-US" w:eastAsia="zh-CN"/>
        </w:rPr>
        <w:t>通用指标</w:t>
      </w:r>
      <w:r>
        <w:rPr>
          <w:rFonts w:ascii="Times New Roman" w:hAnsi="Times New Roman" w:eastAsia="楷体_GB2312" w:cs="Times New Roman"/>
          <w:b/>
          <w:color w:val="auto"/>
          <w:sz w:val="32"/>
          <w:szCs w:val="32"/>
          <w:highlight w:val="none"/>
          <w:u w:val="none"/>
          <w:lang w:val="zh-CN" w:eastAsia="zh-CN"/>
        </w:rPr>
        <w:t>绩效分析。</w:t>
      </w:r>
    </w:p>
    <w:p w14:paraId="37894CCC">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ascii="仿宋_GB2312" w:eastAsia="仿宋_GB2312" w:cs="仿宋_GB2312"/>
          <w:b w:val="0"/>
          <w:bCs w:val="0"/>
          <w:kern w:val="0"/>
          <w:position w:val="0"/>
          <w:sz w:val="32"/>
          <w:szCs w:val="32"/>
          <w:highlight w:val="none"/>
          <w:lang w:val="en-US" w:eastAsia="zh-CN" w:bidi="ar-SA"/>
        </w:rPr>
        <w:t>1.</w:t>
      </w:r>
      <w:r>
        <w:rPr>
          <w:rFonts w:ascii="仿宋_GB2312" w:eastAsia="仿宋_GB2312" w:cs="仿宋_GB2312"/>
          <w:b w:val="0"/>
          <w:bCs w:val="0"/>
          <w:kern w:val="0"/>
          <w:position w:val="0"/>
          <w:sz w:val="32"/>
          <w:szCs w:val="32"/>
          <w:highlight w:val="none"/>
          <w:lang w:val="zh-CN" w:eastAsia="zh-CN" w:bidi="ar-SA"/>
        </w:rPr>
        <w:t>项目决策。</w:t>
      </w:r>
    </w:p>
    <w:p w14:paraId="0769AF65">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hint="eastAsia" w:ascii="仿宋_GB2312" w:eastAsia="仿宋_GB2312" w:cs="仿宋_GB2312"/>
          <w:b w:val="0"/>
          <w:bCs w:val="0"/>
          <w:kern w:val="0"/>
          <w:position w:val="0"/>
          <w:sz w:val="32"/>
          <w:szCs w:val="32"/>
          <w:highlight w:val="none"/>
          <w:lang w:val="en-US" w:eastAsia="zh-CN" w:bidi="ar-SA"/>
        </w:rPr>
        <w:t>我单位</w:t>
      </w:r>
      <w:r>
        <w:rPr>
          <w:rFonts w:hint="eastAsia" w:ascii="仿宋_GB2312" w:eastAsia="仿宋_GB2312" w:cs="仿宋_GB2312"/>
          <w:b w:val="0"/>
          <w:bCs w:val="0"/>
          <w:kern w:val="0"/>
          <w:position w:val="0"/>
          <w:sz w:val="32"/>
          <w:szCs w:val="32"/>
          <w:highlight w:val="none"/>
          <w:lang w:val="zh-CN" w:eastAsia="zh-CN" w:bidi="ar-SA"/>
        </w:rPr>
        <w:t>在以往工作经验的基础上，结合单位年度工作计划申报项目预算，严格按照单位财务制度推进项目预算进度，项目决策程序严密，项目规划符合国家、省对于质量建设的要求，项目资金与市场监管行业事业发展相匹配，聚焦市场监管，项目绩效目标设置科学合理。</w:t>
      </w:r>
    </w:p>
    <w:p w14:paraId="6EE50BB2">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ascii="仿宋_GB2312" w:eastAsia="仿宋_GB2312" w:cs="仿宋_GB2312"/>
          <w:b w:val="0"/>
          <w:bCs w:val="0"/>
          <w:kern w:val="0"/>
          <w:position w:val="0"/>
          <w:sz w:val="32"/>
          <w:szCs w:val="32"/>
          <w:highlight w:val="none"/>
          <w:lang w:val="en-US" w:eastAsia="zh-CN" w:bidi="ar-SA"/>
        </w:rPr>
        <w:t>2.</w:t>
      </w:r>
      <w:r>
        <w:rPr>
          <w:rFonts w:ascii="仿宋_GB2312" w:eastAsia="仿宋_GB2312" w:cs="仿宋_GB2312"/>
          <w:b w:val="0"/>
          <w:bCs w:val="0"/>
          <w:kern w:val="0"/>
          <w:position w:val="0"/>
          <w:sz w:val="32"/>
          <w:szCs w:val="32"/>
          <w:highlight w:val="none"/>
          <w:lang w:val="zh-CN" w:eastAsia="zh-CN" w:bidi="ar-SA"/>
        </w:rPr>
        <w:t>项目管理。</w:t>
      </w:r>
    </w:p>
    <w:p w14:paraId="7D2A8329">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zh-CN" w:eastAsia="zh-CN" w:bidi="ar-SA"/>
        </w:rPr>
      </w:pPr>
      <w:r>
        <w:rPr>
          <w:rFonts w:hint="eastAsia" w:ascii="仿宋_GB2312" w:eastAsia="仿宋_GB2312" w:cs="仿宋_GB2312"/>
          <w:b w:val="0"/>
          <w:bCs w:val="0"/>
          <w:kern w:val="0"/>
          <w:position w:val="0"/>
          <w:sz w:val="32"/>
          <w:szCs w:val="32"/>
          <w:highlight w:val="none"/>
          <w:lang w:val="en-US" w:eastAsia="zh-CN" w:bidi="ar-SA"/>
        </w:rPr>
        <w:t>我单位</w:t>
      </w:r>
      <w:r>
        <w:rPr>
          <w:rFonts w:ascii="仿宋_GB2312" w:eastAsia="仿宋_GB2312" w:cs="仿宋_GB2312"/>
          <w:b w:val="0"/>
          <w:bCs w:val="0"/>
          <w:kern w:val="0"/>
          <w:position w:val="0"/>
          <w:sz w:val="32"/>
          <w:szCs w:val="32"/>
          <w:highlight w:val="none"/>
          <w:lang w:val="zh-CN" w:eastAsia="zh-CN" w:bidi="ar-SA"/>
        </w:rPr>
        <w:t>严格按专项资金管理办法开展项目管理绩效分析，在制度搭建、资金分配、绩效监管上已形成适配市场监管发展的工作体系，资金分配紧扣核心业务且流程规范，但针对地域实际的制度细则、资金测算精度及专业指标考核维度，仍需结合办法要求进一步优化完善。</w:t>
      </w:r>
    </w:p>
    <w:p w14:paraId="026C370C">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cs="仿宋_GB2312"/>
          <w:b w:val="0"/>
          <w:bCs w:val="0"/>
          <w:kern w:val="0"/>
          <w:position w:val="0"/>
          <w:sz w:val="32"/>
          <w:szCs w:val="32"/>
          <w:highlight w:val="none"/>
          <w:lang w:val="en-US" w:eastAsia="zh-CN" w:bidi="ar-SA"/>
        </w:rPr>
        <w:t>3.</w:t>
      </w:r>
      <w:r>
        <w:rPr>
          <w:rFonts w:ascii="仿宋_GB2312" w:eastAsia="仿宋_GB2312" w:cs="仿宋_GB2312"/>
          <w:b w:val="0"/>
          <w:bCs w:val="0"/>
          <w:kern w:val="0"/>
          <w:position w:val="0"/>
          <w:sz w:val="32"/>
          <w:szCs w:val="32"/>
          <w:highlight w:val="none"/>
          <w:lang w:val="en-US" w:eastAsia="zh-CN" w:bidi="ar-SA"/>
        </w:rPr>
        <w:t>项目实施。</w:t>
      </w:r>
    </w:p>
    <w:p w14:paraId="76CD7782">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zh-CN" w:eastAsia="zh-CN" w:bidi="ar-SA"/>
        </w:rPr>
        <w:t>定量包装商品净含量省级计量监督专项随机抽查任务</w:t>
      </w:r>
      <w:r>
        <w:rPr>
          <w:rFonts w:hint="eastAsia" w:ascii="仿宋_GB2312" w:eastAsia="仿宋_GB2312" w:cs="仿宋_GB2312"/>
          <w:b w:val="0"/>
          <w:bCs w:val="0"/>
          <w:kern w:val="0"/>
          <w:position w:val="0"/>
          <w:sz w:val="32"/>
          <w:szCs w:val="32"/>
          <w:highlight w:val="none"/>
          <w:lang w:val="en-US" w:eastAsia="zh-CN" w:bidi="ar-SA"/>
        </w:rPr>
        <w:t>100</w:t>
      </w:r>
      <w:r>
        <w:rPr>
          <w:rFonts w:hint="eastAsia" w:ascii="仿宋_GB2312" w:eastAsia="仿宋_GB2312" w:cs="仿宋_GB2312"/>
          <w:b w:val="0"/>
          <w:bCs w:val="0"/>
          <w:kern w:val="0"/>
          <w:position w:val="0"/>
          <w:sz w:val="32"/>
          <w:szCs w:val="32"/>
          <w:highlight w:val="none"/>
          <w:lang w:val="zh-CN" w:eastAsia="zh-CN" w:bidi="ar-SA"/>
        </w:rPr>
        <w:t>批次，实际完成</w:t>
      </w:r>
      <w:r>
        <w:rPr>
          <w:rFonts w:hint="eastAsia" w:ascii="仿宋_GB2312" w:eastAsia="仿宋_GB2312" w:cs="仿宋_GB2312"/>
          <w:b w:val="0"/>
          <w:bCs w:val="0"/>
          <w:kern w:val="0"/>
          <w:position w:val="0"/>
          <w:sz w:val="32"/>
          <w:szCs w:val="32"/>
          <w:highlight w:val="none"/>
          <w:lang w:val="en-US" w:eastAsia="zh-CN" w:bidi="ar-SA"/>
        </w:rPr>
        <w:t>100</w:t>
      </w:r>
      <w:r>
        <w:rPr>
          <w:rFonts w:hint="eastAsia" w:ascii="仿宋_GB2312" w:eastAsia="仿宋_GB2312" w:cs="仿宋_GB2312"/>
          <w:b w:val="0"/>
          <w:bCs w:val="0"/>
          <w:kern w:val="0"/>
          <w:position w:val="0"/>
          <w:sz w:val="32"/>
          <w:szCs w:val="32"/>
          <w:highlight w:val="none"/>
          <w:lang w:val="zh-CN" w:eastAsia="zh-CN" w:bidi="ar-SA"/>
        </w:rPr>
        <w:t>批次，</w:t>
      </w:r>
      <w:r>
        <w:rPr>
          <w:rFonts w:hint="eastAsia" w:ascii="仿宋_GB2312" w:eastAsia="仿宋_GB2312" w:cs="仿宋_GB2312"/>
          <w:b w:val="0"/>
          <w:bCs w:val="0"/>
          <w:kern w:val="0"/>
          <w:position w:val="0"/>
          <w:sz w:val="32"/>
          <w:szCs w:val="32"/>
          <w:highlight w:val="none"/>
          <w:lang w:val="en-US" w:eastAsia="zh-CN" w:bidi="ar-SA"/>
        </w:rPr>
        <w:t>使用资金4.97万元，节约资金0.03万元；动态汽车衡计量监督检查任务14台，实际完成14批次，实际使用0.47万元，节约资金0.03万元；民生计量器具智慧化平台1个，已完成前期采购工作，预计2026年4月份完成验收支付，中标金额14.15万元，节约资金0.95万元。</w:t>
      </w:r>
    </w:p>
    <w:p w14:paraId="6C5BD6B5">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4.</w:t>
      </w:r>
      <w:r>
        <w:rPr>
          <w:rFonts w:ascii="仿宋_GB2312" w:eastAsia="仿宋_GB2312" w:cs="仿宋_GB2312"/>
          <w:b w:val="0"/>
          <w:bCs w:val="0"/>
          <w:kern w:val="0"/>
          <w:position w:val="0"/>
          <w:sz w:val="32"/>
          <w:szCs w:val="32"/>
          <w:highlight w:val="none"/>
          <w:lang w:val="en-US" w:eastAsia="zh-CN" w:bidi="ar-SA"/>
        </w:rPr>
        <w:t>项目结果。</w:t>
      </w:r>
    </w:p>
    <w:p w14:paraId="50BE1F19">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Times New Roman" w:hAnsi="Times New Roman" w:cs="Times New Roman"/>
          <w:color w:val="auto"/>
          <w:szCs w:val="32"/>
          <w:lang w:val="en-US" w:eastAsia="zh-CN"/>
        </w:rPr>
      </w:pPr>
      <w:r>
        <w:rPr>
          <w:rFonts w:hint="eastAsia" w:ascii="仿宋_GB2312" w:eastAsia="仿宋_GB2312" w:cs="仿宋_GB2312"/>
          <w:b w:val="0"/>
          <w:bCs w:val="0"/>
          <w:kern w:val="0"/>
          <w:position w:val="0"/>
          <w:sz w:val="32"/>
          <w:szCs w:val="32"/>
          <w:highlight w:val="none"/>
          <w:lang w:val="en-US" w:eastAsia="zh-CN" w:bidi="ar-SA"/>
        </w:rPr>
        <w:t>我所利用此项目资金圆满完成2025年度定量包装商品净含量省级计量监督专项抽查任务100批次，圆满完成了动态汽车衡计量监督检查任务14台；已完成了民生计量器具智慧化平台采购的前期工作，目前等待履约验收。</w:t>
      </w:r>
    </w:p>
    <w:p w14:paraId="74AC25C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w:t>
      </w:r>
      <w:r>
        <w:rPr>
          <w:rFonts w:ascii="Times New Roman" w:hAnsi="Times New Roman" w:eastAsia="楷体_GB2312" w:cs="Times New Roman"/>
          <w:b/>
          <w:color w:val="auto"/>
          <w:sz w:val="32"/>
          <w:szCs w:val="32"/>
          <w:highlight w:val="none"/>
          <w:u w:val="none"/>
          <w:lang w:val="en-US" w:eastAsia="zh-CN"/>
        </w:rPr>
        <w:t>专用指标</w:t>
      </w:r>
      <w:r>
        <w:rPr>
          <w:rFonts w:ascii="Times New Roman" w:hAnsi="Times New Roman" w:eastAsia="楷体_GB2312" w:cs="Times New Roman"/>
          <w:b/>
          <w:color w:val="auto"/>
          <w:sz w:val="32"/>
          <w:szCs w:val="32"/>
          <w:highlight w:val="none"/>
          <w:u w:val="none"/>
          <w:lang w:val="zh-CN"/>
        </w:rPr>
        <w:t>绩效分析。</w:t>
      </w:r>
    </w:p>
    <w:p w14:paraId="60CD2FEB">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该</w:t>
      </w:r>
      <w:r>
        <w:rPr>
          <w:rFonts w:hint="eastAsia" w:ascii="仿宋_GB2312" w:eastAsia="仿宋_GB2312" w:cs="仿宋_GB2312"/>
          <w:b w:val="0"/>
          <w:bCs w:val="0"/>
          <w:kern w:val="0"/>
          <w:position w:val="0"/>
          <w:sz w:val="32"/>
          <w:szCs w:val="32"/>
          <w:highlight w:val="none"/>
          <w:lang w:val="zh-CN" w:eastAsia="zh-CN" w:bidi="ar-SA"/>
        </w:rPr>
        <w:t>项目资金按规定用途、适用范围进行资金分配，</w:t>
      </w:r>
      <w:r>
        <w:rPr>
          <w:rFonts w:hint="eastAsia" w:ascii="仿宋_GB2312" w:eastAsia="仿宋_GB2312" w:cs="仿宋_GB2312"/>
          <w:b w:val="0"/>
          <w:bCs w:val="0"/>
          <w:kern w:val="0"/>
          <w:position w:val="0"/>
          <w:sz w:val="32"/>
          <w:szCs w:val="32"/>
          <w:highlight w:val="none"/>
          <w:lang w:val="en-US" w:eastAsia="zh-CN" w:bidi="ar-SA"/>
        </w:rPr>
        <w:t>资金管理程序符合专项资金管理要求。</w:t>
      </w:r>
    </w:p>
    <w:p w14:paraId="51A6E63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ascii="Times New Roman" w:hAnsi="Times New Roman" w:eastAsia="楷体_GB2312" w:cs="Times New Roman"/>
          <w:b/>
          <w:color w:val="auto"/>
          <w:sz w:val="32"/>
          <w:szCs w:val="32"/>
          <w:highlight w:val="none"/>
          <w:u w:val="none"/>
          <w:lang w:val="zh-CN" w:eastAsia="zh-CN"/>
        </w:rPr>
      </w:pPr>
      <w:r>
        <w:rPr>
          <w:rFonts w:ascii="Times New Roman" w:hAnsi="Times New Roman" w:eastAsia="楷体_GB2312" w:cs="Times New Roman"/>
          <w:b/>
          <w:color w:val="auto"/>
          <w:sz w:val="32"/>
          <w:szCs w:val="32"/>
          <w:highlight w:val="none"/>
          <w:u w:val="none"/>
          <w:lang w:val="zh-CN" w:eastAsia="zh-CN"/>
        </w:rPr>
        <w:t>（三）</w:t>
      </w:r>
      <w:r>
        <w:rPr>
          <w:rFonts w:ascii="Times New Roman" w:hAnsi="Times New Roman" w:eastAsia="楷体_GB2312" w:cs="Times New Roman"/>
          <w:b/>
          <w:color w:val="auto"/>
          <w:sz w:val="32"/>
          <w:szCs w:val="32"/>
          <w:highlight w:val="none"/>
          <w:u w:val="none"/>
          <w:lang w:val="en-US" w:eastAsia="zh-CN"/>
        </w:rPr>
        <w:t>个性指标</w:t>
      </w:r>
      <w:r>
        <w:rPr>
          <w:rFonts w:ascii="Times New Roman" w:hAnsi="Times New Roman" w:eastAsia="楷体_GB2312" w:cs="Times New Roman"/>
          <w:b/>
          <w:color w:val="auto"/>
          <w:sz w:val="32"/>
          <w:szCs w:val="32"/>
          <w:highlight w:val="none"/>
          <w:u w:val="none"/>
          <w:lang w:val="zh-CN" w:eastAsia="zh-CN"/>
        </w:rPr>
        <w:t>绩效分析。</w:t>
      </w:r>
    </w:p>
    <w:p w14:paraId="765312DF">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按我单位预设的8项绩效指标，具体为定量包装监督抽查数量、动态汽车衡监督检查数量、抽查过程合规率、完成时限、抽检人员满意度、智慧化平台使用者满意度、通过抽检等保障良好的市场秩序、公平竞争的</w:t>
      </w:r>
      <w:r>
        <w:rPr>
          <w:rFonts w:hint="eastAsia" w:cs="仿宋_GB2312"/>
          <w:b w:val="0"/>
          <w:bCs w:val="0"/>
          <w:kern w:val="0"/>
          <w:position w:val="0"/>
          <w:sz w:val="32"/>
          <w:szCs w:val="32"/>
          <w:highlight w:val="none"/>
          <w:lang w:val="en-US" w:eastAsia="zh-CN" w:bidi="ar-SA"/>
        </w:rPr>
        <w:t>市场秩序</w:t>
      </w:r>
      <w:r>
        <w:rPr>
          <w:rFonts w:hint="eastAsia" w:ascii="仿宋_GB2312" w:eastAsia="仿宋_GB2312" w:cs="仿宋_GB2312"/>
          <w:b w:val="0"/>
          <w:bCs w:val="0"/>
          <w:kern w:val="0"/>
          <w:position w:val="0"/>
          <w:sz w:val="32"/>
          <w:szCs w:val="32"/>
          <w:highlight w:val="none"/>
          <w:lang w:val="en-US" w:eastAsia="zh-CN" w:bidi="ar-SA"/>
        </w:rPr>
        <w:t>，因智慧化平台还未完成验收外其余指标均较好</w:t>
      </w:r>
      <w:r>
        <w:rPr>
          <w:rFonts w:hint="eastAsia" w:cs="仿宋_GB2312"/>
          <w:b w:val="0"/>
          <w:bCs w:val="0"/>
          <w:kern w:val="0"/>
          <w:position w:val="0"/>
          <w:sz w:val="32"/>
          <w:szCs w:val="32"/>
          <w:highlight w:val="none"/>
          <w:lang w:val="en-US" w:eastAsia="zh-CN" w:bidi="ar-SA"/>
        </w:rPr>
        <w:t>地</w:t>
      </w:r>
      <w:r>
        <w:rPr>
          <w:rFonts w:hint="eastAsia" w:ascii="仿宋_GB2312" w:eastAsia="仿宋_GB2312" w:cs="仿宋_GB2312"/>
          <w:b w:val="0"/>
          <w:bCs w:val="0"/>
          <w:kern w:val="0"/>
          <w:position w:val="0"/>
          <w:sz w:val="32"/>
          <w:szCs w:val="32"/>
          <w:highlight w:val="none"/>
          <w:lang w:val="en-US" w:eastAsia="zh-CN" w:bidi="ar-SA"/>
        </w:rPr>
        <w:t>完成，基本</w:t>
      </w:r>
      <w:r>
        <w:rPr>
          <w:rFonts w:hint="eastAsia" w:cs="仿宋_GB2312"/>
          <w:b w:val="0"/>
          <w:bCs w:val="0"/>
          <w:kern w:val="0"/>
          <w:position w:val="0"/>
          <w:sz w:val="32"/>
          <w:szCs w:val="32"/>
          <w:highlight w:val="none"/>
          <w:lang w:val="en-US" w:eastAsia="zh-CN" w:bidi="ar-SA"/>
        </w:rPr>
        <w:t>达到</w:t>
      </w:r>
      <w:r>
        <w:rPr>
          <w:rFonts w:hint="eastAsia" w:ascii="仿宋_GB2312" w:eastAsia="仿宋_GB2312" w:cs="仿宋_GB2312"/>
          <w:b w:val="0"/>
          <w:bCs w:val="0"/>
          <w:kern w:val="0"/>
          <w:position w:val="0"/>
          <w:sz w:val="32"/>
          <w:szCs w:val="32"/>
          <w:highlight w:val="none"/>
          <w:lang w:val="en-US" w:eastAsia="zh-CN" w:bidi="ar-SA"/>
        </w:rPr>
        <w:t>预期目标。</w:t>
      </w:r>
    </w:p>
    <w:p w14:paraId="529CD07E">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Times New Roman" w:hAnsi="Times New Roman" w:eastAsia="黑体" w:cs="Times New Roman"/>
          <w:color w:val="auto"/>
          <w:sz w:val="32"/>
          <w:szCs w:val="32"/>
          <w:highlight w:val="none"/>
          <w:u w:val="none"/>
        </w:rPr>
      </w:pPr>
      <w:r>
        <w:rPr>
          <w:rFonts w:ascii="Times New Roman" w:hAnsi="Times New Roman" w:eastAsia="黑体" w:cs="Times New Roman"/>
          <w:color w:val="auto"/>
          <w:sz w:val="32"/>
          <w:szCs w:val="32"/>
          <w:highlight w:val="none"/>
          <w:u w:val="none"/>
          <w:lang w:eastAsia="zh-CN"/>
        </w:rPr>
        <w:t>四</w:t>
      </w:r>
      <w:r>
        <w:rPr>
          <w:rFonts w:ascii="Times New Roman" w:hAnsi="Times New Roman" w:eastAsia="黑体" w:cs="Times New Roman"/>
          <w:color w:val="auto"/>
          <w:sz w:val="32"/>
          <w:szCs w:val="32"/>
          <w:highlight w:val="none"/>
          <w:u w:val="none"/>
        </w:rPr>
        <w:t>、评价结论</w:t>
      </w:r>
    </w:p>
    <w:p w14:paraId="506E7EC5">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我所2025年省级市场监管局专项绩效目标设置合理，绩效监控覆盖项目全过程，项目资金使用合法合规，项目实施过程与绩效目标相符，按专项预算项自评体系自评得分98.9分。</w:t>
      </w:r>
    </w:p>
    <w:p w14:paraId="5FF4E2EA">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五、存在主要问题</w:t>
      </w:r>
    </w:p>
    <w:p w14:paraId="5B4FB671">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 xml:space="preserve"> 民生计量器具智慧化平台因资金下达时间（2025年11月）较晚，采购程序耗时较长，未在2025年度内完成履约验收。</w:t>
      </w:r>
    </w:p>
    <w:p w14:paraId="4AF66416">
      <w:pPr>
        <w:pStyle w:val="7"/>
        <w:pageBreakBefore w:val="0"/>
        <w:widowControl w:val="0"/>
        <w:tabs>
          <w:tab w:val="left" w:pos="2160"/>
        </w:tabs>
        <w:kinsoku/>
        <w:wordWrap/>
        <w:overflowPunct/>
        <w:topLinePunct w:val="0"/>
        <w:autoSpaceDE/>
        <w:autoSpaceDN/>
        <w:bidi w:val="0"/>
        <w:adjustRightInd/>
        <w:spacing w:line="600" w:lineRule="exact"/>
        <w:ind w:left="0" w:firstLine="640" w:firstLineChars="200"/>
        <w:textAlignment w:val="auto"/>
        <w:rPr>
          <w:rFonts w:ascii="Times New Roman" w:hAnsi="Times New Roman" w:eastAsia="黑体" w:cs="Times New Roman"/>
          <w:color w:val="auto"/>
          <w:kern w:val="0"/>
          <w:position w:val="3"/>
          <w:sz w:val="32"/>
          <w:szCs w:val="32"/>
          <w:highlight w:val="none"/>
          <w:u w:val="none"/>
          <w:lang w:val="zh-CN" w:eastAsia="zh-CN" w:bidi="ar-SA"/>
        </w:rPr>
      </w:pPr>
      <w:r>
        <w:rPr>
          <w:rFonts w:ascii="Times New Roman" w:hAnsi="Times New Roman" w:eastAsia="黑体" w:cs="Times New Roman"/>
          <w:color w:val="auto"/>
          <w:kern w:val="0"/>
          <w:position w:val="3"/>
          <w:sz w:val="32"/>
          <w:szCs w:val="32"/>
          <w:highlight w:val="none"/>
          <w:u w:val="none"/>
          <w:lang w:val="zh-CN" w:eastAsia="zh-CN" w:bidi="ar-SA"/>
        </w:rPr>
        <w:t>六、改进建议</w:t>
      </w:r>
    </w:p>
    <w:p w14:paraId="2B4E0613">
      <w:pPr>
        <w:tabs>
          <w:tab w:val="left" w:pos="1911"/>
        </w:tabs>
        <w:jc w:val="left"/>
        <w:rPr>
          <w:rFonts w:ascii="Times New Roman" w:hAnsi="Times New Roman" w:cs="Times New Roman"/>
          <w:color w:val="000000"/>
          <w:kern w:val="0"/>
          <w:szCs w:val="32"/>
          <w:highlight w:val="none"/>
          <w:shd w:val="clear" w:color="auto" w:fill="FFFFFF"/>
          <w:lang w:val="zh-CN" w:eastAsia="zh-CN"/>
        </w:rPr>
      </w:pPr>
      <w:r>
        <w:rPr>
          <w:rFonts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ascii="Times New Roman" w:hAnsi="Times New Roman" w:cs="Times New Roman"/>
          <w:b w:val="0"/>
          <w:bCs w:val="0"/>
          <w:kern w:val="0"/>
          <w:position w:val="0"/>
          <w:sz w:val="32"/>
          <w:szCs w:val="32"/>
          <w:highlight w:val="none"/>
          <w:lang w:val="en-US" w:eastAsia="zh-CN" w:bidi="ar-SA"/>
        </w:rPr>
        <w:t xml:space="preserve">  </w:t>
      </w:r>
      <w:r>
        <w:rPr>
          <w:rFonts w:hint="eastAsia" w:cs="Times New Roman"/>
          <w:b w:val="0"/>
          <w:bCs w:val="0"/>
          <w:kern w:val="0"/>
          <w:position w:val="0"/>
          <w:sz w:val="32"/>
          <w:szCs w:val="32"/>
          <w:highlight w:val="none"/>
          <w:lang w:val="en-US" w:eastAsia="zh-CN" w:bidi="ar-SA"/>
        </w:rPr>
        <w:t xml:space="preserve"> 针对智慧化平台建设，加强与采购单位、技术服务商的沟通协作，加快履约验收进度，确保2026年完成验收并投入使用，同步做好资金结转规范管理。</w:t>
      </w:r>
    </w:p>
    <w:p w14:paraId="58DA0874">
      <w:pPr>
        <w:pStyle w:val="15"/>
      </w:pPr>
    </w:p>
    <w:p w14:paraId="691184EB">
      <w:pPr>
        <w:pStyle w:val="15"/>
      </w:pPr>
    </w:p>
    <w:p w14:paraId="1D536F3A">
      <w:pPr>
        <w:pStyle w:val="15"/>
      </w:pPr>
    </w:p>
    <w:p w14:paraId="0D545FEA">
      <w:pPr>
        <w:pStyle w:val="15"/>
      </w:pPr>
    </w:p>
    <w:p w14:paraId="699E3336">
      <w:pPr>
        <w:pStyle w:val="15"/>
      </w:pPr>
    </w:p>
    <w:p w14:paraId="2638176B">
      <w:pPr>
        <w:pStyle w:val="15"/>
      </w:pPr>
    </w:p>
    <w:p w14:paraId="113FCFCD">
      <w:pPr>
        <w:pStyle w:val="15"/>
      </w:pPr>
    </w:p>
    <w:p w14:paraId="01F52EB7">
      <w:pPr>
        <w:pStyle w:val="15"/>
      </w:pPr>
    </w:p>
    <w:p w14:paraId="124630F9">
      <w:pPr>
        <w:pStyle w:val="15"/>
      </w:pPr>
    </w:p>
    <w:p w14:paraId="29D27DD1">
      <w:pPr>
        <w:pStyle w:val="15"/>
      </w:pPr>
    </w:p>
    <w:p w14:paraId="37B85D93">
      <w:pPr>
        <w:pStyle w:val="15"/>
      </w:pPr>
    </w:p>
    <w:p w14:paraId="5EBECC92">
      <w:pPr>
        <w:pStyle w:val="15"/>
      </w:pPr>
    </w:p>
    <w:p w14:paraId="2BAAB1F7">
      <w:pPr>
        <w:pStyle w:val="15"/>
      </w:pPr>
    </w:p>
    <w:p w14:paraId="4DA7CCD2">
      <w:pPr>
        <w:pStyle w:val="15"/>
      </w:pPr>
    </w:p>
    <w:p w14:paraId="207ABBEE">
      <w:pPr>
        <w:pStyle w:val="15"/>
      </w:pPr>
    </w:p>
    <w:p w14:paraId="4AA8784F">
      <w:pPr>
        <w:pStyle w:val="15"/>
      </w:pPr>
    </w:p>
    <w:p w14:paraId="517FD546">
      <w:pPr>
        <w:pStyle w:val="15"/>
      </w:pPr>
    </w:p>
    <w:p w14:paraId="17532F06">
      <w:pPr>
        <w:pStyle w:val="15"/>
      </w:pPr>
    </w:p>
    <w:p w14:paraId="17E8F313">
      <w:pPr>
        <w:pStyle w:val="15"/>
      </w:pPr>
    </w:p>
    <w:p w14:paraId="1426C490">
      <w:pPr>
        <w:keepNext w:val="0"/>
        <w:keepLines w:val="0"/>
        <w:pageBreakBefore w:val="0"/>
        <w:widowControl/>
        <w:kinsoku/>
        <w:wordWrap/>
        <w:overflowPunct/>
        <w:topLinePunct w:val="0"/>
        <w:autoSpaceDE/>
        <w:autoSpaceDN/>
        <w:bidi w:val="0"/>
        <w:adjustRightInd/>
        <w:snapToGrid/>
        <w:jc w:val="center"/>
        <w:textAlignment w:val="auto"/>
        <w:outlineLvl w:val="0"/>
        <w:rPr>
          <w:rFonts w:hint="eastAsia" w:ascii="Times New Roman" w:hAnsi="Times New Roman" w:eastAsia="仿宋"/>
          <w:b w:val="0"/>
          <w:color w:val="auto"/>
          <w:highlight w:val="none"/>
        </w:rPr>
      </w:pPr>
      <w:bookmarkStart w:id="82" w:name="_Toc29584"/>
      <w:bookmarkStart w:id="83" w:name="_Toc29800"/>
      <w:r>
        <w:rPr>
          <w:rFonts w:hint="eastAsia" w:ascii="Times New Roman" w:hAnsi="Times New Roman" w:eastAsia="黑体"/>
          <w:color w:val="auto"/>
          <w:sz w:val="44"/>
          <w:szCs w:val="44"/>
          <w:highlight w:val="none"/>
        </w:rPr>
        <w:t>第</w:t>
      </w:r>
      <w:r>
        <w:rPr>
          <w:rStyle w:val="24"/>
          <w:rFonts w:hint="eastAsia" w:ascii="Times New Roman" w:hAnsi="Times New Roman" w:eastAsia="黑体"/>
          <w:b w:val="0"/>
          <w:color w:val="auto"/>
          <w:highlight w:val="none"/>
        </w:rPr>
        <w:t>五部分 附表</w:t>
      </w:r>
      <w:bookmarkEnd w:id="82"/>
      <w:bookmarkEnd w:id="83"/>
      <w:bookmarkStart w:id="84" w:name="_Toc15396619"/>
    </w:p>
    <w:p w14:paraId="5F3C0100">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FCABF1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5" w:name="_Toc3201"/>
      <w:bookmarkStart w:id="86" w:name="_Toc22988"/>
      <w:r>
        <w:rPr>
          <w:rFonts w:hint="eastAsia" w:ascii="Times New Roman" w:hAnsi="Times New Roman" w:eastAsia="仿宋_GB2312" w:cs="仿宋_GB2312"/>
          <w:color w:val="auto"/>
          <w:sz w:val="32"/>
          <w:szCs w:val="32"/>
          <w:highlight w:val="none"/>
        </w:rPr>
        <w:t>一、收入支出决算总表</w:t>
      </w:r>
      <w:bookmarkEnd w:id="84"/>
      <w:bookmarkEnd w:id="85"/>
      <w:bookmarkEnd w:id="86"/>
    </w:p>
    <w:p w14:paraId="7A3C3564">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7" w:name="_Toc15396620"/>
      <w:bookmarkStart w:id="88" w:name="_Toc3487"/>
      <w:bookmarkStart w:id="89" w:name="_Toc15210"/>
      <w:r>
        <w:rPr>
          <w:rFonts w:hint="eastAsia" w:ascii="Times New Roman" w:hAnsi="Times New Roman" w:eastAsia="仿宋_GB2312" w:cs="仿宋_GB2312"/>
          <w:color w:val="auto"/>
          <w:sz w:val="32"/>
          <w:szCs w:val="32"/>
          <w:highlight w:val="none"/>
        </w:rPr>
        <w:t>二、收入决算表</w:t>
      </w:r>
      <w:bookmarkEnd w:id="87"/>
      <w:bookmarkEnd w:id="88"/>
      <w:bookmarkEnd w:id="89"/>
    </w:p>
    <w:p w14:paraId="79523045">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771"/>
      <w:bookmarkStart w:id="91" w:name="_Toc15396621"/>
      <w:bookmarkStart w:id="92" w:name="_Toc30469"/>
      <w:r>
        <w:rPr>
          <w:rFonts w:hint="eastAsia" w:ascii="Times New Roman" w:hAnsi="Times New Roman" w:eastAsia="仿宋_GB2312" w:cs="仿宋_GB2312"/>
          <w:color w:val="auto"/>
          <w:sz w:val="32"/>
          <w:szCs w:val="32"/>
          <w:highlight w:val="none"/>
        </w:rPr>
        <w:t>三、支出决算表</w:t>
      </w:r>
      <w:bookmarkEnd w:id="90"/>
      <w:bookmarkEnd w:id="91"/>
      <w:bookmarkEnd w:id="92"/>
    </w:p>
    <w:p w14:paraId="5BAA4209">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3" w:name="_Toc15396622"/>
      <w:bookmarkStart w:id="94" w:name="_Toc8542"/>
      <w:bookmarkStart w:id="95" w:name="_Toc25327"/>
      <w:r>
        <w:rPr>
          <w:rFonts w:hint="eastAsia" w:ascii="Times New Roman" w:hAnsi="Times New Roman" w:eastAsia="仿宋_GB2312" w:cs="仿宋_GB2312"/>
          <w:color w:val="auto"/>
          <w:sz w:val="32"/>
          <w:szCs w:val="32"/>
          <w:highlight w:val="none"/>
        </w:rPr>
        <w:t>四、财政拨款收入支出决算总表</w:t>
      </w:r>
      <w:bookmarkEnd w:id="93"/>
      <w:bookmarkEnd w:id="94"/>
      <w:bookmarkEnd w:id="95"/>
    </w:p>
    <w:p w14:paraId="4C099B91">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6" w:name="_Toc10313"/>
      <w:bookmarkStart w:id="97" w:name="_Toc27343"/>
      <w:bookmarkStart w:id="98" w:name="_Toc15396623"/>
      <w:r>
        <w:rPr>
          <w:rFonts w:hint="eastAsia" w:ascii="Times New Roman" w:hAnsi="Times New Roman" w:eastAsia="仿宋_GB2312" w:cs="仿宋_GB2312"/>
          <w:color w:val="auto"/>
          <w:sz w:val="32"/>
          <w:szCs w:val="32"/>
          <w:highlight w:val="none"/>
        </w:rPr>
        <w:t>五、财政拨款支出决算明细表</w:t>
      </w:r>
      <w:bookmarkEnd w:id="96"/>
      <w:bookmarkEnd w:id="97"/>
      <w:bookmarkEnd w:id="98"/>
      <w:bookmarkStart w:id="99" w:name="_Toc15396624"/>
    </w:p>
    <w:p w14:paraId="771B9DF3">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0" w:name="_Toc25715"/>
      <w:bookmarkStart w:id="101" w:name="_Toc26964"/>
      <w:r>
        <w:rPr>
          <w:rFonts w:hint="eastAsia" w:ascii="Times New Roman" w:hAnsi="Times New Roman" w:eastAsia="仿宋_GB2312" w:cs="仿宋_GB2312"/>
          <w:color w:val="auto"/>
          <w:sz w:val="32"/>
          <w:szCs w:val="32"/>
          <w:highlight w:val="none"/>
        </w:rPr>
        <w:t>六、一般公共预算财政拨款支出决算表</w:t>
      </w:r>
      <w:bookmarkEnd w:id="99"/>
      <w:bookmarkEnd w:id="100"/>
      <w:bookmarkEnd w:id="101"/>
    </w:p>
    <w:p w14:paraId="5B39FD78">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2" w:name="_Toc27439"/>
      <w:bookmarkStart w:id="103" w:name="_Toc11708"/>
      <w:bookmarkStart w:id="104" w:name="_Toc15396625"/>
      <w:r>
        <w:rPr>
          <w:rFonts w:hint="eastAsia" w:ascii="Times New Roman" w:hAnsi="Times New Roman" w:eastAsia="仿宋_GB2312" w:cs="仿宋_GB2312"/>
          <w:color w:val="auto"/>
          <w:sz w:val="32"/>
          <w:szCs w:val="32"/>
          <w:highlight w:val="none"/>
        </w:rPr>
        <w:t>七、一般公共预算财政拨款支出决算明细表</w:t>
      </w:r>
      <w:bookmarkEnd w:id="102"/>
      <w:bookmarkEnd w:id="103"/>
      <w:bookmarkEnd w:id="104"/>
    </w:p>
    <w:p w14:paraId="44325DB6">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5" w:name="_Toc15396626"/>
      <w:bookmarkStart w:id="106" w:name="_Toc17846"/>
      <w:bookmarkStart w:id="107" w:name="_Toc28444"/>
      <w:r>
        <w:rPr>
          <w:rFonts w:hint="eastAsia" w:ascii="Times New Roman" w:hAnsi="Times New Roman" w:eastAsia="仿宋_GB2312" w:cs="仿宋_GB2312"/>
          <w:color w:val="auto"/>
          <w:sz w:val="32"/>
          <w:szCs w:val="32"/>
          <w:highlight w:val="none"/>
        </w:rPr>
        <w:t>八、一般公共预算财政拨款基本支出决算表</w:t>
      </w:r>
      <w:bookmarkEnd w:id="105"/>
      <w:bookmarkEnd w:id="106"/>
      <w:bookmarkEnd w:id="107"/>
    </w:p>
    <w:p w14:paraId="41871096">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08" w:name="_Toc15396627"/>
      <w:bookmarkStart w:id="109" w:name="_Toc20386"/>
      <w:bookmarkStart w:id="110" w:name="_Toc19676"/>
      <w:r>
        <w:rPr>
          <w:rFonts w:hint="eastAsia" w:ascii="Times New Roman" w:hAnsi="Times New Roman" w:eastAsia="仿宋_GB2312" w:cs="仿宋_GB2312"/>
          <w:color w:val="auto"/>
          <w:sz w:val="32"/>
          <w:szCs w:val="32"/>
          <w:highlight w:val="none"/>
        </w:rPr>
        <w:t>九、一般公共预算财政拨款项目支出决算表</w:t>
      </w:r>
      <w:bookmarkEnd w:id="108"/>
      <w:bookmarkEnd w:id="109"/>
      <w:bookmarkEnd w:id="110"/>
    </w:p>
    <w:p w14:paraId="115309CD">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11" w:name="_Toc15396628"/>
      <w:bookmarkStart w:id="112" w:name="_Toc2663"/>
      <w:bookmarkStart w:id="113" w:name="_Toc3795"/>
      <w:r>
        <w:rPr>
          <w:rFonts w:hint="eastAsia" w:ascii="Times New Roman" w:hAnsi="Times New Roman" w:eastAsia="仿宋_GB2312" w:cs="仿宋_GB2312"/>
          <w:color w:val="auto"/>
          <w:sz w:val="32"/>
          <w:szCs w:val="32"/>
          <w:highlight w:val="none"/>
        </w:rPr>
        <w:t>十、</w:t>
      </w:r>
      <w:bookmarkEnd w:id="111"/>
      <w:r>
        <w:rPr>
          <w:rFonts w:hint="eastAsia" w:ascii="Times New Roman" w:hAnsi="Times New Roman" w:eastAsia="仿宋_GB2312" w:cs="仿宋_GB2312"/>
          <w:color w:val="auto"/>
          <w:sz w:val="32"/>
          <w:szCs w:val="32"/>
          <w:highlight w:val="none"/>
        </w:rPr>
        <w:t>政府性基金预算财政拨款收入支出决算表</w:t>
      </w:r>
      <w:bookmarkEnd w:id="112"/>
      <w:bookmarkEnd w:id="113"/>
    </w:p>
    <w:p w14:paraId="19C8418C">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14" w:name="_Toc15396629"/>
      <w:bookmarkStart w:id="115" w:name="_Toc21313"/>
      <w:bookmarkStart w:id="116" w:name="_Toc740"/>
      <w:r>
        <w:rPr>
          <w:rFonts w:hint="eastAsia" w:ascii="Times New Roman" w:hAnsi="Times New Roman" w:eastAsia="仿宋_GB2312" w:cs="仿宋_GB2312"/>
          <w:color w:val="auto"/>
          <w:sz w:val="32"/>
          <w:szCs w:val="32"/>
          <w:highlight w:val="none"/>
        </w:rPr>
        <w:t>十一、</w:t>
      </w:r>
      <w:bookmarkEnd w:id="11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5"/>
      <w:bookmarkEnd w:id="116"/>
    </w:p>
    <w:p w14:paraId="582F0E62">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117" w:name="_Toc15396630"/>
      <w:bookmarkStart w:id="118" w:name="_Toc17646"/>
      <w:bookmarkStart w:id="119" w:name="_Toc22006"/>
      <w:r>
        <w:rPr>
          <w:rFonts w:hint="eastAsia" w:ascii="Times New Roman" w:hAnsi="Times New Roman" w:eastAsia="仿宋_GB2312" w:cs="仿宋_GB2312"/>
          <w:color w:val="auto"/>
          <w:sz w:val="32"/>
          <w:szCs w:val="32"/>
          <w:highlight w:val="none"/>
        </w:rPr>
        <w:t>十二、</w:t>
      </w:r>
      <w:bookmarkEnd w:id="117"/>
      <w:r>
        <w:rPr>
          <w:rFonts w:hint="eastAsia" w:ascii="Times New Roman" w:hAnsi="Times New Roman" w:eastAsia="仿宋_GB2312" w:cs="仿宋_GB2312"/>
          <w:color w:val="auto"/>
          <w:sz w:val="32"/>
          <w:szCs w:val="32"/>
          <w:highlight w:val="none"/>
          <w:lang w:eastAsia="zh-CN"/>
        </w:rPr>
        <w:t>国有资本经营预算财政拨款支出决算表</w:t>
      </w:r>
      <w:bookmarkEnd w:id="118"/>
      <w:bookmarkEnd w:id="119"/>
    </w:p>
    <w:p w14:paraId="4CC86F5C">
      <w:pPr>
        <w:pStyle w:val="16"/>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120" w:name="_Toc15396631"/>
      <w:bookmarkStart w:id="121" w:name="_Toc22823"/>
      <w:bookmarkStart w:id="122" w:name="_Toc16991"/>
      <w:r>
        <w:rPr>
          <w:rFonts w:hint="eastAsia" w:ascii="Times New Roman" w:hAnsi="Times New Roman" w:eastAsia="仿宋_GB2312" w:cs="仿宋_GB2312"/>
          <w:color w:val="auto"/>
          <w:sz w:val="32"/>
          <w:szCs w:val="32"/>
          <w:highlight w:val="none"/>
        </w:rPr>
        <w:t>十三、</w:t>
      </w:r>
      <w:bookmarkEnd w:id="120"/>
      <w:r>
        <w:rPr>
          <w:rFonts w:hint="eastAsia" w:ascii="Times New Roman" w:hAnsi="Times New Roman" w:eastAsia="仿宋_GB2312" w:cs="仿宋_GB2312"/>
          <w:color w:val="auto"/>
          <w:sz w:val="32"/>
          <w:szCs w:val="32"/>
          <w:highlight w:val="none"/>
          <w:lang w:eastAsia="zh-CN"/>
        </w:rPr>
        <w:t>财政拨款“三公”经费支出决算表</w:t>
      </w:r>
      <w:bookmarkEnd w:id="121"/>
      <w:bookmarkEnd w:id="122"/>
    </w:p>
    <w:p w14:paraId="77806F42">
      <w:pPr>
        <w:rPr>
          <w:rFonts w:hint="eastAsia" w:ascii="Times New Roman" w:hAnsi="Times New Roman"/>
          <w:lang w:eastAsia="zh-CN"/>
        </w:rPr>
      </w:pPr>
    </w:p>
    <w:p w14:paraId="404529E0">
      <w:pPr>
        <w:pStyle w:val="15"/>
        <w:ind w:left="0" w:leftChars="0" w:firstLine="0" w:firstLineChars="0"/>
      </w:pPr>
    </w:p>
    <w:sectPr>
      <w:footerReference r:id="rId7" w:type="first"/>
      <w:footerReference r:id="rId6"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Lucida Sans">
    <w:panose1 w:val="020B0602030504020204"/>
    <w:charset w:val="01"/>
    <w:family w:val="auto"/>
    <w:pitch w:val="default"/>
    <w:sig w:usb0="00000003" w:usb1="00000000" w:usb2="00000000" w:usb3="00000000" w:csb0="2000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F5AFF">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1" name="文本框 11"/>
              <wp:cNvGraphicFramePr/>
              <a:graphic xmlns:a="http://schemas.openxmlformats.org/drawingml/2006/main">
                <a:graphicData uri="http://schemas.microsoft.com/office/word/2010/wordprocessingShape">
                  <wps:wsp>
                    <wps:cNvSpPr/>
                    <wps:spPr>
                      <a:xfrm>
                        <a:off x="0" y="0"/>
                        <a:ext cx="190423" cy="131559"/>
                      </a:xfrm>
                      <a:prstGeom prst="rect">
                        <a:avLst/>
                      </a:prstGeom>
                      <a:noFill/>
                      <a:ln w="6350" cap="flat" cmpd="sng">
                        <a:noFill/>
                        <a:prstDash val="solid"/>
                        <a:round/>
                      </a:ln>
                    </wps:spPr>
                    <wps:txbx>
                      <w:txbxContent>
                        <w:p w14:paraId="0164DFCB">
                          <w:pPr>
                            <w:pStyle w:val="1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cfhQLVAAAAAwEAAA8AAAAAAAAAAQAgAAAAIgAAAGRycy9k&#10;b3ducmV2LnhtbFBLAQIUABQAAAAIAIdO4kAa0X1qBQIAAPUDAAAOAAAAAAAAAAEAIAAAACQBAABk&#10;cnMvZTJvRG9jLnhtbFBLBQYAAAAABgAGAFkBAACbBQAAAAA=&#10;">
              <v:fill on="f" focussize="0,0"/>
              <v:stroke on="f" weight="0.5pt" joinstyle="round"/>
              <v:imagedata o:title=""/>
              <o:lock v:ext="edit" aspectratio="f"/>
              <v:textbox inset="0mm,0mm,0mm,0mm" style="mso-fit-shape-to-text:t;">
                <w:txbxContent>
                  <w:p w14:paraId="0164DFCB">
                    <w:pPr>
                      <w:pStyle w:val="11"/>
                    </w:pPr>
                    <w:r>
                      <w:fldChar w:fldCharType="begin"/>
                    </w:r>
                    <w:r>
                      <w:instrText xml:space="preserve"> PAGE  \* MERGEFORMAT </w:instrText>
                    </w:r>
                    <w:r>
                      <w:fldChar w:fldCharType="separate"/>
                    </w:r>
                    <w:r>
                      <w:t>- 1 -</w:t>
                    </w:r>
                    <w:r>
                      <w:fldChar w:fldCharType="end"/>
                    </w:r>
                  </w:p>
                </w:txbxContent>
              </v:textbox>
            </v:rect>
          </w:pict>
        </mc:Fallback>
      </mc:AlternateContent>
    </w:r>
  </w:p>
  <w:p w14:paraId="45BAD3B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2BBBE">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63500" cy="131445"/>
              <wp:effectExtent l="0" t="0" r="0" b="0"/>
              <wp:wrapNone/>
              <wp:docPr id="4" name="文本框 13"/>
              <wp:cNvGraphicFramePr/>
              <a:graphic xmlns:a="http://schemas.openxmlformats.org/drawingml/2006/main">
                <a:graphicData uri="http://schemas.microsoft.com/office/word/2010/wordprocessingShape">
                  <wps:wsp>
                    <wps:cNvSpPr/>
                    <wps:spPr>
                      <a:xfrm>
                        <a:off x="0" y="0"/>
                        <a:ext cx="63436" cy="131330"/>
                      </a:xfrm>
                      <a:prstGeom prst="rect">
                        <a:avLst/>
                      </a:prstGeom>
                      <a:noFill/>
                      <a:ln w="6350" cap="flat" cmpd="sng">
                        <a:noFill/>
                        <a:prstDash val="solid"/>
                        <a:round/>
                      </a:ln>
                    </wps:spPr>
                    <wps:txbx>
                      <w:txbxContent>
                        <w:p w14:paraId="025257C0">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3" o:spid="_x0000_s1026" o:spt="1" style="position:absolute;left:0pt;margin-top:0pt;height:10.35pt;width:5pt;mso-position-horizontal:center;mso-position-horizontal-relative:margin;mso-wrap-style:none;z-index:251659264;mso-width-relative:page;mso-height-relative:page;" filled="f" stroked="f" coordsize="21600,21600" o:gfxdata="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rYrE1QAAAAMBAAAPAAAAAAAAAAEAIAAAACIAAABkcnMvZG93&#10;bnJldi54bWxQSwECFAAUAAAACACHTuJAhvePawMCAAD0AwAADgAAAAAAAAABACAAAAAkAQAAZHJz&#10;L2Uyb0RvYy54bWxQSwUGAAAAAAYABgBZAQAAmQUAAAAA&#10;">
              <v:fill on="f" focussize="0,0"/>
              <v:stroke on="f" weight="0.5pt" joinstyle="round"/>
              <v:imagedata o:title=""/>
              <o:lock v:ext="edit" aspectratio="f"/>
              <v:textbox inset="0mm,0mm,0mm,0mm" style="mso-fit-shape-to-text:t;">
                <w:txbxContent>
                  <w:p w14:paraId="025257C0">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BE40F">
    <w:pPr>
      <w:pStyle w:val="11"/>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7" name="文本框 14"/>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58EBE874">
                          <w:pPr>
                            <w:pStyle w:val="11"/>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0UlydUAAAADAQAADwAAAAAAAAABACAAAAAiAAAAZHJzL2Rv&#10;d25yZXYueG1sUEsBAhQAFAAAAAgAh07iQBTJCdgEAgAA9QMAAA4AAAAAAAAAAQAgAAAAJAEAAGRy&#10;cy9lMm9Eb2MueG1sUEsFBgAAAAAGAAYAWQEAAJoFAAAAAA==&#10;">
              <v:fill on="f" focussize="0,0"/>
              <v:stroke on="f" weight="0.5pt" joinstyle="round"/>
              <v:imagedata o:title=""/>
              <o:lock v:ext="edit" aspectratio="f"/>
              <v:textbox inset="0mm,0mm,0mm,0mm" style="mso-fit-shape-to-text:t;">
                <w:txbxContent>
                  <w:p w14:paraId="58EBE874">
                    <w:pPr>
                      <w:pStyle w:val="11"/>
                    </w:pPr>
                    <w:r>
                      <w:fldChar w:fldCharType="begin"/>
                    </w:r>
                    <w:r>
                      <w:instrText xml:space="preserve"> PAGE  \* MERGEFORMAT </w:instrText>
                    </w:r>
                    <w:r>
                      <w:fldChar w:fldCharType="separate"/>
                    </w:r>
                    <w:r>
                      <w:t>2</w:t>
                    </w:r>
                    <w:r>
                      <w:fldChar w:fldCharType="end"/>
                    </w:r>
                  </w:p>
                </w:txbxContent>
              </v:textbox>
            </v:rect>
          </w:pict>
        </mc:Fallback>
      </mc:AlternateContent>
    </w:r>
  </w:p>
  <w:p w14:paraId="1A4CD730">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BCC59">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63500" cy="131445"/>
              <wp:effectExtent l="0" t="0" r="0" b="0"/>
              <wp:wrapNone/>
              <wp:docPr id="10" name="文本框 15"/>
              <wp:cNvGraphicFramePr/>
              <a:graphic xmlns:a="http://schemas.openxmlformats.org/drawingml/2006/main">
                <a:graphicData uri="http://schemas.microsoft.com/office/word/2010/wordprocessingShape">
                  <wps:wsp>
                    <wps:cNvSpPr/>
                    <wps:spPr>
                      <a:xfrm>
                        <a:off x="0" y="0"/>
                        <a:ext cx="63436" cy="131330"/>
                      </a:xfrm>
                      <a:prstGeom prst="rect">
                        <a:avLst/>
                      </a:prstGeom>
                      <a:noFill/>
                      <a:ln w="6350" cap="flat" cmpd="sng">
                        <a:noFill/>
                        <a:prstDash val="solid"/>
                        <a:round/>
                      </a:ln>
                    </wps:spPr>
                    <wps:txbx>
                      <w:txbxContent>
                        <w:p w14:paraId="450E560C">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5" o:spid="_x0000_s1026" o:spt="1" style="position:absolute;left:0pt;margin-top:0pt;height:10.35pt;width:5pt;mso-position-horizontal:center;mso-position-horizontal-relative:margin;mso-wrap-style:none;z-index:251659264;mso-width-relative:page;mso-height-relative:page;" filled="f" stroked="f" coordsize="21600,21600" o:gfxdata="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rYrE1QAAAAMBAAAPAAAAAAAAAAEAIAAAACIAAABkcnMvZG93&#10;bnJldi54bWxQSwECFAAUAAAACACHTuJAY0tvUwMCAAD1AwAADgAAAAAAAAABACAAAAAkAQAAZHJz&#10;L2Uyb0RvYy54bWxQSwUGAAAAAAYABgBZAQAAmQUAAAAA&#10;">
              <v:fill on="f" focussize="0,0"/>
              <v:stroke on="f" weight="0.5pt" joinstyle="round"/>
              <v:imagedata o:title=""/>
              <o:lock v:ext="edit" aspectratio="f"/>
              <v:textbox inset="0mm,0mm,0mm,0mm" style="mso-fit-shape-to-text:t;">
                <w:txbxContent>
                  <w:p w14:paraId="450E560C">
                    <w:pPr>
                      <w:pStyle w:val="11"/>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3604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BD8DA"/>
    <w:multiLevelType w:val="singleLevel"/>
    <w:tmpl w:val="A2CBD8DA"/>
    <w:lvl w:ilvl="0" w:tentative="0">
      <w:start w:val="1"/>
      <w:numFmt w:val="decimal"/>
      <w:lvlText w:val="%1."/>
      <w:lvlJc w:val="left"/>
      <w:pPr>
        <w:ind w:left="0" w:firstLine="0"/>
      </w:pPr>
    </w:lvl>
  </w:abstractNum>
  <w:abstractNum w:abstractNumId="1">
    <w:nsid w:val="D0D080A9"/>
    <w:multiLevelType w:val="singleLevel"/>
    <w:tmpl w:val="D0D080A9"/>
    <w:lvl w:ilvl="0" w:tentative="0">
      <w:start w:val="2"/>
      <w:numFmt w:val="chineseCounting"/>
      <w:suff w:val="nothing"/>
      <w:lvlText w:val="（%1）"/>
      <w:lvlJc w:val="left"/>
      <w:pPr>
        <w:ind w:left="0" w:firstLine="0"/>
      </w:pPr>
      <w:rPr>
        <w:rFonts w:hint="eastAsia"/>
      </w:rPr>
    </w:lvl>
  </w:abstractNum>
  <w:abstractNum w:abstractNumId="2">
    <w:nsid w:val="D17AE0D8"/>
    <w:multiLevelType w:val="singleLevel"/>
    <w:tmpl w:val="D17AE0D8"/>
    <w:lvl w:ilvl="0" w:tentative="0">
      <w:start w:val="2"/>
      <w:numFmt w:val="chineseCounting"/>
      <w:suff w:val="nothing"/>
      <w:lvlText w:val="（%1）"/>
      <w:lvlJc w:val="left"/>
      <w:pPr>
        <w:ind w:left="0" w:firstLine="0"/>
      </w:pPr>
      <w:rPr>
        <w:rFonts w:hint="eastAsia"/>
      </w:rPr>
    </w:lvl>
  </w:abstractNum>
  <w:abstractNum w:abstractNumId="3">
    <w:nsid w:val="E629AF89"/>
    <w:multiLevelType w:val="singleLevel"/>
    <w:tmpl w:val="E629AF89"/>
    <w:lvl w:ilvl="0" w:tentative="0">
      <w:start w:val="9"/>
      <w:numFmt w:val="chineseCounting"/>
      <w:suff w:val="nothing"/>
      <w:lvlText w:val="%1、"/>
      <w:lvlJc w:val="left"/>
      <w:pPr>
        <w:ind w:left="0" w:firstLine="0"/>
      </w:pPr>
      <w:rPr>
        <w:rFonts w:hint="eastAsia"/>
      </w:rPr>
    </w:lvl>
  </w:abstractNum>
  <w:abstractNum w:abstractNumId="4">
    <w:nsid w:val="02C5CC55"/>
    <w:multiLevelType w:val="singleLevel"/>
    <w:tmpl w:val="02C5CC55"/>
    <w:lvl w:ilvl="0" w:tentative="0">
      <w:start w:val="2"/>
      <w:numFmt w:val="chineseCounting"/>
      <w:suff w:val="nothing"/>
      <w:lvlText w:val="（%1）"/>
      <w:lvlJc w:val="left"/>
      <w:pPr>
        <w:ind w:left="0" w:firstLine="0"/>
      </w:pPr>
      <w:rPr>
        <w:rFonts w:hint="eastAsia"/>
      </w:rPr>
    </w:lvl>
  </w:abstractNum>
  <w:abstractNum w:abstractNumId="5">
    <w:nsid w:val="211675B1"/>
    <w:multiLevelType w:val="singleLevel"/>
    <w:tmpl w:val="211675B1"/>
    <w:lvl w:ilvl="0" w:tentative="0">
      <w:start w:val="1"/>
      <w:numFmt w:val="chineseCounting"/>
      <w:suff w:val="nothing"/>
      <w:lvlText w:val="%1、"/>
      <w:lvlJc w:val="left"/>
      <w:pPr>
        <w:ind w:left="0" w:firstLine="0"/>
      </w:pPr>
      <w:rPr>
        <w:rFonts w:hint="eastAsia"/>
      </w:rPr>
    </w:lvl>
  </w:abstractNum>
  <w:abstractNum w:abstractNumId="6">
    <w:nsid w:val="3DBAB7E6"/>
    <w:multiLevelType w:val="singleLevel"/>
    <w:tmpl w:val="3DBAB7E6"/>
    <w:lvl w:ilvl="0" w:tentative="0">
      <w:start w:val="2"/>
      <w:numFmt w:val="decimal"/>
      <w:lvlText w:val="%1."/>
      <w:lvlJc w:val="left"/>
      <w:pPr>
        <w:ind w:left="-223" w:firstLine="223"/>
      </w:pPr>
    </w:lvl>
  </w:abstractNum>
  <w:abstractNum w:abstractNumId="7">
    <w:nsid w:val="5794767A"/>
    <w:multiLevelType w:val="singleLevel"/>
    <w:tmpl w:val="5794767A"/>
    <w:lvl w:ilvl="0" w:tentative="0">
      <w:start w:val="2"/>
      <w:numFmt w:val="chineseCounting"/>
      <w:suff w:val="nothing"/>
      <w:lvlText w:val="（%1）"/>
      <w:lvlJc w:val="left"/>
      <w:pPr>
        <w:ind w:left="0" w:firstLine="0"/>
      </w:pPr>
      <w:rPr>
        <w:rFonts w:hint="eastAsia"/>
      </w:rPr>
    </w:lvl>
  </w:abstractNum>
  <w:abstractNum w:abstractNumId="8">
    <w:nsid w:val="5C6F1ABC"/>
    <w:multiLevelType w:val="singleLevel"/>
    <w:tmpl w:val="5C6F1ABC"/>
    <w:lvl w:ilvl="0" w:tentative="0">
      <w:start w:val="1"/>
      <w:numFmt w:val="decimal"/>
      <w:lvlText w:val="%1."/>
      <w:lvlJc w:val="left"/>
      <w:pPr>
        <w:ind w:left="0" w:firstLine="0"/>
      </w:pPr>
    </w:lvl>
  </w:abstractNum>
  <w:abstractNum w:abstractNumId="9">
    <w:nsid w:val="641D6E03"/>
    <w:multiLevelType w:val="singleLevel"/>
    <w:tmpl w:val="641D6E03"/>
    <w:lvl w:ilvl="0" w:tentative="0">
      <w:start w:val="3"/>
      <w:numFmt w:val="chineseCounting"/>
      <w:suff w:val="space"/>
      <w:lvlText w:val="第%1部分"/>
      <w:lvlJc w:val="left"/>
      <w:pPr>
        <w:ind w:left="0" w:firstLine="0"/>
      </w:pPr>
      <w:rPr>
        <w:rFonts w:hint="eastAsia"/>
      </w:rPr>
    </w:lvl>
  </w:abstractNum>
  <w:abstractNum w:abstractNumId="10">
    <w:nsid w:val="65F45EC6"/>
    <w:multiLevelType w:val="singleLevel"/>
    <w:tmpl w:val="65F45EC6"/>
    <w:lvl w:ilvl="0" w:tentative="0">
      <w:start w:val="2"/>
      <w:numFmt w:val="chineseCounting"/>
      <w:suff w:val="nothing"/>
      <w:lvlText w:val="（%1）"/>
      <w:lvlJc w:val="left"/>
      <w:pPr>
        <w:ind w:left="-2" w:firstLine="2"/>
      </w:pPr>
      <w:rPr>
        <w:rFonts w:hint="eastAsia"/>
      </w:rPr>
    </w:lvl>
  </w:abstractNum>
  <w:num w:numId="1">
    <w:abstractNumId w:val="5"/>
  </w:num>
  <w:num w:numId="2">
    <w:abstractNumId w:val="0"/>
  </w:num>
  <w:num w:numId="3">
    <w:abstractNumId w:val="3"/>
  </w:num>
  <w:num w:numId="4">
    <w:abstractNumId w:val="9"/>
  </w:num>
  <w:num w:numId="5">
    <w:abstractNumId w:val="2"/>
  </w:num>
  <w:num w:numId="6">
    <w:abstractNumId w:val="1"/>
  </w:num>
  <w:num w:numId="7">
    <w:abstractNumId w:val="6"/>
  </w:num>
  <w:num w:numId="8">
    <w:abstractNumId w:val="8"/>
  </w:num>
  <w:num w:numId="9">
    <w:abstractNumId w:val="4"/>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15AA7DA1"/>
    <w:rsid w:val="25865660"/>
    <w:rsid w:val="3F897DD2"/>
    <w:rsid w:val="5D25372B"/>
    <w:rsid w:val="5E4A533B"/>
    <w:rsid w:val="64CF321D"/>
    <w:rsid w:val="78565E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4"/>
    <w:qFormat/>
    <w:uiPriority w:val="0"/>
    <w:pPr>
      <w:keepNext/>
      <w:keepLines/>
      <w:widowControl w:val="0"/>
      <w:spacing w:before="340" w:after="330" w:line="578" w:lineRule="auto"/>
      <w:outlineLvl w:val="0"/>
    </w:pPr>
    <w:rPr>
      <w:b/>
      <w:bCs/>
      <w:kern w:val="44"/>
      <w:sz w:val="44"/>
      <w:szCs w:val="44"/>
    </w:rPr>
  </w:style>
  <w:style w:type="paragraph" w:styleId="5">
    <w:name w:val="heading 2"/>
    <w:basedOn w:val="1"/>
    <w:next w:val="1"/>
    <w:link w:val="25"/>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6">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3">
    <w:name w:val="index 5"/>
    <w:basedOn w:val="1"/>
    <w:next w:val="1"/>
    <w:qFormat/>
    <w:uiPriority w:val="0"/>
    <w:pPr>
      <w:ind w:firstLine="200" w:firstLineChars="200"/>
    </w:pPr>
    <w:rPr>
      <w:rFonts w:ascii="仿宋" w:eastAsia="仿宋"/>
      <w:szCs w:val="32"/>
    </w:r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Body Text Indent"/>
    <w:basedOn w:val="1"/>
    <w:qFormat/>
    <w:uiPriority w:val="0"/>
    <w:pPr>
      <w:spacing w:after="120"/>
      <w:ind w:left="200" w:leftChars="200"/>
    </w:pPr>
    <w:rPr>
      <w:rFonts w:ascii="仿宋_GB2312" w:hAnsi="仿宋_GB2312"/>
      <w:szCs w:val="32"/>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footnote text"/>
    <w:basedOn w:val="1"/>
    <w:next w:val="15"/>
    <w:qFormat/>
    <w:uiPriority w:val="0"/>
    <w:pPr>
      <w:snapToGrid w:val="0"/>
      <w:jc w:val="left"/>
    </w:pPr>
    <w:rPr>
      <w:sz w:val="18"/>
      <w:szCs w:val="18"/>
    </w:rPr>
  </w:style>
  <w:style w:type="paragraph" w:styleId="15">
    <w:name w:val="Body Text First Indent 2"/>
    <w:basedOn w:val="8"/>
    <w:qFormat/>
    <w:uiPriority w:val="0"/>
    <w:pPr>
      <w:ind w:firstLine="200" w:firstLineChars="200"/>
    </w:pPr>
  </w:style>
  <w:style w:type="paragraph" w:styleId="16">
    <w:name w:val="toc 2"/>
    <w:basedOn w:val="1"/>
    <w:next w:val="1"/>
    <w:qFormat/>
    <w:uiPriority w:val="0"/>
    <w:pPr>
      <w:tabs>
        <w:tab w:val="right" w:leader="dot" w:pos="8296"/>
      </w:tabs>
      <w:ind w:left="200" w:leftChars="200"/>
    </w:p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8">
    <w:name w:val="Normal (Web)"/>
    <w:basedOn w:val="1"/>
    <w:qFormat/>
    <w:uiPriority w:val="0"/>
    <w:pPr>
      <w:spacing w:before="100" w:beforeAutospacing="1" w:after="100" w:afterAutospacing="1"/>
    </w:pPr>
    <w:rPr>
      <w:rFonts w:ascii="Times New Roman" w:hAnsi="Times New Roman" w:eastAsia="宋体" w:cs="Times New Roman"/>
    </w:rPr>
  </w:style>
  <w:style w:type="paragraph" w:styleId="19">
    <w:name w:val="Body Text First Indent"/>
    <w:basedOn w:val="7"/>
    <w:qFormat/>
    <w:uiPriority w:val="0"/>
    <w:pPr>
      <w:ind w:firstLine="100" w:firstLineChars="100"/>
    </w:p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customStyle="1" w:styleId="24">
    <w:name w:val="heading 1 Char"/>
    <w:basedOn w:val="21"/>
    <w:link w:val="4"/>
    <w:qFormat/>
    <w:uiPriority w:val="0"/>
    <w:rPr>
      <w:rFonts w:ascii="Times New Roman" w:hAnsi="Times New Roman" w:eastAsia="宋体" w:cs="Times New Roman"/>
      <w:b/>
      <w:bCs/>
      <w:kern w:val="44"/>
      <w:sz w:val="44"/>
      <w:szCs w:val="44"/>
      <w:lang w:val="en-US" w:eastAsia="zh-CN" w:bidi="ar-SA"/>
    </w:rPr>
  </w:style>
  <w:style w:type="character" w:customStyle="1" w:styleId="25">
    <w:name w:val="heading 2 Char"/>
    <w:basedOn w:val="21"/>
    <w:link w:val="5"/>
    <w:qFormat/>
    <w:uiPriority w:val="0"/>
    <w:rPr>
      <w:rFonts w:ascii="Cambria" w:hAnsi="Cambria" w:eastAsia="宋体" w:cs="Times New Roman"/>
      <w:b/>
      <w:bCs/>
      <w:kern w:val="2"/>
      <w:sz w:val="32"/>
      <w:szCs w:val="32"/>
      <w:lang w:val="en-US" w:eastAsia="zh-CN" w:bidi="ar-SA"/>
    </w:rPr>
  </w:style>
  <w:style w:type="paragraph" w:customStyle="1" w:styleId="26">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7">
    <w:name w:val="Header Char"/>
    <w:basedOn w:val="21"/>
    <w:qFormat/>
    <w:uiPriority w:val="0"/>
    <w:rPr>
      <w:rFonts w:ascii="Times New Roman" w:hAnsi="Times New Roman"/>
      <w:sz w:val="18"/>
      <w:szCs w:val="18"/>
    </w:rPr>
  </w:style>
  <w:style w:type="character" w:customStyle="1" w:styleId="28">
    <w:name w:val="Footer Char"/>
    <w:basedOn w:val="21"/>
    <w:qFormat/>
    <w:uiPriority w:val="0"/>
    <w:rPr>
      <w:rFonts w:ascii="Times New Roman" w:hAnsi="Times New Roman"/>
      <w:sz w:val="18"/>
      <w:szCs w:val="18"/>
    </w:rPr>
  </w:style>
  <w:style w:type="character" w:customStyle="1" w:styleId="29">
    <w:name w:val="Body Text Char"/>
    <w:basedOn w:val="21"/>
    <w:qFormat/>
    <w:uiPriority w:val="0"/>
    <w:rPr>
      <w:rFonts w:ascii="Times New Roman" w:hAnsi="Times New Roman"/>
      <w:szCs w:val="24"/>
    </w:rPr>
  </w:style>
  <w:style w:type="paragraph" w:styleId="30">
    <w:name w:val="List Paragraph"/>
    <w:basedOn w:val="1"/>
    <w:qFormat/>
    <w:uiPriority w:val="0"/>
    <w:pPr>
      <w:ind w:firstLine="200" w:firstLineChars="200"/>
    </w:pPr>
  </w:style>
  <w:style w:type="paragraph" w:customStyle="1" w:styleId="31">
    <w:name w:val="TOC 标题1"/>
    <w:basedOn w:val="4"/>
    <w:next w:val="1"/>
    <w:qFormat/>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32">
    <w:name w:val="TOC 标题2"/>
    <w:basedOn w:val="4"/>
    <w:next w:val="1"/>
    <w:qFormat/>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33">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0" i="0" u="none" strike="noStrike" baseline="0">
                <a:solidFill>
                  <a:srgbClr val="595959"/>
                </a:solidFill>
                <a:latin typeface="Times New Roman" panose="02020603050405020304"/>
                <a:ea typeface="宋体" panose="02010600030101010101" charset="-122"/>
                <a:cs typeface="Lucida Sans" panose="020B0602030504020204"/>
              </a:rPr>
              <a:t>2024、2025年收、支决算总计变动情况</a:t>
            </a:r>
            <a:endParaRPr lang="zh-CN" sz="1400" b="0" i="0" u="none" strike="noStrike" baseline="0">
              <a:solidFill>
                <a:srgbClr val="595959"/>
              </a:solidFill>
              <a:latin typeface="Times New Roman" panose="02020603050405020304"/>
              <a:ea typeface="宋体" panose="02010600030101010101" charset="-122"/>
              <a:cs typeface="Lucida Sans" panose="020B0602030504020204"/>
            </a:endParaRPr>
          </a:p>
        </c:rich>
      </c:tx>
      <c:layout/>
      <c:overlay val="0"/>
      <c:spPr>
        <a:noFill/>
        <a:ln>
          <a:noFill/>
        </a:ln>
      </c:spPr>
    </c:title>
    <c:autoTitleDeleted val="0"/>
    <c:plotArea>
      <c:layout>
        <c:manualLayout>
          <c:layoutTarget val="inner"/>
          <c:xMode val="edge"/>
          <c:yMode val="edge"/>
          <c:x val="0.07445"/>
          <c:y val="0.0875"/>
          <c:w val="0.9218"/>
          <c:h val="0.78506666"/>
        </c:manualLayout>
      </c:layout>
      <c:barChart>
        <c:barDir val="col"/>
        <c:grouping val="clustered"/>
        <c:varyColors val="0"/>
        <c:ser>
          <c:idx val="0"/>
          <c:order val="0"/>
          <c:tx>
            <c:strRef>
              <c:f>'Sheet1'!$B$1</c:f>
              <c:strCache>
                <c:ptCount val="1"/>
                <c:pt idx="0">
                  <c:v>收入(万元）</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c:v>
                </c:pt>
                <c:pt idx="1">
                  <c:v>2025年</c:v>
                </c:pt>
              </c:strCache>
            </c:strRef>
          </c:cat>
          <c:val>
            <c:numRef>
              <c:f>'Sheet1'!$B$2:$B$3</c:f>
              <c:numCache>
                <c:formatCode>General</c:formatCode>
                <c:ptCount val="2"/>
                <c:pt idx="0">
                  <c:v>460.15</c:v>
                </c:pt>
                <c:pt idx="1">
                  <c:v>531.5</c:v>
                </c:pt>
              </c:numCache>
            </c:numRef>
          </c:val>
        </c:ser>
        <c:ser>
          <c:idx val="1"/>
          <c:order val="1"/>
          <c:tx>
            <c:strRef>
              <c:f>'Sheet1'!$C$1</c:f>
              <c:strCache>
                <c:ptCount val="1"/>
                <c:pt idx="0">
                  <c:v>支出（万元）</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trendline>
            <c:spPr>
              <a:ln w="19050" cap="rnd" cmpd="sng" algn="ctr">
                <a:solidFill>
                  <a:srgbClr val="C0504D"/>
                </a:solidFill>
                <a:prstDash val="sysDash"/>
                <a:round/>
              </a:ln>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460.15</c:v>
                </c:pt>
                <c:pt idx="1">
                  <c:v>531.5</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manualLayout>
          <c:xMode val="edge"/>
          <c:yMode val="edge"/>
          <c:x val="0.244125"/>
          <c:y val="0.9116667"/>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e079039-01e5-4385-b68d-d21b165da9e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0" i="0" u="none" strike="noStrike" baseline="0">
                <a:solidFill>
                  <a:srgbClr val="595959"/>
                </a:solidFill>
                <a:latin typeface="Times New Roman" panose="02020603050405020304"/>
                <a:ea typeface="宋体" panose="02010600030101010101" charset="-122"/>
                <a:cs typeface="Lucida Sans" panose="020B0602030504020204"/>
              </a:rPr>
              <a:t>2025年收入决算情况</a:t>
            </a:r>
            <a:endParaRPr lang="zh-CN" sz="1400" b="0" i="0" u="none" strike="noStrike" baseline="0">
              <a:solidFill>
                <a:srgbClr val="595959"/>
              </a:solidFill>
              <a:latin typeface="Times New Roman" panose="02020603050405020304"/>
              <a:ea typeface="宋体" panose="02010600030101010101" charset="-122"/>
              <a:cs typeface="Lucida Sans" panose="020B0602030504020204"/>
            </a:endParaRPr>
          </a:p>
        </c:rich>
      </c:tx>
      <c:layout/>
      <c:overlay val="0"/>
      <c:spPr>
        <a:noFill/>
        <a:ln>
          <a:noFill/>
        </a:ln>
      </c:spPr>
    </c:title>
    <c:autoTitleDeleted val="0"/>
    <c:plotArea>
      <c:layout/>
      <c:pieChart>
        <c:varyColors val="1"/>
        <c:ser>
          <c:idx val="0"/>
          <c:order val="0"/>
          <c:tx>
            <c:strRef>
              <c:f>'Sheet1 (2)'!$B$1</c:f>
              <c:strCache>
                <c:ptCount val="1"/>
                <c:pt idx="0">
                  <c:v>2025年收入情况</c:v>
                </c:pt>
              </c:strCache>
            </c:strRef>
          </c:tx>
          <c:spPr>
            <a:solidFill>
              <a:srgbClr val="4F81BD"/>
            </a:solidFill>
            <a:ln>
              <a:noFill/>
            </a:ln>
          </c:spPr>
          <c:explosion val="0"/>
          <c:dPt>
            <c:idx val="0"/>
            <c:bubble3D val="0"/>
            <c:spPr>
              <a:solidFill>
                <a:srgbClr val="4F81BD"/>
              </a:solidFill>
              <a:ln w="1905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sz="900" b="0" i="0" u="none" strike="noStrike" baseline="0">
                        <a:solidFill>
                          <a:srgbClr val="404040"/>
                        </a:solidFill>
                        <a:latin typeface="Times New Roman" panose="02020603050405020304"/>
                        <a:ea typeface="宋体" panose="02010600030101010101" charset="-122"/>
                        <a:cs typeface="Lucida Sans" panose="020B0602030504020204"/>
                      </a:rPr>
                      <a:t>531.5万元  100%</a:t>
                    </a:r>
                    <a:endParaRPr lang="zh-CN" sz="900" b="0" i="0" u="none" strike="noStrike" baseline="0">
                      <a:solidFill>
                        <a:srgbClr val="404040"/>
                      </a:solidFill>
                      <a:latin typeface="Times New Roman" panose="02020603050405020304"/>
                      <a:ea typeface="宋体" panose="02010600030101010101" charset="-122"/>
                      <a:cs typeface="Lucida Sans" panose="020B0602030504020204"/>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(2)'!$A$2</c:f>
              <c:strCache>
                <c:ptCount val="1"/>
                <c:pt idx="0">
                  <c:v>一般公共预算财政拨款收入</c:v>
                </c:pt>
              </c:strCache>
            </c:strRef>
          </c:cat>
          <c:val>
            <c:numRef>
              <c:f>Sheet1 (2)!$B$2</c:f>
              <c:numCache>
                <c:formatCode>General</c:formatCode>
                <c:ptCount val="1"/>
                <c:pt idx="0">
                  <c:v>531.5</c:v>
                </c:pt>
              </c:numCache>
            </c:numRef>
          </c:val>
        </c:ser>
        <c:dLbls>
          <c:showLegendKey val="0"/>
          <c:showVal val="1"/>
          <c:showCatName val="0"/>
          <c:showSerName val="0"/>
          <c:showPercent val="1"/>
          <c:showBubbleSize val="0"/>
          <c:showLeaderLines val="1"/>
        </c:dLbls>
        <c:firstSliceAng val="0"/>
      </c:pieChart>
      <c:spPr>
        <a:noFill/>
        <a:ln>
          <a:noFill/>
        </a:ln>
      </c:spPr>
    </c:plotArea>
    <c:legend>
      <c:legendPos val="b"/>
      <c:layout>
        <c:manualLayout>
          <c:xMode val="edge"/>
          <c:yMode val="edge"/>
          <c:x val="0.321375"/>
          <c:y val="0.87916666"/>
          <c:w val="0.4125"/>
          <c:h val="0.1058333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b6be5056-869f-451c-9c3a-717f8adf3e05}"/>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zh-CN" sz="1400" b="0" i="0" u="none" strike="noStrike" baseline="0">
                <a:solidFill>
                  <a:srgbClr val="595959"/>
                </a:solidFill>
                <a:latin typeface="Times New Roman" panose="02020603050405020304"/>
                <a:ea typeface="宋体" panose="02010600030101010101" charset="-122"/>
                <a:cs typeface="Lucida Sans" panose="020B0602030504020204"/>
              </a:rPr>
              <a:t>2025年支出决算情况</a:t>
            </a:r>
            <a:endParaRPr lang="zh-CN" sz="1400" b="0" i="0" u="none" strike="noStrike" baseline="0">
              <a:solidFill>
                <a:srgbClr val="595959"/>
              </a:solidFill>
              <a:latin typeface="Times New Roman" panose="02020603050405020304"/>
              <a:ea typeface="宋体" panose="02010600030101010101" charset="-122"/>
              <a:cs typeface="Lucida Sans" panose="020B0602030504020204"/>
            </a:endParaRPr>
          </a:p>
        </c:rich>
      </c:tx>
      <c:layout/>
      <c:overlay val="0"/>
      <c:spPr>
        <a:noFill/>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7295"/>
          <c:y val="0.10048965"/>
          <c:w val="0.8316"/>
          <c:h val="0.6690933"/>
        </c:manualLayout>
      </c:layout>
      <c:pie3DChart>
        <c:varyColors val="1"/>
        <c:ser>
          <c:idx val="0"/>
          <c:order val="0"/>
          <c:tx>
            <c:strRef>
              <c:f>'Sheet1 (3)'!$B$1</c:f>
              <c:strCache>
                <c:ptCount val="1"/>
                <c:pt idx="0">
                  <c:v>2025年支出决算情况</c:v>
                </c:pt>
              </c:strCache>
            </c:strRef>
          </c:tx>
          <c:spPr>
            <a:solidFill>
              <a:srgbClr val="4F81BD"/>
            </a:solidFill>
          </c:spPr>
          <c:explosion val="0"/>
          <c:dPt>
            <c:idx val="0"/>
            <c:bubble3D val="0"/>
            <c:spPr>
              <a:solidFill>
                <a:srgbClr val="4F81BD"/>
              </a:solidFill>
              <a:ln w="25400">
                <a:solidFill>
                  <a:srgbClr val="FFFFFF"/>
                </a:solidFill>
                <a:prstDash val="solid"/>
              </a:ln>
            </c:spPr>
          </c:dPt>
          <c:dPt>
            <c:idx val="1"/>
            <c:bubble3D val="0"/>
            <c:spPr>
              <a:solidFill>
                <a:srgbClr val="C0504D"/>
              </a:solidFill>
              <a:ln w="2540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sz="900" b="0" i="0" u="none" strike="noStrike" baseline="0">
                        <a:solidFill>
                          <a:srgbClr val="404040"/>
                        </a:solidFill>
                        <a:latin typeface="Times New Roman" panose="02020603050405020304"/>
                        <a:ea typeface="宋体" panose="02010600030101010101" charset="-122"/>
                        <a:cs typeface="Lucida Sans" panose="020B0602030504020204"/>
                      </a:rPr>
                      <a:t>53.4%</a:t>
                    </a:r>
                    <a:endParaRPr lang="zh-CN" sz="900" b="0" i="0" u="none" strike="noStrike" baseline="0">
                      <a:solidFill>
                        <a:srgbClr val="404040"/>
                      </a:solidFill>
                      <a:latin typeface="Times New Roman" panose="02020603050405020304"/>
                      <a:ea typeface="宋体" panose="02010600030101010101" charset="-122"/>
                      <a:cs typeface="Lucida Sans" panose="020B0602030504020204"/>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sz="900" b="0" i="0" u="none" strike="noStrike" baseline="0">
                        <a:solidFill>
                          <a:srgbClr val="404040"/>
                        </a:solidFill>
                        <a:latin typeface="Times New Roman" panose="02020603050405020304"/>
                        <a:ea typeface="宋体" panose="02010600030101010101" charset="-122"/>
                        <a:cs typeface="Lucida Sans" panose="020B0602030504020204"/>
                      </a:rPr>
                      <a:t>46.6%</a:t>
                    </a:r>
                    <a:endParaRPr lang="zh-CN" sz="900" b="0" i="0" u="none" strike="noStrike" baseline="0">
                      <a:solidFill>
                        <a:srgbClr val="404040"/>
                      </a:solidFill>
                      <a:latin typeface="Times New Roman" panose="02020603050405020304"/>
                      <a:ea typeface="宋体" panose="02010600030101010101" charset="-122"/>
                      <a:cs typeface="Lucida Sans" panose="020B0602030504020204"/>
                    </a:endParaRPr>
                  </a:p>
                </c:rich>
              </c:tx>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General</c:formatCode>
                <c:ptCount val="2"/>
                <c:pt idx="0">
                  <c:v>284.01</c:v>
                </c:pt>
                <c:pt idx="1">
                  <c:v>247.5</c:v>
                </c:pt>
              </c:numCache>
            </c:numRef>
          </c:val>
        </c:ser>
        <c:dLbls>
          <c:showLegendKey val="0"/>
          <c:showVal val="0"/>
          <c:showCatName val="0"/>
          <c:showSerName val="0"/>
          <c:showPercent val="1"/>
          <c:showBubbleSize val="0"/>
        </c:dLbls>
      </c:pie3DChart>
      <c:spPr>
        <a:noFill/>
        <a:ln>
          <a:noFill/>
        </a:ln>
      </c:spPr>
    </c:plotArea>
    <c:legend>
      <c:legendPos val="b"/>
      <c:layout>
        <c:manualLayout>
          <c:xMode val="edge"/>
          <c:yMode val="edge"/>
          <c:x val="0.3270988"/>
          <c:y val="0.81938493"/>
          <c:w val="0.378875"/>
          <c:h val="0.1484502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eb93da8e-1d15-484e-b2cc-b72937e6c15b}"/>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财政拨款收、支决算情况</a:t>
            </a:r>
            <a:endParaRPr lang="zh-CN"/>
          </a:p>
        </c:rich>
      </c:tx>
      <c:layout/>
      <c:overlay val="0"/>
      <c:spPr>
        <a:noFill/>
        <a:ln>
          <a:noFill/>
        </a:ln>
      </c:spPr>
    </c:title>
    <c:autoTitleDeleted val="0"/>
    <c:plotArea>
      <c:layout>
        <c:manualLayout>
          <c:layoutTarget val="inner"/>
          <c:xMode val="edge"/>
          <c:yMode val="edge"/>
          <c:x val="0.065075"/>
          <c:y val="0.13283333"/>
          <c:w val="0.907425"/>
          <c:h val="0.7084"/>
        </c:manualLayout>
      </c:layout>
      <c:barChart>
        <c:barDir val="col"/>
        <c:grouping val="clustered"/>
        <c:varyColors val="0"/>
        <c:ser>
          <c:idx val="0"/>
          <c:order val="0"/>
          <c:tx>
            <c:strRef>
              <c:f>'Sheet1 (4)'!$B$1</c:f>
              <c:strCache>
                <c:ptCount val="1"/>
                <c:pt idx="0">
                  <c:v>收入(万元）</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2024年财政拨款收支情况</c:v>
                </c:pt>
                <c:pt idx="1">
                  <c:v>2025年财政拨款收支情况</c:v>
                </c:pt>
              </c:strCache>
            </c:strRef>
          </c:cat>
          <c:val>
            <c:numRef>
              <c:f>'Sheet1 (4)'!$B$2:$B$3</c:f>
              <c:numCache>
                <c:formatCode>General</c:formatCode>
                <c:ptCount val="2"/>
                <c:pt idx="0">
                  <c:v>460.15</c:v>
                </c:pt>
                <c:pt idx="1">
                  <c:v>531.5</c:v>
                </c:pt>
              </c:numCache>
            </c:numRef>
          </c:val>
        </c:ser>
        <c:ser>
          <c:idx val="1"/>
          <c:order val="1"/>
          <c:tx>
            <c:strRef>
              <c:f>'Sheet1 (4)'!$C$1</c:f>
              <c:strCache>
                <c:ptCount val="1"/>
                <c:pt idx="0">
                  <c:v>支出（万元）</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2024年财政拨款收支情况</c:v>
                </c:pt>
                <c:pt idx="1">
                  <c:v>2025年财政拨款收支情况</c:v>
                </c:pt>
              </c:strCache>
            </c:strRef>
          </c:cat>
          <c:val>
            <c:numRef>
              <c:f>'Sheet1 (4)'!$C$2:$C$3</c:f>
              <c:numCache>
                <c:formatCode>General</c:formatCode>
                <c:ptCount val="2"/>
                <c:pt idx="0">
                  <c:v>460.15</c:v>
                </c:pt>
                <c:pt idx="1">
                  <c:v>531.5</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3eb0d66b-e168-4cb1-8c75-9c3622218dc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Times New Roman" panose="02020603050405020304"/>
                <a:ea typeface="宋体" panose="02010600030101010101" charset="-122"/>
                <a:cs typeface="Lucida Sans" panose="020B0602030504020204"/>
              </a:defRPr>
            </a:pPr>
            <a:r>
              <a:rPr lang="zh-CN"/>
              <a:t>一般公共预算财政拨款支出决算情况</a:t>
            </a:r>
            <a:endParaRPr lang="zh-CN"/>
          </a:p>
        </c:rich>
      </c:tx>
      <c:layout/>
      <c:overlay val="0"/>
      <c:spPr>
        <a:noFill/>
        <a:ln>
          <a:noFill/>
        </a:ln>
      </c:spPr>
    </c:title>
    <c:autoTitleDeleted val="0"/>
    <c:plotArea>
      <c:layout>
        <c:manualLayout>
          <c:layoutTarget val="inner"/>
          <c:xMode val="edge"/>
          <c:yMode val="edge"/>
          <c:x val="0.073825"/>
          <c:y val="0.09983333"/>
          <c:w val="0.9043"/>
          <c:h val="0.74406666"/>
        </c:manualLayout>
      </c:layout>
      <c:barChart>
        <c:barDir val="col"/>
        <c:grouping val="clustered"/>
        <c:varyColors val="0"/>
        <c:ser>
          <c:idx val="0"/>
          <c:order val="0"/>
          <c:tx>
            <c:strRef>
              <c:f>'Sheet1 (5)'!$B$1</c:f>
              <c:strCache>
                <c:ptCount val="1"/>
                <c:pt idx="0">
                  <c:v>一般公共预算财政拨款支出（万元）</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(5)'!$A$2:$A$3</c:f>
              <c:strCache>
                <c:ptCount val="2"/>
                <c:pt idx="0">
                  <c:v>2024年度</c:v>
                </c:pt>
                <c:pt idx="1">
                  <c:v>2025年度</c:v>
                </c:pt>
              </c:strCache>
            </c:strRef>
          </c:cat>
          <c:val>
            <c:numRef>
              <c:f>'Sheet1 (5)'!$B$2:$B$3</c:f>
              <c:numCache>
                <c:formatCode>General</c:formatCode>
                <c:ptCount val="2"/>
                <c:pt idx="0">
                  <c:v>460.15</c:v>
                </c:pt>
                <c:pt idx="1">
                  <c:v>531.5</c:v>
                </c:pt>
              </c:numCache>
            </c:numRef>
          </c:val>
        </c:ser>
        <c:dLbls>
          <c:showLegendKey val="0"/>
          <c:showVal val="1"/>
          <c:showCatName val="0"/>
          <c:showSerName val="0"/>
          <c:showPercent val="0"/>
          <c:showBubbleSize val="0"/>
        </c:dLbls>
        <c:gapWidth val="219"/>
        <c:overlap val="-27"/>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9D9D9"/>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047f0e55-9fc0-4b01-a69b-bcc500d46733}"/>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一般公共预算财政拨款支出决算（万元)</a:t>
            </a:r>
            <a:endParaRPr lang="zh-CN"/>
          </a:p>
        </c:rich>
      </c:tx>
      <c:layout/>
      <c:overlay val="0"/>
      <c:spPr>
        <a:noFill/>
        <a:ln>
          <a:noFill/>
        </a:ln>
      </c:spPr>
    </c:title>
    <c:autoTitleDeleted val="0"/>
    <c:plotArea>
      <c:layout/>
      <c:pieChart>
        <c:varyColors val="1"/>
        <c:ser>
          <c:idx val="0"/>
          <c:order val="0"/>
          <c:tx>
            <c:strRef>
              <c:f>'Sheet1 (6)'!$B$1</c:f>
              <c:strCache>
                <c:ptCount val="1"/>
                <c:pt idx="0">
                  <c:v>一般公共预算财政拨款支出决算（万元)</c:v>
                </c:pt>
              </c:strCache>
            </c:strRef>
          </c:tx>
          <c:spPr>
            <a:solidFill>
              <a:srgbClr val="4F81BD"/>
            </a:solidFill>
            <a:ln>
              <a:noFill/>
            </a:ln>
          </c:spPr>
          <c:explosion val="0"/>
          <c:dPt>
            <c:idx val="0"/>
            <c:bubble3D val="0"/>
            <c:spPr>
              <a:gradFill rotWithShape="1">
                <a:gsLst>
                  <a:gs pos="0">
                    <a:srgbClr val="B9CDE5">
                      <a:alpha val="100000"/>
                    </a:srgbClr>
                  </a:gs>
                  <a:gs pos="90000">
                    <a:srgbClr val="4F81BD">
                      <a:alpha val="100000"/>
                    </a:srgbClr>
                  </a:gs>
                </a:gsLst>
                <a:lin ang="5400000" scaled="1"/>
              </a:gradFill>
              <a:ln w="6350">
                <a:solidFill>
                  <a:srgbClr val="868686"/>
                </a:solidFill>
                <a:prstDash val="solid"/>
              </a:ln>
              <a:effectLst>
                <a:outerShdw dist="35921" dir="2700000" algn="br">
                  <a:srgbClr val="000000"/>
                </a:outerShdw>
              </a:effectLst>
            </c:spPr>
          </c:dPt>
          <c:dPt>
            <c:idx val="1"/>
            <c:bubble3D val="0"/>
            <c:spPr>
              <a:gradFill rotWithShape="1">
                <a:gsLst>
                  <a:gs pos="0">
                    <a:srgbClr val="E6B9B8">
                      <a:alpha val="100000"/>
                    </a:srgbClr>
                  </a:gs>
                  <a:gs pos="90000">
                    <a:srgbClr val="C0504D">
                      <a:alpha val="100000"/>
                    </a:srgbClr>
                  </a:gs>
                </a:gsLst>
                <a:lin ang="5400000" scaled="1"/>
              </a:gradFill>
              <a:ln w="6350">
                <a:solidFill>
                  <a:srgbClr val="868686"/>
                </a:solidFill>
                <a:prstDash val="solid"/>
              </a:ln>
              <a:effectLst>
                <a:outerShdw dist="35921" dir="2700000" algn="br">
                  <a:srgbClr val="000000"/>
                </a:outerShdw>
              </a:effectLst>
            </c:spPr>
          </c:dPt>
          <c:dPt>
            <c:idx val="2"/>
            <c:bubble3D val="0"/>
            <c:spPr>
              <a:gradFill rotWithShape="1">
                <a:gsLst>
                  <a:gs pos="0">
                    <a:srgbClr val="D7E4BD">
                      <a:alpha val="100000"/>
                    </a:srgbClr>
                  </a:gs>
                  <a:gs pos="90000">
                    <a:srgbClr val="9BBB59">
                      <a:alpha val="100000"/>
                    </a:srgbClr>
                  </a:gs>
                </a:gsLst>
                <a:lin ang="5400000" scaled="1"/>
              </a:gradFill>
              <a:ln w="6350">
                <a:solidFill>
                  <a:srgbClr val="868686"/>
                </a:solidFill>
                <a:prstDash val="solid"/>
              </a:ln>
              <a:effectLst>
                <a:outerShdw dist="35921" dir="2700000" algn="br">
                  <a:srgbClr val="000000"/>
                </a:outerShdw>
              </a:effectLst>
            </c:spPr>
          </c:dPt>
          <c:dPt>
            <c:idx val="3"/>
            <c:bubble3D val="0"/>
            <c:spPr>
              <a:gradFill rotWithShape="1">
                <a:gsLst>
                  <a:gs pos="0">
                    <a:srgbClr val="CCC1DA">
                      <a:alpha val="100000"/>
                    </a:srgbClr>
                  </a:gs>
                  <a:gs pos="90000">
                    <a:srgbClr val="8064A2">
                      <a:alpha val="100000"/>
                    </a:srgbClr>
                  </a:gs>
                </a:gsLst>
                <a:lin ang="5400000" scaled="1"/>
              </a:gradFill>
              <a:ln w="6350">
                <a:solidFill>
                  <a:srgbClr val="868686"/>
                </a:solidFill>
                <a:prstDash val="solid"/>
              </a:ln>
              <a:effectLst>
                <a:outerShdw dist="35921" dir="2700000" algn="br">
                  <a:srgbClr val="000000"/>
                </a:outerShdw>
              </a:effectLst>
            </c:spPr>
          </c:dPt>
          <c:dLbls>
            <c:dLbl>
              <c:idx val="3"/>
              <c:layout>
                <c:manualLayout>
                  <c:x val="0.042952936"/>
                  <c:y val="0.06526259"/>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 (6)'!$A$2:$A$5</c:f>
              <c:strCache>
                <c:ptCount val="4"/>
                <c:pt idx="0">
                  <c:v>一般公共服务</c:v>
                </c:pt>
                <c:pt idx="1">
                  <c:v>社会保障和就业</c:v>
                </c:pt>
                <c:pt idx="2">
                  <c:v>卫生健康</c:v>
                </c:pt>
                <c:pt idx="3">
                  <c:v>住房保障</c:v>
                </c:pt>
              </c:strCache>
            </c:strRef>
          </c:cat>
          <c:val>
            <c:numRef>
              <c:f>'Sheet1 (6)'!$B$2:$B$5</c:f>
              <c:numCache>
                <c:formatCode>General</c:formatCode>
                <c:ptCount val="4"/>
                <c:pt idx="0">
                  <c:v>469.2</c:v>
                </c:pt>
                <c:pt idx="1">
                  <c:v>29.51</c:v>
                </c:pt>
                <c:pt idx="2">
                  <c:v>13.57</c:v>
                </c:pt>
                <c:pt idx="3">
                  <c:v>19.23</c:v>
                </c:pt>
              </c:numCache>
            </c:numRef>
          </c:val>
        </c:ser>
        <c:dLbls>
          <c:showLegendKey val="0"/>
          <c:showVal val="1"/>
          <c:showCatName val="1"/>
          <c:showSerName val="0"/>
          <c:showPercent val="0"/>
          <c:showBubbleSize val="0"/>
          <c:showLeaderLines val="1"/>
        </c:dLbls>
        <c:firstSliceAng val="0"/>
      </c:pieChart>
      <c:spPr>
        <a:noFill/>
        <a:ln>
          <a:noFill/>
        </a:ln>
      </c:spPr>
    </c:plotArea>
    <c:plotVisOnly val="1"/>
    <c:dispBlanksAs val="gap"/>
    <c:showDLblsOverMax val="0"/>
    <c:extLst>
      <c:ext uri="{0b15fc19-7d7d-44ad-8c2d-2c3a37ce22c3}">
        <chartProps xmlns="https://web.wps.cn/et/2018/main" chartId="{7c8bce77-5084-4eb9-8952-9b0f5168d3b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panose="020B0602030504020204"/>
              </a:defRPr>
            </a:pPr>
            <a:r>
              <a:rPr lang="zh-CN"/>
              <a:t>“三公”经费财政拨款支出(万元）</a:t>
            </a:r>
            <a:endParaRPr lang="zh-CN"/>
          </a:p>
        </c:rich>
      </c:tx>
      <c:layout/>
      <c:overlay val="0"/>
      <c:spPr>
        <a:noFill/>
        <a:ln>
          <a:noFill/>
        </a:ln>
      </c:spPr>
    </c:title>
    <c:autoTitleDeleted val="0"/>
    <c:plotArea>
      <c:layout/>
      <c:pieChart>
        <c:varyColors val="1"/>
        <c:ser>
          <c:idx val="0"/>
          <c:order val="0"/>
          <c:tx>
            <c:strRef>
              <c:f>'Sheet1 (7)'!$B$1</c:f>
              <c:strCache>
                <c:ptCount val="1"/>
                <c:pt idx="0">
                  <c:v>“三公”经费财政拨款支出(万元）</c:v>
                </c:pt>
              </c:strCache>
            </c:strRef>
          </c:tx>
          <c:spPr>
            <a:solidFill>
              <a:srgbClr val="4F81BD"/>
            </a:solidFill>
            <a:ln>
              <a:noFill/>
            </a:ln>
          </c:spPr>
          <c:explosion val="0"/>
          <c:dPt>
            <c:idx val="0"/>
            <c:bubble3D val="0"/>
            <c:spPr>
              <a:gradFill rotWithShape="1">
                <a:gsLst>
                  <a:gs pos="0">
                    <a:srgbClr val="B9CDE5">
                      <a:alpha val="100000"/>
                    </a:srgbClr>
                  </a:gs>
                  <a:gs pos="90000">
                    <a:srgbClr val="4F81BD">
                      <a:alpha val="100000"/>
                    </a:srgbClr>
                  </a:gs>
                </a:gsLst>
                <a:lin ang="5400000" scaled="1"/>
              </a:gradFill>
              <a:ln w="6350">
                <a:solidFill>
                  <a:srgbClr val="868686"/>
                </a:solidFill>
                <a:prstDash val="solid"/>
              </a:ln>
              <a:effectLst>
                <a:outerShdw dist="35921" dir="2700000" algn="br">
                  <a:srgbClr val="000000"/>
                </a:outerShdw>
              </a:effectLst>
            </c:spPr>
          </c:dPt>
          <c:dPt>
            <c:idx val="1"/>
            <c:bubble3D val="0"/>
            <c:spPr>
              <a:gradFill rotWithShape="1">
                <a:gsLst>
                  <a:gs pos="0">
                    <a:srgbClr val="E6B9B8">
                      <a:alpha val="100000"/>
                    </a:srgbClr>
                  </a:gs>
                  <a:gs pos="90000">
                    <a:srgbClr val="C0504D">
                      <a:alpha val="100000"/>
                    </a:srgbClr>
                  </a:gs>
                </a:gsLst>
                <a:lin ang="5400000" scaled="1"/>
              </a:gradFill>
              <a:ln w="6350">
                <a:solidFill>
                  <a:srgbClr val="868686"/>
                </a:solidFill>
                <a:prstDash val="solid"/>
              </a:ln>
              <a:effectLst>
                <a:outerShdw dist="35921" dir="2700000" algn="br">
                  <a:srgbClr val="000000"/>
                </a:outerShdw>
              </a:effectLst>
            </c:spPr>
          </c:dPt>
          <c:dPt>
            <c:idx val="2"/>
            <c:bubble3D val="0"/>
            <c:spPr>
              <a:gradFill rotWithShape="1">
                <a:gsLst>
                  <a:gs pos="0">
                    <a:srgbClr val="D7E4BD">
                      <a:alpha val="100000"/>
                    </a:srgbClr>
                  </a:gs>
                  <a:gs pos="90000">
                    <a:srgbClr val="9BBB59">
                      <a:alpha val="100000"/>
                    </a:srgbClr>
                  </a:gs>
                </a:gsLst>
                <a:lin ang="5400000" scaled="1"/>
              </a:gradFill>
              <a:ln w="6350">
                <a:solidFill>
                  <a:srgbClr val="868686"/>
                </a:solidFill>
                <a:prstDash val="solid"/>
              </a:ln>
              <a:effectLst>
                <a:outerShdw dist="35921" dir="2700000" algn="br">
                  <a:srgbClr val="000000"/>
                </a:outerShdw>
              </a:effectLst>
            </c:spPr>
          </c:dPt>
          <c:dLbls>
            <c:dLbl>
              <c:idx val="0"/>
              <c:delete val="1"/>
            </c:dLbl>
            <c:dLbl>
              <c:idx val="2"/>
              <c:layout>
                <c:manualLayout>
                  <c:x val="0.16527909"/>
                  <c:y val="-0.0014422251"/>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panose="020B0602030504020204"/>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因公出国（境）费</c:v>
                </c:pt>
                <c:pt idx="1">
                  <c:v>公务用车购置及运行维护费</c:v>
                </c:pt>
                <c:pt idx="2">
                  <c:v>公务接待费</c:v>
                </c:pt>
              </c:strCache>
            </c:strRef>
          </c:cat>
          <c:val>
            <c:numRef>
              <c:f>'Sheet1 (7)'!$B$2:$B$4</c:f>
              <c:numCache>
                <c:formatCode>General</c:formatCode>
                <c:ptCount val="3"/>
                <c:pt idx="0">
                  <c:v>0</c:v>
                </c:pt>
                <c:pt idx="1">
                  <c:v>22.37</c:v>
                </c:pt>
                <c:pt idx="2">
                  <c:v>0.16</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panose="020B0602030504020204"/>
            </a:defRPr>
          </a:pPr>
        </a:p>
      </c:txPr>
    </c:legend>
    <c:plotVisOnly val="1"/>
    <c:dispBlanksAs val="gap"/>
    <c:showDLblsOverMax val="0"/>
    <c:extLst>
      <c:ext uri="{0b15fc19-7d7d-44ad-8c2d-2c3a37ce22c3}">
        <chartProps xmlns="https://web.wps.cn/et/2018/main" chartId="{c15d7ae4-df53-4e3d-bbe4-d96c63a982e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01b6c5f9-6101-42b0-9c14-64a0d1ff95f7</errorID>
      <errorWord>市长</errorWord>
      <group>L1_Word</group>
      <groupName>字词问题</groupName>
      <ability>L2_Typo</ability>
      <abilityName>字词错误</abilityName>
      <candidateList>
        <item>市场</item>
      </candidateList>
      <explain>存在发音相同字词的误用。</explain>
      <paraID>1BDE7D87</paraID>
      <start>99</start>
      <end>101</end>
      <status>modified</status>
      <modifiedWord>市场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600128-d95c-4e11-b8b4-de3cb8ffb515}">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57</Pages>
  <Words>1028</Words>
  <Characters>1101</Characters>
  <Lines>3819</Lines>
  <Paragraphs>2016</Paragraphs>
  <TotalTime>28</TotalTime>
  <ScaleCrop>false</ScaleCrop>
  <LinksUpToDate>false</LinksUpToDate>
  <CharactersWithSpaces>1156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放飞心情</cp:lastModifiedBy>
  <cp:lastPrinted>2025-08-06T17:34:00Z</cp:lastPrinted>
  <dcterms:modified xsi:type="dcterms:W3CDTF">2026-09-09T09:11:58Z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43BAF2BA74124CB3904215E38C40F739_13</vt:lpwstr>
  </property>
  <property fmtid="{D5CDD505-2E9C-101B-9397-08002B2CF9AE}" pid="4" name="KSOTemplateDocerSaveRecord">
    <vt:lpwstr>eyJoZGlkIjoiYmY0YTg2NTMzMmEyYTJmZWUxNzNjMGZkMmFhZGM3MTQiLCJ1c2VySWQiOiI2NjU5OTAwMDcifQ==</vt:lpwstr>
  </property>
</Properties>
</file>