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53041">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425"/>
      <w:bookmarkStart w:id="2" w:name="_Toc15378441"/>
      <w:bookmarkStart w:id="3" w:name="_Toc15306267"/>
      <w:bookmarkStart w:id="4" w:name="_Toc15396475"/>
      <w:bookmarkStart w:id="5" w:name="_Toc15377193"/>
    </w:p>
    <w:p w14:paraId="0F4A7669">
      <w:pPr>
        <w:pStyle w:val="7"/>
        <w:rPr>
          <w:rFonts w:hint="eastAsia" w:ascii="Times New Roman" w:hAnsi="Times New Roman" w:eastAsia="方正小标宋简体" w:cs="Times New Roman"/>
          <w:color w:val="auto"/>
          <w:kern w:val="2"/>
          <w:sz w:val="72"/>
          <w:szCs w:val="72"/>
          <w:highlight w:val="none"/>
          <w:lang w:val="en-US" w:eastAsia="zh-CN" w:bidi="ar-SA"/>
        </w:rPr>
      </w:pPr>
    </w:p>
    <w:p w14:paraId="60D497AC">
      <w:pPr>
        <w:pStyle w:val="7"/>
        <w:rPr>
          <w:rFonts w:hint="eastAsia" w:ascii="Times New Roman" w:hAnsi="Times New Roman" w:eastAsia="方正小标宋简体" w:cs="Times New Roman"/>
          <w:color w:val="auto"/>
          <w:kern w:val="2"/>
          <w:sz w:val="72"/>
          <w:szCs w:val="72"/>
          <w:highlight w:val="none"/>
          <w:lang w:val="en-US" w:eastAsia="zh-CN" w:bidi="ar-SA"/>
        </w:rPr>
      </w:pPr>
    </w:p>
    <w:p w14:paraId="3371C82F">
      <w:pPr>
        <w:pStyle w:val="7"/>
        <w:rPr>
          <w:rFonts w:hint="eastAsia" w:ascii="Times New Roman" w:hAnsi="Times New Roman" w:eastAsia="方正小标宋简体" w:cs="Times New Roman"/>
          <w:color w:val="auto"/>
          <w:kern w:val="2"/>
          <w:sz w:val="72"/>
          <w:szCs w:val="72"/>
          <w:highlight w:val="none"/>
          <w:lang w:val="en-US" w:eastAsia="zh-CN" w:bidi="ar-SA"/>
        </w:rPr>
      </w:pPr>
    </w:p>
    <w:p w14:paraId="3C489C6D">
      <w:pPr>
        <w:pStyle w:val="7"/>
        <w:jc w:val="center"/>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kern w:val="2"/>
          <w:sz w:val="44"/>
          <w:szCs w:val="44"/>
        </w:rPr>
        <w:t>阿坝州</w:t>
      </w:r>
      <w:r>
        <w:rPr>
          <w:rFonts w:hint="eastAsia" w:ascii="Times New Roman" w:eastAsia="方正小标宋简体"/>
          <w:kern w:val="2"/>
          <w:sz w:val="44"/>
          <w:szCs w:val="44"/>
          <w:lang w:eastAsia="zh-CN"/>
        </w:rPr>
        <w:t>产品质量和特种设备监督检验所</w:t>
      </w:r>
      <w:r>
        <w:rPr>
          <w:rFonts w:hint="eastAsia" w:ascii="Times New Roman" w:eastAsia="方正小标宋简体"/>
          <w:kern w:val="2"/>
          <w:sz w:val="44"/>
          <w:szCs w:val="44"/>
        </w:rPr>
        <w:t>决算</w:t>
      </w:r>
      <w:r>
        <w:rPr>
          <w:rFonts w:hint="eastAsia" w:ascii="Times New Roman" w:eastAsia="方正小标宋简体"/>
          <w:kern w:val="2"/>
          <w:sz w:val="44"/>
          <w:szCs w:val="44"/>
          <w:lang w:eastAsia="zh-CN"/>
        </w:rPr>
        <w:t>公开</w:t>
      </w:r>
    </w:p>
    <w:bookmarkEnd w:id="0"/>
    <w:bookmarkEnd w:id="1"/>
    <w:bookmarkEnd w:id="2"/>
    <w:bookmarkEnd w:id="3"/>
    <w:bookmarkEnd w:id="4"/>
    <w:bookmarkEnd w:id="5"/>
    <w:p w14:paraId="5C4E1C6B">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0D9442C">
      <w:pPr>
        <w:pStyle w:val="14"/>
        <w:ind w:firstLine="1920" w:firstLineChars="6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9</w:t>
      </w:r>
      <w:bookmarkStart w:id="64" w:name="_GoBack"/>
      <w:bookmarkEnd w:id="64"/>
      <w:r>
        <w:rPr>
          <w:rFonts w:hint="eastAsia" w:ascii="Times New Roman" w:hAnsi="Times New Roman" w:eastAsia="仿宋_GB2312" w:cs="仿宋_GB2312"/>
          <w:color w:val="auto"/>
          <w:sz w:val="32"/>
          <w:szCs w:val="32"/>
          <w:highlight w:val="none"/>
        </w:rPr>
        <w:t>日</w:t>
      </w:r>
    </w:p>
    <w:p w14:paraId="4A58E176">
      <w:pPr>
        <w:rPr>
          <w:rFonts w:ascii="Times New Roman" w:hAnsi="Times New Roman"/>
          <w:color w:val="auto"/>
          <w:highlight w:val="none"/>
        </w:rPr>
      </w:pPr>
    </w:p>
    <w:p w14:paraId="4987588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.................................................................01</w:t>
      </w:r>
    </w:p>
    <w:p w14:paraId="0D9DD85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...................................................................01</w:t>
      </w:r>
    </w:p>
    <w:p w14:paraId="636224C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...................................................................01</w:t>
      </w:r>
    </w:p>
    <w:p w14:paraId="77E4F29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................................02</w:t>
      </w:r>
    </w:p>
    <w:p w14:paraId="07211E4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...................................02</w:t>
      </w:r>
    </w:p>
    <w:p w14:paraId="0CE1836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...................................................02</w:t>
      </w:r>
    </w:p>
    <w:p w14:paraId="0C62767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...................................................03</w:t>
      </w:r>
    </w:p>
    <w:p w14:paraId="005BBD9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.....0</w:t>
      </w:r>
      <w:r>
        <w:rPr>
          <w:rFonts w:hint="eastAsia" w:eastAsia="黑体" w:cs="黑体"/>
          <w:color w:val="auto"/>
          <w:sz w:val="32"/>
          <w:szCs w:val="32"/>
          <w:highlight w:val="none"/>
          <w:lang w:val="en-US" w:eastAsia="zh-CN"/>
        </w:rPr>
        <w:t>3</w:t>
      </w:r>
    </w:p>
    <w:p w14:paraId="0BA4C9B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...........04</w:t>
      </w:r>
    </w:p>
    <w:p w14:paraId="50AF978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06</w:t>
      </w:r>
    </w:p>
    <w:p w14:paraId="707A409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...........07</w:t>
      </w:r>
    </w:p>
    <w:p w14:paraId="31CCBE4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.......................08</w:t>
      </w:r>
    </w:p>
    <w:p w14:paraId="0D92119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...................08</w:t>
      </w:r>
    </w:p>
    <w:p w14:paraId="7F072A1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.......................................08</w:t>
      </w:r>
    </w:p>
    <w:p w14:paraId="16543F7F">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.................................................................10</w:t>
      </w:r>
    </w:p>
    <w:p w14:paraId="4190FC8F">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.........................................................................13</w:t>
      </w:r>
    </w:p>
    <w:p w14:paraId="28CE7C28">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.........................................................................50</w:t>
      </w:r>
    </w:p>
    <w:p w14:paraId="6F7BBEF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...................................................50</w:t>
      </w:r>
    </w:p>
    <w:p w14:paraId="678EE17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...............................................................50</w:t>
      </w:r>
    </w:p>
    <w:p w14:paraId="0DBEB5D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...............................................................50</w:t>
      </w:r>
    </w:p>
    <w:p w14:paraId="6A8A225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...................................50</w:t>
      </w:r>
    </w:p>
    <w:p w14:paraId="5FF9416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......................................50</w:t>
      </w:r>
    </w:p>
    <w:p w14:paraId="41F08C7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......................50</w:t>
      </w:r>
    </w:p>
    <w:p w14:paraId="1D80F79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..............50</w:t>
      </w:r>
    </w:p>
    <w:p w14:paraId="7002F76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50</w:t>
      </w:r>
    </w:p>
    <w:p w14:paraId="22322CD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..............50</w:t>
      </w:r>
    </w:p>
    <w:p w14:paraId="215A6F3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..........50</w:t>
      </w:r>
    </w:p>
    <w:p w14:paraId="2AED275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50</w:t>
      </w:r>
    </w:p>
    <w:p w14:paraId="1CA8063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..........50</w:t>
      </w:r>
    </w:p>
    <w:p w14:paraId="6F525CA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..................50</w:t>
      </w:r>
    </w:p>
    <w:p w14:paraId="34FC3F9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6A4B2021">
      <w:pPr>
        <w:pStyle w:val="4"/>
        <w:jc w:val="center"/>
        <w:rPr>
          <w:rFonts w:hint="eastAsia" w:ascii="Times New Roman" w:hAnsi="Times New Roman" w:eastAsia="方正小标宋简体" w:cs="方正小标宋简体"/>
          <w:b w:val="0"/>
          <w:color w:val="auto"/>
          <w:highlight w:val="none"/>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bookmarkStart w:id="6" w:name="_Toc15377196"/>
      <w:bookmarkStart w:id="7" w:name="_Toc15396599"/>
    </w:p>
    <w:p w14:paraId="13788FE1">
      <w:pPr>
        <w:pStyle w:val="4"/>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eastAsia="方正小标宋简体" w:cs="方正小标宋简体"/>
          <w:b w:val="0"/>
          <w:bCs w:val="0"/>
          <w:color w:val="auto"/>
          <w:highlight w:val="none"/>
          <w:lang w:eastAsia="zh-CN"/>
        </w:rPr>
        <w:t>单位</w:t>
      </w:r>
      <w:r>
        <w:rPr>
          <w:rStyle w:val="31"/>
          <w:rFonts w:hint="eastAsia" w:ascii="Times New Roman" w:hAnsi="Times New Roman" w:eastAsia="方正小标宋简体" w:cs="方正小标宋简体"/>
          <w:b w:val="0"/>
          <w:bCs w:val="0"/>
          <w:color w:val="auto"/>
          <w:highlight w:val="none"/>
        </w:rPr>
        <w:t>概况</w:t>
      </w:r>
      <w:bookmarkEnd w:id="6"/>
      <w:bookmarkEnd w:id="7"/>
    </w:p>
    <w:p w14:paraId="785DDAFB">
      <w:pPr>
        <w:pStyle w:val="5"/>
        <w:pageBreakBefore w:val="0"/>
        <w:widowControl w:val="0"/>
        <w:kinsoku/>
        <w:wordWrap/>
        <w:overflowPunct/>
        <w:topLinePunct w:val="0"/>
        <w:autoSpaceDE/>
        <w:autoSpaceDN/>
        <w:bidi w:val="0"/>
        <w:adjustRightInd/>
        <w:snapToGrid/>
        <w:spacing w:line="560" w:lineRule="exact"/>
        <w:textAlignment w:val="auto"/>
        <w:rPr>
          <w:rStyle w:val="32"/>
          <w:rFonts w:hint="eastAsia" w:ascii="Times New Roman" w:hAnsi="Times New Roman" w:eastAsia="黑体"/>
          <w:b w:val="0"/>
          <w:bCs w:val="0"/>
          <w:color w:val="auto"/>
          <w:highlight w:val="none"/>
          <w:lang w:eastAsia="zh-CN"/>
        </w:rPr>
      </w:pPr>
      <w:bookmarkStart w:id="8" w:name="_Toc15377197"/>
      <w:bookmarkStart w:id="9" w:name="_Toc15396600"/>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单位职责</w:t>
      </w:r>
    </w:p>
    <w:p w14:paraId="2D7098A1">
      <w:pPr>
        <w:pStyle w:val="30"/>
        <w:pageBreakBefore w:val="0"/>
        <w:widowControl w:val="0"/>
        <w:kinsoku/>
        <w:wordWrap/>
        <w:overflowPunct/>
        <w:topLinePunct w:val="0"/>
        <w:autoSpaceDE/>
        <w:autoSpaceDN/>
        <w:bidi w:val="0"/>
        <w:adjustRightInd/>
        <w:snapToGrid/>
        <w:spacing w:line="560" w:lineRule="exact"/>
        <w:ind w:firstLine="640"/>
        <w:textAlignment w:val="auto"/>
        <w:outlineLvl w:val="1"/>
        <w:rPr>
          <w:rFonts w:hint="eastAsia" w:ascii="Times New Roman" w:hAnsi="Times New Roman" w:eastAsia="黑体"/>
          <w:b w:val="0"/>
          <w:color w:val="auto"/>
          <w:highlight w:val="none"/>
        </w:rPr>
      </w:pPr>
      <w:bookmarkStart w:id="10" w:name="_Toc15396601"/>
      <w:bookmarkStart w:id="11" w:name="_Toc15377200"/>
      <w:r>
        <w:rPr>
          <w:rFonts w:hint="eastAsia" w:ascii="仿宋_GB2312" w:hAnsi="Times New Roman" w:eastAsia="仿宋_GB2312" w:cs="Times New Roman"/>
          <w:kern w:val="2"/>
          <w:sz w:val="32"/>
          <w:szCs w:val="32"/>
          <w:lang w:val="zh-CN" w:eastAsia="zh-CN" w:bidi="ar-SA"/>
        </w:rPr>
        <w:t>贯彻执行国家和地方</w:t>
      </w:r>
      <w:r>
        <w:rPr>
          <w:rFonts w:hint="eastAsia" w:ascii="仿宋_GB2312" w:eastAsia="仿宋_GB2312" w:cs="Times New Roman"/>
          <w:kern w:val="2"/>
          <w:sz w:val="32"/>
          <w:szCs w:val="32"/>
          <w:lang w:val="zh-CN" w:eastAsia="zh-CN" w:bidi="ar-SA"/>
        </w:rPr>
        <w:t>法律法规</w:t>
      </w:r>
      <w:r>
        <w:rPr>
          <w:rFonts w:hint="eastAsia" w:ascii="仿宋_GB2312" w:hAnsi="Times New Roman" w:eastAsia="仿宋_GB2312" w:cs="Times New Roman"/>
          <w:kern w:val="2"/>
          <w:sz w:val="32"/>
          <w:szCs w:val="32"/>
          <w:lang w:val="zh-CN" w:eastAsia="zh-CN" w:bidi="ar-SA"/>
        </w:rPr>
        <w:t>、方针、政策；参与产品标准的制订、修订和宣传贯彻工作；完成省市场监督管理局指定的监督抽查工作；承担产品质量委托检验；为行政执法工作提供技术保障；为企事业单位提供技术服务；完成上级主管部门交办的其他事项；主要承担全州锅炉、压力容器、压力管道、电梯、起重机械、厂内机动车辆、客运索道、游乐设施的安全技术检验工作和安全技术咨询服务以及局交办的其他工作。</w:t>
      </w:r>
    </w:p>
    <w:p w14:paraId="3A4438D7">
      <w:pPr>
        <w:pStyle w:val="5"/>
        <w:pageBreakBefore w:val="0"/>
        <w:widowControl w:val="0"/>
        <w:kinsoku/>
        <w:wordWrap/>
        <w:overflowPunct/>
        <w:topLinePunct w:val="0"/>
        <w:autoSpaceDE/>
        <w:autoSpaceDN/>
        <w:bidi w:val="0"/>
        <w:adjustRightInd/>
        <w:snapToGrid/>
        <w:spacing w:line="560" w:lineRule="exact"/>
        <w:textAlignment w:val="auto"/>
        <w:rPr>
          <w:rStyle w:val="32"/>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10"/>
      <w:bookmarkEnd w:id="11"/>
    </w:p>
    <w:p w14:paraId="2A69B06C">
      <w:pPr>
        <w:pStyle w:val="30"/>
        <w:pageBreakBefore w:val="0"/>
        <w:widowControl w:val="0"/>
        <w:kinsoku/>
        <w:wordWrap/>
        <w:overflowPunct/>
        <w:topLinePunct w:val="0"/>
        <w:autoSpaceDE/>
        <w:autoSpaceDN/>
        <w:bidi w:val="0"/>
        <w:adjustRightInd/>
        <w:snapToGrid/>
        <w:spacing w:line="560" w:lineRule="exact"/>
        <w:ind w:firstLine="640"/>
        <w:textAlignment w:val="auto"/>
        <w:outlineLvl w:val="1"/>
        <w:rPr>
          <w:rFonts w:ascii="Times New Roman" w:hAnsi="Times New Roman" w:eastAsia="仿宋"/>
          <w:color w:val="auto"/>
          <w:kern w:val="0"/>
          <w:sz w:val="32"/>
          <w:szCs w:val="32"/>
          <w:highlight w:val="none"/>
        </w:rPr>
      </w:pPr>
      <w:r>
        <w:rPr>
          <w:rFonts w:hint="eastAsia" w:ascii="仿宋_GB2312" w:hAnsi="Times New Roman" w:eastAsia="仿宋_GB2312" w:cs="Times New Roman"/>
          <w:kern w:val="2"/>
          <w:sz w:val="32"/>
          <w:szCs w:val="32"/>
          <w:lang w:val="en-US" w:eastAsia="zh-CN" w:bidi="ar-SA"/>
        </w:rPr>
        <w:t xml:space="preserve"> 我所是隶属于阿坝州市场监督管理局的检验检测机构，属公益一类事业单位，现有工作人员16名，其中高级工程师2名，中级工程师3名，助理工程师8名，管理岗人员2名，工勤岗人员1名。</w:t>
      </w:r>
      <w:r>
        <w:rPr>
          <w:rFonts w:ascii="Times New Roman" w:hAnsi="Times New Roman" w:eastAsia="仿宋"/>
          <w:color w:val="auto"/>
          <w:sz w:val="32"/>
          <w:szCs w:val="32"/>
          <w:highlight w:val="none"/>
        </w:rPr>
        <w:br w:type="page"/>
      </w:r>
    </w:p>
    <w:p w14:paraId="12B10919">
      <w:pPr>
        <w:pStyle w:val="4"/>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olor w:val="auto"/>
          <w:highlight w:val="none"/>
        </w:rPr>
      </w:pPr>
      <w:bookmarkStart w:id="12" w:name="_Toc15396602"/>
      <w:bookmarkStart w:id="13"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2"/>
      <w:bookmarkEnd w:id="13"/>
    </w:p>
    <w:p w14:paraId="7F1B2551">
      <w:pPr>
        <w:pStyle w:val="30"/>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32"/>
          <w:rFonts w:hint="eastAsia" w:ascii="Times New Roman" w:hAnsi="Times New Roman" w:eastAsia="黑体"/>
          <w:b w:val="0"/>
          <w:color w:val="auto"/>
          <w:highlight w:val="none"/>
        </w:rPr>
      </w:pPr>
      <w:bookmarkStart w:id="14" w:name="_Toc15377205"/>
      <w:bookmarkStart w:id="1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4"/>
      <w:bookmarkEnd w:id="15"/>
    </w:p>
    <w:p w14:paraId="7E3F106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eastAsia="仿宋_GB2312" w:cs="仿宋_GB2312"/>
          <w:color w:val="auto"/>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460.09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eastAsia="仿宋_GB2312" w:cs="仿宋_GB2312"/>
          <w:color w:val="auto"/>
          <w:sz w:val="32"/>
          <w:szCs w:val="32"/>
          <w:highlight w:val="none"/>
          <w:lang w:val="en-US" w:eastAsia="zh-CN"/>
        </w:rPr>
        <w:t>488.01万元</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27.92</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5.7</w:t>
      </w:r>
      <w:r>
        <w:rPr>
          <w:rFonts w:hint="eastAsia" w:ascii="Times New Roman" w:hAnsi="Times New Roman" w:eastAsia="仿宋_GB2312" w:cs="仿宋_GB2312"/>
          <w:color w:val="auto"/>
          <w:sz w:val="32"/>
          <w:szCs w:val="32"/>
          <w:highlight w:val="none"/>
        </w:rPr>
        <w:t>%。主要变动原因是</w:t>
      </w:r>
      <w:r>
        <w:rPr>
          <w:rFonts w:hint="eastAsia" w:ascii="仿宋_GB2312" w:eastAsia="仿宋_GB2312" w:cs="仿宋_GB2312"/>
          <w:color w:val="auto"/>
          <w:sz w:val="32"/>
          <w:szCs w:val="32"/>
          <w:lang w:val="en-US" w:eastAsia="zh-CN"/>
        </w:rPr>
        <w:t>2024年有项目特种设备标准化管理平台升级及国产化适配项目39.50万元，此项目于2024年结束，而人员薪级晋升等原因而人员薪资经费增加，故综合下来2025年年度收入、支出较2024年有所减少。</w:t>
      </w:r>
    </w:p>
    <w:p w14:paraId="5E8DC9F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_GB2312" w:eastAsia="仿宋_GB2312" w:cs="仿宋_GB2312"/>
          <w:color w:val="auto"/>
          <w:sz w:val="32"/>
          <w:szCs w:val="32"/>
          <w:lang w:val="en-US" w:eastAsia="zh-CN"/>
        </w:rPr>
      </w:pP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190500</wp:posOffset>
            </wp:positionH>
            <wp:positionV relativeFrom="paragraph">
              <wp:posOffset>147955</wp:posOffset>
            </wp:positionV>
            <wp:extent cx="4632960" cy="2810510"/>
            <wp:effectExtent l="4445" t="4445" r="10795" b="2349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5118EF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eastAsia="仿宋_GB2312" w:cs="仿宋_GB2312"/>
          <w:color w:val="auto"/>
          <w:sz w:val="32"/>
          <w:szCs w:val="32"/>
          <w:lang w:val="en-US" w:eastAsia="zh-CN"/>
        </w:rPr>
      </w:pPr>
    </w:p>
    <w:p w14:paraId="389188C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eastAsia="仿宋_GB2312" w:cs="仿宋_GB2312"/>
          <w:color w:val="auto"/>
          <w:sz w:val="32"/>
          <w:szCs w:val="32"/>
          <w:lang w:val="en-US" w:eastAsia="zh-CN"/>
        </w:rPr>
      </w:pPr>
    </w:p>
    <w:p w14:paraId="09FB5C44">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eastAsia="仿宋_GB2312" w:cs="仿宋_GB2312"/>
          <w:color w:val="auto"/>
          <w:sz w:val="32"/>
          <w:szCs w:val="32"/>
          <w:lang w:val="en-US" w:eastAsia="zh-CN"/>
        </w:rPr>
      </w:pPr>
    </w:p>
    <w:p w14:paraId="40CCB9B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32BC115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FE6225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4453D64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14:paraId="5C457A8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D1C751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96604"/>
      <w:bookmarkStart w:id="17" w:name="_Toc15377206"/>
      <w:r>
        <w:rPr>
          <w:rFonts w:hint="eastAsia" w:ascii="Times New Roman" w:hAnsi="Times New Roman" w:eastAsia="黑体"/>
          <w:color w:val="auto"/>
          <w:sz w:val="32"/>
          <w:szCs w:val="32"/>
          <w:highlight w:val="none"/>
          <w:lang w:eastAsia="zh-CN"/>
        </w:rPr>
        <w:t>二、收入决算情况说明</w:t>
      </w:r>
      <w:bookmarkEnd w:id="16"/>
      <w:bookmarkEnd w:id="17"/>
    </w:p>
    <w:p w14:paraId="41E9041E">
      <w:pPr>
        <w:pageBreakBefore w:val="0"/>
        <w:kinsoku/>
        <w:wordWrap/>
        <w:overflowPunct/>
        <w:topLinePunct w:val="0"/>
        <w:bidi w:val="0"/>
        <w:spacing w:line="560" w:lineRule="exact"/>
        <w:ind w:firstLine="640" w:firstLineChars="200"/>
        <w:outlineLvl w:val="1"/>
        <w:rPr>
          <w:rFonts w:hint="eastAsia" w:ascii="仿宋" w:hAnsi="仿宋" w:eastAsia="仿宋"/>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460.09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460.09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ascii="仿宋" w:hAnsi="仿宋" w:eastAsia="仿宋"/>
          <w:sz w:val="32"/>
          <w:szCs w:val="32"/>
        </w:rPr>
        <w:t>政府性基金预算财政拨款收入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；国有资本经营预算财政拨款收入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；上级补助收入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；事业收入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；附属单位上缴收入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；其他收入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lang w:eastAsia="zh-CN"/>
        </w:rPr>
        <w:t>。</w:t>
      </w:r>
    </w:p>
    <w:p w14:paraId="0A8883C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D85784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sz w:val="32"/>
          <w:szCs w:val="32"/>
          <w:shd w:val="clear" w:fill="FFFFFF"/>
        </w:rPr>
        <w:drawing>
          <wp:anchor distT="0" distB="0" distL="114300" distR="114300" simplePos="0" relativeHeight="251660288" behindDoc="1" locked="0" layoutInCell="1" allowOverlap="1">
            <wp:simplePos x="0" y="0"/>
            <wp:positionH relativeFrom="column">
              <wp:posOffset>381000</wp:posOffset>
            </wp:positionH>
            <wp:positionV relativeFrom="paragraph">
              <wp:posOffset>177800</wp:posOffset>
            </wp:positionV>
            <wp:extent cx="4147185" cy="2477770"/>
            <wp:effectExtent l="4445" t="4445" r="20320" b="1333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E77DDD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0A5065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72514B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877D536">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17F42C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2F983FC">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D32B2D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953EA6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8" w:name="_Toc15377207"/>
      <w:bookmarkStart w:id="1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18"/>
      <w:bookmarkEnd w:id="19"/>
    </w:p>
    <w:p w14:paraId="4224A504">
      <w:pPr>
        <w:pStyle w:val="30"/>
        <w:pageBreakBefore w:val="0"/>
        <w:kinsoku/>
        <w:wordWrap/>
        <w:overflowPunct/>
        <w:topLinePunct w:val="0"/>
        <w:bidi w:val="0"/>
        <w:spacing w:line="560" w:lineRule="exact"/>
        <w:ind w:firstLine="640"/>
        <w:jc w:val="left"/>
        <w:outlineLvl w:val="1"/>
        <w:rPr>
          <w:rFonts w:hint="eastAsia" w:eastAsia="仿宋_GB2312" w:cs="仿宋_GB2312"/>
          <w:b/>
          <w:bCs/>
          <w:sz w:val="32"/>
          <w:szCs w:val="32"/>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460.09</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383.41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83.3</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76.68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16.7</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w:t>
      </w:r>
    </w:p>
    <w:p w14:paraId="531C501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sz w:val="32"/>
          <w:szCs w:val="32"/>
          <w:shd w:val="clear" w:fill="FFFFFF"/>
          <w:lang w:eastAsia="zh-CN"/>
        </w:rPr>
        <w:drawing>
          <wp:anchor distT="0" distB="0" distL="114300" distR="114300" simplePos="0" relativeHeight="251661312" behindDoc="1" locked="0" layoutInCell="1" allowOverlap="1">
            <wp:simplePos x="0" y="0"/>
            <wp:positionH relativeFrom="column">
              <wp:posOffset>-106045</wp:posOffset>
            </wp:positionH>
            <wp:positionV relativeFrom="paragraph">
              <wp:posOffset>78740</wp:posOffset>
            </wp:positionV>
            <wp:extent cx="4440555" cy="1894205"/>
            <wp:effectExtent l="4445" t="4445" r="12700" b="6350"/>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13797A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52CCF73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59AFC54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6615AA7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AAAB6A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5D86DB2">
      <w:pPr>
        <w:spacing w:line="600" w:lineRule="exact"/>
        <w:ind w:firstLine="640" w:firstLineChars="200"/>
        <w:outlineLvl w:val="1"/>
        <w:rPr>
          <w:rStyle w:val="32"/>
          <w:rFonts w:ascii="Times New Roman" w:hAnsi="Times New Roman" w:eastAsia="黑体"/>
          <w:b w:val="0"/>
          <w:color w:val="auto"/>
          <w:highlight w:val="none"/>
        </w:rPr>
      </w:pPr>
      <w:bookmarkStart w:id="20" w:name="_Toc15377208"/>
      <w:bookmarkStart w:id="21"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0"/>
      <w:bookmarkEnd w:id="21"/>
    </w:p>
    <w:p w14:paraId="52E4A9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460.09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488.01万元</w:t>
      </w:r>
      <w:r>
        <w:rPr>
          <w:rFonts w:hint="eastAsia" w:ascii="Times New Roman" w:hAnsi="Times New Roman"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27.92</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5.7</w:t>
      </w:r>
      <w:r>
        <w:rPr>
          <w:rFonts w:hint="eastAsia" w:ascii="Times New Roman" w:hAnsi="Times New Roman" w:eastAsia="仿宋_GB2312" w:cs="仿宋_GB2312"/>
          <w:color w:val="auto"/>
          <w:sz w:val="32"/>
          <w:szCs w:val="32"/>
          <w:highlight w:val="none"/>
        </w:rPr>
        <w:t>%。主要变动原因是</w:t>
      </w:r>
      <w:r>
        <w:rPr>
          <w:rFonts w:hint="eastAsia" w:ascii="仿宋_GB2312" w:eastAsia="仿宋_GB2312" w:cs="仿宋_GB2312"/>
          <w:color w:val="auto"/>
          <w:sz w:val="32"/>
          <w:szCs w:val="32"/>
          <w:lang w:val="en-US" w:eastAsia="zh-CN"/>
        </w:rPr>
        <w:t>2024年有项目特种设备标准化管理平台升级及国产化适配项目39.50万元，此项目于2024年结束，而人员薪级晋升等原因而人员薪资经费增加，故综合下来2025年年度收入、支出较2024年有所减少。</w:t>
      </w:r>
    </w:p>
    <w:p w14:paraId="40FD89C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sz w:val="32"/>
          <w:szCs w:val="32"/>
          <w:lang w:eastAsia="zh-CN"/>
        </w:rPr>
        <w:drawing>
          <wp:anchor distT="0" distB="0" distL="114300" distR="114300" simplePos="0" relativeHeight="251662336" behindDoc="1" locked="0" layoutInCell="1" allowOverlap="1">
            <wp:simplePos x="0" y="0"/>
            <wp:positionH relativeFrom="column">
              <wp:posOffset>274955</wp:posOffset>
            </wp:positionH>
            <wp:positionV relativeFrom="paragraph">
              <wp:posOffset>48895</wp:posOffset>
            </wp:positionV>
            <wp:extent cx="4930775" cy="2294890"/>
            <wp:effectExtent l="4445" t="4445" r="17780" b="571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7FB8FEA">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FE0F58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7A8D6B0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E2A512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06F4462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6CFCF6B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0B8DDF4E">
      <w:pPr>
        <w:spacing w:line="600" w:lineRule="exact"/>
        <w:ind w:firstLine="640" w:firstLineChars="200"/>
        <w:outlineLvl w:val="1"/>
        <w:rPr>
          <w:rStyle w:val="32"/>
          <w:rFonts w:ascii="Times New Roman" w:hAnsi="Times New Roman" w:eastAsia="黑体"/>
          <w:b w:val="0"/>
          <w:color w:val="auto"/>
          <w:highlight w:val="none"/>
        </w:rPr>
      </w:pPr>
      <w:bookmarkStart w:id="22" w:name="_Toc15396607"/>
      <w:bookmarkStart w:id="23"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2"/>
      <w:bookmarkEnd w:id="23"/>
    </w:p>
    <w:p w14:paraId="324AA88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14:paraId="0AB78E7B">
      <w:pPr>
        <w:spacing w:line="600" w:lineRule="exact"/>
        <w:ind w:firstLine="640"/>
        <w:rPr>
          <w:rFonts w:hint="eastAsia" w:ascii="仿宋_GB2312" w:eastAsia="仿宋_GB2312" w:cs="仿宋_GB2312"/>
          <w:color w:val="auto"/>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460.09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488.01万元</w:t>
      </w:r>
      <w:r>
        <w:rPr>
          <w:rFonts w:hint="eastAsia" w:ascii="Times New Roman" w:hAnsi="Times New Roman" w:eastAsia="仿宋_GB2312" w:cs="仿宋_GB2312"/>
          <w:color w:val="auto"/>
          <w:kern w:val="2"/>
          <w:sz w:val="32"/>
          <w:szCs w:val="32"/>
          <w:highlight w:val="none"/>
          <w:lang w:val="en-US" w:eastAsia="zh-CN" w:bidi="ar-SA"/>
        </w:rPr>
        <w:t>相比，一般公共预算财政拨款支出减少</w:t>
      </w:r>
      <w:r>
        <w:rPr>
          <w:rFonts w:hint="eastAsia" w:eastAsia="仿宋_GB2312" w:cs="仿宋_GB2312"/>
          <w:color w:val="auto"/>
          <w:kern w:val="2"/>
          <w:sz w:val="32"/>
          <w:szCs w:val="32"/>
          <w:highlight w:val="none"/>
          <w:lang w:val="en-US" w:eastAsia="zh-CN" w:bidi="ar-SA"/>
        </w:rPr>
        <w:t>27.92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sz w:val="32"/>
          <w:szCs w:val="32"/>
          <w:highlight w:val="none"/>
        </w:rPr>
        <w:t>下降</w:t>
      </w:r>
      <w:r>
        <w:rPr>
          <w:rFonts w:hint="eastAsia" w:eastAsia="仿宋_GB2312" w:cs="仿宋_GB2312"/>
          <w:color w:val="auto"/>
          <w:sz w:val="32"/>
          <w:szCs w:val="32"/>
          <w:highlight w:val="none"/>
          <w:lang w:val="en-US" w:eastAsia="zh-CN"/>
        </w:rPr>
        <w:t>5.7</w:t>
      </w:r>
      <w:r>
        <w:rPr>
          <w:rFonts w:hint="eastAsia" w:ascii="Times New Roman" w:hAnsi="Times New Roman" w:eastAsia="仿宋_GB2312" w:cs="仿宋_GB2312"/>
          <w:color w:val="auto"/>
          <w:sz w:val="32"/>
          <w:szCs w:val="32"/>
          <w:highlight w:val="none"/>
        </w:rPr>
        <w:t>%。主要变动原因是</w:t>
      </w:r>
      <w:r>
        <w:rPr>
          <w:rFonts w:hint="eastAsia" w:ascii="仿宋_GB2312" w:eastAsia="仿宋_GB2312" w:cs="仿宋_GB2312"/>
          <w:color w:val="auto"/>
          <w:sz w:val="32"/>
          <w:szCs w:val="32"/>
          <w:lang w:val="en-US" w:eastAsia="zh-CN"/>
        </w:rPr>
        <w:t>2024年有项目特种设备标准化管理平台升级及国产化适配项目39.50万元，此项目于2024年结束，而人员薪级晋升等原因而人员薪资经费增加，故综合下来2025年年度收入、支出较2024年有所减少。</w:t>
      </w:r>
    </w:p>
    <w:p w14:paraId="1824DA99">
      <w:pPr>
        <w:spacing w:line="600" w:lineRule="exact"/>
        <w:ind w:firstLine="640"/>
        <w:rPr>
          <w:rFonts w:hint="eastAsia" w:ascii="仿宋_GB2312" w:eastAsia="仿宋_GB2312" w:cs="仿宋_GB2312"/>
          <w:color w:val="auto"/>
          <w:sz w:val="32"/>
          <w:szCs w:val="32"/>
          <w:lang w:val="en-US" w:eastAsia="zh-CN"/>
        </w:rPr>
      </w:pPr>
      <w:r>
        <w:rPr>
          <w:rFonts w:hint="eastAsia" w:ascii="仿宋_GB2312" w:hAnsi="仿宋" w:eastAsia="仿宋_GB2312" w:cs="仿宋"/>
          <w:color w:val="000000"/>
          <w:sz w:val="32"/>
          <w:szCs w:val="32"/>
          <w:lang w:val="en-US" w:eastAsia="zh-CN"/>
        </w:rPr>
        <w:drawing>
          <wp:anchor distT="0" distB="0" distL="114300" distR="114300" simplePos="0" relativeHeight="251663360" behindDoc="1" locked="0" layoutInCell="1" allowOverlap="1">
            <wp:simplePos x="0" y="0"/>
            <wp:positionH relativeFrom="column">
              <wp:posOffset>306705</wp:posOffset>
            </wp:positionH>
            <wp:positionV relativeFrom="paragraph">
              <wp:posOffset>69850</wp:posOffset>
            </wp:positionV>
            <wp:extent cx="4937760" cy="1773555"/>
            <wp:effectExtent l="4445" t="4445" r="10795" b="1270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2DAADC8">
      <w:pPr>
        <w:pStyle w:val="38"/>
        <w:rPr>
          <w:rFonts w:hint="eastAsia" w:ascii="仿宋_GB2312" w:eastAsia="仿宋_GB2312" w:cs="仿宋_GB2312"/>
          <w:color w:val="auto"/>
          <w:sz w:val="32"/>
          <w:szCs w:val="32"/>
          <w:lang w:val="en-US" w:eastAsia="zh-CN"/>
        </w:rPr>
      </w:pPr>
    </w:p>
    <w:p w14:paraId="4EC90933">
      <w:pPr>
        <w:pStyle w:val="38"/>
        <w:rPr>
          <w:rFonts w:hint="eastAsia" w:ascii="仿宋_GB2312" w:eastAsia="仿宋_GB2312" w:cs="仿宋_GB2312"/>
          <w:color w:val="auto"/>
          <w:sz w:val="32"/>
          <w:szCs w:val="32"/>
          <w:lang w:val="en-US" w:eastAsia="zh-CN"/>
        </w:rPr>
      </w:pPr>
    </w:p>
    <w:p w14:paraId="016D55D3">
      <w:pPr>
        <w:pStyle w:val="38"/>
        <w:rPr>
          <w:rFonts w:hint="eastAsia" w:ascii="仿宋_GB2312" w:eastAsia="仿宋_GB2312" w:cs="仿宋_GB2312"/>
          <w:color w:val="auto"/>
          <w:sz w:val="32"/>
          <w:szCs w:val="32"/>
          <w:lang w:val="en-US" w:eastAsia="zh-CN"/>
        </w:rPr>
      </w:pPr>
    </w:p>
    <w:p w14:paraId="0641A43E">
      <w:pPr>
        <w:spacing w:line="600" w:lineRule="exact"/>
        <w:ind w:firstLine="640"/>
        <w:rPr>
          <w:rFonts w:hint="eastAsia" w:ascii="仿宋_GB2312" w:eastAsia="仿宋_GB2312" w:cs="仿宋_GB2312"/>
          <w:color w:val="auto"/>
          <w:sz w:val="32"/>
          <w:szCs w:val="32"/>
          <w:lang w:val="en-US" w:eastAsia="zh-CN"/>
        </w:rPr>
      </w:pPr>
    </w:p>
    <w:p w14:paraId="0A388975">
      <w:pPr>
        <w:spacing w:line="600" w:lineRule="exact"/>
        <w:ind w:firstLine="640"/>
        <w:rPr>
          <w:rFonts w:hint="eastAsia" w:ascii="仿宋_GB2312" w:eastAsia="仿宋_GB2312" w:cs="仿宋_GB2312"/>
          <w:color w:val="auto"/>
          <w:sz w:val="32"/>
          <w:szCs w:val="32"/>
          <w:lang w:val="en-US" w:eastAsia="zh-CN"/>
        </w:rPr>
      </w:pPr>
    </w:p>
    <w:p w14:paraId="467793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28"/>
          <w:szCs w:val="28"/>
          <w:highlight w:val="none"/>
          <w:lang w:val="en-US" w:eastAsia="zh-CN" w:bidi="ar-SA"/>
        </w:rPr>
        <w:t>（图5：一般公共预算财政拨款支出决算变动情况）（柱状图）</w:t>
      </w:r>
    </w:p>
    <w:p w14:paraId="3F74FC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2BC2C6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460.09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365.39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49.25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18.58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4.0</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26.87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w:t>
      </w:r>
    </w:p>
    <w:p w14:paraId="116C289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sz w:val="32"/>
          <w:szCs w:val="32"/>
          <w:lang w:val="en-US" w:eastAsia="zh-CN"/>
        </w:rPr>
        <w:drawing>
          <wp:anchor distT="0" distB="0" distL="114300" distR="114300" simplePos="0" relativeHeight="251664384" behindDoc="1" locked="0" layoutInCell="1" allowOverlap="1">
            <wp:simplePos x="0" y="0"/>
            <wp:positionH relativeFrom="column">
              <wp:posOffset>540385</wp:posOffset>
            </wp:positionH>
            <wp:positionV relativeFrom="paragraph">
              <wp:posOffset>287655</wp:posOffset>
            </wp:positionV>
            <wp:extent cx="4622800" cy="3058160"/>
            <wp:effectExtent l="4445" t="4445" r="20955" b="2349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2BD7C1B4">
      <w:pPr>
        <w:pStyle w:val="38"/>
        <w:rPr>
          <w:rFonts w:hint="eastAsia" w:ascii="Times New Roman" w:hAnsi="Times New Roman" w:eastAsia="仿宋_GB2312" w:cs="仿宋_GB2312"/>
          <w:color w:val="auto"/>
          <w:kern w:val="2"/>
          <w:sz w:val="32"/>
          <w:szCs w:val="32"/>
          <w:highlight w:val="none"/>
          <w:lang w:val="en-US" w:eastAsia="zh-CN" w:bidi="ar-SA"/>
        </w:rPr>
      </w:pPr>
    </w:p>
    <w:p w14:paraId="7637D3DC">
      <w:pPr>
        <w:pStyle w:val="38"/>
        <w:rPr>
          <w:rFonts w:hint="eastAsia" w:ascii="Times New Roman" w:hAnsi="Times New Roman" w:eastAsia="仿宋_GB2312" w:cs="仿宋_GB2312"/>
          <w:color w:val="auto"/>
          <w:kern w:val="2"/>
          <w:sz w:val="32"/>
          <w:szCs w:val="32"/>
          <w:highlight w:val="none"/>
          <w:lang w:val="en-US" w:eastAsia="zh-CN" w:bidi="ar-SA"/>
        </w:rPr>
      </w:pPr>
    </w:p>
    <w:p w14:paraId="2F6ED8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5D46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903A9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04DE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EF01C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BFD8E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DC2D0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258260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5DB5D1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7" w:name="_Toc15378460"/>
      <w:bookmarkStart w:id="28" w:name="_Toc15377444"/>
      <w:bookmarkStart w:id="29"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460.09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7"/>
      <w:bookmarkEnd w:id="28"/>
      <w:bookmarkEnd w:id="29"/>
    </w:p>
    <w:p w14:paraId="654DD9D9">
      <w:pPr>
        <w:pageBreakBefore w:val="0"/>
        <w:numPr>
          <w:ilvl w:val="0"/>
          <w:numId w:val="1"/>
        </w:numPr>
        <w:kinsoku/>
        <w:wordWrap/>
        <w:overflowPunct/>
        <w:topLinePunct w:val="0"/>
        <w:bidi w:val="0"/>
        <w:spacing w:line="560" w:lineRule="exact"/>
        <w:ind w:firstLine="640"/>
        <w:rPr>
          <w:rStyle w:val="20"/>
          <w:rFonts w:hint="eastAsia" w:ascii="仿宋" w:hAnsi="仿宋" w:eastAsia="仿宋"/>
          <w:b w:val="0"/>
          <w:bCs/>
          <w:sz w:val="32"/>
          <w:szCs w:val="32"/>
        </w:rPr>
      </w:pPr>
      <w:r>
        <w:rPr>
          <w:rStyle w:val="20"/>
          <w:rFonts w:hint="eastAsia" w:ascii="仿宋" w:hAnsi="仿宋" w:eastAsia="仿宋"/>
          <w:bCs/>
          <w:color w:val="000000"/>
          <w:sz w:val="32"/>
          <w:szCs w:val="32"/>
        </w:rPr>
        <w:t>一般公共服务（</w:t>
      </w:r>
      <w:r>
        <w:rPr>
          <w:rStyle w:val="20"/>
          <w:rFonts w:hint="eastAsia" w:ascii="仿宋" w:hAnsi="仿宋" w:eastAsia="仿宋"/>
          <w:bCs/>
          <w:color w:val="000000"/>
          <w:sz w:val="32"/>
          <w:szCs w:val="32"/>
          <w:lang w:eastAsia="zh-CN"/>
        </w:rPr>
        <w:t>功能分类科目</w:t>
      </w:r>
      <w:r>
        <w:rPr>
          <w:rStyle w:val="20"/>
          <w:rFonts w:hint="eastAsia" w:ascii="仿宋" w:hAnsi="仿宋" w:eastAsia="仿宋"/>
          <w:bCs/>
          <w:color w:val="000000"/>
          <w:sz w:val="32"/>
          <w:szCs w:val="32"/>
          <w:lang w:val="en-US" w:eastAsia="zh-CN"/>
        </w:rPr>
        <w:t>201</w:t>
      </w:r>
      <w:r>
        <w:rPr>
          <w:rStyle w:val="20"/>
          <w:rFonts w:hint="eastAsia" w:ascii="仿宋" w:hAnsi="仿宋" w:eastAsia="仿宋"/>
          <w:bCs/>
          <w:color w:val="000000"/>
          <w:sz w:val="32"/>
          <w:szCs w:val="32"/>
        </w:rPr>
        <w:t>）</w:t>
      </w:r>
      <w:r>
        <w:rPr>
          <w:rStyle w:val="20"/>
          <w:rFonts w:hint="eastAsia" w:ascii="仿宋" w:hAnsi="仿宋" w:eastAsia="仿宋"/>
          <w:bCs/>
          <w:color w:val="000000"/>
          <w:sz w:val="32"/>
          <w:szCs w:val="32"/>
          <w:lang w:eastAsia="zh-CN"/>
        </w:rPr>
        <w:t>：</w:t>
      </w:r>
      <w:r>
        <w:rPr>
          <w:rStyle w:val="20"/>
          <w:rFonts w:hint="eastAsia" w:ascii="仿宋" w:hAnsi="仿宋" w:eastAsia="仿宋"/>
          <w:b w:val="0"/>
          <w:bCs/>
          <w:color w:val="000000"/>
          <w:sz w:val="32"/>
          <w:szCs w:val="32"/>
          <w:lang w:eastAsia="zh-CN"/>
        </w:rPr>
        <w:t>支出决算</w:t>
      </w:r>
      <w:r>
        <w:rPr>
          <w:rStyle w:val="20"/>
          <w:rFonts w:hint="eastAsia" w:ascii="仿宋" w:hAnsi="仿宋" w:eastAsia="仿宋"/>
          <w:b w:val="0"/>
          <w:bCs/>
          <w:color w:val="000000"/>
          <w:sz w:val="32"/>
          <w:szCs w:val="32"/>
          <w:lang w:val="en-US" w:eastAsia="zh-CN"/>
        </w:rPr>
        <w:t>365.39万元，</w:t>
      </w:r>
      <w:r>
        <w:rPr>
          <w:rStyle w:val="20"/>
          <w:rFonts w:hint="eastAsia" w:ascii="仿宋" w:hAnsi="仿宋" w:eastAsia="仿宋"/>
          <w:b w:val="0"/>
          <w:bCs/>
          <w:color w:val="000000"/>
          <w:sz w:val="32"/>
          <w:szCs w:val="32"/>
        </w:rPr>
        <w:t>完成预算</w:t>
      </w:r>
      <w:r>
        <w:rPr>
          <w:rStyle w:val="20"/>
          <w:rFonts w:hint="eastAsia" w:ascii="仿宋" w:hAnsi="仿宋" w:eastAsia="仿宋"/>
          <w:b w:val="0"/>
          <w:bCs/>
          <w:color w:val="000000"/>
          <w:sz w:val="32"/>
          <w:szCs w:val="32"/>
          <w:lang w:val="en-US" w:eastAsia="zh-CN"/>
        </w:rPr>
        <w:t>100.00</w:t>
      </w:r>
      <w:r>
        <w:rPr>
          <w:rStyle w:val="20"/>
          <w:rFonts w:ascii="仿宋" w:hAnsi="仿宋" w:eastAsia="仿宋"/>
          <w:b w:val="0"/>
          <w:bCs/>
          <w:color w:val="000000"/>
          <w:sz w:val="32"/>
          <w:szCs w:val="32"/>
        </w:rPr>
        <w:t>%</w:t>
      </w:r>
      <w:r>
        <w:rPr>
          <w:rStyle w:val="20"/>
          <w:rFonts w:hint="eastAsia" w:ascii="仿宋" w:hAnsi="仿宋" w:eastAsia="仿宋"/>
          <w:b w:val="0"/>
          <w:bCs/>
          <w:color w:val="000000"/>
          <w:sz w:val="32"/>
          <w:szCs w:val="32"/>
        </w:rPr>
        <w:t>，</w:t>
      </w:r>
      <w:r>
        <w:rPr>
          <w:rFonts w:hint="eastAsia" w:ascii="仿宋" w:hAnsi="仿宋" w:eastAsia="仿宋"/>
          <w:color w:val="000000"/>
          <w:sz w:val="32"/>
          <w:szCs w:val="32"/>
          <w:lang w:eastAsia="zh-CN"/>
        </w:rPr>
        <w:t>其中质量基础（功能科目</w:t>
      </w:r>
      <w:r>
        <w:rPr>
          <w:rFonts w:hint="eastAsia" w:ascii="仿宋" w:hAnsi="仿宋" w:eastAsia="仿宋"/>
          <w:color w:val="000000"/>
          <w:sz w:val="32"/>
          <w:szCs w:val="32"/>
          <w:lang w:val="en-US" w:eastAsia="zh-CN"/>
        </w:rPr>
        <w:t>2013810</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76.68万元，事业运行（功能科目2013850）288.71万元</w:t>
      </w:r>
      <w:r>
        <w:rPr>
          <w:rStyle w:val="20"/>
          <w:rFonts w:hint="eastAsia" w:ascii="仿宋" w:hAnsi="仿宋" w:eastAsia="仿宋"/>
          <w:b w:val="0"/>
          <w:bCs/>
          <w:sz w:val="32"/>
          <w:szCs w:val="32"/>
        </w:rPr>
        <w:t>。</w:t>
      </w:r>
    </w:p>
    <w:p w14:paraId="5523E3FC">
      <w:pPr>
        <w:pageBreakBefore w:val="0"/>
        <w:kinsoku/>
        <w:wordWrap/>
        <w:overflowPunct/>
        <w:topLinePunct w:val="0"/>
        <w:bidi w:val="0"/>
        <w:spacing w:line="560" w:lineRule="exact"/>
        <w:ind w:firstLine="640"/>
        <w:rPr>
          <w:rFonts w:hint="eastAsia" w:ascii="仿宋" w:hAnsi="仿宋" w:eastAsia="仿宋"/>
          <w:color w:val="000000"/>
          <w:sz w:val="32"/>
          <w:szCs w:val="32"/>
          <w:lang w:val="en-US" w:eastAsia="zh-CN"/>
        </w:rPr>
      </w:pPr>
      <w:r>
        <w:rPr>
          <w:rFonts w:hint="eastAsia" w:eastAsia="仿宋_GB2312" w:cs="仿宋_GB2312"/>
          <w:sz w:val="32"/>
          <w:szCs w:val="32"/>
          <w:lang w:val="en-US" w:eastAsia="zh-CN"/>
        </w:rPr>
        <w:t>2</w:t>
      </w:r>
      <w:r>
        <w:rPr>
          <w:rFonts w:hint="eastAsia" w:eastAsia="仿宋_GB2312" w:cs="仿宋_GB2312"/>
          <w:sz w:val="32"/>
          <w:szCs w:val="32"/>
        </w:rPr>
        <w:t>.</w:t>
      </w:r>
      <w:r>
        <w:rPr>
          <w:rStyle w:val="20"/>
          <w:rFonts w:hint="eastAsia" w:ascii="仿宋" w:hAnsi="仿宋" w:eastAsia="仿宋"/>
          <w:bCs/>
          <w:color w:val="000000"/>
          <w:sz w:val="32"/>
          <w:szCs w:val="32"/>
        </w:rPr>
        <w:t>社会保障和就业（</w:t>
      </w:r>
      <w:r>
        <w:rPr>
          <w:rStyle w:val="20"/>
          <w:rFonts w:hint="eastAsia" w:ascii="仿宋" w:hAnsi="仿宋" w:eastAsia="仿宋"/>
          <w:bCs/>
          <w:color w:val="000000"/>
          <w:sz w:val="32"/>
          <w:szCs w:val="32"/>
          <w:lang w:eastAsia="zh-CN"/>
        </w:rPr>
        <w:t>功能分类科目</w:t>
      </w:r>
      <w:r>
        <w:rPr>
          <w:rStyle w:val="20"/>
          <w:rFonts w:hint="eastAsia" w:ascii="仿宋" w:hAnsi="仿宋" w:eastAsia="仿宋"/>
          <w:bCs/>
          <w:color w:val="000000"/>
          <w:sz w:val="32"/>
          <w:szCs w:val="32"/>
          <w:lang w:val="en-US" w:eastAsia="zh-CN"/>
        </w:rPr>
        <w:t>208</w:t>
      </w:r>
      <w:r>
        <w:rPr>
          <w:rStyle w:val="20"/>
          <w:rFonts w:hint="eastAsia" w:ascii="仿宋" w:hAnsi="仿宋" w:eastAsia="仿宋"/>
          <w:bCs/>
          <w:color w:val="000000"/>
          <w:sz w:val="32"/>
          <w:szCs w:val="32"/>
        </w:rPr>
        <w:t>）</w:t>
      </w:r>
      <w:r>
        <w:rPr>
          <w:rStyle w:val="20"/>
          <w:rFonts w:hint="eastAsia" w:ascii="仿宋" w:hAnsi="仿宋" w:eastAsia="仿宋"/>
          <w:bCs/>
          <w:color w:val="000000"/>
          <w:sz w:val="32"/>
          <w:szCs w:val="32"/>
          <w:lang w:eastAsia="zh-CN"/>
        </w:rPr>
        <w:t>：</w:t>
      </w:r>
      <w:r>
        <w:rPr>
          <w:rStyle w:val="20"/>
          <w:rFonts w:ascii="仿宋" w:hAnsi="仿宋" w:eastAsia="仿宋"/>
          <w:b w:val="0"/>
          <w:bCs/>
          <w:color w:val="000000"/>
          <w:sz w:val="32"/>
          <w:szCs w:val="32"/>
        </w:rPr>
        <w:t xml:space="preserve"> </w:t>
      </w:r>
      <w:r>
        <w:rPr>
          <w:rStyle w:val="20"/>
          <w:rFonts w:hint="eastAsia" w:ascii="仿宋" w:hAnsi="仿宋" w:eastAsia="仿宋"/>
          <w:b w:val="0"/>
          <w:bCs/>
          <w:color w:val="000000"/>
          <w:sz w:val="32"/>
          <w:szCs w:val="32"/>
        </w:rPr>
        <w:t>支出决算</w:t>
      </w:r>
      <w:r>
        <w:rPr>
          <w:rFonts w:hint="eastAsia" w:ascii="仿宋" w:hAnsi="仿宋" w:eastAsia="仿宋"/>
          <w:color w:val="000000"/>
          <w:sz w:val="32"/>
          <w:szCs w:val="32"/>
          <w:lang w:val="en-US" w:eastAsia="zh-CN"/>
        </w:rPr>
        <w:t>49.25</w:t>
      </w:r>
      <w:r>
        <w:rPr>
          <w:rFonts w:hint="eastAsia" w:ascii="仿宋" w:hAnsi="仿宋" w:eastAsia="仿宋"/>
          <w:color w:val="000000"/>
          <w:sz w:val="32"/>
          <w:szCs w:val="32"/>
        </w:rPr>
        <w:t>万元，</w:t>
      </w:r>
      <w:r>
        <w:rPr>
          <w:rStyle w:val="20"/>
          <w:rFonts w:hint="eastAsia" w:ascii="仿宋" w:hAnsi="仿宋" w:eastAsia="仿宋"/>
          <w:b w:val="0"/>
          <w:bCs/>
          <w:color w:val="000000"/>
          <w:sz w:val="32"/>
          <w:szCs w:val="32"/>
        </w:rPr>
        <w:t>完成预算</w:t>
      </w:r>
      <w:r>
        <w:rPr>
          <w:rStyle w:val="20"/>
          <w:rFonts w:hint="eastAsia" w:ascii="仿宋" w:hAnsi="仿宋" w:eastAsia="仿宋"/>
          <w:b w:val="0"/>
          <w:bCs/>
          <w:color w:val="000000"/>
          <w:sz w:val="32"/>
          <w:szCs w:val="32"/>
          <w:lang w:val="en-US" w:eastAsia="zh-CN"/>
        </w:rPr>
        <w:t>100.00</w:t>
      </w:r>
      <w:r>
        <w:rPr>
          <w:rStyle w:val="20"/>
          <w:rFonts w:ascii="仿宋" w:hAnsi="仿宋" w:eastAsia="仿宋"/>
          <w:b w:val="0"/>
          <w:bCs/>
          <w:color w:val="000000"/>
          <w:sz w:val="32"/>
          <w:szCs w:val="32"/>
        </w:rPr>
        <w:t>%</w:t>
      </w:r>
      <w:r>
        <w:rPr>
          <w:rStyle w:val="20"/>
          <w:rFonts w:hint="eastAsia" w:ascii="仿宋" w:hAnsi="仿宋" w:eastAsia="仿宋"/>
          <w:b w:val="0"/>
          <w:bCs/>
          <w:color w:val="000000"/>
          <w:sz w:val="32"/>
          <w:szCs w:val="32"/>
        </w:rPr>
        <w:t>，</w:t>
      </w:r>
      <w:r>
        <w:rPr>
          <w:rFonts w:hint="eastAsia" w:ascii="仿宋" w:hAnsi="仿宋" w:eastAsia="仿宋"/>
          <w:color w:val="000000"/>
          <w:sz w:val="32"/>
          <w:szCs w:val="32"/>
          <w:lang w:val="en-US" w:eastAsia="zh-CN"/>
        </w:rPr>
        <w:t>其中机关事业单位基本养老保险缴费支出（功能科目2080505）32.89万元，机关事业单位职业年金缴费支出（功能科目2080506）16.36万元</w:t>
      </w:r>
    </w:p>
    <w:p w14:paraId="784040DF">
      <w:pPr>
        <w:pageBreakBefore w:val="0"/>
        <w:kinsoku/>
        <w:wordWrap/>
        <w:overflowPunct/>
        <w:topLinePunct w:val="0"/>
        <w:bidi w:val="0"/>
        <w:spacing w:line="560" w:lineRule="exact"/>
        <w:ind w:left="0" w:leftChars="0" w:firstLine="643" w:firstLineChars="200"/>
        <w:rPr>
          <w:rStyle w:val="20"/>
          <w:rFonts w:hint="eastAsia" w:ascii="仿宋" w:eastAsia="仿宋"/>
          <w:b w:val="0"/>
          <w:bCs/>
          <w:sz w:val="32"/>
          <w:szCs w:val="32"/>
        </w:rPr>
      </w:pPr>
      <w:r>
        <w:rPr>
          <w:rStyle w:val="20"/>
          <w:rFonts w:hint="eastAsia" w:ascii="仿宋" w:eastAsia="仿宋"/>
          <w:bCs/>
          <w:sz w:val="32"/>
          <w:szCs w:val="32"/>
          <w:lang w:val="en-US" w:eastAsia="zh-CN"/>
        </w:rPr>
        <w:t>4</w:t>
      </w:r>
      <w:r>
        <w:rPr>
          <w:rStyle w:val="20"/>
          <w:rFonts w:ascii="仿宋" w:eastAsia="仿宋"/>
          <w:bCs/>
          <w:sz w:val="32"/>
          <w:szCs w:val="32"/>
        </w:rPr>
        <w:t>.</w:t>
      </w:r>
      <w:r>
        <w:rPr>
          <w:rFonts w:hint="eastAsia" w:ascii="仿宋" w:hAnsi="仿宋" w:eastAsia="仿宋"/>
          <w:b/>
          <w:bCs/>
          <w:color w:val="000000"/>
          <w:sz w:val="32"/>
          <w:szCs w:val="32"/>
        </w:rPr>
        <w:t>卫生健康</w:t>
      </w:r>
      <w:r>
        <w:rPr>
          <w:rStyle w:val="20"/>
          <w:rFonts w:hint="eastAsia" w:ascii="仿宋" w:hAnsi="仿宋" w:eastAsia="仿宋"/>
          <w:bCs/>
          <w:color w:val="000000"/>
          <w:sz w:val="32"/>
          <w:szCs w:val="32"/>
        </w:rPr>
        <w:t>（</w:t>
      </w:r>
      <w:r>
        <w:rPr>
          <w:rStyle w:val="20"/>
          <w:rFonts w:hint="eastAsia" w:ascii="仿宋" w:hAnsi="仿宋" w:eastAsia="仿宋"/>
          <w:bCs/>
          <w:color w:val="000000"/>
          <w:sz w:val="32"/>
          <w:szCs w:val="32"/>
          <w:lang w:eastAsia="zh-CN"/>
        </w:rPr>
        <w:t>功能分类科目</w:t>
      </w:r>
      <w:r>
        <w:rPr>
          <w:rStyle w:val="20"/>
          <w:rFonts w:hint="eastAsia" w:ascii="仿宋" w:hAnsi="仿宋" w:eastAsia="仿宋"/>
          <w:bCs/>
          <w:color w:val="000000"/>
          <w:sz w:val="32"/>
          <w:szCs w:val="32"/>
          <w:lang w:val="en-US" w:eastAsia="zh-CN"/>
        </w:rPr>
        <w:t>210</w:t>
      </w:r>
      <w:r>
        <w:rPr>
          <w:rStyle w:val="20"/>
          <w:rFonts w:hint="eastAsia" w:ascii="仿宋" w:hAnsi="仿宋" w:eastAsia="仿宋"/>
          <w:bCs/>
          <w:color w:val="000000"/>
          <w:sz w:val="32"/>
          <w:szCs w:val="32"/>
        </w:rPr>
        <w:t>）</w:t>
      </w:r>
      <w:r>
        <w:rPr>
          <w:rStyle w:val="20"/>
          <w:rFonts w:hint="eastAsia" w:ascii="仿宋" w:hAnsi="仿宋" w:eastAsia="仿宋"/>
          <w:bCs/>
          <w:color w:val="000000"/>
          <w:sz w:val="32"/>
          <w:szCs w:val="32"/>
          <w:lang w:eastAsia="zh-CN"/>
        </w:rPr>
        <w:t>：</w:t>
      </w:r>
      <w:r>
        <w:rPr>
          <w:rStyle w:val="20"/>
          <w:rFonts w:hint="eastAsia" w:ascii="仿宋" w:hAnsi="仿宋" w:eastAsia="仿宋"/>
          <w:b w:val="0"/>
          <w:bCs/>
          <w:color w:val="000000"/>
          <w:sz w:val="32"/>
          <w:szCs w:val="32"/>
        </w:rPr>
        <w:t>支出决算为</w:t>
      </w:r>
      <w:r>
        <w:rPr>
          <w:rFonts w:hint="eastAsia" w:ascii="仿宋" w:hAnsi="仿宋" w:eastAsia="仿宋"/>
          <w:color w:val="000000"/>
          <w:sz w:val="32"/>
          <w:szCs w:val="32"/>
          <w:lang w:val="en-US" w:eastAsia="zh-CN"/>
        </w:rPr>
        <w:t>18.58</w:t>
      </w:r>
      <w:r>
        <w:rPr>
          <w:rFonts w:hint="eastAsia" w:ascii="仿宋" w:hAnsi="仿宋" w:eastAsia="仿宋"/>
          <w:color w:val="000000"/>
          <w:sz w:val="32"/>
          <w:szCs w:val="32"/>
        </w:rPr>
        <w:t>万元，</w:t>
      </w:r>
      <w:r>
        <w:rPr>
          <w:rStyle w:val="20"/>
          <w:rFonts w:hint="eastAsia" w:ascii="仿宋" w:hAnsi="仿宋" w:eastAsia="仿宋"/>
          <w:b w:val="0"/>
          <w:bCs/>
          <w:color w:val="000000"/>
          <w:sz w:val="32"/>
          <w:szCs w:val="32"/>
        </w:rPr>
        <w:t>完成预算</w:t>
      </w:r>
      <w:r>
        <w:rPr>
          <w:rStyle w:val="20"/>
          <w:rFonts w:hint="eastAsia" w:ascii="仿宋" w:hAnsi="仿宋" w:eastAsia="仿宋"/>
          <w:b w:val="0"/>
          <w:bCs/>
          <w:color w:val="000000"/>
          <w:sz w:val="32"/>
          <w:szCs w:val="32"/>
          <w:lang w:val="en-US" w:eastAsia="zh-CN"/>
        </w:rPr>
        <w:t>100.00</w:t>
      </w:r>
      <w:r>
        <w:rPr>
          <w:rStyle w:val="20"/>
          <w:rFonts w:ascii="仿宋" w:hAnsi="仿宋" w:eastAsia="仿宋"/>
          <w:b w:val="0"/>
          <w:bCs/>
          <w:color w:val="000000"/>
          <w:sz w:val="32"/>
          <w:szCs w:val="32"/>
        </w:rPr>
        <w:t>%</w:t>
      </w:r>
      <w:r>
        <w:rPr>
          <w:rStyle w:val="20"/>
          <w:rFonts w:hint="eastAsia" w:ascii="仿宋" w:hAnsi="仿宋" w:eastAsia="仿宋"/>
          <w:b w:val="0"/>
          <w:bCs/>
          <w:color w:val="000000"/>
          <w:sz w:val="32"/>
          <w:szCs w:val="32"/>
          <w:lang w:eastAsia="zh-CN"/>
        </w:rPr>
        <w:t>，</w:t>
      </w:r>
      <w:r>
        <w:rPr>
          <w:rFonts w:hint="eastAsia" w:ascii="仿宋" w:hAnsi="仿宋" w:eastAsia="仿宋"/>
          <w:color w:val="000000"/>
          <w:sz w:val="32"/>
          <w:szCs w:val="32"/>
          <w:lang w:val="en-US" w:eastAsia="zh-CN"/>
        </w:rPr>
        <w:t>其中事业单位医疗（功能科目2101102）15.62万元，其他行政事业单位医疗支出（功能科目2101199）2.97万元</w:t>
      </w:r>
      <w:r>
        <w:rPr>
          <w:rStyle w:val="20"/>
          <w:rFonts w:hint="eastAsia" w:ascii="仿宋" w:eastAsia="仿宋"/>
          <w:b w:val="0"/>
          <w:bCs/>
          <w:sz w:val="32"/>
          <w:szCs w:val="32"/>
        </w:rPr>
        <w:t>。</w:t>
      </w:r>
    </w:p>
    <w:p w14:paraId="6DC297CC">
      <w:pPr>
        <w:pStyle w:val="38"/>
        <w:pageBreakBefore w:val="0"/>
        <w:kinsoku/>
        <w:wordWrap/>
        <w:overflowPunct/>
        <w:topLinePunct w:val="0"/>
        <w:bidi w:val="0"/>
        <w:spacing w:line="56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Style w:val="20"/>
          <w:rFonts w:hint="eastAsia" w:ascii="仿宋" w:eastAsia="仿宋"/>
          <w:bCs/>
          <w:sz w:val="32"/>
          <w:szCs w:val="32"/>
          <w:lang w:val="en-US" w:eastAsia="zh-CN"/>
        </w:rPr>
        <w:t>5</w:t>
      </w:r>
      <w:r>
        <w:rPr>
          <w:rStyle w:val="20"/>
          <w:rFonts w:ascii="仿宋" w:eastAsia="仿宋"/>
          <w:bCs/>
          <w:sz w:val="32"/>
          <w:szCs w:val="32"/>
        </w:rPr>
        <w:t>.</w:t>
      </w:r>
      <w:r>
        <w:rPr>
          <w:rFonts w:hint="eastAsia" w:ascii="仿宋" w:hAnsi="仿宋" w:eastAsia="仿宋"/>
          <w:b/>
          <w:bCs/>
          <w:color w:val="000000"/>
          <w:sz w:val="32"/>
          <w:szCs w:val="32"/>
          <w:lang w:eastAsia="zh-CN"/>
        </w:rPr>
        <w:t>住房保障支出</w:t>
      </w:r>
      <w:r>
        <w:rPr>
          <w:rStyle w:val="20"/>
          <w:rFonts w:hint="eastAsia" w:ascii="仿宋" w:hAnsi="仿宋" w:eastAsia="仿宋"/>
          <w:bCs/>
          <w:color w:val="000000"/>
          <w:sz w:val="32"/>
          <w:szCs w:val="32"/>
        </w:rPr>
        <w:t>（</w:t>
      </w:r>
      <w:r>
        <w:rPr>
          <w:rStyle w:val="20"/>
          <w:rFonts w:hint="eastAsia" w:ascii="仿宋" w:hAnsi="仿宋" w:eastAsia="仿宋"/>
          <w:bCs/>
          <w:color w:val="000000"/>
          <w:sz w:val="32"/>
          <w:szCs w:val="32"/>
          <w:lang w:eastAsia="zh-CN"/>
        </w:rPr>
        <w:t>功能分类科目</w:t>
      </w:r>
      <w:r>
        <w:rPr>
          <w:rStyle w:val="20"/>
          <w:rFonts w:hint="eastAsia" w:ascii="仿宋" w:hAnsi="仿宋" w:eastAsia="仿宋"/>
          <w:bCs/>
          <w:color w:val="000000"/>
          <w:sz w:val="32"/>
          <w:szCs w:val="32"/>
          <w:lang w:val="en-US" w:eastAsia="zh-CN"/>
        </w:rPr>
        <w:t>221</w:t>
      </w:r>
      <w:r>
        <w:rPr>
          <w:rStyle w:val="20"/>
          <w:rFonts w:hint="eastAsia" w:ascii="仿宋" w:hAnsi="仿宋" w:eastAsia="仿宋"/>
          <w:bCs/>
          <w:color w:val="000000"/>
          <w:sz w:val="32"/>
          <w:szCs w:val="32"/>
        </w:rPr>
        <w:t>）</w:t>
      </w:r>
      <w:r>
        <w:rPr>
          <w:rStyle w:val="20"/>
          <w:rFonts w:hint="eastAsia" w:ascii="仿宋" w:hAnsi="仿宋" w:eastAsia="仿宋"/>
          <w:bCs/>
          <w:color w:val="000000"/>
          <w:sz w:val="32"/>
          <w:szCs w:val="32"/>
          <w:lang w:eastAsia="zh-CN"/>
        </w:rPr>
        <w:t>：</w:t>
      </w:r>
      <w:r>
        <w:rPr>
          <w:rStyle w:val="20"/>
          <w:rFonts w:hint="eastAsia" w:ascii="仿宋" w:hAnsi="仿宋" w:eastAsia="仿宋" w:cs="Times New Roman"/>
          <w:b w:val="0"/>
          <w:bCs/>
          <w:color w:val="000000"/>
          <w:kern w:val="2"/>
          <w:sz w:val="32"/>
          <w:szCs w:val="32"/>
          <w:lang w:val="en-US" w:eastAsia="zh-CN" w:bidi="ar-SA"/>
        </w:rPr>
        <w:t>支出结算26.87万元，</w:t>
      </w:r>
      <w:r>
        <w:rPr>
          <w:rStyle w:val="20"/>
          <w:rFonts w:hint="eastAsia" w:ascii="仿宋" w:hAnsi="仿宋" w:eastAsia="仿宋"/>
          <w:b w:val="0"/>
          <w:bCs/>
          <w:color w:val="000000"/>
          <w:sz w:val="32"/>
          <w:szCs w:val="32"/>
        </w:rPr>
        <w:t>完成预算</w:t>
      </w:r>
      <w:r>
        <w:rPr>
          <w:rStyle w:val="20"/>
          <w:rFonts w:hint="eastAsia" w:ascii="仿宋" w:hAnsi="仿宋" w:eastAsia="仿宋"/>
          <w:b w:val="0"/>
          <w:bCs/>
          <w:color w:val="000000"/>
          <w:sz w:val="32"/>
          <w:szCs w:val="32"/>
          <w:lang w:val="en-US" w:eastAsia="zh-CN"/>
        </w:rPr>
        <w:t>100.00</w:t>
      </w:r>
      <w:r>
        <w:rPr>
          <w:rStyle w:val="20"/>
          <w:rFonts w:ascii="仿宋" w:hAnsi="仿宋" w:eastAsia="仿宋"/>
          <w:b w:val="0"/>
          <w:bCs/>
          <w:color w:val="000000"/>
          <w:sz w:val="32"/>
          <w:szCs w:val="32"/>
        </w:rPr>
        <w:t>%</w:t>
      </w:r>
      <w:r>
        <w:rPr>
          <w:rStyle w:val="20"/>
          <w:rFonts w:hint="eastAsia" w:ascii="仿宋" w:hAnsi="仿宋" w:eastAsia="仿宋"/>
          <w:b w:val="0"/>
          <w:bCs/>
          <w:color w:val="000000"/>
          <w:sz w:val="32"/>
          <w:szCs w:val="32"/>
          <w:lang w:eastAsia="zh-CN"/>
        </w:rPr>
        <w:t>，</w:t>
      </w:r>
      <w:r>
        <w:rPr>
          <w:rFonts w:hint="eastAsia" w:ascii="仿宋" w:hAnsi="仿宋" w:eastAsia="仿宋"/>
          <w:color w:val="000000"/>
          <w:sz w:val="32"/>
          <w:szCs w:val="32"/>
          <w:lang w:val="en-US" w:eastAsia="zh-CN"/>
        </w:rPr>
        <w:t>其中住房公积金（功能科目2210201）26.87万元。</w:t>
      </w:r>
    </w:p>
    <w:p w14:paraId="40E4FAFB">
      <w:pPr>
        <w:tabs>
          <w:tab w:val="right" w:pos="8306"/>
        </w:tabs>
        <w:spacing w:line="600" w:lineRule="exact"/>
        <w:ind w:firstLine="640"/>
        <w:outlineLvl w:val="1"/>
        <w:rPr>
          <w:rStyle w:val="32"/>
          <w:rFonts w:ascii="Times New Roman" w:hAnsi="Times New Roman"/>
          <w:color w:val="auto"/>
          <w:highlight w:val="none"/>
        </w:rPr>
      </w:pPr>
      <w:bookmarkStart w:id="30" w:name="_Toc15377214"/>
      <w:bookmarkStart w:id="31"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0"/>
      <w:bookmarkEnd w:id="31"/>
      <w:r>
        <w:rPr>
          <w:rStyle w:val="32"/>
          <w:rFonts w:ascii="Times New Roman" w:hAnsi="Times New Roman" w:eastAsia="黑体"/>
          <w:b w:val="0"/>
          <w:color w:val="auto"/>
          <w:highlight w:val="none"/>
        </w:rPr>
        <w:tab/>
      </w:r>
    </w:p>
    <w:p w14:paraId="0F57B0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383.41</w:t>
      </w:r>
      <w:r>
        <w:rPr>
          <w:rFonts w:hint="eastAsia" w:ascii="Times New Roman" w:hAnsi="Times New Roman" w:eastAsia="仿宋_GB2312" w:cs="仿宋_GB2312"/>
          <w:color w:val="auto"/>
          <w:kern w:val="2"/>
          <w:sz w:val="32"/>
          <w:szCs w:val="32"/>
          <w:highlight w:val="none"/>
          <w:lang w:val="en-US" w:eastAsia="zh-CN" w:bidi="ar-SA"/>
        </w:rPr>
        <w:t>万元，其中：</w:t>
      </w:r>
    </w:p>
    <w:p w14:paraId="7C1C39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342.48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 w:hAnsi="仿宋" w:eastAsia="仿宋"/>
          <w:sz w:val="32"/>
          <w:szCs w:val="32"/>
        </w:rPr>
        <w:t>基本工资</w:t>
      </w:r>
      <w:r>
        <w:rPr>
          <w:rFonts w:hint="eastAsia" w:ascii="仿宋" w:hAnsi="仿宋" w:eastAsia="仿宋"/>
          <w:sz w:val="32"/>
          <w:szCs w:val="32"/>
          <w:lang w:val="en-US" w:eastAsia="zh-CN"/>
        </w:rPr>
        <w:t>80.75万元</w:t>
      </w:r>
      <w:r>
        <w:rPr>
          <w:rFonts w:hint="eastAsia" w:ascii="仿宋" w:hAnsi="仿宋" w:eastAsia="仿宋"/>
          <w:sz w:val="32"/>
          <w:szCs w:val="32"/>
        </w:rPr>
        <w:t>、津贴补贴</w:t>
      </w:r>
      <w:r>
        <w:rPr>
          <w:rFonts w:hint="eastAsia" w:ascii="仿宋" w:hAnsi="仿宋" w:eastAsia="仿宋"/>
          <w:sz w:val="32"/>
          <w:szCs w:val="32"/>
          <w:lang w:val="en-US" w:eastAsia="zh-CN"/>
        </w:rPr>
        <w:t>18.15万元</w:t>
      </w:r>
      <w:r>
        <w:rPr>
          <w:rFonts w:hint="eastAsia" w:ascii="仿宋" w:hAnsi="仿宋" w:eastAsia="仿宋"/>
          <w:sz w:val="32"/>
          <w:szCs w:val="32"/>
        </w:rPr>
        <w:t>、奖金</w:t>
      </w:r>
      <w:r>
        <w:rPr>
          <w:rFonts w:hint="eastAsia" w:ascii="仿宋" w:hAnsi="仿宋" w:eastAsia="仿宋"/>
          <w:sz w:val="32"/>
          <w:szCs w:val="32"/>
          <w:lang w:val="en-US" w:eastAsia="zh-CN"/>
        </w:rPr>
        <w:t>72.42万元</w:t>
      </w:r>
      <w:r>
        <w:rPr>
          <w:rFonts w:hint="eastAsia" w:ascii="仿宋" w:hAnsi="仿宋" w:eastAsia="仿宋"/>
          <w:sz w:val="32"/>
          <w:szCs w:val="32"/>
        </w:rPr>
        <w:t>、</w:t>
      </w:r>
      <w:r>
        <w:rPr>
          <w:rFonts w:hint="eastAsia" w:ascii="仿宋" w:hAnsi="仿宋" w:eastAsia="仿宋"/>
          <w:sz w:val="32"/>
          <w:szCs w:val="32"/>
          <w:lang w:eastAsia="zh-CN"/>
        </w:rPr>
        <w:t>伙食补助费</w:t>
      </w:r>
      <w:r>
        <w:rPr>
          <w:rFonts w:hint="eastAsia" w:ascii="仿宋" w:hAnsi="仿宋" w:eastAsia="仿宋"/>
          <w:sz w:val="32"/>
          <w:szCs w:val="32"/>
          <w:lang w:val="en-US" w:eastAsia="zh-CN"/>
        </w:rPr>
        <w:t>2.5万元、</w:t>
      </w:r>
      <w:r>
        <w:rPr>
          <w:rFonts w:hint="eastAsia" w:ascii="仿宋" w:hAnsi="仿宋" w:eastAsia="仿宋"/>
          <w:sz w:val="32"/>
          <w:szCs w:val="32"/>
        </w:rPr>
        <w:t>绩效工资</w:t>
      </w:r>
      <w:r>
        <w:rPr>
          <w:rFonts w:hint="eastAsia" w:ascii="仿宋" w:hAnsi="仿宋" w:eastAsia="仿宋"/>
          <w:sz w:val="32"/>
          <w:szCs w:val="32"/>
          <w:lang w:val="en-US" w:eastAsia="zh-CN"/>
        </w:rPr>
        <w:t>72.32万元</w:t>
      </w:r>
      <w:r>
        <w:rPr>
          <w:rFonts w:hint="eastAsia" w:ascii="仿宋" w:hAnsi="仿宋" w:eastAsia="仿宋"/>
          <w:sz w:val="32"/>
          <w:szCs w:val="32"/>
        </w:rPr>
        <w:t>、机关事业单位基本养老保险缴费</w:t>
      </w:r>
      <w:r>
        <w:rPr>
          <w:rFonts w:hint="eastAsia" w:ascii="仿宋" w:hAnsi="仿宋" w:eastAsia="仿宋"/>
          <w:sz w:val="32"/>
          <w:szCs w:val="32"/>
          <w:lang w:val="en-US" w:eastAsia="zh-CN"/>
        </w:rPr>
        <w:t>32.89万元</w:t>
      </w:r>
      <w:r>
        <w:rPr>
          <w:rFonts w:hint="eastAsia" w:ascii="仿宋" w:hAnsi="仿宋" w:eastAsia="仿宋"/>
          <w:sz w:val="32"/>
          <w:szCs w:val="32"/>
        </w:rPr>
        <w:t>、职业年金缴费</w:t>
      </w:r>
      <w:r>
        <w:rPr>
          <w:rFonts w:hint="eastAsia" w:ascii="仿宋" w:hAnsi="仿宋" w:eastAsia="仿宋"/>
          <w:sz w:val="32"/>
          <w:szCs w:val="32"/>
          <w:lang w:val="en-US" w:eastAsia="zh-CN"/>
        </w:rPr>
        <w:t>16.36万元</w:t>
      </w:r>
      <w:r>
        <w:rPr>
          <w:rFonts w:hint="eastAsia" w:ascii="仿宋" w:hAnsi="仿宋" w:eastAsia="仿宋"/>
          <w:sz w:val="32"/>
          <w:szCs w:val="32"/>
        </w:rPr>
        <w:t>、</w:t>
      </w:r>
      <w:r>
        <w:rPr>
          <w:rFonts w:hint="eastAsia" w:ascii="仿宋" w:hAnsi="仿宋" w:eastAsia="仿宋"/>
          <w:sz w:val="32"/>
          <w:szCs w:val="32"/>
          <w:lang w:eastAsia="zh-CN"/>
        </w:rPr>
        <w:t>职工基本医疗保险费</w:t>
      </w:r>
      <w:r>
        <w:rPr>
          <w:rFonts w:hint="eastAsia" w:ascii="仿宋" w:hAnsi="仿宋" w:eastAsia="仿宋"/>
          <w:sz w:val="32"/>
          <w:szCs w:val="32"/>
          <w:lang w:val="en-US" w:eastAsia="zh-CN"/>
        </w:rPr>
        <w:t>15.62万元、</w:t>
      </w:r>
      <w:r>
        <w:rPr>
          <w:rFonts w:hint="eastAsia" w:ascii="仿宋" w:hAnsi="仿宋" w:eastAsia="仿宋"/>
          <w:sz w:val="32"/>
          <w:szCs w:val="32"/>
        </w:rPr>
        <w:t>其他社会保障缴费</w:t>
      </w:r>
      <w:r>
        <w:rPr>
          <w:rFonts w:hint="eastAsia" w:ascii="仿宋" w:hAnsi="仿宋" w:eastAsia="仿宋"/>
          <w:sz w:val="32"/>
          <w:szCs w:val="32"/>
          <w:lang w:val="en-US" w:eastAsia="zh-CN"/>
        </w:rPr>
        <w:t>4.59万元</w:t>
      </w:r>
      <w:r>
        <w:rPr>
          <w:rFonts w:hint="eastAsia" w:ascii="仿宋" w:hAnsi="仿宋" w:eastAsia="仿宋"/>
          <w:sz w:val="32"/>
          <w:szCs w:val="32"/>
        </w:rPr>
        <w:t>、住房公积金</w:t>
      </w:r>
      <w:r>
        <w:rPr>
          <w:rFonts w:hint="eastAsia" w:ascii="仿宋" w:hAnsi="仿宋" w:eastAsia="仿宋"/>
          <w:sz w:val="32"/>
          <w:szCs w:val="32"/>
          <w:lang w:val="en-US" w:eastAsia="zh-CN"/>
        </w:rPr>
        <w:t>26.87万元</w:t>
      </w:r>
      <w:r>
        <w:rPr>
          <w:rFonts w:hint="eastAsia" w:ascii="仿宋" w:hAnsi="仿宋" w:eastAsia="仿宋"/>
          <w:sz w:val="32"/>
          <w:szCs w:val="32"/>
        </w:rPr>
        <w:t>。</w:t>
      </w:r>
      <w:r>
        <w:rPr>
          <w:rFonts w:hint="eastAsia" w:ascii="Times New Roman" w:hAnsi="Times New Roman" w:eastAsia="仿宋_GB2312" w:cs="仿宋_GB2312"/>
          <w:color w:val="auto"/>
          <w:kern w:val="2"/>
          <w:sz w:val="32"/>
          <w:szCs w:val="32"/>
          <w:highlight w:val="none"/>
          <w:lang w:val="en-US" w:eastAsia="zh-CN" w:bidi="ar-SA"/>
        </w:rPr>
        <w:t>　　</w:t>
      </w:r>
    </w:p>
    <w:p w14:paraId="5708F274">
      <w:pPr>
        <w:pageBreakBefore w:val="0"/>
        <w:kinsoku/>
        <w:wordWrap/>
        <w:overflowPunct/>
        <w:topLinePunct w:val="0"/>
        <w:bidi w:val="0"/>
        <w:spacing w:line="560" w:lineRule="exact"/>
        <w:ind w:firstLine="64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eastAsia="仿宋_GB2312" w:cs="仿宋_GB2312"/>
          <w:color w:val="auto"/>
          <w:kern w:val="2"/>
          <w:sz w:val="32"/>
          <w:szCs w:val="32"/>
          <w:highlight w:val="none"/>
          <w:lang w:val="en-US" w:eastAsia="zh-CN" w:bidi="ar-SA"/>
        </w:rPr>
        <w:t>40.93</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 w:hAnsi="仿宋" w:eastAsia="仿宋"/>
          <w:color w:val="auto"/>
          <w:sz w:val="32"/>
          <w:szCs w:val="32"/>
        </w:rPr>
        <w:t>办公费</w:t>
      </w:r>
      <w:r>
        <w:rPr>
          <w:rFonts w:hint="eastAsia" w:ascii="仿宋" w:hAnsi="仿宋" w:eastAsia="仿宋"/>
          <w:color w:val="auto"/>
          <w:sz w:val="32"/>
          <w:szCs w:val="32"/>
          <w:lang w:val="en-US" w:eastAsia="zh-CN"/>
        </w:rPr>
        <w:t>2.95万元</w:t>
      </w:r>
      <w:r>
        <w:rPr>
          <w:rFonts w:hint="eastAsia" w:ascii="仿宋" w:hAnsi="仿宋" w:eastAsia="仿宋"/>
          <w:color w:val="auto"/>
          <w:sz w:val="32"/>
          <w:szCs w:val="32"/>
        </w:rPr>
        <w:t>、水费</w:t>
      </w:r>
      <w:r>
        <w:rPr>
          <w:rFonts w:hint="eastAsia" w:ascii="仿宋" w:hAnsi="仿宋" w:eastAsia="仿宋"/>
          <w:color w:val="auto"/>
          <w:sz w:val="32"/>
          <w:szCs w:val="32"/>
          <w:lang w:val="en-US" w:eastAsia="zh-CN"/>
        </w:rPr>
        <w:t>0.12万元</w:t>
      </w:r>
      <w:r>
        <w:rPr>
          <w:rFonts w:hint="eastAsia" w:ascii="仿宋" w:hAnsi="仿宋" w:eastAsia="仿宋"/>
          <w:color w:val="auto"/>
          <w:sz w:val="32"/>
          <w:szCs w:val="32"/>
        </w:rPr>
        <w:t>、</w:t>
      </w:r>
      <w:r>
        <w:rPr>
          <w:rFonts w:hint="eastAsia" w:ascii="仿宋" w:hAnsi="仿宋" w:eastAsia="仿宋"/>
          <w:color w:val="auto"/>
          <w:sz w:val="32"/>
          <w:szCs w:val="32"/>
          <w:lang w:eastAsia="zh-CN"/>
        </w:rPr>
        <w:t>电费</w:t>
      </w:r>
      <w:r>
        <w:rPr>
          <w:rFonts w:hint="eastAsia" w:ascii="仿宋" w:hAnsi="仿宋" w:eastAsia="仿宋"/>
          <w:color w:val="auto"/>
          <w:sz w:val="32"/>
          <w:szCs w:val="32"/>
          <w:lang w:val="en-US" w:eastAsia="zh-CN"/>
        </w:rPr>
        <w:t>1.05万元、</w:t>
      </w:r>
      <w:r>
        <w:rPr>
          <w:rFonts w:hint="eastAsia" w:ascii="仿宋" w:hAnsi="仿宋" w:eastAsia="仿宋"/>
          <w:color w:val="auto"/>
          <w:sz w:val="32"/>
          <w:szCs w:val="32"/>
        </w:rPr>
        <w:t>邮电费</w:t>
      </w:r>
      <w:r>
        <w:rPr>
          <w:rFonts w:hint="eastAsia" w:ascii="仿宋" w:hAnsi="仿宋" w:eastAsia="仿宋"/>
          <w:color w:val="auto"/>
          <w:sz w:val="32"/>
          <w:szCs w:val="32"/>
          <w:lang w:val="en-US" w:eastAsia="zh-CN"/>
        </w:rPr>
        <w:t>3.32万元</w:t>
      </w:r>
      <w:r>
        <w:rPr>
          <w:rFonts w:hint="eastAsia" w:ascii="仿宋" w:hAnsi="仿宋" w:eastAsia="仿宋"/>
          <w:color w:val="auto"/>
          <w:sz w:val="32"/>
          <w:szCs w:val="32"/>
        </w:rPr>
        <w:t>、差旅费</w:t>
      </w:r>
      <w:r>
        <w:rPr>
          <w:rFonts w:hint="eastAsia" w:ascii="仿宋" w:hAnsi="仿宋" w:eastAsia="仿宋"/>
          <w:color w:val="auto"/>
          <w:sz w:val="32"/>
          <w:szCs w:val="32"/>
          <w:lang w:val="en-US" w:eastAsia="zh-CN"/>
        </w:rPr>
        <w:t>7.62万元</w:t>
      </w:r>
      <w:r>
        <w:rPr>
          <w:rFonts w:hint="eastAsia" w:ascii="仿宋" w:hAnsi="仿宋" w:eastAsia="仿宋"/>
          <w:color w:val="auto"/>
          <w:sz w:val="32"/>
          <w:szCs w:val="32"/>
        </w:rPr>
        <w:t>、维修（护）费</w:t>
      </w:r>
      <w:r>
        <w:rPr>
          <w:rFonts w:hint="eastAsia" w:ascii="仿宋" w:hAnsi="仿宋" w:eastAsia="仿宋"/>
          <w:color w:val="auto"/>
          <w:sz w:val="32"/>
          <w:szCs w:val="32"/>
          <w:lang w:val="en-US" w:eastAsia="zh-CN"/>
        </w:rPr>
        <w:t>2.09万元</w:t>
      </w:r>
      <w:r>
        <w:rPr>
          <w:rFonts w:hint="eastAsia" w:ascii="仿宋" w:hAnsi="仿宋" w:eastAsia="仿宋"/>
          <w:color w:val="auto"/>
          <w:sz w:val="32"/>
          <w:szCs w:val="32"/>
        </w:rPr>
        <w:t>、培训费</w:t>
      </w:r>
      <w:r>
        <w:rPr>
          <w:rFonts w:hint="eastAsia" w:ascii="仿宋" w:hAnsi="仿宋" w:eastAsia="仿宋"/>
          <w:color w:val="auto"/>
          <w:sz w:val="32"/>
          <w:szCs w:val="32"/>
          <w:lang w:val="en-US" w:eastAsia="zh-CN"/>
        </w:rPr>
        <w:t>2.55万元</w:t>
      </w:r>
      <w:r>
        <w:rPr>
          <w:rFonts w:hint="eastAsia" w:ascii="仿宋" w:hAnsi="仿宋" w:eastAsia="仿宋"/>
          <w:color w:val="auto"/>
          <w:sz w:val="32"/>
          <w:szCs w:val="32"/>
        </w:rPr>
        <w:t>、劳务费</w:t>
      </w:r>
      <w:r>
        <w:rPr>
          <w:rFonts w:hint="eastAsia" w:ascii="仿宋" w:hAnsi="仿宋" w:eastAsia="仿宋"/>
          <w:color w:val="auto"/>
          <w:sz w:val="32"/>
          <w:szCs w:val="32"/>
          <w:lang w:val="en-US" w:eastAsia="zh-CN"/>
        </w:rPr>
        <w:t>7.79万元</w:t>
      </w:r>
      <w:r>
        <w:rPr>
          <w:rFonts w:hint="eastAsia" w:ascii="仿宋" w:hAnsi="仿宋" w:eastAsia="仿宋"/>
          <w:color w:val="auto"/>
          <w:sz w:val="32"/>
          <w:szCs w:val="32"/>
        </w:rPr>
        <w:t>、福利费</w:t>
      </w:r>
      <w:r>
        <w:rPr>
          <w:rFonts w:hint="eastAsia" w:ascii="仿宋" w:hAnsi="仿宋" w:eastAsia="仿宋"/>
          <w:color w:val="auto"/>
          <w:sz w:val="32"/>
          <w:szCs w:val="32"/>
          <w:lang w:val="en-US" w:eastAsia="zh-CN"/>
        </w:rPr>
        <w:t>2.47万元</w:t>
      </w:r>
      <w:r>
        <w:rPr>
          <w:rFonts w:hint="eastAsia" w:ascii="仿宋" w:hAnsi="仿宋" w:eastAsia="仿宋"/>
          <w:color w:val="auto"/>
          <w:sz w:val="32"/>
          <w:szCs w:val="32"/>
        </w:rPr>
        <w:t>、公务用车运行维护费</w:t>
      </w:r>
      <w:r>
        <w:rPr>
          <w:rFonts w:hint="eastAsia" w:ascii="仿宋" w:hAnsi="仿宋" w:eastAsia="仿宋"/>
          <w:color w:val="auto"/>
          <w:sz w:val="32"/>
          <w:szCs w:val="32"/>
          <w:lang w:val="en-US" w:eastAsia="zh-CN"/>
        </w:rPr>
        <w:t>8.45万元、其他商品和服务支出2.53万元（残疾人就业保障金）、对个人和家庭的补助0.01万元</w:t>
      </w:r>
      <w:r>
        <w:rPr>
          <w:rFonts w:hint="eastAsia" w:ascii="仿宋" w:hAnsi="仿宋" w:eastAsia="仿宋"/>
          <w:color w:val="auto"/>
          <w:sz w:val="32"/>
          <w:szCs w:val="32"/>
        </w:rPr>
        <w:t>。</w:t>
      </w:r>
    </w:p>
    <w:p w14:paraId="62D622CA">
      <w:pPr>
        <w:spacing w:line="600" w:lineRule="exact"/>
        <w:ind w:firstLine="640"/>
        <w:outlineLvl w:val="1"/>
        <w:rPr>
          <w:rStyle w:val="32"/>
          <w:rFonts w:ascii="Times New Roman" w:hAnsi="Times New Roman" w:eastAsia="黑体"/>
          <w:b w:val="0"/>
          <w:color w:val="auto"/>
          <w:highlight w:val="none"/>
        </w:rPr>
      </w:pPr>
      <w:bookmarkStart w:id="32" w:name="_Toc15377215"/>
      <w:bookmarkStart w:id="33" w:name="_Toc15396609"/>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2"/>
      <w:bookmarkEnd w:id="33"/>
    </w:p>
    <w:p w14:paraId="7DC017D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4"/>
    </w:p>
    <w:p w14:paraId="5921492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11.24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10.56万元</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0.68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6.44</w:t>
      </w:r>
      <w:r>
        <w:rPr>
          <w:rFonts w:hint="eastAsia" w:ascii="Times New Roman" w:hAnsi="Times New Roman" w:eastAsia="仿宋_GB2312" w:cs="仿宋_GB2312"/>
          <w:color w:val="auto"/>
          <w:kern w:val="2"/>
          <w:sz w:val="32"/>
          <w:szCs w:val="32"/>
          <w:highlight w:val="none"/>
          <w:lang w:val="en-US" w:eastAsia="zh-CN" w:bidi="ar-SA"/>
        </w:rPr>
        <w:t>%。</w:t>
      </w:r>
    </w:p>
    <w:p w14:paraId="760D165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5"/>
    </w:p>
    <w:p w14:paraId="619D23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lang w:eastAsia="zh-CN"/>
        </w:rPr>
        <w:drawing>
          <wp:anchor distT="0" distB="0" distL="114300" distR="114300" simplePos="0" relativeHeight="251665408" behindDoc="1" locked="0" layoutInCell="1" allowOverlap="1">
            <wp:simplePos x="0" y="0"/>
            <wp:positionH relativeFrom="column">
              <wp:posOffset>127000</wp:posOffset>
            </wp:positionH>
            <wp:positionV relativeFrom="paragraph">
              <wp:posOffset>1417955</wp:posOffset>
            </wp:positionV>
            <wp:extent cx="4582160" cy="2381250"/>
            <wp:effectExtent l="4445" t="4445" r="23495" b="1460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11.24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51B2129D">
      <w:pPr>
        <w:pStyle w:val="38"/>
        <w:rPr>
          <w:rFonts w:hint="eastAsia" w:ascii="Times New Roman" w:hAnsi="Times New Roman" w:eastAsia="仿宋_GB2312" w:cs="仿宋_GB2312"/>
          <w:color w:val="auto"/>
          <w:kern w:val="2"/>
          <w:sz w:val="32"/>
          <w:szCs w:val="32"/>
          <w:highlight w:val="none"/>
          <w:lang w:val="en-US" w:eastAsia="zh-CN" w:bidi="ar-SA"/>
        </w:rPr>
      </w:pPr>
    </w:p>
    <w:p w14:paraId="5047376E">
      <w:pPr>
        <w:pStyle w:val="38"/>
        <w:rPr>
          <w:rFonts w:hint="eastAsia" w:ascii="Times New Roman" w:hAnsi="Times New Roman" w:eastAsia="仿宋_GB2312" w:cs="仿宋_GB2312"/>
          <w:color w:val="auto"/>
          <w:kern w:val="2"/>
          <w:sz w:val="32"/>
          <w:szCs w:val="32"/>
          <w:highlight w:val="none"/>
          <w:lang w:val="en-US" w:eastAsia="zh-CN" w:bidi="ar-SA"/>
        </w:rPr>
      </w:pPr>
    </w:p>
    <w:p w14:paraId="1DC1FB8D">
      <w:pPr>
        <w:pStyle w:val="38"/>
        <w:rPr>
          <w:rFonts w:hint="eastAsia" w:ascii="Times New Roman" w:hAnsi="Times New Roman" w:eastAsia="仿宋_GB2312" w:cs="仿宋_GB2312"/>
          <w:color w:val="auto"/>
          <w:kern w:val="2"/>
          <w:sz w:val="32"/>
          <w:szCs w:val="32"/>
          <w:highlight w:val="none"/>
          <w:lang w:val="en-US" w:eastAsia="zh-CN" w:bidi="ar-SA"/>
        </w:rPr>
      </w:pPr>
    </w:p>
    <w:p w14:paraId="67544C2D">
      <w:pPr>
        <w:pStyle w:val="38"/>
        <w:rPr>
          <w:rFonts w:hint="eastAsia" w:ascii="Times New Roman" w:hAnsi="Times New Roman" w:eastAsia="仿宋_GB2312" w:cs="仿宋_GB2312"/>
          <w:color w:val="auto"/>
          <w:kern w:val="2"/>
          <w:sz w:val="32"/>
          <w:szCs w:val="32"/>
          <w:highlight w:val="none"/>
          <w:lang w:val="en-US" w:eastAsia="zh-CN" w:bidi="ar-SA"/>
        </w:rPr>
      </w:pPr>
    </w:p>
    <w:p w14:paraId="56C3D2C2">
      <w:pPr>
        <w:pStyle w:val="38"/>
        <w:rPr>
          <w:rFonts w:hint="eastAsia" w:ascii="Times New Roman" w:hAnsi="Times New Roman" w:eastAsia="仿宋_GB2312" w:cs="仿宋_GB2312"/>
          <w:color w:val="auto"/>
          <w:kern w:val="2"/>
          <w:sz w:val="32"/>
          <w:szCs w:val="32"/>
          <w:highlight w:val="none"/>
          <w:lang w:val="en-US" w:eastAsia="zh-CN" w:bidi="ar-SA"/>
        </w:rPr>
      </w:pPr>
    </w:p>
    <w:p w14:paraId="10FBE951">
      <w:pPr>
        <w:pStyle w:val="38"/>
        <w:rPr>
          <w:rFonts w:hint="eastAsia" w:ascii="Times New Roman" w:hAnsi="Times New Roman" w:eastAsia="仿宋_GB2312" w:cs="仿宋_GB2312"/>
          <w:color w:val="auto"/>
          <w:kern w:val="2"/>
          <w:sz w:val="32"/>
          <w:szCs w:val="32"/>
          <w:highlight w:val="none"/>
          <w:lang w:val="en-US" w:eastAsia="zh-CN" w:bidi="ar-SA"/>
        </w:rPr>
      </w:pPr>
    </w:p>
    <w:p w14:paraId="4E06B82F">
      <w:pPr>
        <w:pStyle w:val="38"/>
        <w:rPr>
          <w:rFonts w:hint="eastAsia" w:ascii="Times New Roman" w:hAnsi="Times New Roman" w:eastAsia="仿宋_GB2312" w:cs="仿宋_GB2312"/>
          <w:color w:val="auto"/>
          <w:kern w:val="2"/>
          <w:sz w:val="32"/>
          <w:szCs w:val="32"/>
          <w:highlight w:val="none"/>
          <w:lang w:val="en-US" w:eastAsia="zh-CN" w:bidi="ar-SA"/>
        </w:rPr>
      </w:pPr>
    </w:p>
    <w:p w14:paraId="11E44A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8D83B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B298A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11.24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上年度10.51万元</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0.73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2025年度工作业务量增多，出差次数相应增加。</w:t>
      </w:r>
    </w:p>
    <w:p w14:paraId="5555E426">
      <w:pPr>
        <w:pageBreakBefore w:val="0"/>
        <w:kinsoku/>
        <w:wordWrap/>
        <w:overflowPunct/>
        <w:topLinePunct w:val="0"/>
        <w:bidi w:val="0"/>
        <w:spacing w:line="560" w:lineRule="exact"/>
        <w:ind w:firstLine="640"/>
        <w:rPr>
          <w:rFonts w:hint="eastAsia" w:eastAsia="仿宋_GB2312" w:cs="仿宋_GB2312"/>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sz w:val="32"/>
          <w:szCs w:val="32"/>
        </w:rPr>
        <w:t>单位共有公务用车</w:t>
      </w:r>
      <w:r>
        <w:rPr>
          <w:rFonts w:hint="eastAsia" w:eastAsia="仿宋_GB2312" w:cs="仿宋_GB2312"/>
          <w:sz w:val="32"/>
          <w:szCs w:val="32"/>
          <w:lang w:val="en-US" w:eastAsia="zh-CN"/>
        </w:rPr>
        <w:t>2</w:t>
      </w:r>
      <w:r>
        <w:rPr>
          <w:rFonts w:hint="eastAsia" w:eastAsia="仿宋_GB2312" w:cs="仿宋_GB2312"/>
          <w:sz w:val="32"/>
          <w:szCs w:val="32"/>
        </w:rPr>
        <w:t>辆，</w:t>
      </w:r>
      <w:r>
        <w:rPr>
          <w:rFonts w:hint="eastAsia" w:eastAsia="仿宋_GB2312" w:cs="仿宋_GB2312"/>
          <w:sz w:val="32"/>
          <w:szCs w:val="32"/>
          <w:lang w:eastAsia="zh-CN"/>
        </w:rPr>
        <w:t>另临时借用州局轿车一辆。</w:t>
      </w:r>
      <w:r>
        <w:rPr>
          <w:rFonts w:hint="eastAsia" w:eastAsia="仿宋_GB2312" w:cs="仿宋_GB2312"/>
          <w:sz w:val="32"/>
          <w:szCs w:val="32"/>
        </w:rPr>
        <w:t>其中：轿车</w:t>
      </w:r>
      <w:r>
        <w:rPr>
          <w:rFonts w:hint="eastAsia" w:eastAsia="仿宋_GB2312" w:cs="仿宋_GB2312"/>
          <w:sz w:val="32"/>
          <w:szCs w:val="32"/>
          <w:lang w:val="en-US" w:eastAsia="zh-CN"/>
        </w:rPr>
        <w:t>1</w:t>
      </w:r>
      <w:r>
        <w:rPr>
          <w:rFonts w:hint="eastAsia" w:eastAsia="仿宋_GB2312" w:cs="仿宋_GB2312"/>
          <w:sz w:val="32"/>
          <w:szCs w:val="32"/>
        </w:rPr>
        <w:t>辆、越野车</w:t>
      </w:r>
      <w:r>
        <w:rPr>
          <w:rFonts w:hint="eastAsia" w:eastAsia="仿宋_GB2312" w:cs="仿宋_GB2312"/>
          <w:sz w:val="32"/>
          <w:szCs w:val="32"/>
          <w:lang w:val="en-US" w:eastAsia="zh-CN"/>
        </w:rPr>
        <w:t>2</w:t>
      </w:r>
      <w:r>
        <w:rPr>
          <w:rFonts w:hint="eastAsia" w:eastAsia="仿宋_GB2312" w:cs="仿宋_GB2312"/>
          <w:sz w:val="32"/>
          <w:szCs w:val="32"/>
        </w:rPr>
        <w:t>辆</w:t>
      </w:r>
      <w:r>
        <w:rPr>
          <w:rFonts w:hint="eastAsia" w:eastAsia="仿宋_GB2312" w:cs="仿宋_GB2312"/>
          <w:sz w:val="32"/>
          <w:szCs w:val="32"/>
          <w:lang w:eastAsia="zh-CN"/>
        </w:rPr>
        <w:t>。</w:t>
      </w:r>
    </w:p>
    <w:p w14:paraId="2D03D21D">
      <w:pPr>
        <w:pageBreakBefore w:val="0"/>
        <w:kinsoku/>
        <w:wordWrap/>
        <w:overflowPunct/>
        <w:topLinePunct w:val="0"/>
        <w:bidi w:val="0"/>
        <w:spacing w:line="56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11.24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olor w:val="auto"/>
          <w:sz w:val="32"/>
          <w:szCs w:val="32"/>
        </w:rPr>
        <w:t>主要用于单位公车车辆保险、年审费、加油费、停车费、过路费、洗车费、维护维修费</w:t>
      </w:r>
      <w:r>
        <w:rPr>
          <w:rFonts w:hint="eastAsia" w:ascii="仿宋_GB2312" w:eastAsia="仿宋_GB2312"/>
          <w:color w:val="auto"/>
          <w:sz w:val="32"/>
          <w:szCs w:val="32"/>
          <w:lang w:eastAsia="zh-CN"/>
        </w:rPr>
        <w:t>，以及</w:t>
      </w:r>
      <w:r>
        <w:rPr>
          <w:rFonts w:hint="eastAsia" w:ascii="仿宋_GB2312" w:eastAsia="仿宋_GB2312"/>
          <w:color w:val="auto"/>
          <w:sz w:val="32"/>
          <w:szCs w:val="32"/>
        </w:rPr>
        <w:t>驾驶员相关补助等支出</w:t>
      </w:r>
      <w:r>
        <w:rPr>
          <w:rFonts w:hint="eastAsia" w:ascii="仿宋_GB2312" w:hAnsi="仿宋_GB2312" w:eastAsia="仿宋_GB2312" w:cs="仿宋_GB2312"/>
          <w:sz w:val="32"/>
          <w:szCs w:val="32"/>
          <w:shd w:val="clear" w:fill="FFFFFF"/>
        </w:rPr>
        <w:t>。</w:t>
      </w:r>
    </w:p>
    <w:p w14:paraId="66C278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2025年度无公务接待</w:t>
      </w:r>
      <w:r>
        <w:rPr>
          <w:rFonts w:hint="eastAsia" w:ascii="Times New Roman" w:hAnsi="Times New Roman" w:eastAsia="仿宋_GB2312" w:cs="仿宋_GB2312"/>
          <w:color w:val="auto"/>
          <w:kern w:val="2"/>
          <w:sz w:val="32"/>
          <w:szCs w:val="32"/>
          <w:highlight w:val="none"/>
          <w:lang w:val="en-US" w:eastAsia="zh-CN" w:bidi="ar-SA"/>
        </w:rPr>
        <w:t>。</w:t>
      </w:r>
      <w:bookmarkStart w:id="36" w:name="_Toc15377218"/>
      <w:bookmarkStart w:id="37" w:name="_Toc15396610"/>
    </w:p>
    <w:p w14:paraId="2778DB6C">
      <w:pPr>
        <w:spacing w:line="600" w:lineRule="exact"/>
        <w:ind w:firstLine="640"/>
        <w:outlineLvl w:val="1"/>
        <w:rPr>
          <w:rStyle w:val="32"/>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36"/>
      <w:bookmarkEnd w:id="37"/>
    </w:p>
    <w:p w14:paraId="056335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00B6A85">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38" w:name="_Toc15396611"/>
      <w:bookmarkStart w:id="39"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38"/>
      <w:bookmarkEnd w:id="39"/>
    </w:p>
    <w:p w14:paraId="184FDD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72AA9BA9">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0" w:name="_Toc15396612"/>
      <w:bookmarkStart w:id="41"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0"/>
      <w:bookmarkEnd w:id="41"/>
    </w:p>
    <w:p w14:paraId="5FBA428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2"/>
      <w:r>
        <w:rPr>
          <w:rFonts w:hint="eastAsia" w:ascii="Times New Roman" w:hAnsi="Times New Roman" w:eastAsia="楷体_GB2312" w:cs="楷体_GB2312"/>
          <w:b/>
          <w:color w:val="auto"/>
          <w:sz w:val="32"/>
          <w:szCs w:val="32"/>
          <w:highlight w:val="none"/>
        </w:rPr>
        <w:t>（一）机关运行经费支出情况</w:t>
      </w:r>
      <w:bookmarkEnd w:id="42"/>
    </w:p>
    <w:p w14:paraId="7796CEF6">
      <w:pPr>
        <w:pageBreakBefore w:val="0"/>
        <w:kinsoku/>
        <w:wordWrap/>
        <w:overflowPunct/>
        <w:topLinePunct w:val="0"/>
        <w:bidi w:val="0"/>
        <w:spacing w:line="560" w:lineRule="exact"/>
        <w:ind w:firstLine="640" w:firstLineChars="200"/>
        <w:rPr>
          <w:rFonts w:eastAsia="仿宋_GB2312" w:cs="仿宋_GB2312"/>
          <w:sz w:val="32"/>
          <w:szCs w:val="32"/>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bookmarkStart w:id="43" w:name="_Toc15377223"/>
      <w:r>
        <w:rPr>
          <w:rFonts w:hint="eastAsia" w:ascii="仿宋_GB2312" w:eastAsia="仿宋_GB2312"/>
          <w:sz w:val="32"/>
          <w:szCs w:val="32"/>
        </w:rPr>
        <w:t>阿坝州产品质量</w:t>
      </w:r>
      <w:r>
        <w:rPr>
          <w:rFonts w:hint="eastAsia" w:ascii="仿宋_GB2312" w:eastAsia="仿宋_GB2312"/>
          <w:sz w:val="32"/>
          <w:szCs w:val="32"/>
          <w:lang w:eastAsia="zh-CN"/>
        </w:rPr>
        <w:t>和特种设备</w:t>
      </w:r>
      <w:r>
        <w:rPr>
          <w:rFonts w:hint="eastAsia" w:ascii="仿宋_GB2312" w:eastAsia="仿宋_GB2312"/>
          <w:sz w:val="32"/>
          <w:szCs w:val="32"/>
        </w:rPr>
        <w:t>监督检验所机关运行经费支出</w:t>
      </w:r>
      <w:r>
        <w:rPr>
          <w:rFonts w:ascii="仿宋" w:hAnsi="仿宋" w:eastAsia="仿宋"/>
          <w:b/>
          <w:sz w:val="32"/>
          <w:szCs w:val="32"/>
        </w:rPr>
        <w:t>0</w:t>
      </w:r>
      <w:r>
        <w:rPr>
          <w:rFonts w:hint="eastAsia" w:ascii="仿宋_GB2312" w:eastAsia="仿宋_GB2312"/>
          <w:sz w:val="32"/>
          <w:szCs w:val="32"/>
        </w:rPr>
        <w:t>万元，比202</w:t>
      </w:r>
      <w:r>
        <w:rPr>
          <w:rFonts w:hint="eastAsia" w:ascii="仿宋_GB2312" w:eastAsia="仿宋_GB2312"/>
          <w:sz w:val="32"/>
          <w:szCs w:val="32"/>
          <w:lang w:val="en-US" w:eastAsia="zh-CN"/>
        </w:rPr>
        <w:t>3</w:t>
      </w:r>
      <w:r>
        <w:rPr>
          <w:rFonts w:hint="eastAsia" w:ascii="仿宋_GB2312" w:eastAsia="仿宋_GB2312"/>
          <w:sz w:val="32"/>
          <w:szCs w:val="32"/>
        </w:rPr>
        <w:t>年度</w:t>
      </w:r>
      <w:r>
        <w:rPr>
          <w:rFonts w:hint="eastAsia" w:ascii="仿宋_GB2312" w:eastAsia="仿宋_GB2312"/>
          <w:sz w:val="32"/>
          <w:szCs w:val="32"/>
          <w:lang w:eastAsia="zh-CN"/>
        </w:rPr>
        <w:t>决算数持平。</w:t>
      </w:r>
      <w:r>
        <w:rPr>
          <w:rFonts w:hint="eastAsia" w:ascii="仿宋_GB2312" w:eastAsia="仿宋_GB2312"/>
          <w:sz w:val="32"/>
          <w:szCs w:val="32"/>
        </w:rPr>
        <w:t>主要原因是</w:t>
      </w:r>
      <w:r>
        <w:rPr>
          <w:rFonts w:hint="eastAsia" w:ascii="仿宋_GB2312" w:eastAsia="仿宋_GB2312"/>
          <w:sz w:val="32"/>
          <w:szCs w:val="32"/>
          <w:lang w:eastAsia="zh-CN"/>
        </w:rPr>
        <w:t>我所属于公益一类事业单位，无机关运行经费</w:t>
      </w:r>
      <w:r>
        <w:rPr>
          <w:rFonts w:hint="eastAsia" w:ascii="仿宋_GB2312" w:eastAsia="仿宋_GB2312"/>
          <w:sz w:val="32"/>
          <w:szCs w:val="32"/>
        </w:rPr>
        <w:t>。</w:t>
      </w:r>
    </w:p>
    <w:p w14:paraId="342370D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43"/>
    </w:p>
    <w:p w14:paraId="4169A4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阿坝州产品质量</w:t>
      </w:r>
      <w:r>
        <w:rPr>
          <w:rFonts w:hint="eastAsia" w:ascii="仿宋_GB2312" w:eastAsia="仿宋_GB2312"/>
          <w:sz w:val="32"/>
          <w:szCs w:val="32"/>
          <w:lang w:eastAsia="zh-CN"/>
        </w:rPr>
        <w:t>和特种设备</w:t>
      </w:r>
      <w:r>
        <w:rPr>
          <w:rFonts w:hint="eastAsia" w:ascii="仿宋_GB2312" w:eastAsia="仿宋_GB2312"/>
          <w:sz w:val="32"/>
          <w:szCs w:val="32"/>
        </w:rPr>
        <w:t>监督检验所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3.31</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0.97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，为办公会议室触控一体机及办公室碎纸机，用于日常办公。</w:t>
      </w:r>
      <w:r>
        <w:rPr>
          <w:rFonts w:hint="eastAsia" w:ascii="Times New Roman" w:hAnsi="Times New Roman" w:eastAsia="仿宋_GB2312" w:cs="仿宋_GB2312"/>
          <w:color w:val="auto"/>
          <w:kern w:val="2"/>
          <w:sz w:val="32"/>
          <w:szCs w:val="32"/>
          <w:highlight w:val="none"/>
          <w:lang w:val="en-US" w:eastAsia="zh-CN" w:bidi="ar-SA"/>
        </w:rPr>
        <w:t>政府采购服务支出</w:t>
      </w:r>
      <w:r>
        <w:rPr>
          <w:rFonts w:hint="eastAsia" w:eastAsia="仿宋_GB2312" w:cs="仿宋_GB2312"/>
          <w:color w:val="auto"/>
          <w:kern w:val="2"/>
          <w:sz w:val="32"/>
          <w:szCs w:val="32"/>
          <w:highlight w:val="none"/>
          <w:lang w:val="en-US" w:eastAsia="zh-CN" w:bidi="ar-SA"/>
        </w:rPr>
        <w:t>2.34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，主要为单位公车维修维护及车辆保险</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693B39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4"/>
      <w:r>
        <w:rPr>
          <w:rFonts w:hint="eastAsia" w:ascii="Times New Roman" w:hAnsi="Times New Roman" w:eastAsia="楷体_GB2312" w:cs="楷体_GB2312"/>
          <w:b/>
          <w:color w:val="auto"/>
          <w:sz w:val="32"/>
          <w:szCs w:val="32"/>
          <w:highlight w:val="none"/>
        </w:rPr>
        <w:t>（三）国有资产占有使用情况</w:t>
      </w:r>
      <w:bookmarkEnd w:id="44"/>
    </w:p>
    <w:p w14:paraId="6827E5FE">
      <w:pPr>
        <w:pageBreakBefore w:val="0"/>
        <w:kinsoku/>
        <w:wordWrap/>
        <w:overflowPunct/>
        <w:topLinePunct w:val="0"/>
        <w:autoSpaceDE w:val="0"/>
        <w:autoSpaceDN w:val="0"/>
        <w:bidi w:val="0"/>
        <w:adjustRightInd w:val="0"/>
        <w:spacing w:line="560" w:lineRule="exact"/>
        <w:ind w:firstLine="640" w:firstLineChars="200"/>
        <w:jc w:val="left"/>
        <w:rPr>
          <w:rFonts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w:t>
      </w:r>
      <w:r>
        <w:rPr>
          <w:rFonts w:hint="eastAsia" w:ascii="仿宋_GB2312" w:hAnsi="仿宋_GB2312" w:eastAsia="仿宋_GB2312" w:cs="仿宋_GB2312"/>
          <w:sz w:val="32"/>
          <w:szCs w:val="32"/>
          <w:lang w:eastAsia="zh-CN"/>
        </w:rPr>
        <w:t>产品质量和</w:t>
      </w:r>
      <w:r>
        <w:rPr>
          <w:rFonts w:hint="eastAsia" w:ascii="仿宋_GB2312" w:hAnsi="仿宋_GB2312" w:eastAsia="仿宋_GB2312" w:cs="仿宋_GB2312"/>
          <w:sz w:val="32"/>
          <w:szCs w:val="32"/>
        </w:rPr>
        <w:t>特种设备监督检验所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auto"/>
          <w:kern w:val="2"/>
          <w:sz w:val="32"/>
          <w:szCs w:val="32"/>
          <w:highlight w:val="none"/>
          <w:lang w:val="en-US" w:eastAsia="zh-CN" w:bidi="ar-SA"/>
        </w:rPr>
        <w:t>辆，2025年临时借用州局轿车1辆。其中：主要负责人用车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kern w:val="2"/>
          <w:sz w:val="32"/>
          <w:szCs w:val="32"/>
          <w:highlight w:val="none"/>
          <w:lang w:val="en-US" w:eastAsia="zh-CN" w:bidi="ar-SA"/>
        </w:rPr>
        <w:t>辆，</w:t>
      </w:r>
      <w:r>
        <w:rPr>
          <w:rFonts w:hint="eastAsia" w:ascii="仿宋_GB2312" w:eastAsia="仿宋_GB2312"/>
          <w:color w:val="auto"/>
          <w:sz w:val="32"/>
          <w:szCs w:val="32"/>
        </w:rPr>
        <w:t>主要用于</w:t>
      </w:r>
      <w:r>
        <w:rPr>
          <w:rFonts w:hint="eastAsia" w:ascii="仿宋_GB2312" w:eastAsia="仿宋_GB2312"/>
          <w:color w:val="auto"/>
          <w:sz w:val="32"/>
          <w:szCs w:val="32"/>
          <w:lang w:eastAsia="zh-CN"/>
        </w:rPr>
        <w:t>开展特种设备检验和产品质量监督检验等业务，</w:t>
      </w:r>
      <w:r>
        <w:rPr>
          <w:rFonts w:hint="eastAsia" w:ascii="仿宋_GB2312" w:hAnsi="仿宋_GB2312" w:eastAsia="仿宋_GB2312" w:cs="仿宋_GB2312"/>
          <w:sz w:val="32"/>
          <w:szCs w:val="32"/>
          <w:shd w:val="clear" w:fill="FFFFFF"/>
        </w:rPr>
        <w:t>单价100万元（含）以上设备（不含车辆）0台（套）</w:t>
      </w:r>
      <w:r>
        <w:rPr>
          <w:rFonts w:hint="eastAsia" w:ascii="仿宋_GB2312" w:eastAsia="仿宋_GB2312"/>
          <w:sz w:val="32"/>
          <w:szCs w:val="32"/>
        </w:rPr>
        <w:t>。</w:t>
      </w:r>
    </w:p>
    <w:p w14:paraId="72E8ED9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BFAE3C3">
      <w:pPr>
        <w:spacing w:line="600" w:lineRule="exact"/>
        <w:ind w:firstLine="640"/>
        <w:rPr>
          <w:rFonts w:hint="eastAsia" w:ascii="Times New Roman" w:hAnsi="Times New Roman" w:eastAsia="黑体"/>
          <w:color w:val="auto"/>
          <w:sz w:val="44"/>
          <w:szCs w:val="44"/>
          <w:highlight w:val="none"/>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质特所2025年产品质量检验检测事业运行、2025年质特所办公室设备购置、2025年质特所实验室设备购置、特种设备检验工作专项经费、2025年省级监督抽查抽样等五个项目、涉及76.68万元</w:t>
      </w:r>
      <w:r>
        <w:rPr>
          <w:rFonts w:hint="eastAsia" w:ascii="Times New Roman" w:hAnsi="Times New Roman" w:eastAsia="仿宋_GB2312" w:cs="仿宋_GB2312"/>
          <w:color w:val="auto"/>
          <w:kern w:val="2"/>
          <w:sz w:val="32"/>
          <w:szCs w:val="32"/>
          <w:highlight w:val="none"/>
          <w:lang w:val="en-US" w:eastAsia="zh-CN" w:bidi="ar-SA"/>
        </w:rPr>
        <w:t>开展了事前绩效评估，对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bookmarkStart w:id="45" w:name="_Toc15396613"/>
      <w:bookmarkStart w:id="46" w:name="_Toc15377225"/>
    </w:p>
    <w:bookmarkEnd w:id="45"/>
    <w:bookmarkEnd w:id="46"/>
    <w:p w14:paraId="3D863D9A">
      <w:pPr>
        <w:pageBreakBefore w:val="0"/>
        <w:kinsoku/>
        <w:wordWrap/>
        <w:overflowPunct/>
        <w:topLinePunct w:val="0"/>
        <w:bidi w:val="0"/>
        <w:spacing w:line="560" w:lineRule="exact"/>
        <w:jc w:val="center"/>
        <w:outlineLvl w:val="0"/>
        <w:rPr>
          <w:rFonts w:eastAsia="黑体"/>
          <w:sz w:val="44"/>
          <w:szCs w:val="44"/>
        </w:rPr>
      </w:pPr>
      <w:r>
        <w:rPr>
          <w:rFonts w:hint="eastAsia" w:eastAsia="黑体"/>
          <w:sz w:val="44"/>
          <w:szCs w:val="44"/>
        </w:rPr>
        <w:t>第三部分  名词解释</w:t>
      </w:r>
    </w:p>
    <w:p w14:paraId="1E45BA7C">
      <w:pPr>
        <w:pageBreakBefore w:val="0"/>
        <w:kinsoku/>
        <w:wordWrap/>
        <w:overflowPunct/>
        <w:topLinePunct w:val="0"/>
        <w:bidi w:val="0"/>
        <w:spacing w:line="560" w:lineRule="exact"/>
        <w:jc w:val="left"/>
        <w:rPr>
          <w:b/>
          <w:sz w:val="44"/>
          <w:szCs w:val="44"/>
        </w:rPr>
      </w:pPr>
    </w:p>
    <w:p w14:paraId="7E7D0578">
      <w:pPr>
        <w:pStyle w:val="29"/>
        <w:pageBreakBefore w:val="0"/>
        <w:kinsoku/>
        <w:wordWrap/>
        <w:overflowPunct/>
        <w:topLinePunct w:val="0"/>
        <w:bidi w:val="0"/>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1C59B011">
      <w:pPr>
        <w:pStyle w:val="29"/>
        <w:pageBreakBefore w:val="0"/>
        <w:kinsoku/>
        <w:wordWrap/>
        <w:overflowPunct/>
        <w:topLinePunct w:val="0"/>
        <w:bidi w:val="0"/>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2A5490D3">
      <w:pPr>
        <w:pStyle w:val="29"/>
        <w:pageBreakBefore w:val="0"/>
        <w:kinsoku/>
        <w:wordWrap/>
        <w:overflowPunct/>
        <w:topLinePunct w:val="0"/>
        <w:bidi w:val="0"/>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454B75C8">
      <w:pPr>
        <w:pStyle w:val="29"/>
        <w:pageBreakBefore w:val="0"/>
        <w:kinsoku/>
        <w:wordWrap/>
        <w:overflowPunct/>
        <w:topLinePunct w:val="0"/>
        <w:bidi w:val="0"/>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08960047">
      <w:pPr>
        <w:pStyle w:val="29"/>
        <w:pageBreakBefore w:val="0"/>
        <w:kinsoku/>
        <w:wordWrap/>
        <w:overflowPunct/>
        <w:topLinePunct w:val="0"/>
        <w:bidi w:val="0"/>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0DB88AFD">
      <w:pPr>
        <w:pStyle w:val="29"/>
        <w:pageBreakBefore w:val="0"/>
        <w:kinsoku/>
        <w:wordWrap/>
        <w:overflowPunct/>
        <w:topLinePunct w:val="0"/>
        <w:bidi w:val="0"/>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7BB2ABF9">
      <w:pPr>
        <w:pStyle w:val="29"/>
        <w:pageBreakBefore w:val="0"/>
        <w:kinsoku/>
        <w:wordWrap/>
        <w:overflowPunct/>
        <w:topLinePunct w:val="0"/>
        <w:bidi w:val="0"/>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2FE2DB5B">
      <w:pPr>
        <w:pStyle w:val="29"/>
        <w:pageBreakBefore w:val="0"/>
        <w:kinsoku/>
        <w:wordWrap/>
        <w:overflowPunct/>
        <w:topLinePunct w:val="0"/>
        <w:bidi w:val="0"/>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6D3DB35F">
      <w:pPr>
        <w:pageBreakBefore w:val="0"/>
        <w:kinsoku/>
        <w:wordWrap/>
        <w:overflowPunct/>
        <w:topLinePunct w:val="0"/>
        <w:bidi w:val="0"/>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9.</w:t>
      </w:r>
      <w:r>
        <w:t xml:space="preserve"> </w:t>
      </w:r>
      <w:r>
        <w:rPr>
          <w:rFonts w:hint="eastAsia" w:ascii="仿宋_GB2312" w:eastAsia="仿宋_GB2312"/>
          <w:color w:val="000000"/>
          <w:sz w:val="32"/>
          <w:szCs w:val="32"/>
        </w:rPr>
        <w:t>一般公共服务支出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lang w:eastAsia="zh-CN"/>
        </w:rPr>
        <w:t>）－市场监督管理事务（</w:t>
      </w:r>
      <w:r>
        <w:rPr>
          <w:rFonts w:hint="eastAsia" w:ascii="仿宋_GB2312" w:eastAsia="仿宋_GB2312"/>
          <w:color w:val="000000"/>
          <w:sz w:val="32"/>
          <w:szCs w:val="32"/>
          <w:lang w:val="en-US" w:eastAsia="zh-CN"/>
        </w:rPr>
        <w:t>38</w:t>
      </w:r>
      <w:r>
        <w:rPr>
          <w:rFonts w:hint="eastAsia" w:ascii="仿宋_GB2312" w:eastAsia="仿宋_GB2312"/>
          <w:color w:val="000000"/>
          <w:sz w:val="32"/>
          <w:szCs w:val="32"/>
          <w:lang w:eastAsia="zh-CN"/>
        </w:rPr>
        <w:t>）－质量基础（</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lang w:eastAsia="zh-CN"/>
        </w:rPr>
        <w:t>）：反映计量、标准、认证认可、检验检测等质量基础专项工作支出</w:t>
      </w:r>
      <w:r>
        <w:rPr>
          <w:rFonts w:hint="eastAsia" w:ascii="仿宋_GB2312" w:eastAsia="仿宋_GB2312"/>
          <w:color w:val="000000"/>
          <w:sz w:val="32"/>
          <w:szCs w:val="32"/>
        </w:rPr>
        <w:t>。</w:t>
      </w:r>
    </w:p>
    <w:p w14:paraId="4E10587A">
      <w:pPr>
        <w:pageBreakBefore w:val="0"/>
        <w:kinsoku/>
        <w:wordWrap/>
        <w:overflowPunct/>
        <w:topLinePunct w:val="0"/>
        <w:bidi w:val="0"/>
        <w:spacing w:line="560" w:lineRule="exact"/>
        <w:ind w:firstLine="640"/>
        <w:rPr>
          <w:rFonts w:hint="eastAsia" w:eastAsia="仿宋_GB2312" w:cs="仿宋_GB2312"/>
          <w:sz w:val="32"/>
          <w:szCs w:val="32"/>
          <w:lang w:eastAsia="zh-CN"/>
        </w:rPr>
      </w:pP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.教育</w:t>
      </w:r>
      <w:r>
        <w:rPr>
          <w:rFonts w:hint="eastAsia" w:ascii="仿宋_GB2312" w:eastAsia="仿宋_GB2312"/>
          <w:color w:val="000000"/>
          <w:sz w:val="32"/>
          <w:szCs w:val="32"/>
          <w:lang w:eastAsia="zh-CN"/>
        </w:rPr>
        <w:t>支出</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2</w:t>
      </w:r>
      <w:r>
        <w:rPr>
          <w:rFonts w:hint="eastAsia" w:eastAsia="仿宋_GB2312" w:cs="仿宋_GB2312"/>
          <w:sz w:val="32"/>
          <w:szCs w:val="32"/>
          <w:lang w:val="en-US" w:eastAsia="zh-CN"/>
        </w:rPr>
        <w:t>05</w:t>
      </w:r>
      <w:r>
        <w:rPr>
          <w:rFonts w:hint="eastAsia" w:eastAsia="仿宋_GB2312" w:cs="仿宋_GB2312"/>
          <w:sz w:val="32"/>
          <w:szCs w:val="32"/>
        </w:rPr>
        <w:t>）</w:t>
      </w:r>
      <w:r>
        <w:rPr>
          <w:rFonts w:hint="eastAsia" w:eastAsia="仿宋_GB2312" w:cs="仿宋_GB2312"/>
          <w:sz w:val="32"/>
          <w:szCs w:val="32"/>
          <w:lang w:eastAsia="zh-CN"/>
        </w:rPr>
        <w:t>－</w:t>
      </w:r>
      <w:r>
        <w:rPr>
          <w:rFonts w:hint="eastAsia" w:ascii="仿宋_GB2312" w:eastAsia="仿宋_GB2312"/>
          <w:color w:val="000000"/>
          <w:sz w:val="32"/>
          <w:szCs w:val="32"/>
          <w:lang w:eastAsia="zh-CN"/>
        </w:rPr>
        <w:t>其他教育支出（</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lang w:eastAsia="zh-CN"/>
        </w:rPr>
        <w:t>其他教育支出（</w:t>
      </w:r>
      <w:r>
        <w:rPr>
          <w:rFonts w:hint="eastAsia" w:ascii="仿宋_GB2312" w:eastAsia="仿宋_GB2312"/>
          <w:color w:val="000000"/>
          <w:sz w:val="32"/>
          <w:szCs w:val="32"/>
          <w:lang w:val="en-US" w:eastAsia="zh-CN"/>
        </w:rPr>
        <w:t>99）</w:t>
      </w:r>
      <w:r>
        <w:rPr>
          <w:rFonts w:hint="eastAsia" w:eastAsia="仿宋_GB2312" w:cs="仿宋_GB2312"/>
          <w:sz w:val="32"/>
          <w:szCs w:val="32"/>
        </w:rPr>
        <w:t>：指</w:t>
      </w:r>
      <w:r>
        <w:rPr>
          <w:rFonts w:hint="eastAsia" w:eastAsia="仿宋_GB2312" w:cs="仿宋_GB2312"/>
          <w:sz w:val="32"/>
          <w:szCs w:val="32"/>
          <w:lang w:eastAsia="zh-CN"/>
        </w:rPr>
        <w:t>反映除用于农村中小学校舍建设、农村中小学教学设施、城市中小学校舍建设、城市中小学教学设施、中等职业学校教学设施等项目之外其他用于教育方面的支出。</w:t>
      </w:r>
    </w:p>
    <w:p w14:paraId="63708283">
      <w:pPr>
        <w:pageBreakBefore w:val="0"/>
        <w:kinsoku/>
        <w:wordWrap/>
        <w:overflowPunct/>
        <w:topLinePunct w:val="0"/>
        <w:bidi w:val="0"/>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1</w:t>
      </w:r>
      <w:r>
        <w:rPr>
          <w:rFonts w:ascii="仿宋_GB2312" w:eastAsia="仿宋_GB2312"/>
          <w:color w:val="000000"/>
          <w:sz w:val="32"/>
          <w:szCs w:val="32"/>
        </w:rPr>
        <w:t>.</w:t>
      </w:r>
      <w:r>
        <w:t xml:space="preserve"> </w:t>
      </w:r>
      <w:r>
        <w:rPr>
          <w:rFonts w:hint="eastAsia" w:ascii="仿宋_GB2312" w:eastAsia="仿宋_GB2312"/>
          <w:color w:val="000000"/>
          <w:sz w:val="32"/>
          <w:szCs w:val="32"/>
        </w:rPr>
        <w:t>一般公共服务支出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lang w:eastAsia="zh-CN"/>
        </w:rPr>
        <w:t>）－市场监督管理事务（</w:t>
      </w:r>
      <w:r>
        <w:rPr>
          <w:rFonts w:hint="eastAsia" w:ascii="仿宋_GB2312" w:eastAsia="仿宋_GB2312"/>
          <w:color w:val="000000"/>
          <w:sz w:val="32"/>
          <w:szCs w:val="32"/>
          <w:lang w:val="en-US" w:eastAsia="zh-CN"/>
        </w:rPr>
        <w:t>38</w:t>
      </w:r>
      <w:r>
        <w:rPr>
          <w:rFonts w:hint="eastAsia" w:ascii="仿宋_GB2312" w:eastAsia="仿宋_GB2312"/>
          <w:color w:val="000000"/>
          <w:sz w:val="32"/>
          <w:szCs w:val="32"/>
          <w:lang w:eastAsia="zh-CN"/>
        </w:rPr>
        <w:t>）－事业运行（</w:t>
      </w:r>
      <w:r>
        <w:rPr>
          <w:rFonts w:hint="eastAsia" w:ascii="仿宋_GB2312" w:eastAsia="仿宋_GB2312"/>
          <w:color w:val="000000"/>
          <w:sz w:val="32"/>
          <w:szCs w:val="32"/>
          <w:lang w:val="en-US" w:eastAsia="zh-CN"/>
        </w:rPr>
        <w:t>50</w:t>
      </w:r>
      <w:r>
        <w:rPr>
          <w:rFonts w:hint="eastAsia" w:ascii="仿宋_GB2312" w:eastAsia="仿宋_GB2312"/>
          <w:color w:val="000000"/>
          <w:sz w:val="32"/>
          <w:szCs w:val="32"/>
          <w:lang w:eastAsia="zh-CN"/>
        </w:rPr>
        <w:t>）：反映事业单位的基本支出，不包括行政单位（包括实行公务员管理的事业单位）后勤服务中心、医务室等附属事业单位</w:t>
      </w:r>
      <w:r>
        <w:rPr>
          <w:rFonts w:hint="eastAsia" w:ascii="仿宋_GB2312" w:eastAsia="仿宋_GB2312"/>
          <w:color w:val="000000"/>
          <w:sz w:val="32"/>
          <w:szCs w:val="32"/>
        </w:rPr>
        <w:t>。</w:t>
      </w:r>
    </w:p>
    <w:p w14:paraId="2BD49144">
      <w:pPr>
        <w:pageBreakBefore w:val="0"/>
        <w:kinsoku/>
        <w:wordWrap/>
        <w:overflowPunct/>
        <w:topLinePunct w:val="0"/>
        <w:bidi w:val="0"/>
        <w:spacing w:line="560" w:lineRule="exact"/>
        <w:ind w:firstLine="640" w:firstLineChars="200"/>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一般公共服务支出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lang w:eastAsia="zh-CN"/>
        </w:rPr>
        <w:t>）－市场监督管理事务（</w:t>
      </w:r>
      <w:r>
        <w:rPr>
          <w:rFonts w:hint="eastAsia" w:ascii="仿宋_GB2312" w:eastAsia="仿宋_GB2312"/>
          <w:color w:val="000000"/>
          <w:sz w:val="32"/>
          <w:szCs w:val="32"/>
          <w:lang w:val="en-US" w:eastAsia="zh-CN"/>
        </w:rPr>
        <w:t>38</w:t>
      </w:r>
      <w:r>
        <w:rPr>
          <w:rFonts w:hint="eastAsia" w:ascii="仿宋_GB2312" w:eastAsia="仿宋_GB2312"/>
          <w:color w:val="000000"/>
          <w:sz w:val="32"/>
          <w:szCs w:val="32"/>
          <w:lang w:eastAsia="zh-CN"/>
        </w:rPr>
        <w:t>）－其他市场监督管理事务（</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lang w:eastAsia="zh-CN"/>
        </w:rPr>
        <w:t>）：反映用于除上述项目以外其他市场监督管理事务方面的支出。</w:t>
      </w:r>
    </w:p>
    <w:p w14:paraId="26716FED">
      <w:pPr>
        <w:pageBreakBefore w:val="0"/>
        <w:kinsoku/>
        <w:wordWrap/>
        <w:overflowPunct/>
        <w:topLinePunct w:val="0"/>
        <w:bidi w:val="0"/>
        <w:spacing w:line="560" w:lineRule="exact"/>
        <w:ind w:firstLine="640" w:firstLineChars="200"/>
        <w:rPr>
          <w:rFonts w:hint="default" w:ascii="仿宋_GB2312" w:eastAsia="仿宋_GB2312"/>
          <w:color w:val="000000"/>
          <w:sz w:val="32"/>
          <w:szCs w:val="32"/>
          <w:lang w:val="en-US" w:eastAsia="zh-CN"/>
        </w:rPr>
      </w:pPr>
      <w:r>
        <w:rPr>
          <w:rFonts w:hint="eastAsia" w:ascii="仿宋_GB2312" w:eastAsia="仿宋_GB2312"/>
          <w:color w:val="000000"/>
          <w:sz w:val="32"/>
          <w:szCs w:val="32"/>
          <w:lang w:val="en-US" w:eastAsia="zh-CN"/>
        </w:rPr>
        <w:t>13</w:t>
      </w:r>
      <w:r>
        <w:rPr>
          <w:rFonts w:hint="eastAsia" w:ascii="仿宋_GB2312" w:eastAsia="仿宋_GB2312"/>
          <w:color w:val="000000"/>
          <w:sz w:val="32"/>
          <w:szCs w:val="32"/>
        </w:rPr>
        <w:t>社会保障和就业</w:t>
      </w:r>
      <w:r>
        <w:rPr>
          <w:rFonts w:hint="eastAsia" w:ascii="仿宋_GB2312" w:eastAsia="仿宋_GB2312"/>
          <w:color w:val="000000"/>
          <w:sz w:val="32"/>
          <w:szCs w:val="32"/>
          <w:lang w:eastAsia="zh-CN"/>
        </w:rPr>
        <w:t>支出（</w:t>
      </w:r>
      <w:r>
        <w:rPr>
          <w:rFonts w:hint="eastAsia" w:ascii="仿宋_GB2312" w:eastAsia="仿宋_GB2312"/>
          <w:color w:val="000000"/>
          <w:sz w:val="32"/>
          <w:szCs w:val="32"/>
          <w:lang w:val="en-US" w:eastAsia="zh-CN"/>
        </w:rPr>
        <w:t>208</w:t>
      </w:r>
      <w:r>
        <w:rPr>
          <w:rFonts w:hint="eastAsia" w:ascii="仿宋_GB2312" w:eastAsia="仿宋_GB2312"/>
          <w:color w:val="000000"/>
          <w:sz w:val="32"/>
          <w:szCs w:val="32"/>
          <w:lang w:eastAsia="zh-CN"/>
        </w:rPr>
        <w:t>）－</w:t>
      </w:r>
      <w:r>
        <w:rPr>
          <w:rFonts w:hint="eastAsia" w:ascii="仿宋_GB2312" w:eastAsia="仿宋_GB2312"/>
          <w:color w:val="000000"/>
          <w:sz w:val="32"/>
          <w:szCs w:val="32"/>
        </w:rPr>
        <w:t>行政事业单位</w:t>
      </w:r>
      <w:r>
        <w:rPr>
          <w:rFonts w:hint="eastAsia" w:ascii="仿宋_GB2312" w:eastAsia="仿宋_GB2312"/>
          <w:color w:val="000000"/>
          <w:sz w:val="32"/>
          <w:szCs w:val="32"/>
          <w:lang w:val="en-US" w:eastAsia="zh-CN"/>
        </w:rPr>
        <w:t>养老支出（05）－</w:t>
      </w:r>
      <w:r>
        <w:rPr>
          <w:rFonts w:hint="eastAsia" w:ascii="仿宋_GB2312" w:eastAsia="仿宋_GB2312"/>
          <w:color w:val="000000"/>
          <w:sz w:val="32"/>
          <w:szCs w:val="32"/>
        </w:rPr>
        <w:t>机关事业单位基本养老保险缴费支出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05</w:t>
      </w:r>
      <w:r>
        <w:rPr>
          <w:rFonts w:hint="eastAsia" w:ascii="仿宋_GB2312" w:eastAsia="仿宋_GB2312"/>
          <w:color w:val="000000"/>
          <w:sz w:val="32"/>
          <w:szCs w:val="32"/>
          <w:lang w:eastAsia="zh-CN"/>
        </w:rPr>
        <w:t>）</w:t>
      </w:r>
      <w:r>
        <w:rPr>
          <w:rFonts w:hint="eastAsia" w:ascii="仿宋_GB2312" w:eastAsia="仿宋_GB2312"/>
          <w:color w:val="000000"/>
          <w:sz w:val="32"/>
          <w:szCs w:val="32"/>
        </w:rPr>
        <w:t>：指反映事业单位</w:t>
      </w:r>
      <w:r>
        <w:rPr>
          <w:rFonts w:hint="eastAsia" w:ascii="仿宋_GB2312" w:eastAsia="仿宋_GB2312"/>
          <w:color w:val="000000"/>
          <w:sz w:val="32"/>
          <w:szCs w:val="32"/>
          <w:lang w:val="en-US" w:eastAsia="zh-CN"/>
        </w:rPr>
        <w:t>实施</w:t>
      </w:r>
      <w:r>
        <w:rPr>
          <w:rFonts w:hint="eastAsia" w:ascii="仿宋_GB2312" w:eastAsia="仿宋_GB2312"/>
          <w:color w:val="000000"/>
          <w:sz w:val="32"/>
          <w:szCs w:val="32"/>
        </w:rPr>
        <w:t>养老保险</w:t>
      </w:r>
      <w:r>
        <w:rPr>
          <w:rFonts w:hint="eastAsia" w:ascii="仿宋_GB2312" w:eastAsia="仿宋_GB2312"/>
          <w:color w:val="000000"/>
          <w:sz w:val="32"/>
          <w:szCs w:val="32"/>
          <w:lang w:val="en-US" w:eastAsia="zh-CN"/>
        </w:rPr>
        <w:t>制度由单位缴纳的基本养老保险费支出。</w:t>
      </w:r>
    </w:p>
    <w:p w14:paraId="10E9CC51">
      <w:pPr>
        <w:pageBreakBefore w:val="0"/>
        <w:kinsoku/>
        <w:wordWrap/>
        <w:overflowPunct/>
        <w:topLinePunct w:val="0"/>
        <w:bidi w:val="0"/>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4</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color w:val="000000"/>
          <w:sz w:val="32"/>
          <w:szCs w:val="32"/>
          <w:lang w:eastAsia="zh-CN"/>
        </w:rPr>
        <w:t>支出（</w:t>
      </w:r>
      <w:r>
        <w:rPr>
          <w:rFonts w:hint="eastAsia" w:ascii="仿宋_GB2312" w:eastAsia="仿宋_GB2312"/>
          <w:color w:val="000000"/>
          <w:sz w:val="32"/>
          <w:szCs w:val="32"/>
          <w:lang w:val="en-US" w:eastAsia="zh-CN"/>
        </w:rPr>
        <w:t>208</w:t>
      </w:r>
      <w:r>
        <w:rPr>
          <w:rFonts w:hint="eastAsia" w:ascii="仿宋_GB2312" w:eastAsia="仿宋_GB2312"/>
          <w:color w:val="000000"/>
          <w:sz w:val="32"/>
          <w:szCs w:val="32"/>
          <w:lang w:eastAsia="zh-CN"/>
        </w:rPr>
        <w:t>）－</w:t>
      </w:r>
      <w:r>
        <w:rPr>
          <w:rFonts w:hint="eastAsia" w:ascii="仿宋_GB2312" w:eastAsia="仿宋_GB2312"/>
          <w:color w:val="000000"/>
          <w:sz w:val="32"/>
          <w:szCs w:val="32"/>
        </w:rPr>
        <w:t>行政事业单位</w:t>
      </w:r>
      <w:r>
        <w:rPr>
          <w:rFonts w:hint="eastAsia" w:ascii="仿宋_GB2312" w:eastAsia="仿宋_GB2312"/>
          <w:color w:val="000000"/>
          <w:sz w:val="32"/>
          <w:szCs w:val="32"/>
          <w:lang w:val="en-US" w:eastAsia="zh-CN"/>
        </w:rPr>
        <w:t>养老支出（05）－</w:t>
      </w:r>
      <w:r>
        <w:rPr>
          <w:rFonts w:hint="eastAsia" w:ascii="仿宋_GB2312" w:eastAsia="仿宋_GB2312"/>
          <w:color w:val="000000"/>
          <w:sz w:val="32"/>
          <w:szCs w:val="32"/>
        </w:rPr>
        <w:t>机关事业单位职业年金缴费支出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06</w:t>
      </w:r>
      <w:r>
        <w:rPr>
          <w:rFonts w:hint="eastAsia" w:ascii="仿宋_GB2312" w:eastAsia="仿宋_GB2312"/>
          <w:color w:val="000000"/>
          <w:sz w:val="32"/>
          <w:szCs w:val="32"/>
          <w:lang w:eastAsia="zh-CN"/>
        </w:rPr>
        <w:t>）</w:t>
      </w:r>
      <w:r>
        <w:rPr>
          <w:rFonts w:hint="eastAsia" w:ascii="仿宋_GB2312" w:eastAsia="仿宋_GB2312"/>
          <w:color w:val="000000"/>
          <w:sz w:val="32"/>
          <w:szCs w:val="32"/>
        </w:rPr>
        <w:t>：指反映机关事业单位实施养老保险制度由单位实际缴纳的职业年金支出。</w:t>
      </w:r>
    </w:p>
    <w:p w14:paraId="75385E56">
      <w:pPr>
        <w:pageBreakBefore w:val="0"/>
        <w:kinsoku/>
        <w:wordWrap/>
        <w:overflowPunct/>
        <w:topLinePunct w:val="0"/>
        <w:bidi w:val="0"/>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5</w:t>
      </w:r>
      <w:r>
        <w:rPr>
          <w:rFonts w:ascii="仿宋_GB2312" w:eastAsia="仿宋_GB2312"/>
          <w:color w:val="000000"/>
          <w:sz w:val="32"/>
          <w:szCs w:val="32"/>
        </w:rPr>
        <w:t>.</w:t>
      </w:r>
      <w:r>
        <w:rPr>
          <w:rFonts w:hint="eastAsia" w:ascii="仿宋_GB2312" w:eastAsia="仿宋_GB2312"/>
          <w:color w:val="000000"/>
          <w:sz w:val="32"/>
          <w:szCs w:val="32"/>
        </w:rPr>
        <w:t>卫生健康支出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210</w:t>
      </w:r>
      <w:r>
        <w:rPr>
          <w:rFonts w:hint="eastAsia" w:ascii="仿宋_GB2312" w:eastAsia="仿宋_GB2312"/>
          <w:color w:val="000000"/>
          <w:sz w:val="32"/>
          <w:szCs w:val="32"/>
          <w:lang w:eastAsia="zh-CN"/>
        </w:rPr>
        <w:t>）－</w:t>
      </w:r>
      <w:r>
        <w:rPr>
          <w:rFonts w:hint="eastAsia" w:ascii="仿宋_GB2312" w:eastAsia="仿宋_GB2312"/>
          <w:color w:val="000000"/>
          <w:sz w:val="32"/>
          <w:szCs w:val="32"/>
        </w:rPr>
        <w:t>行政事业单位医疗</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lang w:eastAsia="zh-CN"/>
        </w:rPr>
        <w:t>）－</w:t>
      </w:r>
      <w:r>
        <w:rPr>
          <w:rFonts w:hint="eastAsia" w:ascii="仿宋_GB2312" w:eastAsia="仿宋_GB2312"/>
          <w:color w:val="000000"/>
          <w:sz w:val="32"/>
          <w:szCs w:val="32"/>
        </w:rPr>
        <w:t>事业单位医疗</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02</w:t>
      </w:r>
      <w:r>
        <w:rPr>
          <w:rFonts w:hint="eastAsia" w:ascii="仿宋_GB2312" w:eastAsia="仿宋_GB2312"/>
          <w:color w:val="000000"/>
          <w:sz w:val="32"/>
          <w:szCs w:val="32"/>
          <w:lang w:eastAsia="zh-CN"/>
        </w:rPr>
        <w:t>）</w:t>
      </w:r>
      <w:r>
        <w:rPr>
          <w:rFonts w:hint="eastAsia" w:ascii="仿宋_GB2312" w:eastAsia="仿宋_GB2312"/>
          <w:color w:val="000000"/>
          <w:sz w:val="32"/>
          <w:szCs w:val="32"/>
        </w:rPr>
        <w:t>：指反映财政部门安排的事业单位基本医疗保险缴费经费，未参加医疗保险的事业单位的公费医疗经费，按国家规定享受离休人员待遇的医疗经费。</w:t>
      </w:r>
    </w:p>
    <w:p w14:paraId="09C62305">
      <w:pPr>
        <w:pageBreakBefore w:val="0"/>
        <w:kinsoku/>
        <w:wordWrap/>
        <w:overflowPunct/>
        <w:topLinePunct w:val="0"/>
        <w:bidi w:val="0"/>
        <w:spacing w:line="560" w:lineRule="exact"/>
        <w:ind w:firstLine="640" w:firstLineChars="200"/>
        <w:rPr>
          <w:rFonts w:ascii="仿宋_GB2312" w:eastAsia="仿宋_GB2312"/>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6</w:t>
      </w:r>
      <w:r>
        <w:rPr>
          <w:rFonts w:ascii="仿宋_GB2312" w:eastAsia="仿宋_GB2312"/>
          <w:color w:val="000000"/>
          <w:sz w:val="32"/>
          <w:szCs w:val="32"/>
        </w:rPr>
        <w:t>.</w:t>
      </w:r>
      <w:r>
        <w:rPr>
          <w:rFonts w:hint="eastAsia" w:ascii="仿宋_GB2312" w:eastAsia="仿宋_GB2312"/>
          <w:color w:val="000000"/>
          <w:sz w:val="32"/>
          <w:szCs w:val="32"/>
        </w:rPr>
        <w:t>卫生健康支出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210</w:t>
      </w:r>
      <w:r>
        <w:rPr>
          <w:rFonts w:hint="eastAsia" w:ascii="仿宋_GB2312" w:eastAsia="仿宋_GB2312"/>
          <w:color w:val="000000"/>
          <w:sz w:val="32"/>
          <w:szCs w:val="32"/>
          <w:lang w:eastAsia="zh-CN"/>
        </w:rPr>
        <w:t>）－</w:t>
      </w:r>
      <w:r>
        <w:rPr>
          <w:rFonts w:hint="eastAsia" w:ascii="仿宋_GB2312" w:eastAsia="仿宋_GB2312"/>
          <w:color w:val="000000"/>
          <w:sz w:val="32"/>
          <w:szCs w:val="32"/>
        </w:rPr>
        <w:t>行政事业单位医疗</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lang w:eastAsia="zh-CN"/>
        </w:rPr>
        <w:t>）－</w:t>
      </w:r>
      <w:r>
        <w:rPr>
          <w:rFonts w:hint="eastAsia" w:ascii="仿宋_GB2312" w:eastAsia="仿宋_GB2312"/>
          <w:color w:val="000000"/>
          <w:sz w:val="32"/>
          <w:szCs w:val="32"/>
        </w:rPr>
        <w:t>其他行政事业单位医疗</w:t>
      </w:r>
      <w:r>
        <w:rPr>
          <w:rFonts w:hint="eastAsia" w:ascii="仿宋_GB2312" w:eastAsia="仿宋_GB2312"/>
          <w:color w:val="000000"/>
          <w:sz w:val="32"/>
          <w:szCs w:val="32"/>
          <w:lang w:eastAsia="zh-CN"/>
        </w:rPr>
        <w:t>支出（</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lang w:eastAsia="zh-CN"/>
        </w:rPr>
        <w:t>）</w:t>
      </w:r>
      <w:r>
        <w:rPr>
          <w:rFonts w:hint="eastAsia" w:ascii="仿宋_GB2312" w:eastAsia="仿宋_GB2312"/>
          <w:color w:val="000000"/>
          <w:sz w:val="32"/>
          <w:szCs w:val="32"/>
        </w:rPr>
        <w:t>：</w:t>
      </w:r>
      <w:r>
        <w:rPr>
          <w:rFonts w:hint="eastAsia" w:ascii="仿宋_GB2312" w:eastAsia="仿宋_GB2312"/>
          <w:sz w:val="32"/>
          <w:szCs w:val="32"/>
        </w:rPr>
        <w:t>指反映除上述项目以外的其他用于行政事业单位医疗方面的支出。</w:t>
      </w:r>
    </w:p>
    <w:p w14:paraId="7CD21FCE">
      <w:pPr>
        <w:pageBreakBefore w:val="0"/>
        <w:kinsoku/>
        <w:wordWrap/>
        <w:overflowPunct/>
        <w:topLinePunct w:val="0"/>
        <w:bidi w:val="0"/>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 xml:space="preserve">. </w:t>
      </w:r>
      <w:r>
        <w:rPr>
          <w:rFonts w:hint="eastAsia" w:ascii="仿宋_GB2312" w:eastAsia="仿宋_GB2312"/>
          <w:color w:val="000000"/>
          <w:sz w:val="32"/>
          <w:szCs w:val="32"/>
          <w:lang w:eastAsia="zh-CN"/>
        </w:rPr>
        <w:t>住房保障支出（</w:t>
      </w:r>
      <w:r>
        <w:rPr>
          <w:rFonts w:hint="eastAsia" w:ascii="仿宋_GB2312" w:eastAsia="仿宋_GB2312"/>
          <w:color w:val="000000"/>
          <w:sz w:val="32"/>
          <w:szCs w:val="32"/>
          <w:lang w:val="en-US" w:eastAsia="zh-CN"/>
        </w:rPr>
        <w:t>221</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住房改革支出（02）－住房公积金（01）：反映行政事业单位按人力资源和社会保障部、财政部规定的基本工资和津贴补贴以及规定比例为职工缴纳的住房公积金</w:t>
      </w:r>
      <w:r>
        <w:rPr>
          <w:rFonts w:hint="eastAsia" w:ascii="仿宋_GB2312" w:eastAsia="仿宋_GB2312"/>
          <w:color w:val="000000"/>
          <w:sz w:val="32"/>
          <w:szCs w:val="32"/>
        </w:rPr>
        <w:t>。</w:t>
      </w:r>
    </w:p>
    <w:p w14:paraId="4CB19442">
      <w:pPr>
        <w:pageBreakBefore w:val="0"/>
        <w:kinsoku/>
        <w:wordWrap/>
        <w:overflowPunct/>
        <w:topLinePunct w:val="0"/>
        <w:bidi w:val="0"/>
        <w:spacing w:line="560" w:lineRule="exact"/>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18.基本支出：指为保障机构正常运转、完成日常工作任务而发生的人员支出和公用支出。</w:t>
      </w:r>
    </w:p>
    <w:p w14:paraId="2306F4C9">
      <w:pPr>
        <w:pageBreakBefore w:val="0"/>
        <w:kinsoku/>
        <w:wordWrap/>
        <w:overflowPunct/>
        <w:topLinePunct w:val="0"/>
        <w:bidi w:val="0"/>
        <w:spacing w:line="560" w:lineRule="exact"/>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19.项目支出：指在基本支出之外为完成特定行政任务和事业发展目标所发生的支出。</w:t>
      </w:r>
    </w:p>
    <w:p w14:paraId="68AE14EE">
      <w:pPr>
        <w:pageBreakBefore w:val="0"/>
        <w:kinsoku/>
        <w:wordWrap/>
        <w:overflowPunct/>
        <w:topLinePunct w:val="0"/>
        <w:bidi w:val="0"/>
        <w:spacing w:line="560" w:lineRule="exact"/>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20.经营支出：指事业单位在专业业务活动及其辅助活动之外开展非独立核算经营活动发生的支出。</w:t>
      </w:r>
    </w:p>
    <w:p w14:paraId="58634B11">
      <w:pPr>
        <w:pageBreakBefore w:val="0"/>
        <w:kinsoku/>
        <w:wordWrap/>
        <w:overflowPunct/>
        <w:topLinePunct w:val="0"/>
        <w:bidi w:val="0"/>
        <w:spacing w:line="560" w:lineRule="exact"/>
        <w:ind w:firstLine="640" w:firstLineChars="20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F825E46">
      <w:pPr>
        <w:pageBreakBefore w:val="0"/>
        <w:kinsoku/>
        <w:wordWrap/>
        <w:overflowPunct/>
        <w:topLinePunct w:val="0"/>
        <w:bidi w:val="0"/>
        <w:spacing w:line="560" w:lineRule="exact"/>
        <w:ind w:firstLine="640" w:firstLineChars="200"/>
        <w:rPr>
          <w:rFonts w:hint="eastAsia" w:ascii="仿宋_GB2312" w:eastAsia="仿宋_GB2312"/>
          <w:color w:val="000000"/>
          <w:sz w:val="32"/>
          <w:szCs w:val="32"/>
          <w:lang w:val="en-US" w:eastAsia="zh-CN"/>
        </w:rPr>
        <w:sectPr>
          <w:footerReference r:id="rId9" w:type="first"/>
          <w:footerReference r:id="rId8" w:type="default"/>
          <w:pgSz w:w="11906" w:h="16838"/>
          <w:pgMar w:top="1440" w:right="1800" w:bottom="1440" w:left="1800" w:header="851" w:footer="992" w:gutter="0"/>
          <w:pgNumType w:fmt="decimal" w:start="1"/>
          <w:cols w:space="425" w:num="1"/>
          <w:titlePg/>
          <w:docGrid w:type="lines" w:linePitch="312" w:charSpace="0"/>
        </w:sectPr>
      </w:pPr>
      <w:r>
        <w:rPr>
          <w:rFonts w:hint="eastAsia" w:ascii="仿宋_GB2312" w:eastAsia="仿宋_GB2312"/>
          <w:color w:val="000000"/>
          <w:sz w:val="32"/>
          <w:szCs w:val="32"/>
          <w:lang w:val="en-US" w:eastAsia="zh-CN"/>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2F4AC37">
      <w:pPr>
        <w:spacing w:line="600" w:lineRule="exact"/>
        <w:jc w:val="both"/>
        <w:rPr>
          <w:rStyle w:val="31"/>
          <w:rFonts w:hint="eastAsia" w:ascii="Times New Roman" w:hAnsi="Times New Roman" w:eastAsia="黑体"/>
          <w:b w:val="0"/>
          <w:color w:val="auto"/>
          <w:highlight w:val="none"/>
          <w:lang w:eastAsia="zh-CN"/>
        </w:rPr>
      </w:pPr>
      <w:bookmarkStart w:id="47" w:name="_Toc15396614"/>
      <w:bookmarkStart w:id="48" w:name="_Toc15377226"/>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7"/>
    </w:p>
    <w:p w14:paraId="4A9252B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5275F813">
      <w:pPr>
        <w:keepNext w:val="0"/>
        <w:keepLines w:val="0"/>
        <w:widowControl w:val="0"/>
        <w:suppressLineNumbers w:val="0"/>
        <w:spacing w:before="0" w:beforeAutospacing="0" w:after="0" w:afterAutospacing="0" w:line="578" w:lineRule="exact"/>
        <w:ind w:left="0" w:right="0"/>
        <w:contextualSpacing/>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附件</w:t>
      </w:r>
      <w:r>
        <w:rPr>
          <w:rFonts w:hint="eastAsia" w:ascii="Times New Roman" w:hAnsi="Times New Roman" w:eastAsia="黑体" w:cs="Times New Roman"/>
          <w:kern w:val="2"/>
          <w:sz w:val="32"/>
          <w:szCs w:val="32"/>
          <w:lang w:val="en-US" w:eastAsia="zh-CN" w:bidi="ar"/>
        </w:rPr>
        <w:t>1</w:t>
      </w:r>
    </w:p>
    <w:p w14:paraId="2D27D4CB">
      <w:pPr>
        <w:keepNext w:val="0"/>
        <w:keepLines w:val="0"/>
        <w:widowControl/>
        <w:suppressLineNumbers w:val="0"/>
        <w:spacing w:before="0" w:beforeAutospacing="0" w:after="0" w:afterAutospacing="0" w:line="578" w:lineRule="exact"/>
        <w:ind w:left="0" w:right="0"/>
        <w:contextualSpacing/>
        <w:jc w:val="left"/>
        <w:rPr>
          <w:rFonts w:hint="default" w:ascii="Times New Roman" w:hAnsi="Times New Roman" w:eastAsia="宋体" w:cs="Times New Roman"/>
          <w:b/>
          <w:bCs w:val="0"/>
          <w:kern w:val="2"/>
          <w:sz w:val="44"/>
          <w:szCs w:val="44"/>
          <w:shd w:val="clear" w:fill="FFFFFF"/>
        </w:rPr>
      </w:pPr>
      <w:r>
        <w:rPr>
          <w:rFonts w:hint="default" w:ascii="Times New Roman" w:hAnsi="Times New Roman" w:eastAsia="宋体" w:cs="Times New Roman"/>
          <w:b/>
          <w:bCs w:val="0"/>
          <w:kern w:val="2"/>
          <w:sz w:val="44"/>
          <w:szCs w:val="44"/>
          <w:shd w:val="clear" w:fill="FFFFFF"/>
          <w:lang w:val="en-US" w:eastAsia="zh-CN" w:bidi="ar"/>
        </w:rPr>
        <w:t xml:space="preserve"> </w:t>
      </w:r>
    </w:p>
    <w:p w14:paraId="156B337C">
      <w:pPr>
        <w:keepNext w:val="0"/>
        <w:keepLines w:val="0"/>
        <w:widowControl/>
        <w:suppressLineNumbers w:val="0"/>
        <w:spacing w:before="0" w:beforeAutospacing="0" w:after="0" w:afterAutospacing="0" w:line="578" w:lineRule="exact"/>
        <w:ind w:left="0" w:right="0"/>
        <w:contextualSpacing/>
        <w:jc w:val="center"/>
        <w:rPr>
          <w:rFonts w:hint="default" w:ascii="Times New Roman" w:hAnsi="Times New Roman" w:eastAsia="方正小标宋简体" w:cs="Times New Roman"/>
          <w:bCs/>
          <w:kern w:val="2"/>
          <w:sz w:val="44"/>
          <w:szCs w:val="44"/>
          <w:shd w:val="clear" w:fill="FFFFFF"/>
        </w:rPr>
      </w:pPr>
      <w:r>
        <w:rPr>
          <w:rFonts w:hint="eastAsia" w:ascii="方正小标宋简体" w:hAnsi="方正小标宋简体" w:eastAsia="方正小标宋简体" w:cs="方正小标宋简体"/>
          <w:bCs/>
          <w:kern w:val="2"/>
          <w:sz w:val="44"/>
          <w:szCs w:val="44"/>
          <w:shd w:val="clear" w:fill="FFFFFF"/>
          <w:lang w:val="en-US" w:eastAsia="zh-CN" w:bidi="ar"/>
        </w:rPr>
        <w:t>阿坝州产品质量和特种设备监督检验所</w:t>
      </w:r>
      <w:r>
        <w:rPr>
          <w:rFonts w:hint="default" w:ascii="Times New Roman" w:hAnsi="Times New Roman" w:eastAsia="方正小标宋简体" w:cs="Times New Roman"/>
          <w:bCs/>
          <w:kern w:val="2"/>
          <w:sz w:val="44"/>
          <w:szCs w:val="44"/>
          <w:shd w:val="clear" w:fill="FFFFFF"/>
          <w:lang w:val="en-US" w:eastAsia="zh-CN" w:bidi="ar"/>
        </w:rPr>
        <w:t>2025</w:t>
      </w:r>
      <w:r>
        <w:rPr>
          <w:rFonts w:hint="eastAsia" w:ascii="方正小标宋简体" w:hAnsi="方正小标宋简体" w:eastAsia="方正小标宋简体" w:cs="方正小标宋简体"/>
          <w:bCs/>
          <w:kern w:val="2"/>
          <w:sz w:val="44"/>
          <w:szCs w:val="44"/>
          <w:shd w:val="clear" w:fill="FFFFFF"/>
          <w:lang w:val="en-US" w:eastAsia="zh-CN" w:bidi="ar"/>
        </w:rPr>
        <w:t>年度部门预算绩效自评报告</w:t>
      </w:r>
    </w:p>
    <w:p w14:paraId="7E8D1DB6">
      <w:pPr>
        <w:keepNext w:val="0"/>
        <w:keepLines w:val="0"/>
        <w:widowControl/>
        <w:suppressLineNumbers w:val="0"/>
        <w:adjustRightInd w:val="0"/>
        <w:snapToGrid w:val="0"/>
        <w:spacing w:before="0" w:beforeAutospacing="0" w:after="0" w:afterAutospacing="0" w:line="578" w:lineRule="exact"/>
        <w:ind w:left="0" w:right="0" w:firstLine="480" w:firstLineChars="200"/>
        <w:contextualSpacing/>
        <w:jc w:val="left"/>
        <w:rPr>
          <w:rFonts w:hint="default" w:ascii="Times New Roman" w:hAnsi="Times New Roman" w:eastAsia="黑体" w:cs="Times New Roman"/>
          <w:color w:val="000000"/>
          <w:kern w:val="0"/>
          <w:sz w:val="24"/>
          <w:szCs w:val="24"/>
          <w:shd w:val="clear" w:fill="FFFFFF"/>
        </w:rPr>
      </w:pPr>
      <w:r>
        <w:rPr>
          <w:rFonts w:hint="default" w:ascii="Times New Roman" w:hAnsi="Times New Roman" w:eastAsia="黑体" w:cs="Times New Roman"/>
          <w:color w:val="000000"/>
          <w:kern w:val="0"/>
          <w:sz w:val="24"/>
          <w:szCs w:val="24"/>
          <w:shd w:val="clear" w:fill="FFFFFF"/>
          <w:lang w:val="en-US" w:eastAsia="zh-CN" w:bidi="ar"/>
        </w:rPr>
        <w:t xml:space="preserve"> </w:t>
      </w:r>
    </w:p>
    <w:p w14:paraId="0EE44662">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kern w:val="2"/>
          <w:sz w:val="32"/>
          <w:szCs w:val="32"/>
        </w:rPr>
      </w:pPr>
      <w:r>
        <w:rPr>
          <w:rFonts w:hint="eastAsia" w:ascii="黑体" w:hAnsi="宋体" w:eastAsia="黑体" w:cs="黑体"/>
          <w:color w:val="000000"/>
          <w:kern w:val="0"/>
          <w:sz w:val="32"/>
          <w:szCs w:val="32"/>
          <w:shd w:val="clear" w:fill="FFFFFF"/>
          <w:lang w:val="en-US" w:eastAsia="zh-CN" w:bidi="ar"/>
        </w:rPr>
        <w:t>一、部门（单位）基本情况</w:t>
      </w:r>
    </w:p>
    <w:p w14:paraId="23EBF7EF">
      <w:pPr>
        <w:keepNext w:val="0"/>
        <w:keepLines w:val="0"/>
        <w:widowControl/>
        <w:suppressLineNumbers w:val="0"/>
        <w:autoSpaceDE w:val="0"/>
        <w:autoSpaceDN/>
        <w:adjustRightInd w:val="0"/>
        <w:snapToGrid w:val="0"/>
        <w:spacing w:before="0" w:beforeAutospacing="0" w:after="0" w:afterAutospacing="0" w:line="560" w:lineRule="exact"/>
        <w:ind w:left="0" w:right="0" w:firstLine="720"/>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（一）机构组成。</w:t>
      </w:r>
    </w:p>
    <w:p w14:paraId="3133378E">
      <w:pPr>
        <w:keepNext w:val="0"/>
        <w:keepLines w:val="0"/>
        <w:widowControl/>
        <w:suppressLineNumbers w:val="0"/>
        <w:autoSpaceDE w:val="0"/>
        <w:autoSpaceDN/>
        <w:adjustRightInd w:val="0"/>
        <w:snapToGrid w:val="0"/>
        <w:spacing w:before="0" w:beforeAutospacing="0" w:after="0" w:afterAutospacing="0" w:line="560" w:lineRule="exact"/>
        <w:ind w:left="0" w:right="0" w:firstLine="720"/>
        <w:jc w:val="left"/>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lang w:val="en-US" w:eastAsia="zh-CN" w:bidi="ar"/>
        </w:rPr>
        <w:t>阿坝州产品质量和特种设备监督检验所于2024年11月25日设立。按照《中共阿坝州委机构编制委员会办公室关于设立阿坝州产品质量和特种设备监督检验所的批复》（阿编办〔2024〕134号）文件要求，原阿坝州产品质量监督检验所与原阿坝州特种设备监督检验所合并成为阿坝州产品质量和特种设备监督检验所，其具有事业法人资格的第三方公正检验机构，为财政全额拨款公益一类性质事业单位，现行政上隶属于阿坝州市场监督管理局，执行事业单位会计制度。</w:t>
      </w:r>
    </w:p>
    <w:p w14:paraId="0EC88071">
      <w:pPr>
        <w:keepNext w:val="0"/>
        <w:keepLines w:val="0"/>
        <w:widowControl/>
        <w:numPr>
          <w:ilvl w:val="0"/>
          <w:numId w:val="2"/>
        </w:numPr>
        <w:suppressLineNumbers w:val="0"/>
        <w:autoSpaceDE w:val="0"/>
        <w:autoSpaceDN/>
        <w:adjustRightInd w:val="0"/>
        <w:snapToGrid w:val="0"/>
        <w:spacing w:before="0" w:beforeAutospacing="0" w:after="0" w:afterAutospacing="0" w:line="560" w:lineRule="exact"/>
        <w:ind w:left="0" w:right="0" w:firstLine="643" w:firstLineChars="200"/>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机构职能。</w:t>
      </w:r>
    </w:p>
    <w:p w14:paraId="38BEF0B8">
      <w:pPr>
        <w:keepNext w:val="0"/>
        <w:keepLines w:val="0"/>
        <w:widowControl/>
        <w:suppressLineNumbers w:val="0"/>
        <w:autoSpaceDE w:val="0"/>
        <w:autoSpaceDN/>
        <w:adjustRightInd w:val="0"/>
        <w:snapToGrid w:val="0"/>
        <w:spacing w:before="0" w:beforeAutospacing="0" w:after="0" w:afterAutospacing="0" w:line="560" w:lineRule="exact"/>
        <w:ind w:left="0" w:right="0" w:firstLine="640" w:firstLineChars="200"/>
        <w:jc w:val="left"/>
        <w:rPr>
          <w:rFonts w:hint="default" w:ascii="Times New Roman" w:hAnsi="Times New Roman" w:eastAsia="楷体_GB2312" w:cs="Times New Roman"/>
          <w:b/>
          <w:bCs/>
          <w:color w:val="000000"/>
          <w:kern w:val="0"/>
          <w:sz w:val="32"/>
          <w:szCs w:val="32"/>
          <w:shd w:val="clear" w:fill="FFFFFF"/>
        </w:rPr>
      </w:pPr>
      <w:r>
        <w:rPr>
          <w:rFonts w:hint="eastAsia" w:ascii="仿宋_GB2312" w:hAnsi="Times New Roman" w:eastAsia="仿宋_GB2312" w:cs="仿宋_GB2312"/>
          <w:kern w:val="0"/>
          <w:sz w:val="32"/>
          <w:szCs w:val="32"/>
          <w:lang w:val="en-US" w:eastAsia="zh-CN" w:bidi="ar"/>
        </w:rPr>
        <w:t>贯彻执行国家和地方</w:t>
      </w:r>
      <w:r>
        <w:rPr>
          <w:rFonts w:hint="eastAsia" w:ascii="仿宋_GB2312" w:eastAsia="仿宋_GB2312" w:cs="仿宋_GB2312"/>
          <w:kern w:val="0"/>
          <w:sz w:val="32"/>
          <w:szCs w:val="32"/>
          <w:lang w:val="en-US" w:eastAsia="zh-CN" w:bidi="ar"/>
        </w:rPr>
        <w:t>法律法规</w:t>
      </w:r>
      <w:r>
        <w:rPr>
          <w:rFonts w:hint="eastAsia" w:ascii="仿宋_GB2312" w:hAnsi="Times New Roman" w:eastAsia="仿宋_GB2312" w:cs="仿宋_GB2312"/>
          <w:kern w:val="0"/>
          <w:sz w:val="32"/>
          <w:szCs w:val="32"/>
          <w:lang w:val="en-US" w:eastAsia="zh-CN" w:bidi="ar"/>
        </w:rPr>
        <w:t>、方针、政策；承担产品质量委托检验；承担全州锅炉、压力容器、压力管道、电梯、起重机械、厂场内机动车辆、客运索道、大型游乐设施安全技术检验；完成省、州市场监督管理局指定的监督抽查工作；为行政执法工作提供技术保障；为企事业单位提供技术服务；完成上级主管部门交代的其他事项。</w:t>
      </w:r>
    </w:p>
    <w:p w14:paraId="21D35509">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default" w:ascii="Times New Roman" w:hAnsi="Times New Roman" w:eastAsia="楷体_GB2312" w:cs="Times New Roman"/>
          <w:b/>
          <w:bCs/>
          <w:color w:val="000000"/>
          <w:kern w:val="0"/>
          <w:sz w:val="32"/>
          <w:szCs w:val="32"/>
          <w:shd w:val="clear" w:fill="FFFFFF"/>
          <w:lang w:val="en-US" w:eastAsia="zh-CN" w:bidi="ar"/>
        </w:rPr>
        <w:t xml:space="preserve"> </w:t>
      </w:r>
    </w:p>
    <w:p w14:paraId="7140CF02">
      <w:pPr>
        <w:keepNext w:val="0"/>
        <w:keepLines w:val="0"/>
        <w:widowControl w:val="0"/>
        <w:numPr>
          <w:ilvl w:val="0"/>
          <w:numId w:val="2"/>
        </w:numPr>
        <w:suppressLineNumbers w:val="0"/>
        <w:autoSpaceDE w:val="0"/>
        <w:autoSpaceDN/>
        <w:spacing w:before="0" w:beforeAutospacing="0" w:after="0" w:afterAutospacing="0" w:line="600" w:lineRule="exact"/>
        <w:ind w:left="0" w:leftChars="0" w:right="0" w:firstLine="643" w:firstLineChars="200"/>
        <w:jc w:val="both"/>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人员概况。</w:t>
      </w:r>
    </w:p>
    <w:p w14:paraId="228AD137">
      <w:pPr>
        <w:keepNext w:val="0"/>
        <w:keepLines w:val="0"/>
        <w:widowControl w:val="0"/>
        <w:suppressLineNumbers w:val="0"/>
        <w:autoSpaceDE w:val="0"/>
        <w:autoSpaceDN/>
        <w:spacing w:before="0" w:beforeAutospacing="0" w:after="0" w:afterAutospacing="0" w:line="60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截至</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年末，</w:t>
      </w:r>
      <w:r>
        <w:rPr>
          <w:rFonts w:hint="eastAsia" w:ascii="仿宋_GB2312" w:hAnsi="Times New Roman" w:eastAsia="仿宋_GB2312" w:cs="仿宋_GB2312"/>
          <w:kern w:val="0"/>
          <w:sz w:val="32"/>
          <w:szCs w:val="32"/>
          <w:lang w:val="en-US" w:eastAsia="zh-CN" w:bidi="ar"/>
        </w:rPr>
        <w:t>现有人员编制17人，在编人数16人。其中工程师6人，助理工程师7人，管理岗2人，技术工四级1人。</w:t>
      </w:r>
    </w:p>
    <w:p w14:paraId="4DA6E9E2">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二、部门资金收支情况</w:t>
      </w:r>
    </w:p>
    <w:p w14:paraId="117C30D6">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（一）收入情况。</w:t>
      </w:r>
    </w:p>
    <w:p w14:paraId="447956AF">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eastAsia" w:ascii="仿宋_GB2312" w:hAnsi="Times New Roman" w:eastAsia="仿宋_GB2312" w:cs="仿宋_GB2312"/>
          <w:kern w:val="0"/>
          <w:sz w:val="32"/>
          <w:szCs w:val="32"/>
          <w:lang w:val="en-US" w:eastAsia="zh-CN" w:bidi="ar"/>
        </w:rPr>
        <w:t>阿坝州产品质量和特种设备监督检验所</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年年初预算收入为</w:t>
      </w:r>
      <w:r>
        <w:rPr>
          <w:rFonts w:hint="default" w:ascii="Times New Roman" w:hAnsi="Times New Roman" w:eastAsia="仿宋_GB2312" w:cs="Times New Roman"/>
          <w:kern w:val="2"/>
          <w:sz w:val="32"/>
          <w:szCs w:val="32"/>
          <w:lang w:val="en-US" w:eastAsia="zh-CN" w:bidi="ar"/>
        </w:rPr>
        <w:t>461.66</w:t>
      </w:r>
      <w:r>
        <w:rPr>
          <w:rFonts w:hint="eastAsia" w:ascii="仿宋_GB2312" w:hAnsi="Times New Roman" w:eastAsia="仿宋_GB2312" w:cs="仿宋_GB2312"/>
          <w:kern w:val="2"/>
          <w:sz w:val="32"/>
          <w:szCs w:val="32"/>
          <w:lang w:val="en-US" w:eastAsia="zh-CN" w:bidi="ar"/>
        </w:rPr>
        <w:t>万元、决算报表收入为</w:t>
      </w:r>
      <w:r>
        <w:rPr>
          <w:rFonts w:hint="default" w:ascii="Times New Roman" w:hAnsi="Times New Roman" w:eastAsia="仿宋_GB2312" w:cs="Times New Roman"/>
          <w:kern w:val="2"/>
          <w:sz w:val="32"/>
          <w:szCs w:val="32"/>
          <w:lang w:val="en-US" w:eastAsia="zh-CN" w:bidi="ar"/>
        </w:rPr>
        <w:t>460.09</w:t>
      </w:r>
      <w:r>
        <w:rPr>
          <w:rFonts w:hint="eastAsia" w:ascii="仿宋_GB2312" w:hAnsi="Times New Roman" w:eastAsia="仿宋_GB2312" w:cs="仿宋_GB2312"/>
          <w:kern w:val="2"/>
          <w:sz w:val="32"/>
          <w:szCs w:val="32"/>
          <w:lang w:val="en-US" w:eastAsia="zh-CN" w:bidi="ar"/>
        </w:rPr>
        <w:t>万元。</w:t>
      </w:r>
    </w:p>
    <w:p w14:paraId="5AA39F23">
      <w:pPr>
        <w:keepNext w:val="0"/>
        <w:keepLines w:val="0"/>
        <w:widowControl/>
        <w:numPr>
          <w:ilvl w:val="0"/>
          <w:numId w:val="3"/>
        </w:numPr>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支出情况。</w:t>
      </w:r>
    </w:p>
    <w:p w14:paraId="54B16273">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lang w:val="en-US" w:eastAsia="zh-CN" w:bidi="ar"/>
        </w:rPr>
        <w:t>阿坝州产品质量和特种设备监督检验所</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年年初预算支出</w:t>
      </w:r>
      <w:r>
        <w:rPr>
          <w:rFonts w:hint="default" w:ascii="Times New Roman" w:hAnsi="Times New Roman" w:eastAsia="仿宋_GB2312" w:cs="Times New Roman"/>
          <w:kern w:val="2"/>
          <w:sz w:val="32"/>
          <w:szCs w:val="32"/>
          <w:lang w:val="en-US" w:eastAsia="zh-CN" w:bidi="ar"/>
        </w:rPr>
        <w:t>461.66</w:t>
      </w:r>
      <w:r>
        <w:rPr>
          <w:rFonts w:hint="eastAsia" w:ascii="仿宋_GB2312" w:hAnsi="Times New Roman" w:eastAsia="仿宋_GB2312" w:cs="仿宋_GB2312"/>
          <w:kern w:val="2"/>
          <w:sz w:val="32"/>
          <w:szCs w:val="32"/>
          <w:lang w:val="en-US" w:eastAsia="zh-CN" w:bidi="ar"/>
        </w:rPr>
        <w:t>万元、决算报表支出</w:t>
      </w:r>
      <w:r>
        <w:rPr>
          <w:rFonts w:hint="default" w:ascii="Times New Roman" w:hAnsi="Times New Roman" w:eastAsia="仿宋_GB2312" w:cs="Times New Roman"/>
          <w:kern w:val="2"/>
          <w:sz w:val="32"/>
          <w:szCs w:val="32"/>
          <w:lang w:val="en-US" w:eastAsia="zh-CN" w:bidi="ar"/>
        </w:rPr>
        <w:t>460.09</w:t>
      </w:r>
      <w:r>
        <w:rPr>
          <w:rFonts w:hint="eastAsia" w:ascii="仿宋_GB2312" w:hAnsi="Times New Roman" w:eastAsia="仿宋_GB2312" w:cs="仿宋_GB2312"/>
          <w:kern w:val="2"/>
          <w:sz w:val="32"/>
          <w:szCs w:val="32"/>
          <w:lang w:val="en-US" w:eastAsia="zh-CN" w:bidi="ar"/>
        </w:rPr>
        <w:t>万元，主要包括人员经费、公用经费的基本支出</w:t>
      </w:r>
      <w:r>
        <w:rPr>
          <w:rFonts w:hint="default" w:ascii="Times New Roman" w:hAnsi="Times New Roman" w:eastAsia="仿宋_GB2312" w:cs="Times New Roman"/>
          <w:kern w:val="2"/>
          <w:sz w:val="32"/>
          <w:szCs w:val="32"/>
          <w:lang w:val="en-US" w:eastAsia="zh-CN" w:bidi="ar"/>
        </w:rPr>
        <w:t>383.41</w:t>
      </w:r>
      <w:r>
        <w:rPr>
          <w:rFonts w:hint="eastAsia" w:ascii="仿宋_GB2312" w:hAnsi="Times New Roman" w:eastAsia="仿宋_GB2312" w:cs="仿宋_GB2312"/>
          <w:kern w:val="2"/>
          <w:sz w:val="32"/>
          <w:szCs w:val="32"/>
          <w:lang w:val="en-US" w:eastAsia="zh-CN" w:bidi="ar"/>
        </w:rPr>
        <w:t>万元和项目支出</w:t>
      </w:r>
      <w:r>
        <w:rPr>
          <w:rFonts w:hint="default" w:ascii="Times New Roman" w:hAnsi="Times New Roman" w:eastAsia="仿宋_GB2312" w:cs="Times New Roman"/>
          <w:kern w:val="2"/>
          <w:sz w:val="32"/>
          <w:szCs w:val="32"/>
          <w:lang w:val="en-US" w:eastAsia="zh-CN" w:bidi="ar"/>
        </w:rPr>
        <w:t>76.68</w:t>
      </w:r>
      <w:r>
        <w:rPr>
          <w:rFonts w:hint="eastAsia" w:ascii="仿宋_GB2312" w:hAnsi="Times New Roman" w:eastAsia="仿宋_GB2312" w:cs="仿宋_GB2312"/>
          <w:kern w:val="2"/>
          <w:sz w:val="32"/>
          <w:szCs w:val="32"/>
          <w:lang w:val="en-US" w:eastAsia="zh-CN" w:bidi="ar"/>
        </w:rPr>
        <w:t>万元。</w:t>
      </w:r>
    </w:p>
    <w:p w14:paraId="686DBAC9">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（三）</w:t>
      </w:r>
      <w:r>
        <w:rPr>
          <w:rFonts w:hint="eastAsia" w:ascii="楷体_GB2312" w:hAnsi="Times New Roman" w:eastAsia="楷体_GB2312" w:cs="楷体_GB2312"/>
          <w:b/>
          <w:bCs w:val="0"/>
          <w:kern w:val="2"/>
          <w:sz w:val="32"/>
          <w:szCs w:val="32"/>
          <w:lang w:val="en-US" w:eastAsia="zh-CN" w:bidi="ar"/>
        </w:rPr>
        <w:t>结余分配和结转结余情况。</w:t>
      </w:r>
      <w:r>
        <w:rPr>
          <w:rFonts w:hint="eastAsia" w:ascii="仿宋_GB2312" w:hAnsi="Times New Roman" w:eastAsia="仿宋_GB2312" w:cs="仿宋_GB2312"/>
          <w:kern w:val="2"/>
          <w:sz w:val="32"/>
          <w:szCs w:val="32"/>
          <w:lang w:val="en-US" w:eastAsia="zh-CN" w:bidi="ar"/>
        </w:rPr>
        <w:t>我所</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年决算报表无</w:t>
      </w:r>
      <w:r>
        <w:rPr>
          <w:rFonts w:hint="eastAsia" w:ascii="仿宋_GB2312" w:hAnsi="Times New Roman" w:eastAsia="仿宋_GB2312" w:cs="仿宋_GB2312"/>
          <w:b w:val="0"/>
          <w:bCs w:val="0"/>
          <w:kern w:val="0"/>
          <w:sz w:val="32"/>
          <w:szCs w:val="32"/>
          <w:shd w:val="clear" w:fill="FFFFFF"/>
          <w:lang w:val="en-US" w:eastAsia="zh-CN" w:bidi="ar"/>
        </w:rPr>
        <w:t>结转结余情况。</w:t>
      </w:r>
    </w:p>
    <w:p w14:paraId="7048AAB5">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三、部门预算绩效分析</w:t>
      </w:r>
    </w:p>
    <w:p w14:paraId="7BFD7CEB">
      <w:pPr>
        <w:keepNext w:val="0"/>
        <w:keepLines w:val="0"/>
        <w:widowControl w:val="0"/>
        <w:suppressLineNumbers w:val="0"/>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（一）部门预算总体绩效分析。</w:t>
      </w:r>
    </w:p>
    <w:p w14:paraId="4608F114">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楷体_GB2312" w:cs="Times New Roman"/>
          <w:kern w:val="0"/>
          <w:sz w:val="32"/>
          <w:szCs w:val="32"/>
          <w:shd w:val="clear" w:fill="FFFFFF"/>
        </w:rPr>
      </w:pPr>
      <w:r>
        <w:rPr>
          <w:rFonts w:hint="default" w:ascii="Times New Roman" w:hAnsi="Times New Roman" w:eastAsia="楷体_GB2312" w:cs="Times New Roman"/>
          <w:kern w:val="0"/>
          <w:sz w:val="32"/>
          <w:szCs w:val="32"/>
          <w:shd w:val="clear" w:fill="FFFFFF"/>
          <w:lang w:val="en-US" w:eastAsia="zh-CN" w:bidi="ar"/>
        </w:rPr>
        <w:t>1.</w:t>
      </w:r>
      <w:r>
        <w:rPr>
          <w:rFonts w:hint="eastAsia" w:ascii="楷体_GB2312" w:hAnsi="Times New Roman" w:eastAsia="楷体_GB2312" w:cs="楷体_GB2312"/>
          <w:kern w:val="0"/>
          <w:sz w:val="32"/>
          <w:szCs w:val="32"/>
          <w:shd w:val="clear" w:fill="FFFFFF"/>
          <w:lang w:val="en-US" w:eastAsia="zh-CN" w:bidi="ar"/>
        </w:rPr>
        <w:t>履职效能，得分</w:t>
      </w:r>
      <w:r>
        <w:rPr>
          <w:rFonts w:hint="default" w:ascii="Times New Roman" w:hAnsi="Times New Roman" w:eastAsia="楷体_GB2312" w:cs="Times New Roman"/>
          <w:kern w:val="0"/>
          <w:sz w:val="32"/>
          <w:szCs w:val="32"/>
          <w:shd w:val="clear" w:fill="FFFFFF"/>
          <w:lang w:val="en-US" w:eastAsia="zh-CN" w:bidi="ar"/>
        </w:rPr>
        <w:t>15</w:t>
      </w:r>
      <w:r>
        <w:rPr>
          <w:rFonts w:hint="eastAsia" w:ascii="楷体_GB2312" w:hAnsi="Times New Roman" w:eastAsia="楷体_GB2312" w:cs="楷体_GB2312"/>
          <w:kern w:val="0"/>
          <w:sz w:val="32"/>
          <w:szCs w:val="32"/>
          <w:shd w:val="clear" w:fill="FFFFFF"/>
          <w:lang w:val="en-US" w:eastAsia="zh-CN" w:bidi="ar"/>
        </w:rPr>
        <w:t>分。</w:t>
      </w:r>
    </w:p>
    <w:p w14:paraId="666785F2">
      <w:pPr>
        <w:keepNext w:val="0"/>
        <w:keepLines w:val="0"/>
        <w:widowControl w:val="0"/>
        <w:suppressLineNumbers w:val="0"/>
        <w:autoSpaceDE w:val="0"/>
        <w:autoSpaceDN/>
        <w:snapToGrid w:val="0"/>
        <w:spacing w:before="0" w:beforeAutospacing="0" w:after="0" w:afterAutospacing="0" w:line="560" w:lineRule="exact"/>
        <w:ind w:left="0" w:right="0" w:firstLine="643" w:firstLineChars="200"/>
        <w:jc w:val="left"/>
        <w:rPr>
          <w:rFonts w:hint="eastAsia" w:ascii="方正仿宋_GBK" w:hAnsi="方正仿宋_GBK" w:eastAsia="方正仿宋_GBK" w:cs="方正仿宋_GBK"/>
          <w:b/>
          <w:bCs/>
          <w:kern w:val="2"/>
          <w:sz w:val="32"/>
          <w:szCs w:val="32"/>
        </w:rPr>
      </w:pPr>
      <w:r>
        <w:rPr>
          <w:rFonts w:hint="eastAsia" w:ascii="方正仿宋_GBK" w:hAnsi="方正仿宋_GBK" w:eastAsia="方正仿宋_GBK" w:cs="方正仿宋_GBK"/>
          <w:b/>
          <w:bCs/>
          <w:kern w:val="2"/>
          <w:sz w:val="32"/>
          <w:szCs w:val="32"/>
          <w:lang w:val="en-US" w:eastAsia="zh-CN" w:bidi="ar"/>
        </w:rPr>
        <w:t>（1）质检业务</w:t>
      </w:r>
    </w:p>
    <w:p w14:paraId="11237A6E">
      <w:pPr>
        <w:keepNext w:val="0"/>
        <w:keepLines w:val="0"/>
        <w:widowControl w:val="0"/>
        <w:suppressLineNumbers w:val="0"/>
        <w:autoSpaceDE w:val="0"/>
        <w:autoSpaceDN/>
        <w:snapToGrid w:val="0"/>
        <w:spacing w:before="0" w:beforeAutospacing="0" w:after="0" w:afterAutospacing="0" w:line="560" w:lineRule="exact"/>
        <w:ind w:left="0" w:right="0" w:firstLine="643" w:firstLineChars="200"/>
        <w:jc w:val="left"/>
        <w:rPr>
          <w:rFonts w:hint="eastAsia" w:ascii="方正仿宋_GBK" w:hAnsi="方正仿宋_GBK" w:eastAsia="方正仿宋_GBK" w:cs="方正仿宋_GBK"/>
          <w:kern w:val="2"/>
          <w:sz w:val="32"/>
          <w:szCs w:val="32"/>
        </w:rPr>
      </w:pPr>
      <w:r>
        <w:rPr>
          <w:rFonts w:hint="eastAsia" w:ascii="方正仿宋_GBK" w:hAnsi="方正仿宋_GBK" w:eastAsia="方正仿宋_GBK" w:cs="方正仿宋_GBK"/>
          <w:b/>
          <w:bCs/>
          <w:kern w:val="2"/>
          <w:sz w:val="32"/>
          <w:szCs w:val="32"/>
          <w:lang w:val="en-US" w:eastAsia="zh-CN" w:bidi="ar"/>
        </w:rPr>
        <w:t>一是委托检验业务工作</w:t>
      </w:r>
    </w:p>
    <w:p w14:paraId="62736976">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left"/>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2025年机构整合设立后，按照《检验检测机构资质认定管理办法》规定，新资质取得前机构不能对外开展检验检测工作，检验检测业务工作重点集中于组织开展资质认定现场评审准备和迎检工作。通过为期半年的沟通协调和准备，从机构主体、人员、场所环境、设备设施、管理体系等方面进行了系统完善，9月底经评审专家现场评审顺利通过，检验检测新资质（CMA）于10月底获得批准，新资质涵盖建筑用钢筋、水泥、砂、石、砖、钢管脚手架扣件及贵金属等19类产品共计126个参数的检验检测能力范围。资质证书取得后，产品质量委托检验业务已正常开展，2025年共计接收全州建筑用砖产品15批次（壤塘县市场监督管理局建筑用砖县级监督抽检委托检验检测样品，其中普通混凝土小型砌块5批次、混凝土实心砖10批次），于12月完成检验检测工作，并出具检验检测报告合格率100%。</w:t>
      </w:r>
    </w:p>
    <w:p w14:paraId="0F24A008">
      <w:pPr>
        <w:keepNext w:val="0"/>
        <w:keepLines w:val="0"/>
        <w:widowControl w:val="0"/>
        <w:suppressLineNumbers w:val="0"/>
        <w:autoSpaceDE w:val="0"/>
        <w:autoSpaceDN/>
        <w:snapToGrid w:val="0"/>
        <w:spacing w:before="0" w:beforeAutospacing="0" w:after="0" w:afterAutospacing="0" w:line="560" w:lineRule="exact"/>
        <w:ind w:left="0" w:right="0" w:firstLine="643" w:firstLineChars="200"/>
        <w:jc w:val="left"/>
        <w:rPr>
          <w:rFonts w:hint="eastAsia" w:ascii="仿宋_GB2312" w:eastAsia="仿宋_GB2312" w:cs="仿宋_GB2312"/>
          <w:b/>
          <w:bCs/>
          <w:kern w:val="2"/>
          <w:sz w:val="32"/>
          <w:szCs w:val="32"/>
        </w:rPr>
      </w:pPr>
      <w:r>
        <w:rPr>
          <w:rFonts w:hint="eastAsia" w:ascii="方正仿宋_GBK" w:hAnsi="方正仿宋_GBK" w:eastAsia="方正仿宋_GBK" w:cs="方正仿宋_GBK"/>
          <w:b/>
          <w:bCs/>
          <w:kern w:val="2"/>
          <w:sz w:val="32"/>
          <w:szCs w:val="32"/>
          <w:lang w:val="en-US" w:eastAsia="zh-CN" w:bidi="ar"/>
        </w:rPr>
        <w:t>二是</w:t>
      </w:r>
      <w:r>
        <w:rPr>
          <w:rFonts w:hint="eastAsia" w:ascii="仿宋_GB2312" w:hAnsi="Times New Roman" w:eastAsia="仿宋_GB2312" w:cs="仿宋_GB2312"/>
          <w:b/>
          <w:bCs/>
          <w:kern w:val="2"/>
          <w:sz w:val="32"/>
          <w:szCs w:val="32"/>
          <w:lang w:val="en-US" w:eastAsia="zh-CN" w:bidi="ar"/>
        </w:rPr>
        <w:t>产品质量省级监督抽查工作</w:t>
      </w:r>
    </w:p>
    <w:p w14:paraId="72DD9B25">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left"/>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为贯彻落实四川省市场监督管理局总体工作部署，进一步加强产品质量安全监管，防止区域性产品质量问题发生，根据《中华人民共和国产品质量法》《中华人民共和国消费者权益保护法》《产品质量监督抽查管理暂行办法》《四川省产品质量监督抽查工作细则（试行）》等有关文件要求，2025年度完成省级监督抽查共计193批次，产品合格率96.89%。所抽样品种类涉及车用汽/柴油、液化石油气、家用燃气灶、农用薄膜、定配近视眼镜、仿真饰品、学生校服、儿童及婴幼儿服装等22大类，样品覆盖阿坝州13个县（市）。</w:t>
      </w:r>
    </w:p>
    <w:p w14:paraId="0045AC07">
      <w:pPr>
        <w:keepNext w:val="0"/>
        <w:keepLines w:val="0"/>
        <w:widowControl w:val="0"/>
        <w:suppressLineNumbers w:val="0"/>
        <w:autoSpaceDE w:val="0"/>
        <w:autoSpaceDN/>
        <w:snapToGrid w:val="0"/>
        <w:spacing w:before="0" w:beforeAutospacing="0" w:after="0" w:afterAutospacing="0" w:line="560" w:lineRule="exact"/>
        <w:ind w:left="0" w:right="0"/>
        <w:jc w:val="left"/>
        <w:rPr>
          <w:rFonts w:hint="eastAsia" w:ascii="仿宋_GB2312" w:eastAsia="仿宋_GB2312" w:cs="仿宋_GB2312"/>
          <w:b/>
          <w:bCs/>
          <w:kern w:val="2"/>
          <w:sz w:val="32"/>
          <w:szCs w:val="32"/>
        </w:rPr>
      </w:pPr>
      <w:r>
        <w:rPr>
          <w:rFonts w:hint="eastAsia" w:ascii="仿宋_GB2312" w:hAnsi="Times New Roman" w:eastAsia="仿宋_GB2312" w:cs="仿宋_GB2312"/>
          <w:kern w:val="2"/>
          <w:sz w:val="32"/>
          <w:szCs w:val="32"/>
          <w:lang w:val="en-US" w:eastAsia="zh-CN" w:bidi="ar"/>
        </w:rPr>
        <w:t xml:space="preserve">    </w:t>
      </w:r>
      <w:r>
        <w:rPr>
          <w:rFonts w:hint="eastAsia" w:ascii="方正仿宋_GBK" w:hAnsi="方正仿宋_GBK" w:eastAsia="方正仿宋_GBK" w:cs="方正仿宋_GBK"/>
          <w:b/>
          <w:bCs/>
          <w:kern w:val="2"/>
          <w:sz w:val="32"/>
          <w:szCs w:val="32"/>
          <w:lang w:val="en-US" w:eastAsia="zh-CN" w:bidi="ar"/>
        </w:rPr>
        <w:t>三是</w:t>
      </w:r>
      <w:r>
        <w:rPr>
          <w:rFonts w:hint="eastAsia" w:ascii="仿宋_GB2312" w:hAnsi="Times New Roman" w:eastAsia="仿宋_GB2312" w:cs="仿宋_GB2312"/>
          <w:b/>
          <w:bCs/>
          <w:kern w:val="2"/>
          <w:sz w:val="32"/>
          <w:szCs w:val="32"/>
          <w:lang w:val="en-US" w:eastAsia="zh-CN" w:bidi="ar"/>
        </w:rPr>
        <w:t>产品质量安全风险监测工作</w:t>
      </w:r>
    </w:p>
    <w:p w14:paraId="5684DD22">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left"/>
        <w:rPr>
          <w:rFonts w:hint="eastAsia" w:ascii="仿宋_GB2312"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为保障阿坝州境内在建重点工程项目质量安全，在阿坝州辖区采样工作任务60批次，涉及阿坝州辖区内的西成铁路、都四轨道交通、川汶高速、巴拉水电站、双江口水电站等大型在建工程项目领域的钢筋、水泥及电力电缆3大类产品。所采集样品转交省质检院开展检验检测和风险评估工作，风险评估结果由省局结合实际择机公布。</w:t>
      </w:r>
    </w:p>
    <w:p w14:paraId="7D7937A5">
      <w:pPr>
        <w:keepNext w:val="0"/>
        <w:keepLines w:val="0"/>
        <w:widowControl w:val="0"/>
        <w:suppressLineNumbers w:val="0"/>
        <w:autoSpaceDE w:val="0"/>
        <w:autoSpaceDN/>
        <w:snapToGrid w:val="0"/>
        <w:spacing w:before="0" w:beforeAutospacing="0" w:after="0" w:afterAutospacing="0" w:line="560" w:lineRule="exact"/>
        <w:ind w:left="0" w:right="0" w:firstLine="643" w:firstLineChars="200"/>
        <w:jc w:val="left"/>
        <w:rPr>
          <w:rFonts w:hint="eastAsia" w:ascii="仿宋_GB2312" w:eastAsia="仿宋_GB2312" w:cs="仿宋_GB2312"/>
          <w:b/>
          <w:bCs/>
          <w:kern w:val="2"/>
          <w:sz w:val="32"/>
          <w:szCs w:val="32"/>
        </w:rPr>
      </w:pPr>
      <w:r>
        <w:rPr>
          <w:rFonts w:hint="eastAsia" w:ascii="方正仿宋_GBK" w:hAnsi="方正仿宋_GBK" w:eastAsia="方正仿宋_GBK" w:cs="方正仿宋_GBK"/>
          <w:b/>
          <w:bCs/>
          <w:kern w:val="2"/>
          <w:sz w:val="32"/>
          <w:szCs w:val="32"/>
          <w:lang w:val="en-US" w:eastAsia="zh-CN" w:bidi="ar"/>
        </w:rPr>
        <w:t>四是</w:t>
      </w:r>
      <w:r>
        <w:rPr>
          <w:rFonts w:hint="eastAsia" w:ascii="仿宋_GB2312" w:hAnsi="Times New Roman" w:eastAsia="仿宋_GB2312" w:cs="仿宋_GB2312"/>
          <w:b/>
          <w:bCs/>
          <w:kern w:val="2"/>
          <w:sz w:val="32"/>
          <w:szCs w:val="32"/>
          <w:lang w:val="en-US" w:eastAsia="zh-CN" w:bidi="ar"/>
        </w:rPr>
        <w:t>产品质量安全风险监测舆情信息报送</w:t>
      </w:r>
    </w:p>
    <w:p w14:paraId="64AA6FDA">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left"/>
        <w:rPr>
          <w:rFonts w:hint="eastAsia" w:ascii="仿宋_GB2312" w:eastAsia="仿宋_GB2312" w:cs="仿宋_GB2312"/>
          <w:b w:val="0"/>
          <w:bCs w:val="0"/>
          <w:kern w:val="2"/>
          <w:sz w:val="32"/>
          <w:szCs w:val="32"/>
        </w:rPr>
      </w:pPr>
      <w:r>
        <w:rPr>
          <w:rFonts w:hint="eastAsia" w:ascii="仿宋_GB2312" w:hAnsi="Times New Roman" w:eastAsia="仿宋_GB2312" w:cs="仿宋_GB2312"/>
          <w:b w:val="0"/>
          <w:bCs w:val="0"/>
          <w:kern w:val="2"/>
          <w:sz w:val="32"/>
          <w:szCs w:val="32"/>
          <w:lang w:val="en-US" w:eastAsia="zh-CN" w:bidi="ar"/>
        </w:rPr>
        <w:t>2025年每月持续向省局风险评估中心收集报送各类产品质量安全风险监测舆情信息共计239条，为省局关于重点工业产品质量安全综合研判持续提供数据支撑，为省局下达次年省级监督抽查任务具体产品类别提供信息依据。</w:t>
      </w:r>
    </w:p>
    <w:p w14:paraId="54682AFF">
      <w:pPr>
        <w:keepNext w:val="0"/>
        <w:keepLines w:val="0"/>
        <w:widowControl w:val="0"/>
        <w:suppressLineNumbers w:val="0"/>
        <w:autoSpaceDE w:val="0"/>
        <w:autoSpaceDN/>
        <w:snapToGrid w:val="0"/>
        <w:spacing w:before="0" w:beforeAutospacing="0" w:after="0" w:afterAutospacing="0" w:line="560" w:lineRule="exact"/>
        <w:ind w:left="0" w:right="0"/>
        <w:jc w:val="left"/>
        <w:rPr>
          <w:rFonts w:hint="eastAsia" w:ascii="仿宋_GB2312" w:eastAsia="仿宋_GB2312" w:cs="仿宋_GB2312"/>
          <w:b/>
          <w:bCs/>
          <w:kern w:val="2"/>
          <w:sz w:val="32"/>
          <w:szCs w:val="32"/>
        </w:rPr>
      </w:pPr>
      <w:r>
        <w:rPr>
          <w:rFonts w:hint="eastAsia" w:ascii="仿宋_GB2312" w:hAnsi="Times New Roman" w:eastAsia="仿宋_GB2312" w:cs="仿宋_GB2312"/>
          <w:kern w:val="2"/>
          <w:sz w:val="32"/>
          <w:szCs w:val="32"/>
          <w:lang w:val="en-US" w:eastAsia="zh-CN" w:bidi="ar"/>
        </w:rPr>
        <w:t xml:space="preserve">   </w:t>
      </w:r>
      <w:r>
        <w:rPr>
          <w:rFonts w:hint="eastAsia" w:ascii="方正仿宋_GBK" w:hAnsi="方正仿宋_GBK" w:eastAsia="方正仿宋_GBK" w:cs="方正仿宋_GBK"/>
          <w:b/>
          <w:bCs/>
          <w:kern w:val="2"/>
          <w:sz w:val="32"/>
          <w:szCs w:val="32"/>
          <w:lang w:val="en-US" w:eastAsia="zh-CN" w:bidi="ar"/>
        </w:rPr>
        <w:t>五是</w:t>
      </w:r>
      <w:r>
        <w:rPr>
          <w:rFonts w:hint="eastAsia" w:ascii="仿宋_GB2312" w:hAnsi="Times New Roman" w:eastAsia="仿宋_GB2312" w:cs="仿宋_GB2312"/>
          <w:b/>
          <w:bCs/>
          <w:kern w:val="2"/>
          <w:sz w:val="32"/>
          <w:szCs w:val="32"/>
          <w:lang w:val="en-US" w:eastAsia="zh-CN" w:bidi="ar"/>
        </w:rPr>
        <w:t>“质量月”系列宣传活动</w:t>
      </w:r>
    </w:p>
    <w:p w14:paraId="10B445E6">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left"/>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为进一步营造全员崇尚质量、追求质量的浓厚氛围，每年组织开展年度“质量月”系列宣传活动。</w:t>
      </w:r>
      <w:r>
        <w:rPr>
          <w:rFonts w:hint="eastAsia" w:ascii="仿宋_GB2312" w:hAnsi="Times New Roman" w:eastAsia="仿宋_GB2312" w:cs="仿宋_GB2312"/>
          <w:b/>
          <w:bCs/>
          <w:kern w:val="2"/>
          <w:sz w:val="32"/>
          <w:szCs w:val="32"/>
          <w:lang w:val="en-US" w:eastAsia="zh-CN" w:bidi="ar"/>
        </w:rPr>
        <w:t>一是</w:t>
      </w:r>
      <w:r>
        <w:rPr>
          <w:rFonts w:hint="eastAsia" w:ascii="仿宋_GB2312" w:hAnsi="Times New Roman" w:eastAsia="仿宋_GB2312" w:cs="仿宋_GB2312"/>
          <w:kern w:val="2"/>
          <w:sz w:val="32"/>
          <w:szCs w:val="32"/>
          <w:lang w:val="en-US" w:eastAsia="zh-CN" w:bidi="ar"/>
        </w:rPr>
        <w:t>开展“加强质量支撑、共建质量强州”广场宣传活动。在汶川县锅庄广场“质量月”活动现场设立了宣传点，现场为民众发放质量强国建设纲要宣传手册、落实质量安全主体责任“两个规定”、中小学生校服及床上用品采购验收参考指南等宣传资料200余份；宣传宣讲关于质量强州建设的决策部署及相关法律法规，近年来全州各部门开展质量提升行动的措施和取得的成效，并通过展板向群众讲解“川质通”一站式服务平台操作使用流程、解答群众咨询50余人次，进一步提升全员质量安全意识、品牌意识和群众对产品质量的辨别能力，为加强质量支撑、共建质量强州贡献力量。</w:t>
      </w:r>
      <w:r>
        <w:rPr>
          <w:rFonts w:hint="eastAsia" w:ascii="仿宋_GB2312" w:hAnsi="Times New Roman" w:eastAsia="仿宋_GB2312" w:cs="仿宋_GB2312"/>
          <w:b/>
          <w:bCs/>
          <w:kern w:val="2"/>
          <w:sz w:val="32"/>
          <w:szCs w:val="32"/>
          <w:lang w:val="en-US" w:eastAsia="zh-CN" w:bidi="ar"/>
        </w:rPr>
        <w:t>二是</w:t>
      </w:r>
      <w:r>
        <w:rPr>
          <w:rFonts w:hint="eastAsia" w:ascii="仿宋_GB2312" w:hAnsi="Times New Roman" w:eastAsia="仿宋_GB2312" w:cs="仿宋_GB2312"/>
          <w:kern w:val="2"/>
          <w:sz w:val="32"/>
          <w:szCs w:val="32"/>
          <w:lang w:val="en-US" w:eastAsia="zh-CN" w:bidi="ar"/>
        </w:rPr>
        <w:t>开展检验检测机构“实验室开放日”活动。活动以“检测保质量、开放促提升”为主题，邀请生产企业、个体工商户及社会代表到实验室参观。活动中，技术人员向参观人员依次介绍了实验室的机构设置、检验职能、人员队伍、仪器配备等基本情况，详细讲解了实验室中各种检验仪器设备在质量检验中的关键作用，让大家对产品质量检验有了更为直观和深入的了解，代表们积极提问，表现出极高的参观热情。通过实验室开放活动，不仅展</w:t>
      </w:r>
      <w:r>
        <w:rPr>
          <w:rFonts w:hint="eastAsia" w:ascii="仿宋_GB2312" w:eastAsia="仿宋_GB2312" w:cs="仿宋_GB2312"/>
          <w:kern w:val="2"/>
          <w:sz w:val="32"/>
          <w:szCs w:val="32"/>
          <w:lang w:val="en-US" w:eastAsia="zh-CN" w:bidi="ar"/>
        </w:rPr>
        <w:t>示了</w:t>
      </w:r>
      <w:r>
        <w:rPr>
          <w:rFonts w:hint="eastAsia" w:ascii="仿宋_GB2312" w:hAnsi="Times New Roman" w:eastAsia="仿宋_GB2312" w:cs="仿宋_GB2312"/>
          <w:kern w:val="2"/>
          <w:sz w:val="32"/>
          <w:szCs w:val="32"/>
          <w:lang w:val="en-US" w:eastAsia="zh-CN" w:bidi="ar"/>
        </w:rPr>
        <w:t>我所检验检测服务科学、公正的形象，也进一步拉近了检验机构与群众的距离，形成了民众关注质量、质量服务民众的良好氛围。</w:t>
      </w:r>
    </w:p>
    <w:p w14:paraId="3341F4F0">
      <w:pPr>
        <w:keepNext w:val="0"/>
        <w:keepLines w:val="0"/>
        <w:widowControl w:val="0"/>
        <w:suppressLineNumbers w:val="0"/>
        <w:autoSpaceDE w:val="0"/>
        <w:autoSpaceDN/>
        <w:snapToGrid w:val="0"/>
        <w:spacing w:before="0" w:beforeAutospacing="0" w:after="0" w:afterAutospacing="0" w:line="560" w:lineRule="exact"/>
        <w:ind w:left="0" w:right="0" w:firstLine="643" w:firstLineChars="200"/>
        <w:jc w:val="left"/>
        <w:rPr>
          <w:rFonts w:hint="eastAsia" w:ascii="仿宋_GB2312" w:eastAsia="仿宋_GB2312" w:cs="仿宋_GB2312"/>
          <w:b/>
          <w:bCs/>
          <w:kern w:val="2"/>
          <w:sz w:val="32"/>
          <w:szCs w:val="32"/>
        </w:rPr>
      </w:pPr>
      <w:r>
        <w:rPr>
          <w:rFonts w:hint="eastAsia" w:ascii="方正仿宋_GBK" w:hAnsi="方正仿宋_GBK" w:eastAsia="方正仿宋_GBK" w:cs="方正仿宋_GBK"/>
          <w:b/>
          <w:bCs/>
          <w:kern w:val="2"/>
          <w:sz w:val="32"/>
          <w:szCs w:val="32"/>
          <w:lang w:val="en-US" w:eastAsia="zh-CN" w:bidi="ar"/>
        </w:rPr>
        <w:t>六是</w:t>
      </w:r>
      <w:r>
        <w:rPr>
          <w:rFonts w:hint="eastAsia" w:ascii="仿宋_GB2312" w:hAnsi="Times New Roman" w:eastAsia="仿宋_GB2312" w:cs="仿宋_GB2312"/>
          <w:b/>
          <w:bCs/>
          <w:kern w:val="2"/>
          <w:sz w:val="32"/>
          <w:szCs w:val="32"/>
          <w:lang w:val="en-US" w:eastAsia="zh-CN" w:bidi="ar"/>
        </w:rPr>
        <w:t>检验检测机构能力比对</w:t>
      </w:r>
    </w:p>
    <w:p w14:paraId="33F686AA">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left"/>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积极参加由省局、行业协会及各地市（州）检验检测机构组织开展的检验检测机构能力比对工作，客观评估自身在特定项目上的检测精度、操作规范性是否达标，明确与行业标杆的差距。通过“比对—发现问题—整改—提升”的闭环管理推动持续改进，针对比对中发现的问题，制定整改措施，优化检测流程，持续加强机构和人员技术能力提升。年度内参加了混凝土立方体抗压强度、水泥产品物理性能、砂浆试件抗压强度、钢筋抗拉强度等检验能力验证比对工作，结果均为“满意”。</w:t>
      </w:r>
    </w:p>
    <w:p w14:paraId="179039A8">
      <w:pPr>
        <w:keepNext w:val="0"/>
        <w:keepLines w:val="0"/>
        <w:widowControl w:val="0"/>
        <w:suppressLineNumbers w:val="0"/>
        <w:autoSpaceDE w:val="0"/>
        <w:autoSpaceDN/>
        <w:snapToGrid w:val="0"/>
        <w:spacing w:before="0" w:beforeAutospacing="0" w:after="0" w:afterAutospacing="0" w:line="560" w:lineRule="exact"/>
        <w:ind w:left="0" w:right="0" w:firstLine="643" w:firstLineChars="200"/>
        <w:jc w:val="left"/>
        <w:rPr>
          <w:rFonts w:hint="eastAsia" w:ascii="仿宋_GB2312" w:eastAsia="仿宋_GB2312" w:cs="仿宋_GB2312"/>
          <w:b/>
          <w:bCs/>
          <w:kern w:val="2"/>
          <w:sz w:val="32"/>
          <w:szCs w:val="32"/>
        </w:rPr>
      </w:pPr>
      <w:r>
        <w:rPr>
          <w:rFonts w:hint="eastAsia" w:ascii="方正仿宋_GBK" w:hAnsi="方正仿宋_GBK" w:eastAsia="方正仿宋_GBK" w:cs="方正仿宋_GBK"/>
          <w:b/>
          <w:bCs/>
          <w:kern w:val="2"/>
          <w:sz w:val="32"/>
          <w:szCs w:val="32"/>
          <w:lang w:val="en-US" w:eastAsia="zh-CN" w:bidi="ar"/>
        </w:rPr>
        <w:t>七是</w:t>
      </w:r>
      <w:r>
        <w:rPr>
          <w:rFonts w:hint="eastAsia" w:ascii="仿宋_GB2312" w:hAnsi="Times New Roman" w:eastAsia="仿宋_GB2312" w:cs="仿宋_GB2312"/>
          <w:b/>
          <w:bCs/>
          <w:kern w:val="2"/>
          <w:sz w:val="32"/>
          <w:szCs w:val="32"/>
          <w:lang w:val="en-US" w:eastAsia="zh-CN" w:bidi="ar"/>
        </w:rPr>
        <w:t>人员技能培训</w:t>
      </w:r>
    </w:p>
    <w:p w14:paraId="2638C165">
      <w:pPr>
        <w:keepNext w:val="0"/>
        <w:keepLines w:val="0"/>
        <w:widowControl w:val="0"/>
        <w:suppressLineNumbers w:val="0"/>
        <w:autoSpaceDE w:val="0"/>
        <w:autoSpaceDN/>
        <w:snapToGrid w:val="0"/>
        <w:spacing w:before="0" w:beforeAutospacing="0" w:after="0" w:afterAutospacing="0" w:line="560" w:lineRule="exact"/>
        <w:ind w:left="0" w:right="0" w:firstLine="640" w:firstLineChars="200"/>
        <w:jc w:val="left"/>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根据工作实际及需要，每年</w:t>
      </w:r>
      <w:r>
        <w:rPr>
          <w:rFonts w:hint="eastAsia" w:ascii="仿宋_GB2312" w:eastAsia="仿宋_GB2312" w:cs="仿宋_GB2312"/>
          <w:kern w:val="2"/>
          <w:sz w:val="32"/>
          <w:szCs w:val="32"/>
          <w:lang w:val="en-US" w:eastAsia="zh-CN" w:bidi="ar"/>
        </w:rPr>
        <w:t>适时</w:t>
      </w:r>
      <w:r>
        <w:rPr>
          <w:rFonts w:hint="eastAsia" w:ascii="仿宋_GB2312" w:hAnsi="Times New Roman" w:eastAsia="仿宋_GB2312" w:cs="仿宋_GB2312"/>
          <w:kern w:val="2"/>
          <w:sz w:val="32"/>
          <w:szCs w:val="32"/>
          <w:lang w:val="en-US" w:eastAsia="zh-CN" w:bidi="ar"/>
        </w:rPr>
        <w:t>组织人员参加能力提升培训，通过培训：</w:t>
      </w:r>
      <w:r>
        <w:rPr>
          <w:rFonts w:hint="eastAsia" w:ascii="仿宋_GB2312" w:hAnsi="Times New Roman" w:eastAsia="仿宋_GB2312" w:cs="仿宋_GB2312"/>
          <w:b/>
          <w:bCs/>
          <w:kern w:val="2"/>
          <w:sz w:val="32"/>
          <w:szCs w:val="32"/>
          <w:lang w:val="en-US" w:eastAsia="zh-CN" w:bidi="ar"/>
        </w:rPr>
        <w:t>一是</w:t>
      </w:r>
      <w:r>
        <w:rPr>
          <w:rFonts w:hint="eastAsia" w:ascii="仿宋_GB2312" w:hAnsi="Times New Roman" w:eastAsia="仿宋_GB2312" w:cs="仿宋_GB2312"/>
          <w:kern w:val="2"/>
          <w:sz w:val="32"/>
          <w:szCs w:val="32"/>
          <w:lang w:val="en-US" w:eastAsia="zh-CN" w:bidi="ar"/>
        </w:rPr>
        <w:t>持续提升技术实操能力，确保检验人员熟练掌握检测设备操作、样品处理、试剂配制等核心技能，减少人为操作误差，保障检测结果的准确性和重复性。</w:t>
      </w:r>
      <w:r>
        <w:rPr>
          <w:rFonts w:hint="eastAsia" w:ascii="仿宋_GB2312" w:hAnsi="Times New Roman" w:eastAsia="仿宋_GB2312" w:cs="仿宋_GB2312"/>
          <w:b/>
          <w:bCs/>
          <w:kern w:val="2"/>
          <w:sz w:val="32"/>
          <w:szCs w:val="32"/>
          <w:lang w:val="en-US" w:eastAsia="zh-CN" w:bidi="ar"/>
        </w:rPr>
        <w:t>二是</w:t>
      </w:r>
      <w:r>
        <w:rPr>
          <w:rFonts w:hint="eastAsia" w:ascii="仿宋_GB2312" w:hAnsi="Times New Roman" w:eastAsia="仿宋_GB2312" w:cs="仿宋_GB2312"/>
          <w:kern w:val="2"/>
          <w:sz w:val="32"/>
          <w:szCs w:val="32"/>
          <w:lang w:val="en-US" w:eastAsia="zh-CN" w:bidi="ar"/>
        </w:rPr>
        <w:t>强化标准的理解应用，帮助检验人员及时掌握最新国家/行业标准，准确理解标准要求的检测方法、判定规则，避免因标准解读偏差导致检测结果错误。</w:t>
      </w:r>
      <w:r>
        <w:rPr>
          <w:rFonts w:hint="eastAsia" w:ascii="仿宋_GB2312" w:hAnsi="Times New Roman" w:eastAsia="仿宋_GB2312" w:cs="仿宋_GB2312"/>
          <w:b/>
          <w:bCs/>
          <w:kern w:val="2"/>
          <w:sz w:val="32"/>
          <w:szCs w:val="32"/>
          <w:lang w:val="en-US" w:eastAsia="zh-CN" w:bidi="ar"/>
        </w:rPr>
        <w:t>三是</w:t>
      </w:r>
      <w:r>
        <w:rPr>
          <w:rFonts w:hint="eastAsia" w:ascii="仿宋_GB2312" w:hAnsi="Times New Roman" w:eastAsia="仿宋_GB2312" w:cs="仿宋_GB2312"/>
          <w:kern w:val="2"/>
          <w:sz w:val="32"/>
          <w:szCs w:val="32"/>
          <w:lang w:val="en-US" w:eastAsia="zh-CN" w:bidi="ar"/>
        </w:rPr>
        <w:t>增强合规与风险意识，杜绝数据造假、违规操作、信息泄露等行为，降低机构运营风险和法律责任。主要涵盖管理体系文件换版/修订、检验检测机构授权签字人、仪器设备管理员及实验室质量监督员、具体产品（如水泥、钢筋等）检验检测技能方法、行政事业单位财务人员岗位能力提升等方面的培训。</w:t>
      </w:r>
    </w:p>
    <w:p w14:paraId="22201DCC">
      <w:pPr>
        <w:pStyle w:val="2"/>
        <w:widowControl/>
        <w:spacing w:line="560" w:lineRule="exact"/>
        <w:ind w:left="0" w:firstLine="643" w:firstLineChars="200"/>
        <w:rPr>
          <w:rFonts w:hint="eastAsia" w:ascii="方正仿宋_GBK" w:hAnsi="方正仿宋_GBK" w:eastAsia="方正仿宋_GBK" w:cs="方正仿宋_GBK"/>
          <w:b/>
          <w:bCs/>
          <w:kern w:val="2"/>
          <w:sz w:val="32"/>
          <w:szCs w:val="32"/>
        </w:rPr>
      </w:pPr>
      <w:r>
        <w:rPr>
          <w:rFonts w:hint="eastAsia" w:ascii="方正仿宋_GBK" w:hAnsi="方正仿宋_GBK" w:eastAsia="方正仿宋_GBK" w:cs="方正仿宋_GBK"/>
          <w:b/>
          <w:bCs/>
          <w:kern w:val="2"/>
          <w:sz w:val="32"/>
          <w:szCs w:val="32"/>
        </w:rPr>
        <w:t>（2）特检业务</w:t>
      </w:r>
    </w:p>
    <w:p w14:paraId="7BDA8910">
      <w:pPr>
        <w:pStyle w:val="17"/>
        <w:keepNext w:val="0"/>
        <w:keepLines w:val="0"/>
        <w:widowControl w:val="0"/>
        <w:suppressLineNumbers w:val="0"/>
        <w:autoSpaceDE w:val="0"/>
        <w:autoSpaceDN/>
        <w:spacing w:before="0" w:beforeAutospacing="0" w:after="0" w:afterAutospacing="0" w:line="560" w:lineRule="exact"/>
        <w:ind w:left="0" w:right="0" w:firstLine="643" w:firstLineChars="200"/>
        <w:jc w:val="both"/>
        <w:rPr>
          <w:rFonts w:hint="eastAsia" w:ascii="仿宋_GB2312" w:eastAsia="仿宋_GB2312" w:cs="仿宋_GB2312"/>
          <w:b/>
          <w:bCs w:val="0"/>
          <w:color w:val="000000"/>
          <w:kern w:val="2"/>
          <w:sz w:val="32"/>
          <w:szCs w:val="32"/>
        </w:rPr>
      </w:pPr>
      <w:r>
        <w:rPr>
          <w:rFonts w:hint="eastAsia" w:ascii="仿宋_GB2312" w:hAnsi="Times New Roman" w:eastAsia="仿宋_GB2312" w:cs="仿宋_GB2312"/>
          <w:b/>
          <w:bCs w:val="0"/>
          <w:color w:val="000000"/>
          <w:kern w:val="2"/>
          <w:sz w:val="32"/>
          <w:szCs w:val="32"/>
          <w:lang w:val="en-US" w:eastAsia="zh-CN" w:bidi="ar"/>
        </w:rPr>
        <w:t>一是特种设备检验工作</w:t>
      </w:r>
    </w:p>
    <w:p w14:paraId="63C94AC8">
      <w:pPr>
        <w:pStyle w:val="17"/>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eastAsia="仿宋_GB2312" w:cs="仿宋_GB2312"/>
          <w:b w:val="0"/>
          <w:bCs/>
          <w:color w:val="000000"/>
          <w:kern w:val="2"/>
          <w:sz w:val="32"/>
          <w:szCs w:val="32"/>
        </w:rPr>
      </w:pPr>
      <w:r>
        <w:rPr>
          <w:rFonts w:hint="eastAsia" w:ascii="仿宋_GB2312" w:hAnsi="Times New Roman" w:eastAsia="仿宋_GB2312" w:cs="仿宋_GB2312"/>
          <w:b w:val="0"/>
          <w:bCs/>
          <w:color w:val="000000"/>
          <w:kern w:val="2"/>
          <w:sz w:val="32"/>
          <w:szCs w:val="32"/>
          <w:lang w:val="en-US" w:eastAsia="zh-CN" w:bidi="ar"/>
        </w:rPr>
        <w:t>2025年，我所深刻把握“讲政治、抓发展、惠民生、保安全”的工作总思路，按照“报检必检、应检尽检”的工作总要求，全力守好特种设备安全底线，保障我州特种设备安全运行。2025年我所对全州13县（市）报检的特种设备依法开展定期检验，</w:t>
      </w:r>
      <w:r>
        <w:rPr>
          <w:rFonts w:hint="eastAsia" w:ascii="仿宋_GB2312" w:hAnsi="Times New Roman" w:eastAsia="仿宋_GB2312" w:cs="仿宋_GB2312"/>
          <w:bCs/>
          <w:i w:val="0"/>
          <w:color w:val="000000"/>
          <w:kern w:val="2"/>
          <w:sz w:val="32"/>
          <w:szCs w:val="32"/>
          <w:lang w:val="en-US" w:eastAsia="zh-CN" w:bidi="ar"/>
        </w:rPr>
        <w:t>共检验特种设备使用单位688家，完成各类特种设备定期检验1496台（条），其中：电梯839台，起重机械271台，压力容器347台，锅炉36台，压力管道3条。</w:t>
      </w:r>
      <w:r>
        <w:rPr>
          <w:rFonts w:hint="eastAsia" w:ascii="仿宋_GB2312" w:hAnsi="Times New Roman" w:eastAsia="仿宋_GB2312" w:cs="仿宋_GB2312"/>
          <w:b w:val="0"/>
          <w:bCs/>
          <w:color w:val="000000"/>
          <w:kern w:val="2"/>
          <w:sz w:val="32"/>
          <w:szCs w:val="32"/>
          <w:lang w:val="en-US" w:eastAsia="zh-CN" w:bidi="ar"/>
        </w:rPr>
        <w:t>共发现各类问题312项，下达检验意见通知书125份，督促相关单位落实安全主体责任，及时完成问题整改，消除安全隐患，以高水平安全服务高质量发展，为建设民族地区高质量发展阿坝典范作出贡献。</w:t>
      </w:r>
    </w:p>
    <w:p w14:paraId="5CDB079F">
      <w:pPr>
        <w:pStyle w:val="17"/>
        <w:keepNext w:val="0"/>
        <w:keepLines w:val="0"/>
        <w:widowControl w:val="0"/>
        <w:suppressLineNumbers w:val="0"/>
        <w:autoSpaceDE w:val="0"/>
        <w:autoSpaceDN/>
        <w:spacing w:before="0" w:beforeAutospacing="0" w:after="0" w:afterAutospacing="0" w:line="560" w:lineRule="exact"/>
        <w:ind w:left="0" w:right="0" w:firstLine="643" w:firstLineChars="200"/>
        <w:jc w:val="both"/>
        <w:rPr>
          <w:rFonts w:hint="eastAsia" w:ascii="仿宋_GB2312" w:eastAsia="仿宋_GB2312" w:cs="仿宋_GB2312"/>
          <w:b/>
          <w:bCs w:val="0"/>
          <w:color w:val="000000"/>
          <w:kern w:val="2"/>
          <w:sz w:val="32"/>
          <w:szCs w:val="32"/>
        </w:rPr>
      </w:pPr>
      <w:r>
        <w:rPr>
          <w:rFonts w:hint="eastAsia" w:ascii="仿宋_GB2312" w:hAnsi="Times New Roman" w:eastAsia="仿宋_GB2312" w:cs="仿宋_GB2312"/>
          <w:b/>
          <w:bCs w:val="0"/>
          <w:color w:val="000000"/>
          <w:kern w:val="2"/>
          <w:sz w:val="32"/>
          <w:szCs w:val="32"/>
          <w:lang w:val="en-US" w:eastAsia="zh-CN" w:bidi="ar"/>
        </w:rPr>
        <w:t>二是特种设备保障工作</w:t>
      </w:r>
    </w:p>
    <w:p w14:paraId="62A60E91">
      <w:pPr>
        <w:pStyle w:val="17"/>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仿宋_GB2312" w:eastAsia="仿宋_GB2312" w:cs="仿宋_GB2312"/>
          <w:b w:val="0"/>
          <w:bCs/>
          <w:color w:val="000000"/>
          <w:kern w:val="2"/>
          <w:sz w:val="32"/>
          <w:szCs w:val="32"/>
        </w:rPr>
      </w:pPr>
      <w:r>
        <w:rPr>
          <w:rFonts w:hint="eastAsia" w:ascii="仿宋_GB2312" w:hAnsi="Times New Roman" w:eastAsia="仿宋_GB2312" w:cs="仿宋_GB2312"/>
          <w:b w:val="0"/>
          <w:bCs/>
          <w:color w:val="000000"/>
          <w:kern w:val="2"/>
          <w:sz w:val="32"/>
          <w:szCs w:val="32"/>
          <w:lang w:val="en-US" w:eastAsia="zh-CN" w:bidi="ar"/>
        </w:rPr>
        <w:t>根据局党组安排，完成州两会和中央、省领导来州调研等重要会议及活动特种设备保障任务，完成重要点位保障25个、特种设备保障71台，确保重要会议及重要活动期间特种设备安全运行。</w:t>
      </w:r>
    </w:p>
    <w:p w14:paraId="0E9718F8">
      <w:pPr>
        <w:pStyle w:val="17"/>
        <w:keepNext w:val="0"/>
        <w:keepLines w:val="0"/>
        <w:widowControl w:val="0"/>
        <w:suppressLineNumbers w:val="0"/>
        <w:autoSpaceDE w:val="0"/>
        <w:autoSpaceDN/>
        <w:spacing w:before="0" w:beforeAutospacing="0" w:after="0" w:afterAutospacing="0" w:line="560" w:lineRule="exact"/>
        <w:ind w:left="0" w:right="0" w:firstLine="643" w:firstLineChars="200"/>
        <w:jc w:val="both"/>
        <w:rPr>
          <w:rFonts w:hint="eastAsia" w:ascii="仿宋_GB2312" w:eastAsia="仿宋_GB2312" w:cs="仿宋_GB2312"/>
          <w:b/>
          <w:bCs w:val="0"/>
          <w:color w:val="000000"/>
          <w:kern w:val="2"/>
          <w:sz w:val="32"/>
          <w:szCs w:val="32"/>
        </w:rPr>
      </w:pPr>
      <w:r>
        <w:rPr>
          <w:rFonts w:hint="eastAsia" w:ascii="仿宋_GB2312" w:hAnsi="Times New Roman" w:eastAsia="仿宋_GB2312" w:cs="仿宋_GB2312"/>
          <w:b/>
          <w:bCs w:val="0"/>
          <w:color w:val="000000"/>
          <w:kern w:val="2"/>
          <w:sz w:val="32"/>
          <w:szCs w:val="32"/>
          <w:lang w:val="en-US" w:eastAsia="zh-CN" w:bidi="ar"/>
        </w:rPr>
        <w:t>三是特种设备安全检查和宣传工作</w:t>
      </w:r>
    </w:p>
    <w:p w14:paraId="16B7D712">
      <w:pPr>
        <w:pStyle w:val="17"/>
        <w:keepNext w:val="0"/>
        <w:keepLines w:val="0"/>
        <w:widowControl w:val="0"/>
        <w:suppressLineNumbers w:val="0"/>
        <w:spacing w:before="0" w:beforeAutospacing="0" w:after="0" w:afterAutospacing="0" w:line="560" w:lineRule="exact"/>
        <w:ind w:left="0" w:right="0" w:firstLine="640" w:firstLineChars="200"/>
        <w:jc w:val="both"/>
        <w:rPr>
          <w:rFonts w:hint="default" w:ascii="Times New Roman" w:hAnsi="Times New Roman" w:eastAsia="宋体" w:cs="Times New Roman"/>
          <w:b/>
          <w:bCs/>
          <w:kern w:val="2"/>
          <w:sz w:val="21"/>
          <w:szCs w:val="21"/>
        </w:rPr>
      </w:pPr>
      <w:r>
        <w:rPr>
          <w:rFonts w:hint="eastAsia" w:ascii="仿宋_GB2312" w:hAnsi="Times New Roman" w:eastAsia="仿宋_GB2312" w:cs="仿宋_GB2312"/>
          <w:b w:val="0"/>
          <w:bCs/>
          <w:color w:val="000000"/>
          <w:kern w:val="2"/>
          <w:sz w:val="32"/>
          <w:szCs w:val="32"/>
          <w:lang w:val="en-US" w:eastAsia="zh-CN" w:bidi="ar"/>
        </w:rPr>
        <w:t>按照局党组安排，完成“五一”节前和节中市场秩序督导检查，共检查特种设备使用单位24家，特种设备120台（条），发现并督促相关责任单位开展安全隐患整改55处。完成“优化消费环境 共筑消费满意”3.15宣传视频《电梯安全 你我同行》</w:t>
      </w:r>
      <w:r>
        <w:rPr>
          <w:rFonts w:hint="eastAsia" w:ascii="仿宋_GB2312" w:hAnsi="Times New Roman" w:eastAsia="仿宋_GB2312" w:cs="仿宋_GB2312"/>
          <w:b w:val="0"/>
          <w:bCs/>
          <w:kern w:val="2"/>
          <w:sz w:val="32"/>
          <w:szCs w:val="32"/>
          <w:lang w:val="en-US" w:eastAsia="zh-CN" w:bidi="ar"/>
        </w:rPr>
        <w:t>的制作并在“微阿坝”“阿坝市场监管”微信公众号播出。</w:t>
      </w:r>
    </w:p>
    <w:p w14:paraId="34AA6ABE">
      <w:pPr>
        <w:keepNext w:val="0"/>
        <w:keepLines w:val="0"/>
        <w:widowControl w:val="0"/>
        <w:suppressLineNumbers w:val="0"/>
        <w:autoSpaceDE w:val="0"/>
        <w:autoSpaceDN/>
        <w:adjustRightInd w:val="0"/>
        <w:snapToGrid w:val="0"/>
        <w:spacing w:before="0" w:beforeAutospacing="0" w:after="0" w:afterAutospacing="0" w:line="560" w:lineRule="exact"/>
        <w:ind w:left="0" w:right="0" w:firstLine="640" w:firstLineChars="200"/>
        <w:contextualSpacing/>
        <w:jc w:val="left"/>
        <w:rPr>
          <w:rFonts w:hint="default" w:ascii="Times New Roman" w:hAnsi="Times New Roman" w:eastAsia="楷体_GB2312" w:cs="Times New Roman"/>
          <w:kern w:val="0"/>
          <w:sz w:val="32"/>
          <w:szCs w:val="32"/>
          <w:shd w:val="clear" w:fill="FFFFFF"/>
        </w:rPr>
      </w:pPr>
      <w:r>
        <w:rPr>
          <w:rFonts w:hint="default" w:ascii="Times New Roman" w:hAnsi="Times New Roman" w:eastAsia="楷体_GB2312" w:cs="Times New Roman"/>
          <w:kern w:val="0"/>
          <w:sz w:val="32"/>
          <w:szCs w:val="32"/>
          <w:shd w:val="clear" w:fill="FFFFFF"/>
          <w:lang w:val="en-US" w:eastAsia="zh-CN" w:bidi="ar"/>
        </w:rPr>
        <w:t>2.</w:t>
      </w:r>
      <w:r>
        <w:rPr>
          <w:rFonts w:hint="eastAsia" w:ascii="楷体_GB2312" w:hAnsi="Times New Roman" w:eastAsia="楷体_GB2312" w:cs="楷体_GB2312"/>
          <w:kern w:val="0"/>
          <w:sz w:val="32"/>
          <w:szCs w:val="32"/>
          <w:shd w:val="clear" w:fill="FFFFFF"/>
          <w:lang w:val="en-US" w:eastAsia="zh-CN" w:bidi="ar"/>
        </w:rPr>
        <w:t>预算管理，得分</w:t>
      </w:r>
      <w:r>
        <w:rPr>
          <w:rFonts w:hint="default" w:ascii="Times New Roman" w:hAnsi="Times New Roman" w:eastAsia="楷体_GB2312" w:cs="Times New Roman"/>
          <w:kern w:val="0"/>
          <w:sz w:val="32"/>
          <w:szCs w:val="32"/>
          <w:shd w:val="clear" w:fill="FFFFFF"/>
          <w:lang w:val="en-US" w:eastAsia="zh-CN" w:bidi="ar"/>
        </w:rPr>
        <w:t>21.81</w:t>
      </w:r>
      <w:r>
        <w:rPr>
          <w:rFonts w:hint="eastAsia" w:ascii="楷体_GB2312" w:hAnsi="Times New Roman" w:eastAsia="楷体_GB2312" w:cs="楷体_GB2312"/>
          <w:kern w:val="0"/>
          <w:sz w:val="32"/>
          <w:szCs w:val="32"/>
          <w:shd w:val="clear" w:fill="FFFFFF"/>
          <w:lang w:val="en-US" w:eastAsia="zh-CN" w:bidi="ar"/>
        </w:rPr>
        <w:t>分。</w:t>
      </w:r>
    </w:p>
    <w:p w14:paraId="22754FFC">
      <w:pPr>
        <w:keepNext w:val="0"/>
        <w:keepLines w:val="0"/>
        <w:widowControl w:val="0"/>
        <w:suppressLineNumbers w:val="0"/>
        <w:autoSpaceDE w:val="0"/>
        <w:autoSpaceDN/>
        <w:adjustRightInd w:val="0"/>
        <w:snapToGrid w:val="0"/>
        <w:spacing w:before="0" w:beforeAutospacing="0" w:after="0" w:afterAutospacing="0" w:line="560" w:lineRule="exact"/>
        <w:ind w:left="0" w:right="0" w:firstLine="640" w:firstLineChars="200"/>
        <w:contextualSpacing/>
        <w:jc w:val="left"/>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）预算编制质量：我所严格按照州财政局、州局相关预算编制要求，结合年度工作计划，积极总结以往年度预算执行情况，认真编制了</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年度预算，进一步保证了预算编制的科学性和准确性，得分</w:t>
      </w:r>
      <w:r>
        <w:rPr>
          <w:rFonts w:hint="default" w:ascii="Times New Roman" w:hAnsi="Times New Roman" w:eastAsia="仿宋_GB2312" w:cs="Times New Roman"/>
          <w:kern w:val="0"/>
          <w:sz w:val="32"/>
          <w:szCs w:val="32"/>
          <w:shd w:val="clear" w:fill="FFFFFF"/>
          <w:lang w:val="en-US" w:eastAsia="zh-CN" w:bidi="ar"/>
        </w:rPr>
        <w:t>6</w:t>
      </w:r>
      <w:r>
        <w:rPr>
          <w:rFonts w:hint="eastAsia" w:ascii="仿宋_GB2312" w:hAnsi="Times New Roman" w:eastAsia="仿宋_GB2312" w:cs="仿宋_GB2312"/>
          <w:kern w:val="0"/>
          <w:sz w:val="32"/>
          <w:szCs w:val="32"/>
          <w:shd w:val="clear" w:fill="FFFFFF"/>
          <w:lang w:val="en-US" w:eastAsia="zh-CN" w:bidi="ar"/>
        </w:rPr>
        <w:t>分。</w:t>
      </w:r>
    </w:p>
    <w:p w14:paraId="25FEFB89">
      <w:pPr>
        <w:keepNext w:val="0"/>
        <w:keepLines w:val="0"/>
        <w:widowControl w:val="0"/>
        <w:suppressLineNumbers w:val="0"/>
        <w:autoSpaceDE w:val="0"/>
        <w:autoSpaceDN/>
        <w:adjustRightInd w:val="0"/>
        <w:snapToGrid w:val="0"/>
        <w:spacing w:before="0" w:beforeAutospacing="0" w:after="0" w:afterAutospacing="0" w:line="560" w:lineRule="exact"/>
        <w:ind w:left="0" w:right="0" w:firstLine="640" w:firstLineChars="200"/>
        <w:contextualSpacing/>
        <w:jc w:val="left"/>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w:t>
      </w:r>
      <w:r>
        <w:rPr>
          <w:rFonts w:hint="eastAsia" w:ascii="仿宋_GB2312" w:hAnsi="Times New Roman" w:eastAsia="仿宋_GB2312" w:cs="仿宋_GB2312"/>
          <w:kern w:val="2"/>
          <w:sz w:val="32"/>
          <w:szCs w:val="32"/>
          <w:lang w:val="en-US" w:eastAsia="zh-CN" w:bidi="ar"/>
        </w:rPr>
        <w:t>单位收入统筹：全部收入纳入统筹，得分</w:t>
      </w:r>
      <w:r>
        <w:rPr>
          <w:rFonts w:hint="default" w:ascii="Times New Roman" w:hAnsi="Times New Roman" w:eastAsia="仿宋_GB2312" w:cs="Times New Roman"/>
          <w:kern w:val="2"/>
          <w:sz w:val="32"/>
          <w:szCs w:val="32"/>
          <w:lang w:val="en-US" w:eastAsia="zh-CN" w:bidi="ar"/>
        </w:rPr>
        <w:t>4</w:t>
      </w:r>
      <w:r>
        <w:rPr>
          <w:rFonts w:hint="eastAsia" w:ascii="仿宋_GB2312" w:hAnsi="Times New Roman" w:eastAsia="仿宋_GB2312" w:cs="仿宋_GB2312"/>
          <w:kern w:val="2"/>
          <w:sz w:val="32"/>
          <w:szCs w:val="32"/>
          <w:lang w:val="en-US" w:eastAsia="zh-CN" w:bidi="ar"/>
        </w:rPr>
        <w:t>分</w:t>
      </w:r>
      <w:r>
        <w:rPr>
          <w:rFonts w:hint="eastAsia" w:ascii="仿宋_GB2312" w:hAnsi="Times New Roman" w:eastAsia="仿宋_GB2312" w:cs="仿宋_GB2312"/>
          <w:kern w:val="0"/>
          <w:sz w:val="32"/>
          <w:szCs w:val="32"/>
          <w:shd w:val="clear" w:fill="FFFFFF"/>
          <w:lang w:val="en-US" w:eastAsia="zh-CN" w:bidi="ar"/>
        </w:rPr>
        <w:t>。</w:t>
      </w:r>
    </w:p>
    <w:p w14:paraId="103A4987">
      <w:pPr>
        <w:pStyle w:val="17"/>
        <w:keepNext w:val="0"/>
        <w:keepLines w:val="0"/>
        <w:widowControl w:val="0"/>
        <w:suppressLineNumbers w:val="0"/>
        <w:autoSpaceDE w:val="0"/>
        <w:autoSpaceDN/>
        <w:spacing w:before="0" w:beforeAutospacing="1" w:after="120" w:afterAutospacing="0" w:line="560" w:lineRule="exact"/>
        <w:ind w:left="0" w:right="0" w:firstLine="640"/>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 xml:space="preserve">）我所严格按照预算执行要求，合理安排预算进度，稳步推进年度预算绩效管理。 </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年我所部门预算数为</w:t>
      </w:r>
      <w:r>
        <w:rPr>
          <w:rFonts w:hint="default" w:ascii="Times New Roman" w:hAnsi="Times New Roman" w:eastAsia="仿宋_GB2312" w:cs="Times New Roman"/>
          <w:kern w:val="0"/>
          <w:sz w:val="32"/>
          <w:szCs w:val="32"/>
          <w:shd w:val="clear" w:fill="FFFFFF"/>
          <w:lang w:val="en-US" w:eastAsia="zh-CN" w:bidi="ar"/>
        </w:rPr>
        <w:t>460.09</w:t>
      </w:r>
      <w:r>
        <w:rPr>
          <w:rFonts w:hint="eastAsia" w:ascii="仿宋_GB2312" w:hAnsi="Times New Roman" w:eastAsia="仿宋_GB2312" w:cs="仿宋_GB2312"/>
          <w:kern w:val="0"/>
          <w:sz w:val="32"/>
          <w:szCs w:val="32"/>
          <w:shd w:val="clear" w:fill="FFFFFF"/>
          <w:lang w:val="en-US" w:eastAsia="zh-CN" w:bidi="ar"/>
        </w:rPr>
        <w:t>万元，</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至</w:t>
      </w:r>
      <w:r>
        <w:rPr>
          <w:rFonts w:hint="default" w:ascii="Times New Roman" w:hAnsi="Times New Roman" w:eastAsia="仿宋_GB2312" w:cs="Times New Roman"/>
          <w:kern w:val="0"/>
          <w:sz w:val="32"/>
          <w:szCs w:val="32"/>
          <w:shd w:val="clear" w:fill="FFFFFF"/>
          <w:lang w:val="en-US" w:eastAsia="zh-CN" w:bidi="ar"/>
        </w:rPr>
        <w:t>6</w:t>
      </w:r>
      <w:r>
        <w:rPr>
          <w:rFonts w:hint="eastAsia" w:ascii="仿宋_GB2312" w:hAnsi="Times New Roman" w:eastAsia="仿宋_GB2312" w:cs="仿宋_GB2312"/>
          <w:kern w:val="0"/>
          <w:sz w:val="32"/>
          <w:szCs w:val="32"/>
          <w:shd w:val="clear" w:fill="FFFFFF"/>
          <w:lang w:val="en-US" w:eastAsia="zh-CN" w:bidi="ar"/>
        </w:rPr>
        <w:t>月预算执行进度</w:t>
      </w:r>
      <w:r>
        <w:rPr>
          <w:rFonts w:hint="default" w:ascii="Times New Roman" w:hAnsi="Times New Roman" w:eastAsia="仿宋_GB2312" w:cs="Times New Roman"/>
          <w:kern w:val="0"/>
          <w:sz w:val="32"/>
          <w:szCs w:val="32"/>
          <w:shd w:val="clear" w:fill="FFFFFF"/>
          <w:lang w:val="en-US" w:eastAsia="zh-CN" w:bidi="ar"/>
        </w:rPr>
        <w:t>82.32%</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至</w:t>
      </w:r>
      <w:r>
        <w:rPr>
          <w:rFonts w:hint="default" w:ascii="Times New Roman" w:hAnsi="Times New Roman" w:eastAsia="仿宋_GB2312" w:cs="Times New Roman"/>
          <w:kern w:val="0"/>
          <w:sz w:val="32"/>
          <w:szCs w:val="32"/>
          <w:shd w:val="clear" w:fill="FFFFFF"/>
          <w:lang w:val="en-US" w:eastAsia="zh-CN" w:bidi="ar"/>
        </w:rPr>
        <w:t>10</w:t>
      </w:r>
      <w:r>
        <w:rPr>
          <w:rFonts w:hint="eastAsia" w:ascii="仿宋_GB2312" w:hAnsi="Times New Roman" w:eastAsia="仿宋_GB2312" w:cs="仿宋_GB2312"/>
          <w:kern w:val="0"/>
          <w:sz w:val="32"/>
          <w:szCs w:val="32"/>
          <w:shd w:val="clear" w:fill="FFFFFF"/>
          <w:lang w:val="en-US" w:eastAsia="zh-CN" w:bidi="ar"/>
        </w:rPr>
        <w:t>月预算执行进度</w:t>
      </w:r>
      <w:r>
        <w:rPr>
          <w:rFonts w:hint="default" w:ascii="Times New Roman" w:hAnsi="Times New Roman" w:eastAsia="仿宋_GB2312" w:cs="Times New Roman"/>
          <w:kern w:val="0"/>
          <w:sz w:val="32"/>
          <w:szCs w:val="32"/>
          <w:shd w:val="clear" w:fill="FFFFFF"/>
          <w:lang w:val="en-US" w:eastAsia="zh-CN" w:bidi="ar"/>
        </w:rPr>
        <w:t>95.8%</w:t>
      </w:r>
      <w:r>
        <w:rPr>
          <w:rFonts w:hint="eastAsia" w:ascii="仿宋_GB2312" w:hAnsi="Times New Roman" w:eastAsia="仿宋_GB2312" w:cs="仿宋_GB2312"/>
          <w:kern w:val="0"/>
          <w:sz w:val="32"/>
          <w:szCs w:val="32"/>
          <w:shd w:val="clear" w:fill="FFFFFF"/>
          <w:lang w:val="en-US" w:eastAsia="zh-CN" w:bidi="ar"/>
        </w:rPr>
        <w:t>，得分</w:t>
      </w:r>
      <w:r>
        <w:rPr>
          <w:rFonts w:hint="default" w:ascii="Times New Roman" w:hAnsi="Times New Roman" w:eastAsia="仿宋_GB2312" w:cs="Times New Roman"/>
          <w:kern w:val="0"/>
          <w:sz w:val="32"/>
          <w:szCs w:val="32"/>
          <w:shd w:val="clear" w:fill="FFFFFF"/>
          <w:lang w:val="en-US" w:eastAsia="zh-CN" w:bidi="ar"/>
        </w:rPr>
        <w:t>5.25</w:t>
      </w:r>
      <w:r>
        <w:rPr>
          <w:rFonts w:hint="eastAsia" w:ascii="仿宋_GB2312" w:hAnsi="Times New Roman" w:eastAsia="仿宋_GB2312" w:cs="仿宋_GB2312"/>
          <w:kern w:val="0"/>
          <w:sz w:val="32"/>
          <w:szCs w:val="32"/>
          <w:shd w:val="clear" w:fill="FFFFFF"/>
          <w:lang w:val="en-US" w:eastAsia="zh-CN" w:bidi="ar"/>
        </w:rPr>
        <w:t>分。</w:t>
      </w:r>
    </w:p>
    <w:p w14:paraId="009EB53C">
      <w:pPr>
        <w:keepNext w:val="0"/>
        <w:keepLines w:val="0"/>
        <w:widowControl w:val="0"/>
        <w:suppressLineNumbers w:val="0"/>
        <w:autoSpaceDE w:val="0"/>
        <w:autoSpaceDN/>
        <w:adjustRightInd w:val="0"/>
        <w:snapToGrid w:val="0"/>
        <w:spacing w:before="0" w:beforeAutospacing="0" w:after="0" w:afterAutospacing="0" w:line="578" w:lineRule="exact"/>
        <w:ind w:left="420" w:leftChars="200" w:right="0"/>
        <w:contextualSpacing/>
        <w:jc w:val="left"/>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）预算年终结余</w:t>
      </w:r>
      <w:r>
        <w:rPr>
          <w:rFonts w:hint="eastAsia" w:ascii="Times New Roman" w:hAnsi="Times New Roman" w:eastAsia="仿宋_GB2312" w:cs="Times New Roman"/>
          <w:kern w:val="0"/>
          <w:sz w:val="32"/>
          <w:szCs w:val="32"/>
          <w:shd w:val="clear" w:fill="FFFFFF"/>
          <w:lang w:val="en-US" w:eastAsia="zh-CN" w:bidi="ar"/>
        </w:rPr>
        <w:t xml:space="preserve"> </w:t>
      </w:r>
    </w:p>
    <w:p w14:paraId="23DE7C49">
      <w:pPr>
        <w:keepNext w:val="0"/>
        <w:keepLines w:val="0"/>
        <w:widowControl w:val="0"/>
        <w:suppressLineNumbers w:val="0"/>
        <w:autoSpaceDE w:val="0"/>
        <w:autoSpaceDN/>
        <w:adjustRightInd w:val="0"/>
        <w:snapToGrid w:val="0"/>
        <w:spacing w:before="0" w:beforeAutospacing="0" w:after="0" w:afterAutospacing="0" w:line="578" w:lineRule="exact"/>
        <w:ind w:left="420" w:leftChars="200" w:right="0"/>
        <w:contextualSpacing/>
        <w:jc w:val="left"/>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2"/>
          <w:sz w:val="32"/>
          <w:szCs w:val="32"/>
          <w:lang w:val="en-US" w:eastAsia="zh-CN" w:bidi="ar"/>
        </w:rPr>
        <w:t>部门整体预算结余率为</w:t>
      </w:r>
      <w:r>
        <w:rPr>
          <w:rFonts w:hint="default" w:ascii="Times New Roman" w:hAnsi="Times New Roman" w:eastAsia="仿宋_GB2312" w:cs="Times New Roman"/>
          <w:kern w:val="2"/>
          <w:sz w:val="32"/>
          <w:szCs w:val="32"/>
          <w:lang w:val="en-US" w:eastAsia="zh-CN" w:bidi="ar"/>
        </w:rPr>
        <w:t>6.74%</w:t>
      </w:r>
      <w:r>
        <w:rPr>
          <w:rFonts w:hint="eastAsia" w:ascii="仿宋_GB2312" w:hAnsi="Times New Roman" w:eastAsia="仿宋_GB2312" w:cs="仿宋_GB2312"/>
          <w:kern w:val="2"/>
          <w:sz w:val="32"/>
          <w:szCs w:val="32"/>
          <w:lang w:val="en-US" w:eastAsia="zh-CN" w:bidi="ar"/>
        </w:rPr>
        <w:t>，得分</w:t>
      </w:r>
      <w:r>
        <w:rPr>
          <w:rFonts w:hint="default" w:ascii="Times New Roman" w:hAnsi="Times New Roman" w:eastAsia="仿宋_GB2312" w:cs="Times New Roman"/>
          <w:kern w:val="2"/>
          <w:sz w:val="32"/>
          <w:szCs w:val="32"/>
          <w:lang w:val="en-US" w:eastAsia="zh-CN" w:bidi="ar"/>
        </w:rPr>
        <w:t>1.86</w:t>
      </w:r>
      <w:r>
        <w:rPr>
          <w:rFonts w:hint="eastAsia" w:ascii="仿宋_GB2312" w:hAnsi="Times New Roman" w:eastAsia="仿宋_GB2312" w:cs="仿宋_GB2312"/>
          <w:kern w:val="2"/>
          <w:sz w:val="32"/>
          <w:szCs w:val="32"/>
          <w:lang w:val="en-US" w:eastAsia="zh-CN" w:bidi="ar"/>
        </w:rPr>
        <w:t>分。</w:t>
      </w:r>
      <w:r>
        <w:rPr>
          <w:rFonts w:hint="eastAsia" w:ascii="Times New Roman" w:hAnsi="Times New Roman" w:eastAsia="仿宋_GB2312" w:cs="Times New Roman"/>
          <w:kern w:val="0"/>
          <w:sz w:val="32"/>
          <w:szCs w:val="32"/>
          <w:shd w:val="clear" w:fill="FFFFFF"/>
          <w:lang w:val="en-US" w:eastAsia="zh-CN" w:bidi="ar"/>
        </w:rPr>
        <w:t xml:space="preserve"> </w:t>
      </w:r>
      <w:r>
        <w:rPr>
          <w:rFonts w:hint="eastAsia" w:ascii="Times New Roman" w:hAnsi="Times New Roman" w:eastAsia="仿宋_GB2312" w:cs="Times New Roman"/>
          <w:color w:val="FF0000"/>
          <w:kern w:val="0"/>
          <w:sz w:val="32"/>
          <w:szCs w:val="32"/>
          <w:shd w:val="clear" w:fill="FFFFFF"/>
          <w:lang w:val="en-US" w:eastAsia="zh-CN" w:bidi="ar"/>
        </w:rPr>
        <w:t xml:space="preserve"> </w:t>
      </w:r>
    </w:p>
    <w:p w14:paraId="01EE1C63">
      <w:pPr>
        <w:keepNext w:val="0"/>
        <w:keepLines w:val="0"/>
        <w:widowControl w:val="0"/>
        <w:suppressLineNumbers w:val="0"/>
        <w:autoSpaceDE w:val="0"/>
        <w:autoSpaceDN/>
        <w:adjustRightInd w:val="0"/>
        <w:snapToGrid w:val="0"/>
        <w:spacing w:before="0" w:beforeAutospacing="0" w:after="0" w:afterAutospacing="0" w:line="560" w:lineRule="exact"/>
        <w:ind w:left="420" w:leftChars="200" w:right="0"/>
        <w:contextualSpacing/>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5</w:t>
      </w:r>
      <w:r>
        <w:rPr>
          <w:rFonts w:hint="eastAsia" w:ascii="仿宋_GB2312" w:hAnsi="Times New Roman" w:eastAsia="仿宋_GB2312" w:cs="仿宋_GB2312"/>
          <w:kern w:val="0"/>
          <w:sz w:val="32"/>
          <w:szCs w:val="32"/>
          <w:shd w:val="clear" w:fill="FFFFFF"/>
          <w:lang w:val="en-US" w:eastAsia="zh-CN" w:bidi="ar"/>
        </w:rPr>
        <w:t>）严控一般性支出进行绩效分析。</w:t>
      </w:r>
    </w:p>
    <w:p w14:paraId="2D6F9A83">
      <w:pPr>
        <w:keepNext w:val="0"/>
        <w:keepLines w:val="0"/>
        <w:widowControl w:val="0"/>
        <w:suppressLineNumbers w:val="0"/>
        <w:autoSpaceDE w:val="0"/>
        <w:autoSpaceDN/>
        <w:spacing w:before="0" w:beforeAutospacing="0" w:after="0" w:afterAutospacing="0" w:line="560" w:lineRule="exact"/>
        <w:ind w:left="0" w:right="0" w:firstLine="64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严控一般性支出：严控一般性支出：我所厉行节约，一般性支出财政拨款年初预算、一般性支出财政拨款预算执行数，相较于</w:t>
      </w:r>
      <w:r>
        <w:rPr>
          <w:rFonts w:hint="default" w:ascii="Times New Roman" w:hAnsi="Times New Roman" w:eastAsia="仿宋_GB2312" w:cs="Times New Roman"/>
          <w:kern w:val="2"/>
          <w:sz w:val="32"/>
          <w:szCs w:val="32"/>
          <w:lang w:val="en-US" w:eastAsia="zh-CN" w:bidi="ar"/>
        </w:rPr>
        <w:t>2024</w:t>
      </w:r>
      <w:r>
        <w:rPr>
          <w:rFonts w:hint="eastAsia" w:ascii="仿宋_GB2312" w:hAnsi="Times New Roman" w:eastAsia="仿宋_GB2312" w:cs="仿宋_GB2312"/>
          <w:kern w:val="2"/>
          <w:sz w:val="32"/>
          <w:szCs w:val="32"/>
          <w:lang w:val="en-US" w:eastAsia="zh-CN" w:bidi="ar"/>
        </w:rPr>
        <w:t>年均有所下降，得分</w:t>
      </w:r>
      <w:r>
        <w:rPr>
          <w:rFonts w:hint="default" w:ascii="Times New Roman" w:hAnsi="Times New Roman" w:eastAsia="仿宋_GB2312" w:cs="Times New Roman"/>
          <w:kern w:val="2"/>
          <w:sz w:val="32"/>
          <w:szCs w:val="32"/>
          <w:lang w:val="en-US" w:eastAsia="zh-CN" w:bidi="ar"/>
        </w:rPr>
        <w:t>4.7</w:t>
      </w:r>
      <w:r>
        <w:rPr>
          <w:rFonts w:hint="eastAsia" w:ascii="仿宋_GB2312" w:hAnsi="Times New Roman" w:eastAsia="仿宋_GB2312" w:cs="仿宋_GB2312"/>
          <w:kern w:val="2"/>
          <w:sz w:val="32"/>
          <w:szCs w:val="32"/>
          <w:lang w:val="en-US" w:eastAsia="zh-CN" w:bidi="ar"/>
        </w:rPr>
        <w:t>分。</w:t>
      </w:r>
    </w:p>
    <w:p w14:paraId="13F5B877">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楷体_GB2312" w:cs="Times New Roman"/>
          <w:kern w:val="2"/>
          <w:sz w:val="32"/>
          <w:szCs w:val="32"/>
        </w:rPr>
      </w:pPr>
      <w:r>
        <w:rPr>
          <w:rFonts w:hint="eastAsia" w:ascii="楷体_GB2312" w:hAnsi="Times New Roman" w:eastAsia="楷体_GB2312" w:cs="楷体_GB2312"/>
          <w:kern w:val="0"/>
          <w:sz w:val="32"/>
          <w:szCs w:val="32"/>
          <w:shd w:val="clear" w:fill="FFFFFF"/>
          <w:lang w:val="en-US" w:eastAsia="zh-CN" w:bidi="ar"/>
        </w:rPr>
        <w:t>3.财务管理，得分10分。</w:t>
      </w:r>
    </w:p>
    <w:p w14:paraId="2AE44A0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单位已制定财务管理制度并得到落实，得分4分；财务岗位设置合理，明确职责权限，并严格实行不相容岗位分离，得分2分；资金使用规范，符合相关财务管理制度规定，得分4分。</w:t>
      </w:r>
    </w:p>
    <w:p w14:paraId="7B19D268">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kern w:val="0"/>
          <w:sz w:val="32"/>
          <w:szCs w:val="32"/>
          <w:shd w:val="clear" w:fill="FFFFFF"/>
        </w:rPr>
      </w:pPr>
      <w:r>
        <w:rPr>
          <w:rFonts w:hint="eastAsia" w:ascii="楷体_GB2312" w:hAnsi="Times New Roman" w:eastAsia="楷体_GB2312" w:cs="楷体_GB2312"/>
          <w:kern w:val="0"/>
          <w:sz w:val="32"/>
          <w:szCs w:val="32"/>
          <w:shd w:val="clear" w:fill="FFFFFF"/>
          <w:lang w:val="en-US" w:eastAsia="zh-CN" w:bidi="ar"/>
        </w:rPr>
        <w:t>4.资产管理，得分6.6分。</w:t>
      </w:r>
    </w:p>
    <w:p w14:paraId="59EE6408">
      <w:pPr>
        <w:keepNext w:val="0"/>
        <w:keepLines w:val="0"/>
        <w:widowControl w:val="0"/>
        <w:suppressLineNumbers w:val="0"/>
        <w:autoSpaceDE w:val="0"/>
        <w:autoSpaceDN/>
        <w:spacing w:before="0" w:beforeAutospacing="0" w:after="0" w:afterAutospacing="0" w:line="700" w:lineRule="exact"/>
        <w:ind w:left="0" w:right="0" w:firstLine="640" w:firstLineChars="20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2025年我所购置质检所实验室设备2.3万元、办公室设备购置1.9万元，人均资产变化率得分1.2分。</w:t>
      </w:r>
    </w:p>
    <w:p w14:paraId="3F2C3D1A">
      <w:pPr>
        <w:keepNext w:val="0"/>
        <w:keepLines w:val="0"/>
        <w:widowControl w:val="0"/>
        <w:suppressLineNumbers w:val="0"/>
        <w:autoSpaceDE w:val="0"/>
        <w:autoSpaceDN/>
        <w:spacing w:before="0" w:beforeAutospacing="0" w:after="0" w:afterAutospacing="0" w:line="700" w:lineRule="exact"/>
        <w:ind w:left="0" w:right="0" w:firstLine="640" w:firstLineChars="20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资产利用率：合理利用单位资产，提高利用率及使用效果，得分3分。</w:t>
      </w:r>
    </w:p>
    <w:p w14:paraId="7F89E2CE">
      <w:pPr>
        <w:keepNext w:val="0"/>
        <w:keepLines w:val="0"/>
        <w:widowControl w:val="0"/>
        <w:suppressLineNumbers w:val="0"/>
        <w:autoSpaceDE w:val="0"/>
        <w:autoSpaceDN/>
        <w:spacing w:before="0" w:beforeAutospacing="0" w:after="0" w:afterAutospacing="0" w:line="700" w:lineRule="exact"/>
        <w:ind w:left="0" w:right="0" w:firstLine="640" w:firstLineChars="20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资产盘活率：闲置资产两年无变化，得分2.4分。</w:t>
      </w:r>
    </w:p>
    <w:p w14:paraId="4BDAD9C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kern w:val="0"/>
          <w:sz w:val="32"/>
          <w:szCs w:val="32"/>
          <w:shd w:val="clear" w:fill="FFFFFF"/>
        </w:rPr>
      </w:pPr>
      <w:r>
        <w:rPr>
          <w:rFonts w:hint="eastAsia" w:ascii="楷体_GB2312" w:hAnsi="Times New Roman" w:eastAsia="楷体_GB2312" w:cs="楷体_GB2312"/>
          <w:kern w:val="0"/>
          <w:sz w:val="32"/>
          <w:szCs w:val="32"/>
          <w:shd w:val="clear" w:fill="FFFFFF"/>
          <w:lang w:val="en-US" w:eastAsia="zh-CN" w:bidi="ar"/>
        </w:rPr>
        <w:t>5.采购管理，得分6分。</w:t>
      </w:r>
    </w:p>
    <w:p w14:paraId="520F45AC">
      <w:pPr>
        <w:keepNext w:val="0"/>
        <w:keepLines w:val="0"/>
        <w:widowControl w:val="0"/>
        <w:suppressLineNumbers w:val="0"/>
        <w:autoSpaceDE w:val="0"/>
        <w:autoSpaceDN/>
        <w:spacing w:before="0" w:beforeAutospacing="0" w:after="0" w:afterAutospacing="0" w:line="700" w:lineRule="exact"/>
        <w:ind w:left="0" w:right="0" w:firstLine="640" w:firstLineChars="20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支持中小企业发展：单位严格执行政府采购促进中小企业发展相关管理办法得分3分。</w:t>
      </w:r>
    </w:p>
    <w:p w14:paraId="630ED7A5">
      <w:pPr>
        <w:keepNext w:val="0"/>
        <w:keepLines w:val="0"/>
        <w:widowControl w:val="0"/>
        <w:suppressLineNumbers w:val="0"/>
        <w:autoSpaceDE w:val="0"/>
        <w:autoSpaceDN/>
        <w:spacing w:before="0" w:beforeAutospacing="0" w:after="0" w:afterAutospacing="0" w:line="700" w:lineRule="exact"/>
        <w:ind w:left="0" w:right="0" w:firstLine="640" w:firstLineChars="20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采购执行率进行绩效分析：2025年无政府采购项目，得分3分。</w:t>
      </w:r>
    </w:p>
    <w:p w14:paraId="31AAC807">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（二）部门预算项目绩效分析，得分</w:t>
      </w:r>
      <w:r>
        <w:rPr>
          <w:rFonts w:hint="default" w:ascii="Times New Roman" w:hAnsi="Times New Roman" w:eastAsia="楷体_GB2312" w:cs="Times New Roman"/>
          <w:b/>
          <w:bCs/>
          <w:kern w:val="0"/>
          <w:sz w:val="32"/>
          <w:szCs w:val="32"/>
          <w:shd w:val="clear" w:fill="FFFFFF"/>
          <w:lang w:val="en-US" w:eastAsia="zh-CN" w:bidi="ar"/>
        </w:rPr>
        <w:t>34.2</w:t>
      </w:r>
      <w:r>
        <w:rPr>
          <w:rFonts w:hint="eastAsia" w:ascii="楷体_GB2312" w:hAnsi="Times New Roman" w:eastAsia="楷体_GB2312" w:cs="楷体_GB2312"/>
          <w:b/>
          <w:bCs/>
          <w:kern w:val="0"/>
          <w:sz w:val="32"/>
          <w:szCs w:val="32"/>
          <w:shd w:val="clear" w:fill="FFFFFF"/>
          <w:lang w:val="en-US" w:eastAsia="zh-CN" w:bidi="ar"/>
        </w:rPr>
        <w:t>分。</w:t>
      </w:r>
    </w:p>
    <w:p w14:paraId="22B63565">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阶段（一次性）项目绩效分析，该类项目总数5个，涉及预算总金额95.4万元，</w:t>
      </w:r>
      <w:r>
        <w:rPr>
          <w:rFonts w:hint="eastAsia" w:ascii="仿宋_GB2312"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w:t>
      </w:r>
      <w:r>
        <w:rPr>
          <w:rFonts w:hint="eastAsia" w:ascii="仿宋_GB2312" w:hAnsi="Times New Roman" w:eastAsia="仿宋_GB2312" w:cs="Times New Roman"/>
          <w:kern w:val="2"/>
          <w:sz w:val="32"/>
          <w:szCs w:val="32"/>
          <w:lang w:val="en-US" w:eastAsia="zh-CN" w:bidi="ar"/>
        </w:rPr>
        <w:t>12</w:t>
      </w:r>
      <w:r>
        <w:rPr>
          <w:rFonts w:hint="eastAsia" w:ascii="仿宋_GB2312" w:hAnsi="Times New Roman" w:eastAsia="仿宋_GB2312" w:cs="仿宋_GB2312"/>
          <w:kern w:val="2"/>
          <w:sz w:val="32"/>
          <w:szCs w:val="32"/>
          <w:lang w:val="en-US" w:eastAsia="zh-CN" w:bidi="ar"/>
        </w:rPr>
        <w:t>月预算执行数76.68万元，执行进度为80.38</w:t>
      </w:r>
      <w:r>
        <w:rPr>
          <w:rFonts w:hint="eastAsia" w:ascii="仿宋_GB2312" w:hAnsi="Times New Roman" w:eastAsia="仿宋_GB2312" w:cs="Times New Roman"/>
          <w:kern w:val="2"/>
          <w:sz w:val="32"/>
          <w:szCs w:val="32"/>
          <w:lang w:val="en-US" w:eastAsia="zh-CN" w:bidi="ar"/>
        </w:rPr>
        <w:t xml:space="preserve"> %，其中：</w:t>
      </w:r>
      <w:r>
        <w:rPr>
          <w:rFonts w:hint="eastAsia" w:ascii="仿宋_GB2312" w:hAnsi="Times New Roman" w:eastAsia="仿宋_GB2312" w:cs="仿宋_GB2312"/>
          <w:kern w:val="2"/>
          <w:sz w:val="32"/>
          <w:szCs w:val="32"/>
          <w:lang w:val="en-US" w:eastAsia="zh-CN" w:bidi="ar"/>
        </w:rPr>
        <w:t>预算结余率大于</w:t>
      </w:r>
      <w:r>
        <w:rPr>
          <w:rFonts w:hint="eastAsia" w:ascii="仿宋_GB2312" w:hAnsi="Times New Roman" w:eastAsia="仿宋_GB2312" w:cs="Times New Roman"/>
          <w:kern w:val="2"/>
          <w:sz w:val="32"/>
          <w:szCs w:val="32"/>
          <w:lang w:val="en-US" w:eastAsia="zh-CN" w:bidi="ar"/>
        </w:rPr>
        <w:t>10%</w:t>
      </w:r>
      <w:r>
        <w:rPr>
          <w:rFonts w:hint="eastAsia" w:ascii="仿宋_GB2312" w:hAnsi="Times New Roman" w:eastAsia="仿宋_GB2312" w:cs="仿宋_GB2312"/>
          <w:kern w:val="2"/>
          <w:sz w:val="32"/>
          <w:szCs w:val="32"/>
          <w:lang w:val="en-US" w:eastAsia="zh-CN" w:bidi="ar"/>
        </w:rPr>
        <w:t>的项目共计</w:t>
      </w:r>
      <w:r>
        <w:rPr>
          <w:rFonts w:hint="eastAsia" w:ascii="仿宋_GB2312" w:hAnsi="Times New Roman" w:eastAsia="仿宋_GB2312" w:cs="Times New Roman"/>
          <w:kern w:val="2"/>
          <w:sz w:val="32"/>
          <w:szCs w:val="32"/>
          <w:lang w:val="en-US" w:eastAsia="zh-CN" w:bidi="ar"/>
        </w:rPr>
        <w:t xml:space="preserve"> </w:t>
      </w:r>
      <w:r>
        <w:rPr>
          <w:rFonts w:hint="eastAsia" w:ascii="仿宋_GB2312" w:hAnsi="Times New Roman" w:eastAsia="仿宋_GB2312" w:cs="仿宋_GB2312"/>
          <w:kern w:val="2"/>
          <w:sz w:val="32"/>
          <w:szCs w:val="32"/>
          <w:lang w:val="en-US" w:eastAsia="zh-CN" w:bidi="ar"/>
        </w:rPr>
        <w:t>2个。</w:t>
      </w:r>
    </w:p>
    <w:p w14:paraId="61B9BB62">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仿宋_GB2312" w:eastAsia="仿宋_GB2312" w:cs="仿宋_GB2312"/>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项目决策，得分12分。</w:t>
      </w:r>
    </w:p>
    <w:p w14:paraId="38F57A4E">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决策程序：部门预算项目设立按规定履行评估论证、申报程序，得分4分。</w:t>
      </w:r>
    </w:p>
    <w:p w14:paraId="341868A5">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目标设置：绩效目标设置科学合理、规范完整、量化细化、预算匹配，得分4分。</w:t>
      </w:r>
    </w:p>
    <w:p w14:paraId="4DDF7B53">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项目入库：部门预算项目在规定时</w:t>
      </w:r>
      <w:r>
        <w:rPr>
          <w:rFonts w:hint="eastAsia" w:ascii="仿宋_GB2312" w:eastAsia="仿宋_GB2312" w:cs="仿宋_GB2312"/>
          <w:kern w:val="2"/>
          <w:sz w:val="32"/>
          <w:szCs w:val="32"/>
          <w:lang w:val="en-US" w:eastAsia="zh-CN" w:bidi="ar"/>
        </w:rPr>
        <w:t>间内</w:t>
      </w:r>
      <w:r>
        <w:rPr>
          <w:rFonts w:hint="eastAsia" w:ascii="仿宋_GB2312" w:hAnsi="Times New Roman" w:eastAsia="仿宋_GB2312" w:cs="仿宋_GB2312"/>
          <w:kern w:val="2"/>
          <w:sz w:val="32"/>
          <w:szCs w:val="32"/>
          <w:lang w:val="en-US" w:eastAsia="zh-CN" w:bidi="ar"/>
        </w:rPr>
        <w:t>完成项目入库，得分4分。</w:t>
      </w:r>
    </w:p>
    <w:p w14:paraId="5576A7A5">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仿宋_GB2312" w:eastAsia="仿宋_GB2312" w:cs="仿宋_GB2312"/>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项目执行，得分11.2分。</w:t>
      </w:r>
    </w:p>
    <w:p w14:paraId="559DD7B6">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执行同向：部门预算项目实际列支内容与绩效目标设置方向相符，得分4分。</w:t>
      </w:r>
    </w:p>
    <w:p w14:paraId="7049C6F6">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项目调整：部门预算项目采取对应调整措施</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得分4分。</w:t>
      </w:r>
    </w:p>
    <w:p w14:paraId="0BB5F9B8">
      <w:pPr>
        <w:keepNext w:val="0"/>
        <w:keepLines w:val="0"/>
        <w:widowControl w:val="0"/>
        <w:suppressLineNumbers w:val="0"/>
        <w:autoSpaceDE w:val="0"/>
        <w:autoSpaceDN/>
        <w:spacing w:before="0" w:beforeAutospacing="0" w:after="0" w:afterAutospacing="0" w:line="700" w:lineRule="exact"/>
        <w:ind w:left="0" w:right="0" w:firstLine="800" w:firstLineChars="250"/>
        <w:jc w:val="left"/>
        <w:rPr>
          <w:rFonts w:hint="eastAsia" w:ascii="楷体_GB2312" w:eastAsia="楷体_GB2312" w:cs="楷体_GB2312"/>
          <w:kern w:val="0"/>
          <w:sz w:val="32"/>
          <w:szCs w:val="32"/>
          <w:shd w:val="clear" w:fill="FFFFFF"/>
        </w:rPr>
      </w:pPr>
      <w:r>
        <w:rPr>
          <w:rFonts w:hint="eastAsia" w:ascii="仿宋_GB2312" w:hAnsi="Times New Roman" w:eastAsia="仿宋_GB2312" w:cs="仿宋_GB2312"/>
          <w:kern w:val="2"/>
          <w:sz w:val="32"/>
          <w:szCs w:val="32"/>
          <w:lang w:val="en-US" w:eastAsia="zh-CN" w:bidi="ar"/>
        </w:rPr>
        <w:t>执行结果：按照部门预算项目绩效目标效益指标评价，得分3.2分。</w:t>
      </w:r>
    </w:p>
    <w:p w14:paraId="771DCA74">
      <w:pPr>
        <w:keepNext w:val="0"/>
        <w:keepLines w:val="0"/>
        <w:widowControl w:val="0"/>
        <w:numPr>
          <w:ilvl w:val="0"/>
          <w:numId w:val="4"/>
        </w:numPr>
        <w:suppressLineNumbers w:val="0"/>
        <w:autoSpaceDE w:val="0"/>
        <w:autoSpaceDN/>
        <w:spacing w:before="0" w:beforeAutospacing="0" w:after="0" w:afterAutospacing="0" w:line="700" w:lineRule="exact"/>
        <w:ind w:left="0" w:right="0" w:firstLine="800" w:firstLineChars="250"/>
        <w:jc w:val="left"/>
        <w:rPr>
          <w:rFonts w:hint="eastAsia" w:ascii="仿宋_GB2312" w:hAnsi="Times New Roman" w:eastAsia="仿宋_GB2312" w:cs="Times New Roman"/>
          <w:kern w:val="2"/>
          <w:sz w:val="32"/>
          <w:szCs w:val="32"/>
        </w:rPr>
      </w:pPr>
      <w:r>
        <w:rPr>
          <w:rFonts w:hint="eastAsia" w:ascii="楷体_GB2312" w:hAnsi="Times New Roman" w:eastAsia="楷体_GB2312" w:cs="楷体_GB2312"/>
          <w:kern w:val="0"/>
          <w:sz w:val="32"/>
          <w:szCs w:val="32"/>
          <w:shd w:val="clear" w:fill="FFFFFF"/>
          <w:lang w:val="en-US" w:eastAsia="zh-CN" w:bidi="ar"/>
        </w:rPr>
        <w:t>目标实现，得分</w:t>
      </w:r>
      <w:r>
        <w:rPr>
          <w:rFonts w:hint="default" w:ascii="Times New Roman" w:hAnsi="Times New Roman" w:eastAsia="楷体_GB2312" w:cs="Times New Roman"/>
          <w:kern w:val="0"/>
          <w:sz w:val="32"/>
          <w:szCs w:val="32"/>
          <w:shd w:val="clear" w:fill="FFFFFF"/>
          <w:lang w:val="en-US" w:eastAsia="zh-CN" w:bidi="ar"/>
        </w:rPr>
        <w:t>11</w:t>
      </w:r>
      <w:r>
        <w:rPr>
          <w:rFonts w:hint="eastAsia" w:ascii="楷体_GB2312" w:hAnsi="Times New Roman" w:eastAsia="楷体_GB2312" w:cs="楷体_GB2312"/>
          <w:kern w:val="0"/>
          <w:sz w:val="32"/>
          <w:szCs w:val="32"/>
          <w:shd w:val="clear" w:fill="FFFFFF"/>
          <w:lang w:val="en-US" w:eastAsia="zh-CN" w:bidi="ar"/>
        </w:rPr>
        <w:t>分。</w:t>
      </w:r>
    </w:p>
    <w:p w14:paraId="395A02A6">
      <w:pPr>
        <w:keepNext w:val="0"/>
        <w:keepLines w:val="0"/>
        <w:widowControl w:val="0"/>
        <w:suppressLineNumbers w:val="0"/>
        <w:autoSpaceDE w:val="0"/>
        <w:autoSpaceDN/>
        <w:spacing w:before="0" w:beforeAutospacing="0" w:after="0" w:afterAutospacing="0" w:line="700" w:lineRule="exact"/>
        <w:ind w:left="0" w:right="0" w:firstLine="640" w:firstLineChars="20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目标完成：部门预算阶段项目均完成绩效目标，得分4分。</w:t>
      </w:r>
    </w:p>
    <w:p w14:paraId="20EE2B90">
      <w:pPr>
        <w:keepNext w:val="0"/>
        <w:keepLines w:val="0"/>
        <w:widowControl w:val="0"/>
        <w:suppressLineNumbers w:val="0"/>
        <w:autoSpaceDE w:val="0"/>
        <w:autoSpaceDN/>
        <w:spacing w:before="0" w:beforeAutospacing="0" w:after="0" w:afterAutospacing="0" w:line="700" w:lineRule="exact"/>
        <w:ind w:left="0" w:right="0" w:firstLine="640" w:firstLineChars="200"/>
        <w:jc w:val="left"/>
        <w:rPr>
          <w:rFonts w:hint="eastAsia" w:ascii="仿宋_GB2312"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目标偏离：部门预算项目绩效目标数量指标实现程度与预期目标的偏离度在30</w:t>
      </w:r>
      <w:r>
        <w:rPr>
          <w:rFonts w:hint="eastAsia" w:ascii="仿宋_GB2312" w:eastAsia="仿宋_GB2312" w:cs="仿宋_GB2312"/>
          <w:kern w:val="2"/>
          <w:sz w:val="32"/>
          <w:szCs w:val="32"/>
          <w:lang w:val="en-US" w:eastAsia="zh-CN" w:bidi="ar"/>
        </w:rPr>
        <w:t>%以</w:t>
      </w:r>
      <w:r>
        <w:rPr>
          <w:rFonts w:hint="eastAsia" w:ascii="仿宋_GB2312" w:hAnsi="Times New Roman" w:eastAsia="仿宋_GB2312" w:cs="仿宋_GB2312"/>
          <w:kern w:val="2"/>
          <w:sz w:val="32"/>
          <w:szCs w:val="32"/>
          <w:lang w:val="en-US" w:eastAsia="zh-CN" w:bidi="ar"/>
        </w:rPr>
        <w:t>内，得分4分。</w:t>
      </w:r>
    </w:p>
    <w:p w14:paraId="463491A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实现效果：部门预算阶段项目均完成绩效目标效益指标，得分3分。</w:t>
      </w:r>
    </w:p>
    <w:p w14:paraId="63471DEA">
      <w:pPr>
        <w:keepNext w:val="0"/>
        <w:keepLines w:val="0"/>
        <w:widowControl w:val="0"/>
        <w:suppressLineNumbers w:val="0"/>
        <w:autoSpaceDE w:val="0"/>
        <w:autoSpaceDN/>
        <w:snapToGrid w:val="0"/>
        <w:spacing w:before="0" w:beforeAutospacing="0" w:after="0" w:afterAutospacing="0" w:line="600" w:lineRule="exact"/>
        <w:ind w:left="420" w:leftChars="200" w:right="0"/>
        <w:jc w:val="both"/>
        <w:rPr>
          <w:rFonts w:hint="default" w:ascii="Times New Roman" w:hAnsi="Times New Roman" w:eastAsia="楷体_GB2312" w:cs="Times New Roman"/>
          <w:b/>
          <w:bCs/>
          <w:kern w:val="2"/>
          <w:sz w:val="32"/>
          <w:szCs w:val="32"/>
        </w:rPr>
      </w:pPr>
      <w:r>
        <w:rPr>
          <w:rFonts w:hint="eastAsia" w:ascii="楷体_GB2312" w:hAnsi="Times New Roman" w:eastAsia="楷体_GB2312" w:cs="楷体_GB2312"/>
          <w:b/>
          <w:bCs/>
          <w:kern w:val="0"/>
          <w:sz w:val="32"/>
          <w:szCs w:val="32"/>
          <w:shd w:val="clear" w:fill="FFFFFF"/>
          <w:lang w:val="en-US" w:eastAsia="zh-CN" w:bidi="ar"/>
        </w:rPr>
        <w:t>（三）</w:t>
      </w:r>
      <w:r>
        <w:rPr>
          <w:rFonts w:hint="eastAsia" w:ascii="楷体_GB2312" w:hAnsi="Times New Roman" w:eastAsia="楷体_GB2312" w:cs="楷体_GB2312"/>
          <w:b/>
          <w:bCs/>
          <w:kern w:val="2"/>
          <w:sz w:val="32"/>
          <w:szCs w:val="32"/>
          <w:lang w:val="en-US" w:eastAsia="zh-CN" w:bidi="ar"/>
        </w:rPr>
        <w:t>绩效结果应用情况。</w:t>
      </w:r>
    </w:p>
    <w:p w14:paraId="407C2A83">
      <w:pPr>
        <w:keepNext w:val="0"/>
        <w:keepLines w:val="0"/>
        <w:widowControl w:val="0"/>
        <w:suppressLineNumbers w:val="0"/>
        <w:autoSpaceDE w:val="0"/>
        <w:autoSpaceDN/>
        <w:snapToGrid w:val="0"/>
        <w:spacing w:before="0" w:beforeAutospacing="0" w:after="0" w:afterAutospacing="0" w:line="600" w:lineRule="exact"/>
        <w:ind w:left="0" w:right="0" w:firstLine="640" w:firstLineChars="200"/>
        <w:jc w:val="both"/>
        <w:rPr>
          <w:rFonts w:hint="default" w:ascii="Times New Roman" w:hAnsi="Times New Roman" w:eastAsia="仿宋_GB2312" w:cs="Times New Roman"/>
          <w:b/>
          <w:bCs/>
          <w:color w:val="FF0000"/>
          <w:kern w:val="2"/>
          <w:sz w:val="32"/>
          <w:szCs w:val="32"/>
        </w:rPr>
      </w:pPr>
      <w:r>
        <w:rPr>
          <w:rFonts w:hint="eastAsia" w:ascii="仿宋_GB2312" w:hAnsi="Times New Roman" w:eastAsia="仿宋_GB2312" w:cs="仿宋_GB2312"/>
          <w:kern w:val="2"/>
          <w:sz w:val="32"/>
          <w:szCs w:val="32"/>
          <w:lang w:val="en-US" w:eastAsia="zh-CN" w:bidi="ar"/>
        </w:rPr>
        <w:t>严格按照上级部门要求，将单位日常工作纳入绩效监控中，及时保质保量完成单位绩效监控和绩效考核工作，按时向社会公开公布；对于绩效自评工作中提到的问题，及时进行有效性整改。</w:t>
      </w:r>
    </w:p>
    <w:p w14:paraId="6E8A02D8">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kern w:val="0"/>
          <w:sz w:val="32"/>
          <w:szCs w:val="32"/>
          <w:shd w:val="clear" w:fill="FFFFFF"/>
        </w:rPr>
      </w:pPr>
      <w:r>
        <w:rPr>
          <w:rFonts w:hint="eastAsia" w:ascii="黑体" w:hAnsi="宋体" w:eastAsia="黑体" w:cs="黑体"/>
          <w:kern w:val="0"/>
          <w:sz w:val="32"/>
          <w:szCs w:val="32"/>
          <w:shd w:val="clear" w:fill="FFFFFF"/>
          <w:lang w:val="en-US" w:eastAsia="zh-CN" w:bidi="ar"/>
        </w:rPr>
        <w:t>四、评价结论及建议</w:t>
      </w:r>
    </w:p>
    <w:p w14:paraId="6059461D">
      <w:pPr>
        <w:keepNext w:val="0"/>
        <w:keepLines w:val="0"/>
        <w:widowControl w:val="0"/>
        <w:suppressLineNumbers w:val="0"/>
        <w:autoSpaceDE w:val="0"/>
        <w:autoSpaceDN/>
        <w:snapToGrid w:val="0"/>
        <w:spacing w:before="0" w:beforeAutospacing="0" w:after="0" w:afterAutospacing="0" w:line="600" w:lineRule="exact"/>
        <w:ind w:left="0" w:right="0" w:firstLine="643" w:firstLineChars="200"/>
        <w:jc w:val="both"/>
        <w:rPr>
          <w:rFonts w:hint="default" w:ascii="Times New Roman" w:hAnsi="Times New Roman" w:eastAsia="楷体_GB2312" w:cs="Times New Roman"/>
          <w:b/>
          <w:bCs/>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（一）评价结论。</w:t>
      </w:r>
      <w:r>
        <w:rPr>
          <w:rFonts w:hint="eastAsia" w:ascii="仿宋_GB2312" w:hAnsi="Times New Roman" w:eastAsia="仿宋_GB2312" w:cs="仿宋_GB2312"/>
          <w:kern w:val="2"/>
          <w:sz w:val="32"/>
          <w:szCs w:val="32"/>
          <w:lang w:val="en-US" w:eastAsia="zh-CN" w:bidi="ar"/>
        </w:rPr>
        <w:t>阿坝州产品质量和特种设备监督检验所在履职效能、预算管理、财务管理、资产管理、项目决策等方面情况较好，有效保证了机构顺利运行，较为圆满地完成了</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年度的工作任务。部门预算总体绩效，得分</w:t>
      </w:r>
      <w:r>
        <w:rPr>
          <w:rFonts w:hint="default" w:ascii="Times New Roman" w:hAnsi="Times New Roman" w:eastAsia="仿宋_GB2312" w:cs="Times New Roman"/>
          <w:kern w:val="2"/>
          <w:sz w:val="32"/>
          <w:szCs w:val="32"/>
          <w:lang w:val="en-US" w:eastAsia="zh-CN" w:bidi="ar"/>
        </w:rPr>
        <w:t>59.41</w:t>
      </w:r>
      <w:r>
        <w:rPr>
          <w:rFonts w:hint="eastAsia" w:ascii="仿宋_GB2312" w:hAnsi="Times New Roman" w:eastAsia="仿宋_GB2312" w:cs="仿宋_GB2312"/>
          <w:kern w:val="2"/>
          <w:sz w:val="32"/>
          <w:szCs w:val="32"/>
          <w:lang w:val="en-US" w:eastAsia="zh-CN" w:bidi="ar"/>
        </w:rPr>
        <w:t>分。部门预算项目绩效，得分</w:t>
      </w:r>
      <w:r>
        <w:rPr>
          <w:rFonts w:hint="default" w:ascii="Times New Roman" w:hAnsi="Times New Roman" w:eastAsia="仿宋_GB2312" w:cs="Times New Roman"/>
          <w:kern w:val="2"/>
          <w:sz w:val="32"/>
          <w:szCs w:val="32"/>
          <w:lang w:val="en-US" w:eastAsia="zh-CN" w:bidi="ar"/>
        </w:rPr>
        <w:t>34.2</w:t>
      </w:r>
      <w:r>
        <w:rPr>
          <w:rFonts w:hint="eastAsia" w:ascii="仿宋_GB2312" w:hAnsi="Times New Roman" w:eastAsia="仿宋_GB2312" w:cs="仿宋_GB2312"/>
          <w:kern w:val="2"/>
          <w:sz w:val="32"/>
          <w:szCs w:val="32"/>
          <w:lang w:val="en-US" w:eastAsia="zh-CN" w:bidi="ar"/>
        </w:rPr>
        <w:t>分。部门整体支出绩效评价得分</w:t>
      </w:r>
      <w:r>
        <w:rPr>
          <w:rFonts w:hint="default" w:ascii="Times New Roman" w:hAnsi="Times New Roman" w:eastAsia="仿宋_GB2312" w:cs="Times New Roman"/>
          <w:kern w:val="2"/>
          <w:sz w:val="32"/>
          <w:szCs w:val="32"/>
          <w:lang w:val="en-US" w:eastAsia="zh-CN" w:bidi="ar"/>
        </w:rPr>
        <w:t>93.61</w:t>
      </w:r>
      <w:r>
        <w:rPr>
          <w:rFonts w:hint="eastAsia" w:ascii="仿宋_GB2312" w:hAnsi="Times New Roman" w:eastAsia="仿宋_GB2312" w:cs="仿宋_GB2312"/>
          <w:kern w:val="2"/>
          <w:sz w:val="32"/>
          <w:szCs w:val="32"/>
          <w:lang w:val="en-US" w:eastAsia="zh-CN" w:bidi="ar"/>
        </w:rPr>
        <w:t>分。</w:t>
      </w:r>
    </w:p>
    <w:p w14:paraId="5D5AE912">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Times New Roman" w:hAnsi="Times New Roman" w:eastAsia="仿宋_GB2312" w:cs="Times New Roman"/>
          <w:kern w:val="2"/>
          <w:sz w:val="32"/>
          <w:szCs w:val="32"/>
        </w:rPr>
      </w:pPr>
      <w:r>
        <w:rPr>
          <w:rFonts w:hint="eastAsia" w:ascii="楷体_GB2312" w:hAnsi="Times New Roman" w:eastAsia="楷体_GB2312" w:cs="楷体_GB2312"/>
          <w:b/>
          <w:bCs/>
          <w:kern w:val="0"/>
          <w:sz w:val="32"/>
          <w:szCs w:val="32"/>
          <w:shd w:val="clear" w:fill="FFFFFF"/>
          <w:lang w:val="en-US" w:eastAsia="zh-CN" w:bidi="ar"/>
        </w:rPr>
        <w:t>（二）存在问题。</w:t>
      </w:r>
      <w:r>
        <w:rPr>
          <w:rFonts w:hint="eastAsia" w:ascii="仿宋_GB2312" w:hAnsi="Times New Roman" w:eastAsia="仿宋_GB2312" w:cs="仿宋_GB2312"/>
          <w:i w:val="0"/>
          <w:iCs w:val="0"/>
          <w:caps w:val="0"/>
          <w:spacing w:val="0"/>
          <w:kern w:val="2"/>
          <w:sz w:val="32"/>
          <w:szCs w:val="32"/>
          <w:shd w:val="clear" w:fill="FFFFFF"/>
          <w:lang w:val="en-US" w:eastAsia="zh-CN" w:bidi="ar"/>
        </w:rPr>
        <w:t>通过自评，发现监督抽查抽样预算支出执行进度较为缓慢。</w:t>
      </w:r>
    </w:p>
    <w:p w14:paraId="768B6C06">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lang w:val="zh-CN" w:eastAsia="zh-CN"/>
        </w:rPr>
        <w:sectPr>
          <w:footerReference r:id="rId10" w:type="default"/>
          <w:pgSz w:w="11906" w:h="16838"/>
          <w:pgMar w:top="1440" w:right="1800" w:bottom="1440" w:left="1800" w:header="851" w:footer="992" w:gutter="0"/>
          <w:pgNumType w:fmt="decimal"/>
          <w:cols w:space="425" w:num="1"/>
          <w:docGrid w:type="lines" w:linePitch="312" w:charSpace="0"/>
        </w:sectPr>
      </w:pPr>
      <w:r>
        <w:rPr>
          <w:rFonts w:hint="eastAsia" w:ascii="楷体_GB2312" w:hAnsi="Times New Roman" w:eastAsia="楷体_GB2312" w:cs="楷体_GB2312"/>
          <w:b/>
          <w:bCs/>
          <w:kern w:val="0"/>
          <w:sz w:val="32"/>
          <w:szCs w:val="32"/>
          <w:shd w:val="clear" w:fill="FFFFFF"/>
          <w:lang w:val="en-US" w:eastAsia="zh-CN" w:bidi="ar"/>
        </w:rPr>
        <w:t>（三）改进建议。</w:t>
      </w:r>
      <w:r>
        <w:rPr>
          <w:rFonts w:hint="eastAsia" w:ascii="仿宋_GB2312" w:hAnsi="Times New Roman" w:eastAsia="仿宋_GB2312" w:cs="仿宋_GB2312"/>
          <w:b w:val="0"/>
          <w:bCs w:val="0"/>
          <w:kern w:val="0"/>
          <w:sz w:val="32"/>
          <w:szCs w:val="32"/>
          <w:lang w:val="en-US" w:eastAsia="zh-CN" w:bidi="ar"/>
        </w:rPr>
        <w:t>强化预算绩效管理意识，严格按照年度工作计划，加强业务科室与财务室之间的联络沟通，加快稳步推进预算执行进度</w:t>
      </w:r>
      <w:r>
        <w:rPr>
          <w:rFonts w:hint="eastAsia" w:ascii="仿宋_GB2312" w:hAnsi="Times New Roman" w:eastAsia="仿宋_GB2312" w:cs="仿宋_GB2312"/>
          <w:i w:val="0"/>
          <w:iCs w:val="0"/>
          <w:caps w:val="0"/>
          <w:spacing w:val="0"/>
          <w:kern w:val="2"/>
          <w:sz w:val="32"/>
          <w:szCs w:val="32"/>
          <w:shd w:val="clear" w:fill="FFFFFF"/>
          <w:lang w:val="en-US" w:eastAsia="zh-CN" w:bidi="ar"/>
        </w:rPr>
        <w:t>。</w:t>
      </w:r>
    </w:p>
    <w:p w14:paraId="493B4193">
      <w:pPr>
        <w:pStyle w:val="9"/>
        <w:spacing w:after="0" w:line="578" w:lineRule="exact"/>
        <w:ind w:left="0" w:leftChars="0" w:firstLine="0" w:firstLineChars="0"/>
        <w:rPr>
          <w:rFonts w:eastAsia="方正小标宋简体"/>
          <w:color w:val="000000"/>
          <w:kern w:val="0"/>
          <w:sz w:val="44"/>
          <w:szCs w:val="44"/>
        </w:rPr>
      </w:pPr>
      <w:r>
        <w:rPr>
          <w:rFonts w:ascii="Times New Roman" w:eastAsia="黑体"/>
          <w:szCs w:val="24"/>
        </w:rPr>
        <w:t>附表</w:t>
      </w:r>
      <w:r>
        <w:rPr>
          <w:rFonts w:hint="eastAsia" w:ascii="Times New Roman" w:eastAsia="黑体"/>
          <w:szCs w:val="24"/>
          <w:lang w:val="en-US" w:eastAsia="zh-CN"/>
        </w:rPr>
        <w:t>1</w:t>
      </w:r>
    </w:p>
    <w:p w14:paraId="364F7B84">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14:paraId="21B0426B">
      <w:pPr>
        <w:widowControl/>
        <w:spacing w:line="578" w:lineRule="exact"/>
        <w:jc w:val="center"/>
        <w:textAlignment w:val="center"/>
        <w:rPr>
          <w:rFonts w:eastAsia="方正小标宋简体"/>
          <w:color w:val="000000"/>
          <w:kern w:val="0"/>
          <w:szCs w:val="32"/>
        </w:rPr>
      </w:pPr>
      <w:r>
        <w:rPr>
          <w:rFonts w:eastAsia="方正小标宋简体"/>
          <w:color w:val="000000"/>
          <w:kern w:val="0"/>
          <w:szCs w:val="32"/>
        </w:rPr>
        <w:t>（202</w:t>
      </w:r>
      <w:r>
        <w:rPr>
          <w:rFonts w:hint="eastAsia" w:eastAsia="方正小标宋简体"/>
          <w:color w:val="000000"/>
          <w:kern w:val="0"/>
          <w:szCs w:val="32"/>
        </w:rPr>
        <w:t>5</w:t>
      </w:r>
      <w:r>
        <w:rPr>
          <w:rFonts w:eastAsia="方正小标宋简体"/>
          <w:color w:val="000000"/>
          <w:kern w:val="0"/>
          <w:szCs w:val="32"/>
        </w:rPr>
        <w:t>年度）</w:t>
      </w:r>
    </w:p>
    <w:tbl>
      <w:tblPr>
        <w:tblStyle w:val="18"/>
        <w:tblpPr w:leftFromText="180" w:rightFromText="180" w:vertAnchor="text" w:horzAnchor="page" w:tblpX="1498" w:tblpY="566"/>
        <w:tblOverlap w:val="never"/>
        <w:tblW w:w="141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46"/>
        <w:gridCol w:w="1770"/>
        <w:gridCol w:w="2259"/>
        <w:gridCol w:w="520"/>
        <w:gridCol w:w="1672"/>
        <w:gridCol w:w="520"/>
        <w:gridCol w:w="1090"/>
        <w:gridCol w:w="505"/>
        <w:gridCol w:w="486"/>
        <w:gridCol w:w="2548"/>
      </w:tblGrid>
      <w:tr w14:paraId="0C9D6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226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8339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5BB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A37F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51320023R000007728618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目标绩效奖（按月随工资发放70%部分）</w:t>
            </w:r>
          </w:p>
        </w:tc>
      </w:tr>
      <w:tr w14:paraId="2803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EFA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BC27E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3615FCB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B922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67A33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80C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9F6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8FB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71C9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BE7B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FD66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7E0F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D17F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3F8E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保障工资及时、足额发放，预算编制科学合理，减少结余资金。</w:t>
            </w:r>
          </w:p>
        </w:tc>
      </w:tr>
      <w:tr w14:paraId="2591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79E3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F0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2407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保障工资及时、足额发放，预算编制科学合理，减少结余资金。</w:t>
            </w:r>
          </w:p>
        </w:tc>
      </w:tr>
      <w:tr w14:paraId="6C50D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51C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9E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FC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B6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76D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93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FB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26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87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D42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E8F5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7E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C0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29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48.31</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AB36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48.31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98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77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BF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EC5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09E65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793B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7A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0E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25.80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0E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48.31</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2FF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48.31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C1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8D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96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1B2FC">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8D0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6C4E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4D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B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28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8B7D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31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07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73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FE490">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C315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975C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6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4F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4F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A8B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53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4B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A9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EEB97">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78D4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C0B2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200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6BBD">
            <w:pPr>
              <w:keepNext w:val="0"/>
              <w:keepLines w:val="0"/>
              <w:pageBreakBefore w:val="0"/>
              <w:kinsoku/>
              <w:wordWrap/>
              <w:overflowPunct/>
              <w:topLinePunct w:val="0"/>
              <w:autoSpaceDE/>
              <w:autoSpaceDN/>
              <w:bidi w:val="0"/>
              <w:adjustRightInd/>
              <w:snapToGrid/>
              <w:spacing w:line="280" w:lineRule="exact"/>
              <w:jc w:val="center"/>
              <w:rPr>
                <w:rFonts w:hint="eastAsia"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23CD">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EA3C44">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0B9E">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6B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4E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68BBC">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7A6A2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81A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1E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6A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05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FD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9B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D0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8B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77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11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C2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4943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D27E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28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D29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B51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60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8C6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54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95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51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8E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09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64510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46C7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B8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CF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EF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43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F4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FD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87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FC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B3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1E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688C9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07BD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D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BB90">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697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469E2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4F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2190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保障工资及时、足额发放，预算编制科学合理，减少结余资金。</w:t>
            </w:r>
          </w:p>
        </w:tc>
      </w:tr>
      <w:tr w14:paraId="0DFD4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D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9746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025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D0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E75ED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7E946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FF55A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C07CD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65A33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A82A0D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7132FFF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0FEA1EB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07E6439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0D9F14F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4AF6C95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79D1AF2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7FD7BCB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1CABDF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4E81BA2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2B21072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4E394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D040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2322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D3B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2045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24594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36A2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29A2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6B4D2AA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B8E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32BA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5C079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6B5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D1E1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EF62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D8F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33AC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33B7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D0B1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D4256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保障工资及时、足额发放或社保及时、足额缴纳，预算编制科学合理，减少结余资金</w:t>
            </w:r>
          </w:p>
        </w:tc>
      </w:tr>
      <w:tr w14:paraId="7AFBD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4252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CD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4F68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保障工资及时、足额发放或社保及时、足额缴纳，预算编制科学合理，减少结余资金</w:t>
            </w:r>
          </w:p>
        </w:tc>
      </w:tr>
      <w:tr w14:paraId="1117C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77B7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F04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9C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6A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423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09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86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4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36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1CB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8ED5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B0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B3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62.52</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74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144.66</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347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144.66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54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C7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C7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C0C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44F89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EACA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41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5C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62.52</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50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144.66</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A91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144.66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AA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3B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1E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FC19F">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ABBD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92AC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7E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9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D1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B81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29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4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0E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EE20A">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713CB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A539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D9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98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E6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0AED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69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1A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F0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7F1F7">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E160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FC89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49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8FB3">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E894">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98CFE3">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567B">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27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37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0ED47">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33E15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8A3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B94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E1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08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D3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5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3A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65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32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32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AB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6AB6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53FE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75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72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7E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7B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FA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D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E790">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7B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2A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AD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485BD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2E37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84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4F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AD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FEC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D7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F5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E33A">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5C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C1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14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6E074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37375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386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DF09">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8BE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25B95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F7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BE0BD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保障工资及时、足额发放或社保及时、足额缴纳，预算编制科学合理，减少结余资金</w:t>
            </w:r>
          </w:p>
        </w:tc>
      </w:tr>
      <w:tr w14:paraId="03799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3B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F0AA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6B25B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96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69EC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78C6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B700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F9CB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69F60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060D92F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3276FB9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7145D16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6627FF8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3D76D67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3815F6E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1768F9F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1DB0902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07F414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110C1E1">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25194EB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7548F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C068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8CDE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1D3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FEB6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单位缴费</w:t>
            </w:r>
          </w:p>
        </w:tc>
      </w:tr>
      <w:tr w14:paraId="29DC1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C8A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CBBE7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7D37CA7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305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0B041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9CF1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189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B8A9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314C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AFEF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C63D1">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8B63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7212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1235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足额发放或社保及时、足额缴纳，预算编制科学合理，减少结余资金</w:t>
            </w:r>
          </w:p>
        </w:tc>
      </w:tr>
      <w:tr w14:paraId="515F3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56E6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E4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76B2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足额发放或社保及时、足额缴纳，预算编制科学合理，减少结余资金</w:t>
            </w:r>
          </w:p>
        </w:tc>
      </w:tr>
      <w:tr w14:paraId="2B3D2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65E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C8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8B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C8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7B8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D7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3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C0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0E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DEB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6DB5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11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FA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45.08</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DA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98.32</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213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89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FC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90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6F84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0D1E6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0D3B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6D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2C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45.08</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6F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98.32</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5167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7E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33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A7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4F4A8">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351F1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B1AE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D9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95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87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B95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75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DC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D6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53D96">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7A2F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822A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2E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7A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22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5B3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D75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43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80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64F3B">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7C9A8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0FC9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06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D5AA">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5DEC">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1393E">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84F4">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F7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F4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5A26B">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B2E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FD5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D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06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FC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17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49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DD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0F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A77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334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71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AB26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14F6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70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A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1C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B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26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CB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B608">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6D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37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4A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5724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F997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FD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7B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44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03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3B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94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57F1">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1B5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3C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BF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3315D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0B48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C0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8904">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1FC8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79B94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88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E688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足额发放或社保及时、足额缴纳，预算编制科学合理，减少结余资金</w:t>
            </w:r>
          </w:p>
        </w:tc>
      </w:tr>
      <w:tr w14:paraId="6D39D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70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4932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54AE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FF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82C0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514C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549C8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E7E7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755AD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37E25E9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0494CEA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3008938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168D49C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7115A9D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7BDC080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1C36AAC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0763067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7E74743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68593F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2AC2C39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7F7AA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59B7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577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2E3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D8C4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51320023R000009915925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聘用人员经费</w:t>
            </w:r>
          </w:p>
        </w:tc>
      </w:tr>
      <w:tr w14:paraId="59FF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5B42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6A8B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4D567B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56A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15F0A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6BC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343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5507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66C7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9AA7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4325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A693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C91FE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D9B1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保障工资及时、足额发放或社保及时、足额缴纳，预算编制科学合理，减少结余资金</w:t>
            </w:r>
          </w:p>
        </w:tc>
      </w:tr>
      <w:tr w14:paraId="1C541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8E59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3B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FC91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保障工资及时、足额发放或社保及时、足额缴纳，预算编制科学合理，减少结余资金</w:t>
            </w:r>
          </w:p>
        </w:tc>
      </w:tr>
      <w:tr w14:paraId="6DE94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E81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0B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DE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60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180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A0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73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9C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8C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AB4E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6D5E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FA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2C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F1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7.79</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93F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7.79</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B5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E4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AA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932A1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42814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B59C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89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9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60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7.79</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FFE7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7.79</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5B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AE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6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2309C">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056ED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5EE7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DB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B5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01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232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08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7F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72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68343">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68499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F7CA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3C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6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AD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2E1C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E6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BD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D4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9C30B">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15D70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3679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AD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7E26">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767E">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9AE3D">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A9BF">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C8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01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AF8A7">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1453E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742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2B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08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CB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C70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F3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C2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4A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48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F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DE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FDAA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3D4F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F0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B4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F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D3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EC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2B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FD31">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4E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27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6F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0F822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2903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D7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2E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9E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35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3E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FA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A34B">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FF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E5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32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1C518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2BA6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50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FEDF">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C09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3175B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1D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A0B1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保障工资及时、足额发放或社保及时、足额缴纳，预算编制科学合理，减少结余资金</w:t>
            </w:r>
          </w:p>
        </w:tc>
      </w:tr>
      <w:tr w14:paraId="76831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3D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7860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38FBF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53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98CF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B51A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05C7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59C50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20E31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10D62F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21839B4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461EDF8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695FFDA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7453180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7A06005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04D5740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7DF16BC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5EEB25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7BA772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4615773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3DB16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3A02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0F0C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050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AC75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w:t>
            </w:r>
          </w:p>
        </w:tc>
      </w:tr>
      <w:tr w14:paraId="3331F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E61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07E8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304A33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4BF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1CC40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BD6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6F2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1B4C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7961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1973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550A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6C76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D12F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9E9B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严格执行预算，保障单位日常运转</w:t>
            </w:r>
          </w:p>
        </w:tc>
      </w:tr>
      <w:tr w14:paraId="58AED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AA1A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9E2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F804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严格执行预算，保障单位日常运转</w:t>
            </w:r>
          </w:p>
        </w:tc>
      </w:tr>
      <w:tr w14:paraId="3B3E5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C5CE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28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82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91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F823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6B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1A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EE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AB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CC7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541B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20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54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93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18.38</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639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18.38</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27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1D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A1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1B1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419C2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5119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A8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F5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11.62</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C3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18.38</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933D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18.38</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41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17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52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11D47">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724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3F03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5A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74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10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3F1F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4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AE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F7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6152B">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6585D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0DDB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C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DB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305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205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52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4D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544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B4A34">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4481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7517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AD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4182">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0C0C">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48FA89">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D9C3">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EB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CA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F9FD5">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F9D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AA4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D5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93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76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60E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6A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19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8B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9D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C42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27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29F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2580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AA9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F8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C3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9A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54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95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3B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79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81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61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195B2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2DA3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6BE4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91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1B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C1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69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CA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FC6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B3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CA8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0A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58EE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B502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40E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2C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B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C5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90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AC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A1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85.88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0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85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8A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54531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F61D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5C1E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83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14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25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EE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58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93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C25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FC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98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0AAEA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C639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0C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307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964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55E1D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18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D3C0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严格执行预算，保障单位日常运转</w:t>
            </w:r>
          </w:p>
        </w:tc>
      </w:tr>
      <w:tr w14:paraId="20BB5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A9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5BEA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55B76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77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96BE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AB9B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B595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9986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4252B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4CC00E0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4057873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7EEB942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1155A08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772730F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6614705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36C1E25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426AB15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7E13506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46A9022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1A17986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2D22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7BC5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818B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65F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EE1B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追加人员工资性支出</w:t>
            </w:r>
          </w:p>
        </w:tc>
      </w:tr>
      <w:tr w14:paraId="72E1B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8D76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008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0476CC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A8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07A7B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04D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9D1D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8D3B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5168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03E1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BFD0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FB52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2157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F96B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7A81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1637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2E4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32A3B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69EF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9B1B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29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2D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D9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49BD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85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AF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5F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2C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6A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5C94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8B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EE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35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21.78</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BB5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21.78</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AA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13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97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DB1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40075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7531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86C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B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0E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21.78</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60A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21.78</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DD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27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10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DC2E5">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08988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FC16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878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28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20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E715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64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9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57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91995">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3C4C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B047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0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2B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AE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23B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0F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BD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11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666A1">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658C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C8E6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F5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1A9F">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D43A">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FD076">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D3FC">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CD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56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68555">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4A4A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94D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68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11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B1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46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41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31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A6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67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36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201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D336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C6D2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84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53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7F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08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6E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58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D7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AC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9FC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17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CF67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2F84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86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97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70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4A0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DE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0A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13C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37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0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61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41BFB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F9EA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5A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BD37D">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F87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43658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28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85791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严格执行相关政策，保障工资及时、足额发放或社保及时、足额缴纳，预算编制科学合理，减少结余资金</w:t>
            </w:r>
          </w:p>
        </w:tc>
      </w:tr>
      <w:tr w14:paraId="2F1AC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322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92996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7E3C4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C3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50F3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7E01D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54CF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6177E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77DDD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9B2448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5DA3B5B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3D3FF94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006FD0A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236DB52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69A9965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2838A38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7C5D692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68AF958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4F952DA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33F59CC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7E85A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9712F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B0F7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9CD1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8952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51320025R000012408768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年度考核奖（30%）</w:t>
            </w:r>
          </w:p>
        </w:tc>
      </w:tr>
      <w:tr w14:paraId="0AD7E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6881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B7BE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079B958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8F45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36900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AEB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DDB6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E6D4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D0A9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3B53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FC74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21CB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83B1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ECF6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595C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91A4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3B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F088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4FDDA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B21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37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3F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59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809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21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C7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E0A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A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00D1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AB04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2A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DC5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19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26.91</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412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95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3D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2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3E6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616F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D109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7C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13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BD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26.91</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D37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26.91</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B2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5D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49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495FD">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71205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017D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8F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BF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1B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A2F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59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4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3C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414EF">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B676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DC99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1F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13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B6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9836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56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DD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96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FA45A">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6516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470B5">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4A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410D">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91FA3">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B0AA8">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1B37">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826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6E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5389E">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6B291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B75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E2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C5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9F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C0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F7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FC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B0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29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2B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8C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1D62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9589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14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7A9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80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10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58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0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9A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90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68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4A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70E4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6CE0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B7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5A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B0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CD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B7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0D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29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0F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F1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C9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628F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967B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07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1041">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E79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1AD69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F8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86AD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严格执行相关政策，保障工资及时、足额发放或社保及时、足额缴纳，预算编制科学合理，减少结余资金</w:t>
            </w:r>
          </w:p>
        </w:tc>
      </w:tr>
      <w:tr w14:paraId="47B4E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75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11FAA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128F2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D4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1A69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13AE6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2B70E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B9DB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7E06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55032AB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1CA2F00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2E1849A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741E3F0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72B3EE1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303711A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33DFBC0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66B479F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725DBE4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8E6126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4C394EB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3FF4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07D4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BDA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86B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3DC7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51320025T000012607963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特种设备检验工作专项经费</w:t>
            </w:r>
          </w:p>
        </w:tc>
      </w:tr>
      <w:tr w14:paraId="7E07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B52B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02DE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7C553B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6F4A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51BDD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FD4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A47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B4C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4EF6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6265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5EDD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9A97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E22A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是我所开展特种设备检验检测工作常年性项目，实施该项目有助于全州境内在用特种设备的法定检验任务按期完成，确保检验工作顺利开展，保障全州特种设备安全稳定运行，为地方经济建设、安全生产保驾护航。</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5CF0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该项目是我所开展特种设备检验检测工作常年性项目，实施该项目有助于全州境内在用特种设备的法定检验任务按期完成，确保检验工作顺利开展，保障全州特种设备安全稳定运行，为地方经济建设、安全生产保驾护航。</w:t>
            </w:r>
          </w:p>
        </w:tc>
      </w:tr>
      <w:tr w14:paraId="23A90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7FD9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90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44AF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是我所开展特种设备检验检测工作常年性项目，实施该项目有助于全州境内在用特种设备的法定检验任务按期完成，确保检验工作顺利开展，保障全州特种设备安全稳定运行，为地方经济建设、安全生产保驾护航。</w:t>
            </w:r>
          </w:p>
        </w:tc>
      </w:tr>
      <w:tr w14:paraId="29363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4CBD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A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DF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41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34B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61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60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18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98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D626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16AC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7B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86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D8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36.96</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9F15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C1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F3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C8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72D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4CFC0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77B9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1B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11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76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36.96</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DEC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0D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E2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CE8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9E3F8">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0395F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1451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71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EF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41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886E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25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83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D2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8ACEB">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7A85B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4817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76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51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A4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022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6C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44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30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29B46">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BC7C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D8D3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A4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2E4D">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FDA6">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79FE0">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4247">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A9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F6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3EDBF">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3809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F50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6E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43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84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2C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FE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06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08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DE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9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1D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CBF6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F50E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7FF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345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DD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定检任务完成率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80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CC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95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5D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3C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92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94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A25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157A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9157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4BA2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01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检验工作覆盖率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C2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4A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DD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87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4F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B8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61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CD72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126D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5CFA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34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BA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检验报告合规率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22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A1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9F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27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7A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60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4D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ACB7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63B4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069E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D5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17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法定检验任务按时完成率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D9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DA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F4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3F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D5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3E6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81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4CB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51E2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E6C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DC7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60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保障经我所检定设备安全稳定运行</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C2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CA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416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F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92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5E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D3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6861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D69C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687A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EDD4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A7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提升企业安全生产</w:t>
            </w:r>
            <w:r>
              <w:rPr>
                <w:rFonts w:hint="eastAsia" w:ascii="宋体" w:hAnsi="宋体" w:cs="宋体"/>
                <w:i w:val="0"/>
                <w:iCs w:val="0"/>
                <w:color w:val="000000"/>
                <w:kern w:val="0"/>
                <w:sz w:val="18"/>
                <w:szCs w:val="18"/>
                <w:u w:val="none"/>
                <w:lang w:val="en-US" w:eastAsia="zh-CN" w:bidi="ar"/>
              </w:rPr>
              <w:t>水平</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52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A8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C035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B2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A7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1F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C7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414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0EC5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15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E3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A9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特种设备使用单位满意度指标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29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F3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6A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5C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C3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EF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DB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B2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64A6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17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01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3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C6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CD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3D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57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36.96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A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74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0B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D8AC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C8B3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61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4CE28">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372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2B66A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05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659E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该项目是我所开展特种设备检验检测工作常年性项目，实施该项目有助于全州境内在用特种设备的法定检验任务按期完成，确保检验工作顺利开展，保障全州特种设备安全稳定运行，为地方经济建设、安全生产保驾护航。</w:t>
            </w:r>
          </w:p>
        </w:tc>
      </w:tr>
      <w:tr w14:paraId="502F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47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EADF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7CD2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1E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FC9D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C84C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DBB0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E268D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35EF9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C42280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2BCFDDE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27588C0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56658DD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2F51EEE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1759E5C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18E6669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5EDE1B9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271B341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166617B1">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1CD7695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13E98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A2A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6FF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736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58A5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51320025T000013727923-2025年质特所实验室设备购置</w:t>
            </w:r>
          </w:p>
        </w:tc>
      </w:tr>
      <w:tr w14:paraId="04B9F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D9A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1996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68ED7E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55B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0AF6A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9FA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84D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87AA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CAD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396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6B38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D842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5595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根据2024年专家评审建议，结合我所工作实际，我所拟在2025年新</w:t>
            </w:r>
            <w:r>
              <w:rPr>
                <w:rFonts w:hint="eastAsia" w:ascii="宋体" w:hAnsi="宋体" w:cs="宋体"/>
                <w:i w:val="0"/>
                <w:iCs w:val="0"/>
                <w:color w:val="000000"/>
                <w:kern w:val="0"/>
                <w:sz w:val="18"/>
                <w:szCs w:val="18"/>
                <w:u w:val="none"/>
                <w:lang w:val="en-US" w:eastAsia="zh-CN" w:bidi="ar"/>
              </w:rPr>
              <w:t>购</w:t>
            </w:r>
            <w:r>
              <w:rPr>
                <w:rFonts w:ascii="宋体" w:hAnsi="宋体" w:eastAsia="宋体" w:cs="宋体"/>
                <w:i w:val="0"/>
                <w:iCs w:val="0"/>
                <w:color w:val="000000"/>
                <w:kern w:val="0"/>
                <w:sz w:val="18"/>
                <w:szCs w:val="18"/>
                <w:u w:val="none"/>
                <w:lang w:val="en-US" w:eastAsia="zh-CN" w:bidi="ar"/>
              </w:rPr>
              <w:t>置实验室保险柜一台，预算2000元，摇筛机一台，预算4000元，恒温恒湿养护室设备一台，预算18000元，总共三台设备，预算合计24000元，旨在提高检验检测数据精确度、工作效率、安全性，完善实验室设备配置，强化我所检验检测能力。</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EEC1B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完成设备采购，完善实验室设备配置，强化我所检验检测能力。</w:t>
            </w:r>
          </w:p>
        </w:tc>
      </w:tr>
      <w:tr w14:paraId="0158D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FEC9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43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206E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完成设备采购，完善实验室设备配置，强化我所检验检测能力。</w:t>
            </w:r>
          </w:p>
        </w:tc>
      </w:tr>
      <w:tr w14:paraId="6519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627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FF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3B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3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694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F2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5E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47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03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5505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8728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0A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EC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56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907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E6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6E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4B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0B2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487FB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82FB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1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C7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EE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419E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B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4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88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F089A">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22F1F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DFEA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A8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573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7A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581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BB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12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5E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EF721">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211E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EB7D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56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15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E4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0FDF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AD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F7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1B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77987">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F5A7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E57D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79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1FA0">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1CF2">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7D1FA">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B5F0">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48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05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9F0B5">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7A92B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15F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3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07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43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CC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E3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EA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88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EB5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6E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94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428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5924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0CE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92D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88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购置实验室保险柜数量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BA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59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20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B1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CE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FB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94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CACE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E554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C25B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31B0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A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购置恒温恒湿养护室设备数量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91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FF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C1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1A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97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D5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7D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4738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A4535">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61C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F17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A4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购置摇筛机数量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42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B7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18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23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3A1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25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B05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BA0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AE2A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D8B3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AB6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CF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检验检测数据出错率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58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A7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F1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B7F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0E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D7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2E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B5C5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0601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724E5">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D8A8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C7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购买设备满足环保要求</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2C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90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3EB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B17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69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FC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21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8727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5C0C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66FE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F9725">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F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设备验收合格率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54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5E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5F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2E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FB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88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45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3BF8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FC54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26C5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DF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15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17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2A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02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09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7A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AC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C3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C927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59828">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655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E76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03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办公效率评级</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81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0A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DE68">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F4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9B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5D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08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1DC1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BB68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9AFA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C01A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65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服务水平提升程度</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EE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2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DC3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2F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F1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0F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65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7DE9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5424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9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DA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E0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设备使用人员满意度</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97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3D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4E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8C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4DF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01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BE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F42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5AC7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B2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BD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1D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1D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F4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8E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85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5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F8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F5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67E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5710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A1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38E1">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507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03C7D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5C8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329D2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完成设备采购，完善实验室设备配置，强化我所检验检测能力。</w:t>
            </w:r>
          </w:p>
        </w:tc>
      </w:tr>
      <w:tr w14:paraId="0F6ED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4C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AE737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5D353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C2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3E0F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0B7B4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D8166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5271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61E68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4F4D0D7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3BCE467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005B13F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0C0CC0D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6C4A293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5F7DE16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7CB871B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2B2229B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3A20AB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3EC5792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57A59A9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3438E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7BA6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7C75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AE7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5D59D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51320025T000013727957-2025年质特所办公室设备购置</w:t>
            </w:r>
          </w:p>
        </w:tc>
      </w:tr>
      <w:tr w14:paraId="7F4CA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014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43E3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76DFEA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F66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22C94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D36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40E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289C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54A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57DE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D151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1675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D6DB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我所旨在通过有效利用2025年度部门预算资金2.08万元达到以下工作目标：2025年质检所办公室设备购置项目主要内容为购置便携式打印机一台，预算4000元，平板电脑一台，预算4000元，视频会议液晶显示屏一台，预算9200元，办公室保险柜一个，预算2000元，所长办公室碎纸机一台，预算800元，总共五台设备，预算合计20000元。    </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94BB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完成设备采购，完善实验室设备配置，强化我所检验检测能力。</w:t>
            </w:r>
          </w:p>
        </w:tc>
      </w:tr>
      <w:tr w14:paraId="36C90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98BF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4C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3E38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完成设备采购，完善实验室设备配置，强化我所检验检测能力。</w:t>
            </w:r>
          </w:p>
        </w:tc>
      </w:tr>
      <w:tr w14:paraId="06AF3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204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29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22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AA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120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2B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0A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F6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B0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929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8423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F9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92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B2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D5C2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F9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6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30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71E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439D0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CF99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BF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F0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4B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1.93</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415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92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95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C0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3BB92">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306D0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B731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EC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7B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B2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ADC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E53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81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DE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E7EC8">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5B6BE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EC9F8">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1C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94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4D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D1C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CC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B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2F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8729B">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3DF1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6748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85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53DB">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6357">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C4640C">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C4BB">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36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A1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A1C87">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639F4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F56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D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85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18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AE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7C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BC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9A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A5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B0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11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D5DB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4A7D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C24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5AF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E9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购置办公室保险柜</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21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F3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EB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2D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78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6A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A6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FEC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31BD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DB18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FEAC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0A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购置视频会议液晶显示屏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200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77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15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21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15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0C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CB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AF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16A0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81CD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FB8F8">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BC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购置便携式打印机</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84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C1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85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1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26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0C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7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1CD1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89A3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B8AA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FE955">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24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购置领导办公室碎纸机</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F1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E9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EA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99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FC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CF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C7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AFE2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ED525">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D7ED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3AD6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A5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购置平板电脑</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64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B1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1E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台/套</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87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976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D6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8A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C457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EFB0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5EB6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F43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8C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设备验收合格率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BA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C5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4E9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C8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C0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B3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02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5FE3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AA3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068B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2A5D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C6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设备环保达标率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AF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C6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41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A3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84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CA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F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E2D9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E13F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FDD8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83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44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2F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53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08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89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DA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AB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12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1748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57DC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329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AF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54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办公效率持续提高</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73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B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0CC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D4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DE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44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F9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FADF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5033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6EBA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BF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B5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设备使用周期</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C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C6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18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39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B09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80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B7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38EF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28A2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11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E8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51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设备使用人员满意度</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56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6A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2D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9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C3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04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8F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3935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6485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67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53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D4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B9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2B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E2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97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C0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2C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5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EDE1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9268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56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2D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A4B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39796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70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DDA4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完成设备采购，完善实验室设备配置，强化我所检验检测能力。</w:t>
            </w:r>
          </w:p>
        </w:tc>
      </w:tr>
      <w:tr w14:paraId="10215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14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53B6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4A28D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22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B9E9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0CC2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2BFF7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D63A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41A5C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10632C8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147E912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6D09B1F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5539234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675F2AB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615C2E5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1DFD7A5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623F7D1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608845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488C26B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43AA114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2F9FF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4EA0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C6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167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8B58D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51320025T000013734370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质特所2025年产品质量检验检测事业运行</w:t>
            </w:r>
          </w:p>
        </w:tc>
      </w:tr>
      <w:tr w14:paraId="3AC8C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F43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A085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26F8F5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6D9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1ED92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DEB1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D2B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784C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EF9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304AA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376A1">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D6D4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0F8A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所旨在通过有效利用2025年度部门预算资金30万元达到以下工作目标：保质保量完成省局下达的监督抽查和风险监测相关任务，配合州局，联合县局开展产品质量监督抽查抽样工作，切实做好委托检验检测工作，积极宣贯产品质量安全相关知识，提供技术咨询，开展贵金属（金、银）产品质量检验检测工作，保证州内旅游沿线贵金属（金、银）产品质量，开展“钢管脚手架扣件检验项目”，填补阿坝州脚手架检测空白，更新产业新技术和升级检验检测设备，切实维护消费者利益；建立持续通过培训，提升单位职工技术能力；提高检验检测数据的准确度及精确度，提高实验室综合业务能力，为行政部门执法提供强有力的可靠的技术支持。</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A121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切实维护消费者利益；建立持续通过培训，提升单位职工技术能力；提高检验检测数据的准确度及精确度，提高实验室综合业务能力，为行政部门执法提供强有力的可靠的技术支持。</w:t>
            </w:r>
          </w:p>
        </w:tc>
      </w:tr>
      <w:tr w14:paraId="5B0D1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3F91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33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03B83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切实维护消费者利益；建立持续通过培训，提升单位职工技术能力；提高检验检测数据的准确度及精确度，提高实验室综合业务能力，为行政部门执法提供强有力的可靠的技术支持。</w:t>
            </w:r>
          </w:p>
        </w:tc>
      </w:tr>
      <w:tr w14:paraId="7D4E6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C28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2F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1A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E1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FD9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A3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1A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30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1F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B7CC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2DAC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C2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F2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8A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17.68</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EA2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17.68</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81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EF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E8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BB8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750F4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3CF0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30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8B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1B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17.68</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52B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17.68</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79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A0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95D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6E2F5">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00BA4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2174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F4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CE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68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A41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B9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40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6C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D48C4">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3F18E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1A678">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27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00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E4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B263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1E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6A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D0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0B84">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1F936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F247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5E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24A2">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BB8B">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3215B7">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D0EC">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67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7C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82E96">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08082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CE14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F4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292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BF1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11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02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30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E9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B0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8F3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E6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7E7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F23C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783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00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C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完成抽样任务数量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A1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14E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1CF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87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193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9E4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4C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A7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37994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4FFF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1767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03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48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随机抽查抽样单出错率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03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E5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C9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2B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1A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8A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7D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120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8B0C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5DCB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39DD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B3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在规定时间内完成任务</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CF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38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65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47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57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38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0C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0AA1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F745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F218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4B19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C8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检验检测报告出具时间</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D3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EA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AB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工作日</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85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E9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64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4F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04B8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F374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2CA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E81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15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发挥检验检测机构的质量监督检验作用</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F1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50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F98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7B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0D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8B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B8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F8B5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1300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A0C1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5530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CA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企业投诉数量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CD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71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79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A4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C4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F4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20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A3F9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79E2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40FE8">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EF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16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任务执行符合环保要求</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05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F1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71F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12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4C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8F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77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E94C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8E3E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057A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48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71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检验检测数据具有可持续性</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38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B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CDD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8A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35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EB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08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5776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8709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5F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2E8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04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企业满意度</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28F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4D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1D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80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18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98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BA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C9F0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DCA7E">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18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13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84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严控成本支出</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3C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9F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C5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EA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17.68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2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E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0C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81A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A694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15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FC26">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85F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1F476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41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68AA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切实维护消费者利益；建立持续通过培训，提升单位职工技术能力</w:t>
            </w:r>
            <w:r>
              <w:rPr>
                <w:rFonts w:hint="eastAsia" w:ascii="微软雅黑" w:hAnsi="微软雅黑" w:eastAsia="微软雅黑" w:cs="微软雅黑"/>
                <w:i/>
                <w:iCs/>
                <w:color w:val="000000"/>
                <w:kern w:val="0"/>
                <w:sz w:val="16"/>
                <w:szCs w:val="16"/>
                <w:u w:val="none"/>
                <w:lang w:val="en-US" w:eastAsia="zh-CN" w:bidi="ar"/>
              </w:rPr>
              <w:t>；</w:t>
            </w:r>
            <w:r>
              <w:rPr>
                <w:rFonts w:hint="default" w:ascii="微软雅黑" w:hAnsi="微软雅黑" w:eastAsia="微软雅黑" w:cs="微软雅黑"/>
                <w:i/>
                <w:iCs/>
                <w:color w:val="000000"/>
                <w:kern w:val="0"/>
                <w:sz w:val="16"/>
                <w:szCs w:val="16"/>
                <w:u w:val="none"/>
                <w:lang w:val="en-US" w:eastAsia="zh-CN" w:bidi="ar"/>
              </w:rPr>
              <w:t>提高检验检测数据的准确度及精确度，提高实验室综合业务能力，为行政部门执法提供强有力的可靠的技术支持。</w:t>
            </w:r>
          </w:p>
        </w:tc>
      </w:tr>
      <w:tr w14:paraId="2011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D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875D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98D5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13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CB03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494A5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73CEF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4C54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3EA81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2B3B052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7846967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7E26653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6F21F66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6FDCF26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02A8F5E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0B79C65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7416989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62813DF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4503E98">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3154786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36963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BA0B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717C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0694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DDD5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51320025T000013975942-2024年质检所设备购置尾款</w:t>
            </w:r>
          </w:p>
        </w:tc>
      </w:tr>
      <w:tr w14:paraId="451F7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EC6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D284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5A7637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725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1D502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3C0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1B2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5B79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0D86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0682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38F4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6CF6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BD96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2024年质检所设备购置尾款支付6925元。</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30990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完成设备尾款支付。</w:t>
            </w:r>
          </w:p>
        </w:tc>
      </w:tr>
      <w:tr w14:paraId="183D7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5454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C4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AD1F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完成设备尾款支付。</w:t>
            </w:r>
          </w:p>
        </w:tc>
      </w:tr>
      <w:tr w14:paraId="7D65E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0F2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6A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54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88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B4B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0C4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B9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F9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FA7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62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4B8F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03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71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15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0.69</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9E20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0.69</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6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83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9B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BED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6DF40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F8DB8">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DF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7F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88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88C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44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71C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76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913ED">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21D39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4B33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95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17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06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890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07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85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53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56708">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32E16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F50C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6E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CA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DA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0.69</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690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0.69</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39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EF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87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F8B82">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0CE7C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0E28D">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12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C49F">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8473">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43189">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47AE">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F1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8B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B25F1">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123F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B98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95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6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5A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C7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ED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02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DA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19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91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07E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9745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DC68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92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F7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92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支付2024年设备购置尾款</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0D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F2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81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FB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6925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63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09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F7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b/>
                <w:bCs/>
                <w:i/>
                <w:iCs/>
                <w:color w:val="000000"/>
                <w:sz w:val="16"/>
                <w:szCs w:val="16"/>
                <w:u w:val="none"/>
              </w:rPr>
            </w:pPr>
            <w:r>
              <w:rPr>
                <w:rFonts w:hint="default" w:ascii="微软雅黑" w:hAnsi="微软雅黑" w:eastAsia="微软雅黑" w:cs="微软雅黑"/>
                <w:b/>
                <w:bCs/>
                <w:i/>
                <w:iCs/>
                <w:color w:val="000000"/>
                <w:kern w:val="0"/>
                <w:sz w:val="16"/>
                <w:szCs w:val="16"/>
                <w:u w:val="none"/>
                <w:lang w:val="en-US" w:eastAsia="zh-CN" w:bidi="ar"/>
              </w:rPr>
              <w:t>/</w:t>
            </w:r>
          </w:p>
        </w:tc>
      </w:tr>
      <w:tr w14:paraId="28EA1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EBD5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C4A6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94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A0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保质保量完成支付</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A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D4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1AE2">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B1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1E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34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E0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9F07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BFE8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0DD5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0C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6E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在2025年完成支付</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65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6E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F0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6E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39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F2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72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C813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148A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EA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36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289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无资金浪费</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3A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7E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97DB">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D0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0E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CC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F4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04E5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E6D7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12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98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500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投诉人次</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0A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10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C8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AB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1C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D7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762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EF47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4577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DE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DD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C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按额完成支付</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1C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99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6B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BD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F1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74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3B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B1CB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2290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BE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61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F7B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2000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57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B9C0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完成设备尾款支付。</w:t>
            </w:r>
          </w:p>
        </w:tc>
      </w:tr>
      <w:tr w14:paraId="36C27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37E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5D2C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5BE86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D7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F3E0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1B46A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9EFB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24BDB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64CD4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B1ECB6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2E9A219B">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7D100D6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5A89424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546EF82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54D5D29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2F094C4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75EB30C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E62BD3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07D040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2DCAFD5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58B37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ACA5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7244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6D2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47C4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日常公用经费（其他运转类）</w:t>
            </w:r>
          </w:p>
        </w:tc>
      </w:tr>
      <w:tr w14:paraId="47232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E2E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EABE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5891A3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FA6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2A4DB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B42D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551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B64D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30E0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582D5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9727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B5F3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357C2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165B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严格执行预算，保障单位日常运转。</w:t>
            </w:r>
          </w:p>
        </w:tc>
      </w:tr>
      <w:tr w14:paraId="644CE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288C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C4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6727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严格执行预算，保障单位日常运转。</w:t>
            </w:r>
          </w:p>
        </w:tc>
      </w:tr>
      <w:tr w14:paraId="3A9E1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D53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F5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58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EE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A0B1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39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56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65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72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239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B3E3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E8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D4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10.99</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1D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17.26</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C28C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C8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48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F8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46402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52E46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3FEA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62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06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10.99</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D0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17.26</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A999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17.26</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11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91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2E9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E5014">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097F7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5D0F5">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8D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2C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499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DB5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9E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4C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62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1CF5D">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7264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C95F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05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7B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07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D66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2F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68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5A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F9191">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E43F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2A2D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A1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5F8B">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64C5">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7A908">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FB1B">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2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56E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5340C">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45C29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777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CA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E6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0C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C8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76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45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A5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73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2C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AC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411C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561D6">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215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0A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35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A33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3F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80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07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D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66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62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4E881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9C90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421C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60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7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BE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C8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D1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EE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0.34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BC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BA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ED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7547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96A2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C7D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BB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9C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E5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8A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5F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7F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85.88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80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EF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FF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E2FA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F615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27E2F">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ED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B8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63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43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5E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17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36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76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14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EBC3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A3C4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3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244C">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AB1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23132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70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3C75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严格执行预算，保障单位日常运转。</w:t>
            </w:r>
          </w:p>
        </w:tc>
      </w:tr>
      <w:tr w14:paraId="23AC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4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CD5D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3487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D0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88E66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26A34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71221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B412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7B041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035EF0E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718A177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6F9FEFB4">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64E676A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0EB678B0">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1BD3BFE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33BC394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283687D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49CDF49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48C9E665">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7B1FECD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14929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3BCA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013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4666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380A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51320026T000014344911-2025年省级监督抽查抽样项目</w:t>
            </w:r>
          </w:p>
        </w:tc>
      </w:tr>
      <w:tr w14:paraId="18CEB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C463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6EDB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州市场监督管理局部门</w:t>
            </w:r>
          </w:p>
        </w:tc>
        <w:tc>
          <w:tcPr>
            <w:tcW w:w="1090" w:type="dxa"/>
            <w:tcBorders>
              <w:top w:val="nil"/>
              <w:left w:val="nil"/>
              <w:bottom w:val="nil"/>
              <w:right w:val="nil"/>
            </w:tcBorders>
            <w:shd w:val="clear" w:color="auto" w:fill="auto"/>
            <w:vAlign w:val="center"/>
          </w:tcPr>
          <w:p w14:paraId="737731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304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州产品质量和特种设备监督检验所</w:t>
            </w:r>
          </w:p>
        </w:tc>
      </w:tr>
      <w:tr w14:paraId="6EF0E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737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879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CA29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450F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7F7DA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71B5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CDB0E">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674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E252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2025年我所省级监督抽查抽样项目资金主要用于工业产品质量监督抽查及风险监测工作，要求完成抽样采样任务不低于100批次。</w:t>
            </w:r>
          </w:p>
        </w:tc>
        <w:tc>
          <w:tcPr>
            <w:tcW w:w="46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0CF2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严格按照上级有关部门要求，完成抽样采样任务。</w:t>
            </w:r>
          </w:p>
        </w:tc>
      </w:tr>
      <w:tr w14:paraId="278A2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D18A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1EA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CE228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2A9BC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A7A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5B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C9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61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C36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29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47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F0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16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9BA9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D784A">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26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90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C9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91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A7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DA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45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7556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w:t>
            </w:r>
          </w:p>
        </w:tc>
      </w:tr>
      <w:tr w14:paraId="3149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697A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805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F3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40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BD1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0E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8A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6B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5F930">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68073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C536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88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11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03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F5B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CB9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0B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AE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2BE0B">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6BBC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80A1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B4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4E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C3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0C2F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91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56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69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566D6">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1C624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9B9B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42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F014">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1845">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27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084BB3">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DE62">
            <w:pPr>
              <w:keepNext w:val="0"/>
              <w:keepLines w:val="0"/>
              <w:pageBreakBefore w:val="0"/>
              <w:kinsoku/>
              <w:wordWrap/>
              <w:overflowPunct/>
              <w:topLinePunct w:val="0"/>
              <w:autoSpaceDE/>
              <w:autoSpaceDN/>
              <w:bidi w:val="0"/>
              <w:adjustRightInd/>
              <w:snapToGrid/>
              <w:spacing w:line="280" w:lineRule="exact"/>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D2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0B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C6E83">
            <w:pPr>
              <w:keepNext w:val="0"/>
              <w:keepLines w:val="0"/>
              <w:pageBreakBefore w:val="0"/>
              <w:kinsoku/>
              <w:wordWrap/>
              <w:overflowPunct/>
              <w:topLinePunct w:val="0"/>
              <w:autoSpaceDE/>
              <w:autoSpaceDN/>
              <w:bidi w:val="0"/>
              <w:adjustRightInd/>
              <w:snapToGrid/>
              <w:spacing w:line="280" w:lineRule="exact"/>
              <w:rPr>
                <w:rFonts w:hint="default" w:ascii="黑体" w:hAnsi="黑体" w:eastAsia="黑体" w:cs="黑体"/>
                <w:i/>
                <w:iCs/>
                <w:color w:val="000000"/>
                <w:sz w:val="18"/>
                <w:szCs w:val="18"/>
                <w:u w:val="none"/>
              </w:rPr>
            </w:pPr>
          </w:p>
        </w:tc>
      </w:tr>
      <w:tr w14:paraId="22C83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74A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3A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16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9C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1F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79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05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40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EB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4F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21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7E40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005B9">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CEA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B9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C3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完成省局下达监督抽查抽样和风险监测采样任务等不低于100批次</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98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7B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07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2E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193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78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8C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2E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969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61C00">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BE1D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0D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ED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随机抽查抽样单出错率</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20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02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25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04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FD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29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E0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3FB7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3E0E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862F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50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FB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在规定时间内完成任务</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DC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66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AC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EE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F3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DB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F0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0BB7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D327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827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4B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F9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任务执行符合环保要求</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51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A0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0D8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EF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8D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91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E8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CC12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3824C">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CFAF4">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40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F5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此项工作社会影响具有可持续性</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F0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D8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3667">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B8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16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04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55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93C2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57FE3">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92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A3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27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企业投诉数量</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67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7A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86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7D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3C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89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78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6674A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F5A01">
            <w:pPr>
              <w:keepNext w:val="0"/>
              <w:keepLines w:val="0"/>
              <w:pageBreakBefore w:val="0"/>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8"/>
                <w:szCs w:val="18"/>
                <w:u w:val="none"/>
              </w:rPr>
            </w:pPr>
          </w:p>
        </w:tc>
        <w:tc>
          <w:tcPr>
            <w:tcW w:w="2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2F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25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1E4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9F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64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A3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11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17.85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D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77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7E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4C7DA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6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BD63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4F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1E3C">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FBE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0675B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BC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8FF0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严格按照上级有关部门要求，完成抽样采样任务。</w:t>
            </w:r>
          </w:p>
        </w:tc>
      </w:tr>
      <w:tr w14:paraId="5B3E9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9B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C8B0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4A76E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50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9EC2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w:t>
            </w:r>
          </w:p>
        </w:tc>
      </w:tr>
      <w:tr w14:paraId="399EF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3FEF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项目负责人：文三妹</w:t>
            </w:r>
          </w:p>
        </w:tc>
        <w:tc>
          <w:tcPr>
            <w:tcW w:w="68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D705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财务负责人：董晓玲</w:t>
            </w:r>
          </w:p>
        </w:tc>
      </w:tr>
      <w:tr w14:paraId="49578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14:paraId="796932FA">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046" w:type="dxa"/>
            <w:tcBorders>
              <w:top w:val="nil"/>
              <w:left w:val="nil"/>
              <w:bottom w:val="nil"/>
              <w:right w:val="nil"/>
            </w:tcBorders>
            <w:shd w:val="clear" w:color="auto" w:fill="auto"/>
            <w:vAlign w:val="center"/>
          </w:tcPr>
          <w:p w14:paraId="477CBE8F">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770" w:type="dxa"/>
            <w:tcBorders>
              <w:top w:val="nil"/>
              <w:left w:val="nil"/>
              <w:bottom w:val="nil"/>
              <w:right w:val="nil"/>
            </w:tcBorders>
            <w:shd w:val="clear" w:color="auto" w:fill="auto"/>
            <w:vAlign w:val="center"/>
          </w:tcPr>
          <w:p w14:paraId="3C84B1A3">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259" w:type="dxa"/>
            <w:tcBorders>
              <w:top w:val="nil"/>
              <w:left w:val="nil"/>
              <w:bottom w:val="nil"/>
              <w:right w:val="nil"/>
            </w:tcBorders>
            <w:shd w:val="clear" w:color="auto" w:fill="auto"/>
            <w:vAlign w:val="center"/>
          </w:tcPr>
          <w:p w14:paraId="6E4A4522">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06A52E06">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672" w:type="dxa"/>
            <w:tcBorders>
              <w:top w:val="nil"/>
              <w:left w:val="nil"/>
              <w:bottom w:val="nil"/>
              <w:right w:val="nil"/>
            </w:tcBorders>
            <w:shd w:val="clear" w:color="auto" w:fill="auto"/>
            <w:vAlign w:val="center"/>
          </w:tcPr>
          <w:p w14:paraId="6CECC1F7">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20" w:type="dxa"/>
            <w:tcBorders>
              <w:top w:val="nil"/>
              <w:left w:val="nil"/>
              <w:bottom w:val="nil"/>
              <w:right w:val="nil"/>
            </w:tcBorders>
            <w:shd w:val="clear" w:color="auto" w:fill="auto"/>
            <w:vAlign w:val="center"/>
          </w:tcPr>
          <w:p w14:paraId="13D4B78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1090" w:type="dxa"/>
            <w:tcBorders>
              <w:top w:val="nil"/>
              <w:left w:val="nil"/>
              <w:bottom w:val="nil"/>
              <w:right w:val="nil"/>
            </w:tcBorders>
            <w:shd w:val="clear" w:color="auto" w:fill="auto"/>
            <w:vAlign w:val="center"/>
          </w:tcPr>
          <w:p w14:paraId="44EB147D">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14:paraId="35E81E9C">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F96A5C9">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c>
          <w:tcPr>
            <w:tcW w:w="2548" w:type="dxa"/>
            <w:tcBorders>
              <w:top w:val="nil"/>
              <w:left w:val="nil"/>
              <w:bottom w:val="nil"/>
              <w:right w:val="nil"/>
            </w:tcBorders>
            <w:shd w:val="clear" w:color="auto" w:fill="auto"/>
            <w:vAlign w:val="center"/>
          </w:tcPr>
          <w:p w14:paraId="0B1C56F1">
            <w:pPr>
              <w:keepNext w:val="0"/>
              <w:keepLines w:val="0"/>
              <w:pageBreakBefore w:val="0"/>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8"/>
                <w:szCs w:val="18"/>
                <w:u w:val="none"/>
              </w:rPr>
            </w:pPr>
          </w:p>
        </w:tc>
      </w:tr>
      <w:tr w14:paraId="2DE5F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00" w:type="dxa"/>
            <w:gridSpan w:val="11"/>
            <w:tcBorders>
              <w:top w:val="nil"/>
              <w:left w:val="nil"/>
              <w:bottom w:val="nil"/>
              <w:right w:val="nil"/>
            </w:tcBorders>
            <w:shd w:val="clear" w:color="auto" w:fill="auto"/>
            <w:vAlign w:val="center"/>
          </w:tcPr>
          <w:p w14:paraId="435B22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3CEE9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00" w:type="dxa"/>
            <w:gridSpan w:val="11"/>
            <w:tcBorders>
              <w:top w:val="nil"/>
              <w:left w:val="nil"/>
              <w:bottom w:val="nil"/>
              <w:right w:val="nil"/>
            </w:tcBorders>
            <w:shd w:val="clear" w:color="auto" w:fill="auto"/>
            <w:vAlign w:val="center"/>
          </w:tcPr>
          <w:p w14:paraId="534688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0BC4B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00" w:type="dxa"/>
            <w:gridSpan w:val="11"/>
            <w:tcBorders>
              <w:top w:val="nil"/>
              <w:left w:val="nil"/>
              <w:bottom w:val="nil"/>
              <w:right w:val="nil"/>
            </w:tcBorders>
            <w:shd w:val="clear" w:color="auto" w:fill="auto"/>
            <w:vAlign w:val="center"/>
          </w:tcPr>
          <w:p w14:paraId="58E8B0F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757F8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4100" w:type="dxa"/>
            <w:gridSpan w:val="11"/>
            <w:tcBorders>
              <w:top w:val="nil"/>
              <w:left w:val="nil"/>
              <w:bottom w:val="nil"/>
              <w:right w:val="nil"/>
            </w:tcBorders>
            <w:shd w:val="clear" w:color="auto" w:fill="auto"/>
            <w:vAlign w:val="center"/>
          </w:tcPr>
          <w:p w14:paraId="4ABA83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31593512">
      <w:pPr>
        <w:widowControl/>
        <w:spacing w:line="578" w:lineRule="exact"/>
        <w:jc w:val="center"/>
        <w:textAlignment w:val="center"/>
        <w:rPr>
          <w:rFonts w:ascii="Times New Roman" w:hAnsi="Times New Roman" w:eastAsia="仿宋_GB2312"/>
          <w:b w:val="0"/>
          <w:color w:val="000000"/>
          <w:kern w:val="0"/>
          <w:sz w:val="32"/>
          <w:szCs w:val="32"/>
          <w:shd w:val="clear" w:color="auto" w:fill="FFFFFF"/>
        </w:rPr>
      </w:pPr>
    </w:p>
    <w:p w14:paraId="735CCF93">
      <w:pPr>
        <w:pStyle w:val="38"/>
        <w:rPr>
          <w:rFonts w:hint="eastAsia"/>
          <w:lang w:val="zh-CN" w:eastAsia="zh-CN"/>
        </w:rPr>
      </w:pPr>
    </w:p>
    <w:p w14:paraId="33FB537D">
      <w:pPr>
        <w:pStyle w:val="7"/>
        <w:rPr>
          <w:rFonts w:hint="eastAsia" w:ascii="Times New Roman" w:hAnsi="Times New Roman" w:cs="宋体"/>
          <w:color w:val="FF0000"/>
          <w:kern w:val="0"/>
          <w:sz w:val="32"/>
          <w:szCs w:val="32"/>
          <w:highlight w:val="yellow"/>
          <w:shd w:val="clear" w:color="auto" w:fill="FFFFFF"/>
          <w:lang w:val="zh-CN"/>
        </w:rPr>
      </w:pPr>
    </w:p>
    <w:p w14:paraId="35353011">
      <w:pPr>
        <w:rPr>
          <w:rFonts w:hint="eastAsia"/>
          <w:lang w:val="zh-CN"/>
        </w:rPr>
        <w:sectPr>
          <w:pgSz w:w="16838" w:h="11906" w:orient="landscape"/>
          <w:pgMar w:top="1800" w:right="1440" w:bottom="1800" w:left="1440" w:header="851" w:footer="992" w:gutter="0"/>
          <w:pgNumType w:fmt="decimal"/>
          <w:cols w:space="425" w:num="1"/>
          <w:docGrid w:type="lines" w:linePitch="312" w:charSpace="0"/>
        </w:sectPr>
      </w:pPr>
      <w:r>
        <w:rPr>
          <w:rFonts w:hint="eastAsia" w:ascii="Times New Roman" w:hAnsi="Times New Roman" w:eastAsia="黑体" w:cs="黑体"/>
          <w:color w:val="auto"/>
          <w:kern w:val="0"/>
          <w:sz w:val="32"/>
          <w:szCs w:val="32"/>
          <w:highlight w:val="none"/>
          <w:shd w:val="clear" w:color="auto" w:fill="FFFFFF"/>
          <w:lang w:val="zh-CN"/>
        </w:rPr>
        <w:br w:type="page"/>
      </w:r>
    </w:p>
    <w:p w14:paraId="25161D13">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61436D16">
      <w:pPr>
        <w:pStyle w:val="37"/>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C3AC9D0">
      <w:pPr>
        <w:pStyle w:val="17"/>
        <w:keepNext w:val="0"/>
        <w:keepLines w:val="0"/>
        <w:widowControl w:val="0"/>
        <w:suppressLineNumbers w:val="0"/>
        <w:autoSpaceDE w:val="0"/>
        <w:autoSpaceDN/>
        <w:spacing w:before="0" w:beforeAutospacing="0" w:after="0" w:afterAutospacing="0" w:line="578" w:lineRule="exact"/>
        <w:ind w:left="0" w:leftChars="0" w:right="0"/>
        <w:jc w:val="center"/>
        <w:rPr>
          <w:rFonts w:hint="default" w:ascii="Times New Roman" w:hAnsi="Times New Roman" w:eastAsia="方正小标宋简体" w:cs="Times New Roman"/>
          <w:kern w:val="2"/>
          <w:sz w:val="44"/>
          <w:szCs w:val="44"/>
        </w:rPr>
      </w:pPr>
      <w:r>
        <w:rPr>
          <w:rFonts w:hint="eastAsia" w:ascii="方正小标宋简体" w:hAnsi="方正小标宋简体" w:eastAsia="方正小标宋简体" w:cs="方正小标宋简体"/>
          <w:color w:val="000000"/>
          <w:kern w:val="2"/>
          <w:sz w:val="44"/>
          <w:szCs w:val="44"/>
          <w:lang w:val="en-US" w:eastAsia="zh-CN" w:bidi="ar"/>
        </w:rPr>
        <w:t>质特所</w:t>
      </w:r>
      <w:r>
        <w:rPr>
          <w:rFonts w:hint="default" w:ascii="Times New Roman" w:hAnsi="Times New Roman" w:eastAsia="方正小标宋简体" w:cs="Times New Roman"/>
          <w:color w:val="000000"/>
          <w:kern w:val="2"/>
          <w:sz w:val="44"/>
          <w:szCs w:val="44"/>
          <w:lang w:val="en-US" w:eastAsia="zh-CN" w:bidi="ar"/>
        </w:rPr>
        <w:t>2025</w:t>
      </w:r>
      <w:r>
        <w:rPr>
          <w:rFonts w:hint="eastAsia" w:ascii="方正小标宋简体" w:hAnsi="方正小标宋简体" w:eastAsia="方正小标宋简体" w:cs="方正小标宋简体"/>
          <w:color w:val="000000"/>
          <w:kern w:val="2"/>
          <w:sz w:val="44"/>
          <w:szCs w:val="44"/>
          <w:lang w:val="en-US" w:eastAsia="zh-CN" w:bidi="ar"/>
        </w:rPr>
        <w:t>年省级监督抽查抽样项目专项预算绩效自评报告</w:t>
      </w:r>
    </w:p>
    <w:p w14:paraId="07C205E5">
      <w:pPr>
        <w:pStyle w:val="17"/>
        <w:keepNext w:val="0"/>
        <w:keepLines w:val="0"/>
        <w:widowControl w:val="0"/>
        <w:suppressLineNumbers w:val="0"/>
        <w:autoSpaceDE w:val="0"/>
        <w:autoSpaceDN/>
        <w:spacing w:before="0" w:beforeAutospacing="0" w:after="0" w:afterAutospacing="0" w:line="578" w:lineRule="exact"/>
        <w:ind w:left="0" w:leftChars="0" w:right="0" w:firstLine="640"/>
        <w:jc w:val="center"/>
        <w:rPr>
          <w:rFonts w:hint="default" w:ascii="Times New Roman" w:hAnsi="Times New Roman" w:eastAsia="宋体" w:cs="Times New Roman"/>
          <w:kern w:val="2"/>
          <w:sz w:val="32"/>
          <w:szCs w:val="32"/>
        </w:rPr>
      </w:pPr>
      <w:r>
        <w:rPr>
          <w:rFonts w:hint="default" w:ascii="Times New Roman" w:hAnsi="Times New Roman" w:eastAsia="宋体" w:cs="Times New Roman"/>
          <w:color w:val="000000"/>
          <w:kern w:val="2"/>
          <w:sz w:val="32"/>
          <w:szCs w:val="32"/>
          <w:lang w:val="en-US" w:eastAsia="zh-CN" w:bidi="ar"/>
        </w:rPr>
        <w:t xml:space="preserve"> </w:t>
      </w:r>
    </w:p>
    <w:p w14:paraId="27E667C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一、项目概况</w:t>
      </w:r>
    </w:p>
    <w:p w14:paraId="0A3FF5DE">
      <w:pPr>
        <w:keepNext w:val="0"/>
        <w:keepLines w:val="0"/>
        <w:widowControl/>
        <w:suppressLineNumbers w:val="0"/>
        <w:autoSpaceDE w:val="0"/>
        <w:autoSpaceDN/>
        <w:adjustRightInd w:val="0"/>
        <w:snapToGrid w:val="0"/>
        <w:spacing w:before="0" w:beforeAutospacing="0" w:after="0" w:afterAutospacing="0" w:line="578" w:lineRule="exact"/>
        <w:ind w:left="0" w:leftChars="0" w:right="0" w:firstLine="643" w:firstLineChars="200"/>
        <w:contextualSpacing/>
        <w:jc w:val="left"/>
        <w:rPr>
          <w:rFonts w:hint="default" w:ascii="Times New Roman" w:hAnsi="Times New Roman" w:eastAsia="仿宋_GB2312" w:cs="Times New Roman"/>
          <w:kern w:val="0"/>
          <w:sz w:val="32"/>
          <w:szCs w:val="32"/>
          <w:shd w:val="clear" w:fill="FFFFFF"/>
        </w:rPr>
      </w:pPr>
      <w:r>
        <w:rPr>
          <w:rFonts w:hint="eastAsia" w:ascii="楷体_GB2312" w:hAnsi="Times New Roman" w:eastAsia="楷体_GB2312" w:cs="楷体_GB2312"/>
          <w:b/>
          <w:bCs w:val="0"/>
          <w:kern w:val="2"/>
          <w:sz w:val="32"/>
          <w:szCs w:val="32"/>
          <w:lang w:val="en-US" w:eastAsia="zh-CN" w:bidi="ar"/>
        </w:rPr>
        <w:t>（一）设立背景及基本情况。</w:t>
      </w:r>
      <w:r>
        <w:rPr>
          <w:rFonts w:hint="eastAsia" w:ascii="仿宋_GB2312" w:hAnsi="Times New Roman" w:eastAsia="仿宋_GB2312" w:cs="仿宋_GB2312"/>
          <w:kern w:val="0"/>
          <w:sz w:val="32"/>
          <w:szCs w:val="32"/>
          <w:shd w:val="clear" w:fill="FFFFFF"/>
          <w:lang w:val="en-US" w:eastAsia="zh-CN" w:bidi="ar"/>
        </w:rPr>
        <w:t>我所旨在通过有效利用2025年省级市场监管局专项资金，完成省局及相关单位下达的产品抽查抽样及风险监测采样任务。</w:t>
      </w:r>
    </w:p>
    <w:p w14:paraId="69DD058C">
      <w:pPr>
        <w:keepNext w:val="0"/>
        <w:keepLines w:val="0"/>
        <w:widowControl w:val="0"/>
        <w:suppressLineNumbers w:val="0"/>
        <w:autoSpaceDE w:val="0"/>
        <w:autoSpaceDN/>
        <w:adjustRightInd w:val="0"/>
        <w:snapToGrid w:val="0"/>
        <w:spacing w:before="0" w:beforeAutospacing="0" w:after="0" w:afterAutospacing="0" w:line="560" w:lineRule="exact"/>
        <w:ind w:left="0" w:right="0" w:firstLine="643" w:firstLineChars="200"/>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（二）实施目的及支持方向。</w:t>
      </w:r>
      <w:r>
        <w:rPr>
          <w:rFonts w:hint="eastAsia" w:ascii="仿宋_GB2312" w:hAnsi="Times New Roman" w:eastAsia="仿宋_GB2312" w:cs="仿宋_GB2312"/>
          <w:kern w:val="0"/>
          <w:sz w:val="32"/>
          <w:szCs w:val="32"/>
          <w:shd w:val="clear" w:fill="FFFFFF"/>
          <w:lang w:val="en-US" w:eastAsia="zh-CN" w:bidi="ar"/>
        </w:rPr>
        <w:t>我所《</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 </w:instrText>
      </w:r>
      <w:r>
        <w:rPr>
          <w:rFonts w:hint="default" w:ascii="Times New Roman" w:hAnsi="Times New Roman" w:eastAsia="仿宋_GB2312" w:cs="Times New Roman"/>
          <w:kern w:val="2"/>
          <w:sz w:val="32"/>
          <w:szCs w:val="32"/>
          <w:lang w:val="en-US" w:eastAsia="zh-CN" w:bidi="ar"/>
        </w:rPr>
        <w:fldChar w:fldCharType="separate"/>
      </w:r>
      <w:r>
        <w:rPr>
          <w:rStyle w:val="21"/>
          <w:rFonts w:hint="eastAsia" w:ascii="仿宋_GB2312" w:eastAsia="仿宋_GB2312" w:cs="仿宋_GB2312"/>
          <w:kern w:val="0"/>
          <w:sz w:val="32"/>
          <w:szCs w:val="32"/>
          <w:shd w:val="clear" w:fill="FFFFFF"/>
        </w:rPr>
        <w:t>阿坝州产品质量和特种设备监督检验所</w:t>
      </w:r>
      <w:r>
        <w:rPr>
          <w:rFonts w:hint="default" w:ascii="Times New Roman" w:hAnsi="Times New Roman" w:eastAsia="仿宋_GB2312" w:cs="Times New Roman"/>
          <w:kern w:val="2"/>
          <w:sz w:val="32"/>
          <w:szCs w:val="32"/>
          <w:lang w:val="en-US" w:eastAsia="zh-CN" w:bidi="ar"/>
        </w:rPr>
        <w:fldChar w:fldCharType="end"/>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"file:///home/user/Desktop/2026年财务/2026年度绩效自评/上交资料/质特所-绩效自评资料--最后上交/附件5-质特所2025年省级监督抽查抽样项目.doc" \l "_Toc3214 " </w:instrText>
      </w:r>
      <w:r>
        <w:rPr>
          <w:rFonts w:hint="default" w:ascii="Times New Roman" w:hAnsi="Times New Roman" w:eastAsia="仿宋_GB2312" w:cs="Times New Roman"/>
          <w:kern w:val="2"/>
          <w:sz w:val="32"/>
          <w:szCs w:val="32"/>
          <w:lang w:val="en-US" w:eastAsia="zh-CN" w:bidi="ar"/>
        </w:rPr>
        <w:fldChar w:fldCharType="separate"/>
      </w:r>
      <w:r>
        <w:rPr>
          <w:rStyle w:val="21"/>
          <w:rFonts w:hint="eastAsia" w:ascii="仿宋_GB2312" w:eastAsia="仿宋_GB2312" w:cs="仿宋_GB2312"/>
          <w:kern w:val="0"/>
          <w:sz w:val="32"/>
          <w:szCs w:val="32"/>
          <w:shd w:val="clear" w:fill="FFFFFF"/>
        </w:rPr>
        <w:t>财务管理制度</w:t>
      </w:r>
      <w:r>
        <w:rPr>
          <w:rStyle w:val="21"/>
          <w:rFonts w:hint="eastAsia" w:ascii="仿宋_GB2312" w:eastAsia="仿宋_GB2312" w:cs="仿宋_GB2312"/>
          <w:kern w:val="0"/>
          <w:sz w:val="32"/>
          <w:szCs w:val="32"/>
          <w:shd w:val="clear" w:fill="FFFFFF"/>
          <w:lang w:eastAsia="zh-CN"/>
        </w:rPr>
        <w:t>》《</w:t>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 </w:instrText>
      </w:r>
      <w:r>
        <w:rPr>
          <w:rFonts w:hint="default" w:ascii="Times New Roman" w:hAnsi="Times New Roman" w:eastAsia="仿宋_GB2312" w:cs="Times New Roman"/>
          <w:kern w:val="2"/>
          <w:sz w:val="32"/>
          <w:szCs w:val="32"/>
          <w:lang w:val="en-US" w:eastAsia="zh-CN" w:bidi="ar"/>
        </w:rPr>
        <w:fldChar w:fldCharType="separate"/>
      </w:r>
      <w:r>
        <w:rPr>
          <w:rStyle w:val="21"/>
          <w:rFonts w:hint="eastAsia" w:ascii="仿宋_GB2312" w:eastAsia="仿宋_GB2312" w:cs="仿宋_GB2312"/>
          <w:kern w:val="0"/>
          <w:sz w:val="32"/>
          <w:szCs w:val="32"/>
          <w:shd w:val="clear" w:fill="FFFFFF"/>
        </w:rPr>
        <w:t>阿坝州产品质量和特种设备监督检验所</w:t>
      </w:r>
      <w:r>
        <w:rPr>
          <w:rFonts w:hint="default" w:ascii="Times New Roman" w:hAnsi="Times New Roman" w:eastAsia="仿宋_GB2312" w:cs="Times New Roman"/>
          <w:kern w:val="2"/>
          <w:sz w:val="32"/>
          <w:szCs w:val="32"/>
          <w:lang w:val="en-US" w:eastAsia="zh-CN" w:bidi="ar"/>
        </w:rPr>
        <w:fldChar w:fldCharType="end"/>
      </w:r>
      <w:r>
        <w:rPr>
          <w:rFonts w:hint="default" w:ascii="Times New Roman" w:hAnsi="Times New Roman" w:eastAsia="仿宋_GB2312" w:cs="Times New Roman"/>
          <w:kern w:val="2"/>
          <w:sz w:val="32"/>
          <w:szCs w:val="32"/>
          <w:lang w:val="en-US" w:eastAsia="zh-CN" w:bidi="ar"/>
        </w:rPr>
        <w:fldChar w:fldCharType="begin"/>
      </w:r>
      <w:r>
        <w:rPr>
          <w:rFonts w:hint="default" w:ascii="Times New Roman" w:hAnsi="Times New Roman" w:eastAsia="仿宋_GB2312" w:cs="Times New Roman"/>
          <w:kern w:val="2"/>
          <w:sz w:val="32"/>
          <w:szCs w:val="32"/>
          <w:lang w:val="en-US" w:eastAsia="zh-CN" w:bidi="ar"/>
        </w:rPr>
        <w:instrText xml:space="preserve"> HYPERLINK "file:///home/user/Desktop/2026年财务/2026年度绩效自评/上交资料/质特所-绩效自评资料--最后上交/附件5-质特所2025年省级监督抽查抽样项目.doc" \l "_Toc3214 " </w:instrText>
      </w:r>
      <w:r>
        <w:rPr>
          <w:rFonts w:hint="default" w:ascii="Times New Roman" w:hAnsi="Times New Roman" w:eastAsia="仿宋_GB2312" w:cs="Times New Roman"/>
          <w:kern w:val="2"/>
          <w:sz w:val="32"/>
          <w:szCs w:val="32"/>
          <w:lang w:val="en-US" w:eastAsia="zh-CN" w:bidi="ar"/>
        </w:rPr>
        <w:fldChar w:fldCharType="separate"/>
      </w:r>
      <w:r>
        <w:rPr>
          <w:rStyle w:val="21"/>
          <w:rFonts w:hint="eastAsia" w:ascii="仿宋_GB2312" w:eastAsia="仿宋_GB2312" w:cs="仿宋_GB2312"/>
          <w:kern w:val="0"/>
          <w:sz w:val="32"/>
          <w:szCs w:val="32"/>
          <w:shd w:val="clear" w:fill="FFFFFF"/>
        </w:rPr>
        <w:t>预算管理制度》</w:t>
      </w:r>
      <w:r>
        <w:rPr>
          <w:rFonts w:hint="default" w:ascii="Times New Roman" w:hAnsi="Times New Roman" w:eastAsia="仿宋_GB2312" w:cs="Times New Roman"/>
          <w:kern w:val="2"/>
          <w:sz w:val="32"/>
          <w:szCs w:val="32"/>
          <w:lang w:val="en-US" w:eastAsia="zh-CN" w:bidi="ar"/>
        </w:rPr>
        <w:fldChar w:fldCharType="end"/>
      </w:r>
      <w:r>
        <w:rPr>
          <w:rFonts w:hint="default" w:ascii="Times New Roman" w:hAnsi="Times New Roman" w:eastAsia="仿宋_GB2312" w:cs="Times New Roman"/>
          <w:kern w:val="2"/>
          <w:sz w:val="32"/>
          <w:szCs w:val="32"/>
          <w:lang w:val="en-US" w:eastAsia="zh-CN" w:bidi="ar"/>
        </w:rPr>
        <w:fldChar w:fldCharType="end"/>
      </w:r>
      <w:r>
        <w:rPr>
          <w:rFonts w:hint="eastAsia" w:ascii="仿宋_GB2312" w:hAnsi="Times New Roman" w:eastAsia="仿宋_GB2312" w:cs="仿宋_GB2312"/>
          <w:kern w:val="0"/>
          <w:sz w:val="32"/>
          <w:szCs w:val="32"/>
          <w:shd w:val="clear" w:fill="FFFFFF"/>
          <w:lang w:val="en-US" w:eastAsia="zh-CN" w:bidi="ar"/>
        </w:rPr>
        <w:t>等章节明确了项目资金管理要求。我所拟通过此项目资金，进一步强化单位设备完善，进一步保障消费者权益，提高社会满意度。</w:t>
      </w:r>
    </w:p>
    <w:p w14:paraId="3E84C312">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kern w:val="0"/>
          <w:sz w:val="32"/>
          <w:szCs w:val="32"/>
          <w:shd w:val="clear" w:fill="FFFFFF"/>
        </w:rPr>
      </w:pPr>
      <w:r>
        <w:rPr>
          <w:rFonts w:hint="eastAsia" w:ascii="楷体_GB2312" w:hAnsi="Times New Roman" w:eastAsia="楷体_GB2312" w:cs="楷体_GB2312"/>
          <w:b/>
          <w:bCs w:val="0"/>
          <w:kern w:val="2"/>
          <w:sz w:val="32"/>
          <w:szCs w:val="32"/>
          <w:lang w:val="en-US" w:eastAsia="zh-CN" w:bidi="ar"/>
        </w:rPr>
        <w:t>（三）预算安排及分配管理。</w:t>
      </w:r>
      <w:r>
        <w:rPr>
          <w:rFonts w:hint="eastAsia" w:ascii="仿宋_GB2312" w:hAnsi="Times New Roman" w:eastAsia="仿宋_GB2312" w:cs="仿宋_GB2312"/>
          <w:kern w:val="0"/>
          <w:sz w:val="32"/>
          <w:szCs w:val="32"/>
          <w:shd w:val="clear" w:fill="FFFFFF"/>
          <w:lang w:val="en-US" w:eastAsia="zh-CN" w:bidi="ar"/>
        </w:rPr>
        <w:t>质特所2025年省级监督抽查抽样项目资金申报预算21万元，资金于2025年9月拨付到位，用于省级监督抽查抽样、风险监测采样工作产生的差旅费、办公费、邮寄费等费用。</w:t>
      </w:r>
    </w:p>
    <w:p w14:paraId="5D23F753">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jc w:val="both"/>
        <w:rPr>
          <w:rFonts w:hint="eastAsia" w:ascii="仿宋_GB2312" w:eastAsia="仿宋_GB2312" w:cs="仿宋_GB2312"/>
          <w:kern w:val="0"/>
          <w:sz w:val="32"/>
          <w:szCs w:val="32"/>
          <w:shd w:val="clear" w:fill="FFFFFF"/>
        </w:rPr>
      </w:pPr>
      <w:r>
        <w:rPr>
          <w:rFonts w:hint="eastAsia" w:ascii="楷体_GB2312" w:hAnsi="Times New Roman" w:eastAsia="楷体_GB2312" w:cs="楷体_GB2312"/>
          <w:b/>
          <w:bCs w:val="0"/>
          <w:kern w:val="2"/>
          <w:sz w:val="32"/>
          <w:szCs w:val="32"/>
          <w:lang w:val="en-US" w:eastAsia="zh-CN" w:bidi="ar"/>
        </w:rPr>
        <w:t>（四）项目绩效目标设置。</w:t>
      </w:r>
      <w:r>
        <w:rPr>
          <w:rFonts w:hint="eastAsia" w:ascii="仿宋_GB2312" w:hAnsi="Times New Roman" w:eastAsia="仿宋_GB2312" w:cs="仿宋_GB2312"/>
          <w:kern w:val="0"/>
          <w:sz w:val="32"/>
          <w:szCs w:val="32"/>
          <w:shd w:val="clear" w:fill="FFFFFF"/>
          <w:lang w:val="en-US" w:eastAsia="zh-CN" w:bidi="ar"/>
        </w:rPr>
        <w:t>质特所2025年省级监督抽查抽样项目整体绩效目标为加强州内各类产品质量监控，防止质量不合格、不符合生态环保要求的产品流入市场，降低不良产品造成的经济损失，减少不合格产品对社会造成的不良影响，进一步保障消费者权益，提高社会满意度。</w:t>
      </w:r>
    </w:p>
    <w:p w14:paraId="162C6A58">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具体绩效目标为完成省级监督抽查抽样任务193批次；项目实施时间为2025年1月</w:t>
      </w:r>
      <w:r>
        <w:rPr>
          <w:rFonts w:hint="eastAsia" w:ascii="仿宋_GB2312" w:eastAsia="仿宋_GB2312" w:cs="仿宋_GB2312"/>
          <w:kern w:val="0"/>
          <w:sz w:val="32"/>
          <w:szCs w:val="32"/>
          <w:shd w:val="clear" w:fill="FFFFFF"/>
          <w:lang w:val="en-US" w:eastAsia="zh-CN" w:bidi="ar"/>
        </w:rPr>
        <w:t>截至2025年12</w:t>
      </w:r>
      <w:r>
        <w:rPr>
          <w:rFonts w:hint="eastAsia" w:ascii="仿宋_GB2312" w:hAnsi="Times New Roman" w:eastAsia="仿宋_GB2312" w:cs="仿宋_GB2312"/>
          <w:kern w:val="0"/>
          <w:sz w:val="32"/>
          <w:szCs w:val="32"/>
          <w:shd w:val="clear" w:fill="FFFFFF"/>
          <w:lang w:val="en-US" w:eastAsia="zh-CN" w:bidi="ar"/>
        </w:rPr>
        <w:t>月；保质完成工作任务，不收到举报投诉电话；促进良好市场秩序建立；不造成生态污染和资源浪费。</w:t>
      </w:r>
    </w:p>
    <w:p w14:paraId="329B517A">
      <w:pPr>
        <w:keepNext w:val="0"/>
        <w:keepLines w:val="0"/>
        <w:widowControl w:val="0"/>
        <w:suppressLineNumbers w:val="0"/>
        <w:autoSpaceDE w:val="0"/>
        <w:autoSpaceDN/>
        <w:adjustRightInd w:val="0"/>
        <w:snapToGrid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shd w:val="clear" w:fill="FFFFFF"/>
          <w:lang w:val="en-US" w:eastAsia="zh-CN" w:bidi="ar"/>
        </w:rPr>
        <w:t>项目预算申报时我所便开展项目自评，通过科学设置项目预算绩效目标，明确项目资金的使用方向和范围。年中，我所开展年中绩效监控，对项目资金预算使用进度进行了自查，并进一步加快了预算执行进度，年终，我所在决算时对项目再次进行绩效目标总结，</w:t>
      </w:r>
      <w:r>
        <w:rPr>
          <w:rFonts w:hint="eastAsia" w:ascii="仿宋_GB2312" w:eastAsia="仿宋_GB2312" w:cs="仿宋_GB2312"/>
          <w:kern w:val="0"/>
          <w:sz w:val="32"/>
          <w:szCs w:val="32"/>
          <w:shd w:val="clear" w:fill="FFFFFF"/>
          <w:lang w:val="en-US" w:eastAsia="zh-CN" w:bidi="ar"/>
        </w:rPr>
        <w:t>进一步</w:t>
      </w:r>
      <w:r>
        <w:rPr>
          <w:rFonts w:hint="eastAsia" w:ascii="仿宋_GB2312" w:hAnsi="Times New Roman" w:eastAsia="仿宋_GB2312" w:cs="仿宋_GB2312"/>
          <w:kern w:val="0"/>
          <w:sz w:val="32"/>
          <w:szCs w:val="32"/>
          <w:shd w:val="clear" w:fill="FFFFFF"/>
          <w:lang w:val="en-US" w:eastAsia="zh-CN" w:bidi="ar"/>
        </w:rPr>
        <w:t>强化了项目绩效目标管理。</w:t>
      </w:r>
    </w:p>
    <w:p w14:paraId="16189B7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二、评价实施</w:t>
      </w:r>
    </w:p>
    <w:p w14:paraId="6DD94B03">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val="0"/>
          <w:kern w:val="2"/>
          <w:sz w:val="32"/>
          <w:szCs w:val="32"/>
          <w:lang w:val="en-US" w:eastAsia="zh-CN" w:bidi="ar"/>
        </w:rPr>
        <w:t>（一）评价目的。</w:t>
      </w:r>
      <w:r>
        <w:rPr>
          <w:rFonts w:hint="eastAsia" w:ascii="仿宋_GB2312" w:hAnsi="Times New Roman" w:eastAsia="仿宋_GB2312" w:cs="仿宋_GB2312"/>
          <w:kern w:val="2"/>
          <w:sz w:val="32"/>
          <w:szCs w:val="32"/>
          <w:lang w:val="en-US" w:eastAsia="zh-CN" w:bidi="ar"/>
        </w:rPr>
        <w:t>通过项目绩效自评，我所进一步总结了项目开展的经验、成果，进一步强化了项目绩效目标管理，进一步促进项目资金的有效利用。</w:t>
      </w:r>
    </w:p>
    <w:p w14:paraId="10F65C4B">
      <w:pPr>
        <w:keepNext w:val="0"/>
        <w:keepLines w:val="0"/>
        <w:widowControl w:val="0"/>
        <w:suppressLineNumbers w:val="0"/>
        <w:autoSpaceDE w:val="0"/>
        <w:autoSpaceDN/>
        <w:adjustRightInd w:val="0"/>
        <w:snapToGrid w:val="0"/>
        <w:spacing w:before="0" w:beforeAutospacing="0" w:after="0" w:afterAutospacing="0" w:line="578" w:lineRule="exact"/>
        <w:ind w:left="0" w:leftChars="0" w:right="0" w:firstLine="643" w:firstLineChars="20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val="0"/>
          <w:kern w:val="2"/>
          <w:sz w:val="32"/>
          <w:szCs w:val="32"/>
          <w:lang w:val="en-US" w:eastAsia="zh-CN" w:bidi="ar"/>
        </w:rPr>
        <w:t>（二）预设问题及评价重点。</w:t>
      </w:r>
      <w:r>
        <w:rPr>
          <w:rFonts w:hint="eastAsia" w:ascii="仿宋_GB2312" w:hAnsi="Times New Roman" w:eastAsia="仿宋_GB2312" w:cs="仿宋_GB2312"/>
          <w:kern w:val="2"/>
          <w:sz w:val="32"/>
          <w:szCs w:val="32"/>
          <w:lang w:val="en-US" w:eastAsia="zh-CN" w:bidi="ar"/>
        </w:rPr>
        <w:t>我所在认真总结以往工作经验的基础上，结合我所</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年度工作计划，科学申报</w:t>
      </w:r>
      <w:r>
        <w:rPr>
          <w:rFonts w:hint="eastAsia" w:ascii="仿宋_GB2312" w:hAnsi="Times New Roman" w:eastAsia="仿宋_GB2312" w:cs="仿宋_GB2312"/>
          <w:kern w:val="0"/>
          <w:sz w:val="32"/>
          <w:szCs w:val="32"/>
          <w:shd w:val="clear" w:fill="FFFFFF"/>
          <w:lang w:val="en-US" w:eastAsia="zh-CN" w:bidi="ar"/>
        </w:rPr>
        <w:t>质特所2025年省级监督抽查抽样项目。项目资金于2025年1月到位，自资金到位之日起，我所便将项目纳入绩效监控。用于支付省级监督抽查抽样、风险监测采样工作产生的差旅费、办公费、邮寄费等费用。我所在资金使用过程中严格按照“专款专用”原则，未出现不符合要求的资金支付，且确保了项目实施结果符合绩效目标</w:t>
      </w:r>
      <w:r>
        <w:rPr>
          <w:rFonts w:hint="eastAsia" w:ascii="仿宋_GB2312" w:hAnsi="Times New Roman" w:eastAsia="仿宋_GB2312" w:cs="仿宋_GB2312"/>
          <w:kern w:val="2"/>
          <w:sz w:val="32"/>
          <w:szCs w:val="32"/>
          <w:lang w:val="en-US" w:eastAsia="zh-CN" w:bidi="ar"/>
        </w:rPr>
        <w:t>。</w:t>
      </w:r>
    </w:p>
    <w:p w14:paraId="3147DCCE">
      <w:pPr>
        <w:keepNext w:val="0"/>
        <w:keepLines w:val="0"/>
        <w:widowControl w:val="0"/>
        <w:suppressLineNumbers w:val="0"/>
        <w:autoSpaceDE w:val="0"/>
        <w:autoSpaceDN/>
        <w:adjustRightInd w:val="0"/>
        <w:snapToGrid w:val="0"/>
        <w:spacing w:before="0" w:beforeAutospacing="0" w:after="0" w:afterAutospacing="0" w:line="560" w:lineRule="exact"/>
        <w:ind w:left="0" w:right="0" w:firstLine="643"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b/>
          <w:bCs w:val="0"/>
          <w:kern w:val="2"/>
          <w:sz w:val="32"/>
          <w:szCs w:val="32"/>
          <w:lang w:val="en-US" w:eastAsia="zh-CN" w:bidi="ar"/>
        </w:rPr>
        <w:t>（三）评价选点。</w:t>
      </w:r>
      <w:r>
        <w:rPr>
          <w:rFonts w:hint="eastAsia" w:ascii="仿宋_GB2312" w:hAnsi="Times New Roman" w:eastAsia="仿宋_GB2312" w:cs="仿宋_GB2312"/>
          <w:kern w:val="2"/>
          <w:sz w:val="32"/>
          <w:szCs w:val="32"/>
          <w:lang w:val="en-US" w:eastAsia="zh-CN" w:bidi="ar"/>
        </w:rPr>
        <w:t>在项目实施过程中，目前尚未接到任何投诉。</w:t>
      </w:r>
    </w:p>
    <w:p w14:paraId="09D7666A">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val="0"/>
          <w:kern w:val="2"/>
          <w:sz w:val="32"/>
          <w:szCs w:val="32"/>
          <w:lang w:val="en-US" w:eastAsia="zh-CN" w:bidi="ar"/>
        </w:rPr>
        <w:t>（四）评价方法。</w:t>
      </w:r>
      <w:r>
        <w:rPr>
          <w:rFonts w:hint="eastAsia" w:ascii="仿宋_GB2312" w:hAnsi="Times New Roman" w:eastAsia="仿宋_GB2312" w:cs="仿宋_GB2312"/>
          <w:kern w:val="2"/>
          <w:sz w:val="32"/>
          <w:szCs w:val="32"/>
          <w:lang w:val="en-US" w:eastAsia="zh-CN" w:bidi="ar"/>
        </w:rPr>
        <w:t>在项目开展中，我所采用单位自评法对项目前期、中期、后期均进行了项目绩效自评。</w:t>
      </w:r>
    </w:p>
    <w:p w14:paraId="6985D9A6">
      <w:pPr>
        <w:keepNext w:val="0"/>
        <w:keepLines w:val="0"/>
        <w:widowControl w:val="0"/>
        <w:suppressLineNumbers w:val="0"/>
        <w:autoSpaceDE w:val="0"/>
        <w:autoSpaceDN/>
        <w:spacing w:before="0" w:beforeAutospacing="0" w:after="0" w:afterAutospacing="0" w:line="578" w:lineRule="exact"/>
        <w:ind w:left="0" w:right="0" w:firstLine="640"/>
        <w:jc w:val="both"/>
        <w:rPr>
          <w:rFonts w:hint="default" w:ascii="Times New Roman" w:hAnsi="Times New Roman" w:eastAsia="仿宋_GB2312" w:cs="Times New Roman"/>
          <w:bCs/>
          <w:kern w:val="2"/>
          <w:sz w:val="32"/>
          <w:szCs w:val="32"/>
        </w:rPr>
      </w:pPr>
      <w:r>
        <w:rPr>
          <w:rFonts w:hint="eastAsia" w:ascii="楷体_GB2312" w:hAnsi="Times New Roman" w:eastAsia="楷体_GB2312" w:cs="楷体_GB2312"/>
          <w:b/>
          <w:bCs w:val="0"/>
          <w:kern w:val="2"/>
          <w:sz w:val="32"/>
          <w:szCs w:val="32"/>
          <w:lang w:val="en-US" w:eastAsia="zh-CN" w:bidi="ar"/>
        </w:rPr>
        <w:t>（五）评价组织。</w:t>
      </w:r>
      <w:r>
        <w:rPr>
          <w:rFonts w:hint="eastAsia" w:ascii="仿宋_GB2312" w:hAnsi="Times New Roman" w:eastAsia="仿宋_GB2312" w:cs="仿宋_GB2312"/>
          <w:kern w:val="2"/>
          <w:sz w:val="32"/>
          <w:szCs w:val="32"/>
          <w:lang w:val="en-US" w:eastAsia="zh-CN" w:bidi="ar"/>
        </w:rPr>
        <w:t>绩效自评人员由单位业务人员及财务人员组成，业务人员负责项目开展成果总结，财务人员负责项目资金使用情况总结。</w:t>
      </w:r>
    </w:p>
    <w:p w14:paraId="00C1E0A8">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eastAsia" w:ascii="黑体" w:hAnsi="宋体" w:eastAsia="黑体" w:cs="黑体"/>
          <w:kern w:val="2"/>
          <w:sz w:val="32"/>
          <w:szCs w:val="32"/>
          <w:lang w:val="en-US" w:eastAsia="zh-CN" w:bidi="ar"/>
        </w:rPr>
        <w:t>三、绩效分析</w:t>
      </w:r>
      <w:r>
        <w:rPr>
          <w:rFonts w:hint="default" w:ascii="Times New Roman" w:hAnsi="Times New Roman" w:eastAsia="仿宋_GB2312" w:cs="Times New Roman"/>
          <w:kern w:val="2"/>
          <w:sz w:val="32"/>
          <w:szCs w:val="32"/>
          <w:lang w:val="en-US" w:eastAsia="zh-CN" w:bidi="ar"/>
        </w:rPr>
        <w:tab/>
      </w:r>
    </w:p>
    <w:p w14:paraId="2187D446">
      <w:pPr>
        <w:keepNext w:val="0"/>
        <w:keepLines w:val="0"/>
        <w:widowControl w:val="0"/>
        <w:suppressLineNumbers w:val="0"/>
        <w:autoSpaceDE w:val="0"/>
        <w:autoSpaceDN/>
        <w:spacing w:before="0" w:beforeAutospacing="0" w:after="0" w:afterAutospacing="0" w:line="560" w:lineRule="exact"/>
        <w:ind w:left="0" w:right="0" w:firstLine="640"/>
        <w:jc w:val="both"/>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val="0"/>
          <w:kern w:val="2"/>
          <w:sz w:val="32"/>
          <w:szCs w:val="32"/>
          <w:lang w:val="en-US" w:eastAsia="zh-CN" w:bidi="ar"/>
        </w:rPr>
        <w:t>（一）通用指标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3BCC0F4D">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1.项目决策。</w:t>
      </w:r>
      <w:r>
        <w:rPr>
          <w:rFonts w:hint="eastAsia" w:ascii="仿宋_GB2312" w:hAnsi="Times New Roman" w:eastAsia="仿宋_GB2312" w:cs="仿宋_GB2312"/>
          <w:kern w:val="2"/>
          <w:sz w:val="32"/>
          <w:szCs w:val="32"/>
          <w:lang w:val="en-US" w:eastAsia="zh-CN" w:bidi="ar"/>
        </w:rPr>
        <w:t>我所在以往工作经验的基础上，结合单位年度工作计划申报项目预算，严格按照单位财务制度推进项目预算进度，项目决策程序严密，项目规划符合国家、省对于质量监管的要求，项目资金与市场监管事业发展相匹配，聚焦良好市场秩序建立，项目绩效目标设置科学合理。</w:t>
      </w:r>
    </w:p>
    <w:p w14:paraId="61933E3D">
      <w:pPr>
        <w:keepNext w:val="0"/>
        <w:keepLines w:val="0"/>
        <w:widowControl w:val="0"/>
        <w:suppressLineNumbers w:val="0"/>
        <w:autoSpaceDE w:val="0"/>
        <w:autoSpaceDN/>
        <w:spacing w:before="0" w:beforeAutospacing="0" w:after="0" w:afterAutospacing="0" w:line="560" w:lineRule="exact"/>
        <w:ind w:left="0" w:right="0" w:firstLine="64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2.项目管理。</w:t>
      </w:r>
      <w:r>
        <w:rPr>
          <w:rFonts w:hint="eastAsia" w:ascii="仿宋_GB2312" w:hAnsi="Times New Roman" w:eastAsia="仿宋_GB2312" w:cs="仿宋_GB2312"/>
          <w:kern w:val="2"/>
          <w:sz w:val="32"/>
          <w:szCs w:val="32"/>
          <w:lang w:val="en-US" w:eastAsia="zh-CN" w:bidi="ar"/>
        </w:rPr>
        <w:t>我所设置有要素完备、体系健全的单位财务管理制度，项目管理、审批等过程符合管理要求；项目资金使用自项目开展之日便纳入绩效监控，实现项目全过程管理。</w:t>
      </w:r>
    </w:p>
    <w:p w14:paraId="634A85C2">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3.项目实施。</w:t>
      </w:r>
      <w:r>
        <w:rPr>
          <w:rFonts w:hint="eastAsia" w:ascii="仿宋_GB2312" w:hAnsi="Times New Roman" w:eastAsia="仿宋_GB2312" w:cs="仿宋_GB2312"/>
          <w:kern w:val="2"/>
          <w:sz w:val="32"/>
          <w:szCs w:val="32"/>
          <w:lang w:val="en-US" w:eastAsia="zh-CN" w:bidi="ar"/>
        </w:rPr>
        <w:t>项目资金于</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w:t>
      </w:r>
      <w:r>
        <w:rPr>
          <w:rFonts w:hint="default" w:ascii="Times New Roman" w:hAnsi="Times New Roman" w:eastAsia="仿宋_GB2312" w:cs="Times New Roman"/>
          <w:kern w:val="2"/>
          <w:sz w:val="32"/>
          <w:szCs w:val="32"/>
          <w:lang w:val="en-US" w:eastAsia="zh-CN" w:bidi="ar"/>
        </w:rPr>
        <w:t>9</w:t>
      </w:r>
      <w:r>
        <w:rPr>
          <w:rFonts w:hint="eastAsia" w:ascii="仿宋_GB2312" w:hAnsi="Times New Roman" w:eastAsia="仿宋_GB2312" w:cs="仿宋_GB2312"/>
          <w:kern w:val="2"/>
          <w:sz w:val="32"/>
          <w:szCs w:val="32"/>
          <w:lang w:val="en-US" w:eastAsia="zh-CN" w:bidi="ar"/>
        </w:rPr>
        <w:t>月到位，到位率</w:t>
      </w:r>
      <w:r>
        <w:rPr>
          <w:rFonts w:hint="default" w:ascii="Times New Roman" w:hAnsi="Times New Roman" w:eastAsia="仿宋_GB2312" w:cs="Times New Roman"/>
          <w:kern w:val="2"/>
          <w:sz w:val="32"/>
          <w:szCs w:val="32"/>
          <w:lang w:val="en-US" w:eastAsia="zh-CN" w:bidi="ar"/>
        </w:rPr>
        <w:t>100%</w:t>
      </w:r>
      <w:r>
        <w:rPr>
          <w:rFonts w:hint="eastAsia" w:ascii="仿宋_GB2312" w:hAnsi="Times New Roman" w:eastAsia="仿宋_GB2312" w:cs="仿宋_GB2312"/>
          <w:kern w:val="2"/>
          <w:sz w:val="32"/>
          <w:szCs w:val="32"/>
          <w:lang w:val="en-US" w:eastAsia="zh-CN" w:bidi="ar"/>
        </w:rPr>
        <w:t>，资金使用拨付、项目实施符合规定，项目完成了预期目标，实施结果与绩效目标相匹配，且项目实际完成时间与计划完成时间相符。</w:t>
      </w:r>
    </w:p>
    <w:p w14:paraId="7E00A8FD">
      <w:pPr>
        <w:keepNext w:val="0"/>
        <w:keepLines w:val="0"/>
        <w:widowControl w:val="0"/>
        <w:suppressLineNumbers w:val="0"/>
        <w:autoSpaceDE w:val="0"/>
        <w:autoSpaceDN/>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4.项目结果。</w:t>
      </w:r>
      <w:r>
        <w:rPr>
          <w:rFonts w:hint="eastAsia" w:ascii="仿宋_GB2312" w:hAnsi="Times New Roman" w:eastAsia="仿宋_GB2312" w:cs="仿宋_GB2312"/>
          <w:kern w:val="2"/>
          <w:sz w:val="32"/>
          <w:szCs w:val="32"/>
          <w:lang w:val="en-US" w:eastAsia="zh-CN" w:bidi="ar"/>
        </w:rPr>
        <w:t>我所按时保质保量完成了目标设备采购工作。</w:t>
      </w:r>
    </w:p>
    <w:p w14:paraId="4323F810">
      <w:pPr>
        <w:keepNext w:val="0"/>
        <w:keepLines w:val="0"/>
        <w:widowControl w:val="0"/>
        <w:suppressLineNumbers w:val="0"/>
        <w:autoSpaceDE w:val="0"/>
        <w:autoSpaceDN/>
        <w:spacing w:before="0" w:beforeAutospacing="0" w:after="0" w:afterAutospacing="0" w:line="560" w:lineRule="exact"/>
        <w:ind w:left="0" w:leftChars="0" w:right="0" w:firstLine="643" w:firstLineChars="200"/>
        <w:jc w:val="both"/>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val="0"/>
          <w:kern w:val="2"/>
          <w:sz w:val="32"/>
          <w:szCs w:val="32"/>
          <w:lang w:val="en-US" w:eastAsia="zh-CN" w:bidi="ar"/>
        </w:rPr>
        <w:t>（二）专用指标</w:t>
      </w:r>
      <w:r>
        <w:rPr>
          <w:rFonts w:hint="eastAsia" w:ascii="楷体_GB2312" w:hAnsi="Times New Roman" w:eastAsia="楷体_GB2312" w:cs="楷体_GB2312"/>
          <w:b/>
          <w:bCs/>
          <w:color w:val="000000"/>
          <w:kern w:val="0"/>
          <w:sz w:val="32"/>
          <w:szCs w:val="32"/>
          <w:shd w:val="clear" w:fill="FFFFFF"/>
          <w:lang w:val="en-US" w:eastAsia="zh-CN" w:bidi="ar"/>
        </w:rPr>
        <w:t>绩效分析。</w:t>
      </w:r>
    </w:p>
    <w:p w14:paraId="6EF0690A">
      <w:pPr>
        <w:keepNext w:val="0"/>
        <w:keepLines w:val="0"/>
        <w:widowControl w:val="0"/>
        <w:suppressLineNumbers w:val="0"/>
        <w:autoSpaceDE w:val="0"/>
        <w:autoSpaceDN/>
        <w:spacing w:before="0" w:beforeAutospacing="0" w:after="0" w:afterAutospacing="0" w:line="560" w:lineRule="exact"/>
        <w:ind w:left="0" w:leftChars="0" w:right="0" w:firstLine="640"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1.用途合规性。</w:t>
      </w:r>
      <w:r>
        <w:rPr>
          <w:rFonts w:hint="eastAsia" w:ascii="仿宋_GB2312" w:hAnsi="Times New Roman" w:eastAsia="仿宋_GB2312" w:cs="仿宋_GB2312"/>
          <w:kern w:val="2"/>
          <w:sz w:val="32"/>
          <w:szCs w:val="32"/>
          <w:lang w:val="en-US" w:eastAsia="zh-CN" w:bidi="ar"/>
        </w:rPr>
        <w:t>项目资金按规定用途、适用范围进行资金分配。</w:t>
      </w:r>
    </w:p>
    <w:p w14:paraId="6BB2A955">
      <w:pPr>
        <w:keepNext w:val="0"/>
        <w:keepLines w:val="0"/>
        <w:widowControl w:val="0"/>
        <w:suppressLineNumbers w:val="0"/>
        <w:autoSpaceDE w:val="0"/>
        <w:autoSpaceDN/>
        <w:spacing w:before="0" w:beforeAutospacing="0" w:after="0" w:afterAutospacing="0" w:line="560" w:lineRule="exact"/>
        <w:ind w:left="0" w:right="0" w:firstLine="64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kern w:val="2"/>
          <w:sz w:val="32"/>
          <w:szCs w:val="32"/>
          <w:lang w:val="en-US" w:eastAsia="zh-CN" w:bidi="ar"/>
        </w:rPr>
        <w:t>2.程序合规性。</w:t>
      </w:r>
      <w:r>
        <w:rPr>
          <w:rFonts w:hint="eastAsia" w:ascii="仿宋_GB2312" w:hAnsi="Times New Roman" w:eastAsia="仿宋_GB2312" w:cs="仿宋_GB2312"/>
          <w:kern w:val="2"/>
          <w:sz w:val="32"/>
          <w:szCs w:val="32"/>
          <w:lang w:val="en-US" w:eastAsia="zh-CN" w:bidi="ar"/>
        </w:rPr>
        <w:t>资金管理程序符合专项资金管理要求。</w:t>
      </w:r>
    </w:p>
    <w:p w14:paraId="35AAF96B">
      <w:pPr>
        <w:pStyle w:val="17"/>
        <w:keepNext w:val="0"/>
        <w:keepLines w:val="0"/>
        <w:widowControl w:val="0"/>
        <w:suppressLineNumbers w:val="0"/>
        <w:autoSpaceDE w:val="0"/>
        <w:autoSpaceDN/>
        <w:spacing w:before="280" w:beforeAutospacing="0" w:after="156" w:afterAutospacing="0" w:line="560" w:lineRule="exact"/>
        <w:ind w:left="0" w:right="0" w:firstLine="640" w:firstLineChars="200"/>
        <w:jc w:val="left"/>
        <w:outlineLvl w:val="4"/>
        <w:rPr>
          <w:rFonts w:hint="default" w:ascii="Times New Roman" w:hAnsi="Times New Roman" w:eastAsia="黑体" w:cs="Times New Roman"/>
          <w:b/>
          <w:bCs w:val="0"/>
          <w:kern w:val="2"/>
          <w:sz w:val="24"/>
          <w:szCs w:val="24"/>
        </w:rPr>
      </w:pPr>
      <w:r>
        <w:rPr>
          <w:rFonts w:hint="eastAsia" w:ascii="楷体_GB2312" w:hAnsi="Arial" w:eastAsia="楷体_GB2312" w:cs="楷体_GB2312"/>
          <w:b w:val="0"/>
          <w:kern w:val="2"/>
          <w:sz w:val="32"/>
          <w:szCs w:val="32"/>
          <w:lang w:val="en-US" w:eastAsia="zh-CN" w:bidi="ar"/>
        </w:rPr>
        <w:t>3.标准合规性。</w:t>
      </w:r>
      <w:r>
        <w:rPr>
          <w:rFonts w:hint="eastAsia" w:ascii="仿宋_GB2312" w:hAnsi="Times New Roman" w:eastAsia="仿宋_GB2312" w:cs="仿宋_GB2312"/>
          <w:b w:val="0"/>
          <w:kern w:val="2"/>
          <w:sz w:val="32"/>
          <w:szCs w:val="32"/>
          <w:lang w:val="en-US" w:eastAsia="zh-CN" w:bidi="ar"/>
        </w:rPr>
        <w:t>资金分配标准符合专项资金管理要求。</w:t>
      </w:r>
    </w:p>
    <w:p w14:paraId="486A4FF8">
      <w:pPr>
        <w:keepNext w:val="0"/>
        <w:keepLines w:val="0"/>
        <w:widowControl w:val="0"/>
        <w:suppressLineNumbers w:val="0"/>
        <w:autoSpaceDE w:val="0"/>
        <w:autoSpaceDN/>
        <w:spacing w:before="0" w:beforeAutospacing="0" w:after="0" w:afterAutospacing="0" w:line="560" w:lineRule="exact"/>
        <w:ind w:left="0" w:right="0" w:firstLine="64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val="0"/>
          <w:kern w:val="2"/>
          <w:sz w:val="32"/>
          <w:szCs w:val="32"/>
          <w:lang w:val="en-US" w:eastAsia="zh-CN" w:bidi="ar"/>
        </w:rPr>
        <w:t>（三）个性指标</w:t>
      </w:r>
      <w:r>
        <w:rPr>
          <w:rFonts w:hint="eastAsia" w:ascii="楷体_GB2312" w:hAnsi="Times New Roman" w:eastAsia="楷体_GB2312" w:cs="楷体_GB2312"/>
          <w:b/>
          <w:bCs/>
          <w:color w:val="000000"/>
          <w:kern w:val="0"/>
          <w:sz w:val="32"/>
          <w:szCs w:val="32"/>
          <w:shd w:val="clear" w:fill="FFFFFF"/>
          <w:lang w:val="en-US" w:eastAsia="zh-CN" w:bidi="ar"/>
        </w:rPr>
        <w:t>绩效分析。</w:t>
      </w:r>
      <w:r>
        <w:rPr>
          <w:rFonts w:hint="eastAsia" w:ascii="楷体_GB2312" w:hAnsi="Times New Roman" w:eastAsia="楷体_GB2312" w:cs="楷体_GB2312"/>
          <w:b w:val="0"/>
          <w:kern w:val="2"/>
          <w:sz w:val="32"/>
          <w:szCs w:val="32"/>
          <w:lang w:val="en-US" w:eastAsia="zh-CN" w:bidi="ar"/>
        </w:rPr>
        <w:t>投诉率。</w:t>
      </w:r>
      <w:r>
        <w:rPr>
          <w:rFonts w:hint="eastAsia" w:ascii="仿宋_GB2312" w:hAnsi="Times New Roman" w:eastAsia="仿宋_GB2312" w:cs="仿宋_GB2312"/>
          <w:b w:val="0"/>
          <w:kern w:val="2"/>
          <w:sz w:val="32"/>
          <w:szCs w:val="32"/>
          <w:lang w:val="en-US" w:eastAsia="zh-CN" w:bidi="ar"/>
        </w:rPr>
        <w:t>未出现被设备供应商投诉情况。</w:t>
      </w:r>
    </w:p>
    <w:p w14:paraId="60CDCC14">
      <w:pPr>
        <w:pStyle w:val="17"/>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default" w:ascii="Times New Roman" w:hAnsi="Times New Roman" w:eastAsia="黑体" w:cs="Times New Roman"/>
          <w:kern w:val="0"/>
          <w:position w:val="3"/>
          <w:sz w:val="32"/>
          <w:szCs w:val="32"/>
        </w:rPr>
      </w:pPr>
      <w:r>
        <w:rPr>
          <w:rFonts w:hint="eastAsia" w:ascii="黑体" w:hAnsi="宋体" w:eastAsia="黑体" w:cs="黑体"/>
          <w:kern w:val="0"/>
          <w:position w:val="3"/>
          <w:sz w:val="32"/>
          <w:szCs w:val="32"/>
          <w:lang w:val="en-US" w:eastAsia="zh-CN" w:bidi="ar"/>
        </w:rPr>
        <w:t>四、评价结论</w:t>
      </w:r>
    </w:p>
    <w:p w14:paraId="0A7B3383">
      <w:pPr>
        <w:pStyle w:val="17"/>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eastAsia" w:ascii="仿宋_GB2312" w:eastAsia="仿宋_GB2312" w:cs="仿宋_GB2312"/>
          <w:b w:val="0"/>
          <w:bCs w:val="0"/>
          <w:kern w:val="0"/>
          <w:sz w:val="32"/>
          <w:szCs w:val="32"/>
        </w:rPr>
      </w:pPr>
      <w:r>
        <w:rPr>
          <w:rFonts w:hint="eastAsia" w:ascii="仿宋_GB2312" w:hAnsi="Times New Roman" w:eastAsia="仿宋_GB2312" w:cs="仿宋_GB2312"/>
          <w:b w:val="0"/>
          <w:bCs w:val="0"/>
          <w:kern w:val="0"/>
          <w:position w:val="3"/>
          <w:sz w:val="32"/>
          <w:szCs w:val="32"/>
          <w:lang w:val="en-US" w:eastAsia="zh-CN" w:bidi="ar"/>
        </w:rPr>
        <w:t>质特所2025年省级监督抽查抽样项目绩效目标设置合理，绩效监控覆盖项目全过程，项目资金使用合法合规，项目实施过程中未出现与绩效目标不符等相关情况。</w:t>
      </w:r>
    </w:p>
    <w:p w14:paraId="023ECA55">
      <w:pPr>
        <w:pStyle w:val="17"/>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default" w:ascii="Times New Roman" w:hAnsi="Times New Roman" w:eastAsia="黑体" w:cs="Times New Roman"/>
          <w:kern w:val="0"/>
          <w:position w:val="3"/>
          <w:sz w:val="32"/>
          <w:szCs w:val="32"/>
        </w:rPr>
      </w:pPr>
      <w:r>
        <w:rPr>
          <w:rFonts w:hint="eastAsia" w:ascii="黑体" w:hAnsi="宋体" w:eastAsia="黑体" w:cs="黑体"/>
          <w:kern w:val="0"/>
          <w:position w:val="3"/>
          <w:sz w:val="32"/>
          <w:szCs w:val="32"/>
          <w:lang w:val="en-US" w:eastAsia="zh-CN" w:bidi="ar"/>
        </w:rPr>
        <w:t>五、存在主要问题</w:t>
      </w:r>
    </w:p>
    <w:p w14:paraId="1ACF0D62">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仿宋_GB2312" w:cs="Times New Roman"/>
          <w:kern w:val="2"/>
          <w:sz w:val="32"/>
          <w:szCs w:val="32"/>
        </w:rPr>
      </w:pPr>
      <w:r>
        <w:rPr>
          <w:rFonts w:hint="eastAsia" w:ascii="仿宋_GB2312" w:hAnsi="Times New Roman" w:eastAsia="仿宋_GB2312" w:cs="仿宋_GB2312"/>
          <w:i w:val="0"/>
          <w:iCs w:val="0"/>
          <w:caps w:val="0"/>
          <w:spacing w:val="0"/>
          <w:kern w:val="2"/>
          <w:sz w:val="32"/>
          <w:szCs w:val="32"/>
          <w:shd w:val="clear" w:fill="FFFFFF"/>
          <w:lang w:val="en-US" w:eastAsia="zh-CN" w:bidi="ar"/>
        </w:rPr>
        <w:t>通过自评，未发现预算支出存在问题。</w:t>
      </w:r>
    </w:p>
    <w:p w14:paraId="5661CF13">
      <w:pPr>
        <w:pStyle w:val="17"/>
        <w:keepNext w:val="0"/>
        <w:keepLines w:val="0"/>
        <w:widowControl/>
        <w:suppressLineNumbers w:val="0"/>
        <w:autoSpaceDE w:val="0"/>
        <w:autoSpaceDN/>
        <w:spacing w:before="0" w:beforeAutospacing="0" w:after="0" w:afterAutospacing="0" w:line="600" w:lineRule="exact"/>
        <w:ind w:left="0" w:right="0" w:firstLine="640" w:firstLineChars="200"/>
        <w:jc w:val="left"/>
        <w:rPr>
          <w:rFonts w:hint="default" w:ascii="Times New Roman" w:hAnsi="Times New Roman" w:eastAsia="黑体" w:cs="Times New Roman"/>
          <w:kern w:val="0"/>
          <w:position w:val="3"/>
          <w:sz w:val="32"/>
          <w:szCs w:val="32"/>
        </w:rPr>
      </w:pPr>
      <w:r>
        <w:rPr>
          <w:rFonts w:hint="eastAsia" w:ascii="黑体" w:hAnsi="宋体" w:eastAsia="黑体" w:cs="黑体"/>
          <w:kern w:val="0"/>
          <w:position w:val="3"/>
          <w:sz w:val="32"/>
          <w:szCs w:val="32"/>
          <w:lang w:val="en-US" w:eastAsia="zh-CN" w:bidi="ar"/>
        </w:rPr>
        <w:t>六、改进建议</w:t>
      </w:r>
    </w:p>
    <w:p w14:paraId="74F4D0EA">
      <w:pPr>
        <w:keepNext w:val="0"/>
        <w:keepLines w:val="0"/>
        <w:widowControl w:val="0"/>
        <w:suppressLineNumbers w:val="0"/>
        <w:spacing w:before="0" w:beforeAutospacing="0" w:after="0" w:afterAutospacing="0"/>
        <w:ind w:left="0" w:right="0"/>
        <w:jc w:val="left"/>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kern w:val="0"/>
          <w:sz w:val="32"/>
          <w:szCs w:val="32"/>
          <w:shd w:val="clear" w:fill="FFFFFF"/>
          <w:lang w:val="en-US" w:eastAsia="zh-CN" w:bidi="ar"/>
        </w:rPr>
        <w:t xml:space="preserve"> </w:t>
      </w:r>
      <w:r>
        <w:rPr>
          <w:rFonts w:hint="default" w:ascii="Times New Roman" w:hAnsi="Times New Roman" w:eastAsia="仿宋_GB2312" w:cs="Times New Roman"/>
          <w:b w:val="0"/>
          <w:bCs w:val="0"/>
          <w:kern w:val="0"/>
          <w:sz w:val="32"/>
          <w:szCs w:val="32"/>
          <w:lang w:val="en-US" w:eastAsia="zh-CN" w:bidi="ar"/>
        </w:rPr>
        <w:t xml:space="preserve">   </w:t>
      </w:r>
      <w:bookmarkStart w:id="49" w:name="_Hlk110546638"/>
      <w:r>
        <w:rPr>
          <w:rFonts w:hint="default" w:ascii="Times New Roman" w:hAnsi="Times New Roman" w:eastAsia="仿宋_GB2312" w:cs="Times New Roman"/>
          <w:b w:val="0"/>
          <w:bCs w:val="0"/>
          <w:kern w:val="0"/>
          <w:sz w:val="32"/>
          <w:szCs w:val="32"/>
          <w:lang w:val="en-US" w:eastAsia="zh-CN" w:bidi="ar"/>
        </w:rPr>
        <w:t xml:space="preserve"> </w:t>
      </w:r>
      <w:bookmarkEnd w:id="49"/>
      <w:r>
        <w:rPr>
          <w:rFonts w:hint="eastAsia" w:ascii="仿宋_GB2312" w:hAnsi="Times New Roman" w:eastAsia="仿宋_GB2312" w:cs="仿宋_GB2312"/>
          <w:b w:val="0"/>
          <w:bCs w:val="0"/>
          <w:kern w:val="0"/>
          <w:sz w:val="32"/>
          <w:szCs w:val="32"/>
          <w:lang w:val="en-US" w:eastAsia="zh-CN" w:bidi="ar"/>
        </w:rPr>
        <w:t>强化预算绩效管理意识，严格按照年度工作计划，加强业务科室与财务室之间的联络沟通，加快稳步推进预算执行进度</w:t>
      </w:r>
      <w:r>
        <w:rPr>
          <w:rFonts w:hint="eastAsia" w:ascii="仿宋_GB2312" w:hAnsi="Times New Roman" w:eastAsia="仿宋_GB2312" w:cs="仿宋_GB2312"/>
          <w:i w:val="0"/>
          <w:iCs w:val="0"/>
          <w:caps w:val="0"/>
          <w:color w:val="333333"/>
          <w:spacing w:val="0"/>
          <w:kern w:val="2"/>
          <w:sz w:val="32"/>
          <w:szCs w:val="32"/>
          <w:shd w:val="clear" w:fill="FFFFFF"/>
          <w:lang w:val="en-US" w:eastAsia="zh-CN" w:bidi="ar"/>
        </w:rPr>
        <w:t>。</w:t>
      </w:r>
    </w:p>
    <w:p w14:paraId="6F63CA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C4BFB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895C4C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7EEE5F2F">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48"/>
      <w:bookmarkEnd w:id="50"/>
      <w:bookmarkStart w:id="51" w:name="_Toc15396619"/>
    </w:p>
    <w:p w14:paraId="4974472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D16817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1"/>
    </w:p>
    <w:p w14:paraId="33A3AEC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0"/>
      <w:r>
        <w:rPr>
          <w:rFonts w:hint="eastAsia" w:ascii="Times New Roman" w:hAnsi="Times New Roman" w:eastAsia="仿宋_GB2312" w:cs="仿宋_GB2312"/>
          <w:color w:val="auto"/>
          <w:sz w:val="32"/>
          <w:szCs w:val="32"/>
          <w:highlight w:val="none"/>
        </w:rPr>
        <w:t>二、收入决算表</w:t>
      </w:r>
      <w:bookmarkEnd w:id="52"/>
    </w:p>
    <w:p w14:paraId="17EEE19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1"/>
      <w:r>
        <w:rPr>
          <w:rFonts w:hint="eastAsia" w:ascii="Times New Roman" w:hAnsi="Times New Roman" w:eastAsia="仿宋_GB2312" w:cs="仿宋_GB2312"/>
          <w:color w:val="auto"/>
          <w:sz w:val="32"/>
          <w:szCs w:val="32"/>
          <w:highlight w:val="none"/>
        </w:rPr>
        <w:t>三、支出决算表</w:t>
      </w:r>
      <w:bookmarkEnd w:id="53"/>
    </w:p>
    <w:p w14:paraId="2D7DD89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2"/>
      <w:r>
        <w:rPr>
          <w:rFonts w:hint="eastAsia" w:ascii="Times New Roman" w:hAnsi="Times New Roman" w:eastAsia="仿宋_GB2312" w:cs="仿宋_GB2312"/>
          <w:color w:val="auto"/>
          <w:sz w:val="32"/>
          <w:szCs w:val="32"/>
          <w:highlight w:val="none"/>
        </w:rPr>
        <w:t>四、财政拨款收入支出决算总表</w:t>
      </w:r>
      <w:bookmarkEnd w:id="54"/>
    </w:p>
    <w:p w14:paraId="1BCA8E4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3"/>
      <w:r>
        <w:rPr>
          <w:rFonts w:hint="eastAsia" w:ascii="Times New Roman" w:hAnsi="Times New Roman" w:eastAsia="仿宋_GB2312" w:cs="仿宋_GB2312"/>
          <w:color w:val="auto"/>
          <w:sz w:val="32"/>
          <w:szCs w:val="32"/>
          <w:highlight w:val="none"/>
        </w:rPr>
        <w:t>五、财政拨款支出决算明细表</w:t>
      </w:r>
      <w:bookmarkEnd w:id="55"/>
      <w:bookmarkStart w:id="56" w:name="_Toc15396624"/>
    </w:p>
    <w:p w14:paraId="197EFD7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6"/>
    </w:p>
    <w:p w14:paraId="51D38A3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5"/>
      <w:r>
        <w:rPr>
          <w:rFonts w:hint="eastAsia" w:ascii="Times New Roman" w:hAnsi="Times New Roman" w:eastAsia="仿宋_GB2312" w:cs="仿宋_GB2312"/>
          <w:color w:val="auto"/>
          <w:sz w:val="32"/>
          <w:szCs w:val="32"/>
          <w:highlight w:val="none"/>
        </w:rPr>
        <w:t>七、一般公共预算财政拨款支出决算明细表</w:t>
      </w:r>
      <w:bookmarkEnd w:id="57"/>
    </w:p>
    <w:p w14:paraId="0BA0DB5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6"/>
      <w:r>
        <w:rPr>
          <w:rFonts w:hint="eastAsia" w:ascii="Times New Roman" w:hAnsi="Times New Roman" w:eastAsia="仿宋_GB2312" w:cs="仿宋_GB2312"/>
          <w:color w:val="auto"/>
          <w:sz w:val="32"/>
          <w:szCs w:val="32"/>
          <w:highlight w:val="none"/>
        </w:rPr>
        <w:t>八、一般公共预算财政拨款基本支出决算表</w:t>
      </w:r>
      <w:bookmarkEnd w:id="58"/>
    </w:p>
    <w:p w14:paraId="7F7D18C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7"/>
      <w:r>
        <w:rPr>
          <w:rFonts w:hint="eastAsia" w:ascii="Times New Roman" w:hAnsi="Times New Roman" w:eastAsia="仿宋_GB2312" w:cs="仿宋_GB2312"/>
          <w:color w:val="auto"/>
          <w:sz w:val="32"/>
          <w:szCs w:val="32"/>
          <w:highlight w:val="none"/>
        </w:rPr>
        <w:t>九、一般公共预算财政拨款项目支出决算表</w:t>
      </w:r>
      <w:bookmarkEnd w:id="59"/>
    </w:p>
    <w:p w14:paraId="230DBD5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8"/>
      <w:r>
        <w:rPr>
          <w:rFonts w:hint="eastAsia" w:ascii="Times New Roman" w:hAnsi="Times New Roman" w:eastAsia="仿宋_GB2312" w:cs="仿宋_GB2312"/>
          <w:color w:val="auto"/>
          <w:sz w:val="32"/>
          <w:szCs w:val="32"/>
          <w:highlight w:val="none"/>
        </w:rPr>
        <w:t>十、</w:t>
      </w:r>
      <w:bookmarkEnd w:id="60"/>
      <w:r>
        <w:rPr>
          <w:rFonts w:hint="eastAsia" w:ascii="Times New Roman" w:hAnsi="Times New Roman" w:eastAsia="仿宋_GB2312" w:cs="仿宋_GB2312"/>
          <w:color w:val="auto"/>
          <w:sz w:val="32"/>
          <w:szCs w:val="32"/>
          <w:highlight w:val="none"/>
        </w:rPr>
        <w:t>政府性基金预算财政拨款收入支出决算表</w:t>
      </w:r>
    </w:p>
    <w:p w14:paraId="7985B87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9"/>
      <w:r>
        <w:rPr>
          <w:rFonts w:hint="eastAsia" w:ascii="Times New Roman" w:hAnsi="Times New Roman" w:eastAsia="仿宋_GB2312" w:cs="仿宋_GB2312"/>
          <w:color w:val="auto"/>
          <w:sz w:val="32"/>
          <w:szCs w:val="32"/>
          <w:highlight w:val="none"/>
        </w:rPr>
        <w:t>十一、</w:t>
      </w:r>
      <w:bookmarkEnd w:id="6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D810C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30"/>
      <w:r>
        <w:rPr>
          <w:rFonts w:hint="eastAsia" w:ascii="Times New Roman" w:hAnsi="Times New Roman" w:eastAsia="仿宋_GB2312" w:cs="仿宋_GB2312"/>
          <w:color w:val="auto"/>
          <w:sz w:val="32"/>
          <w:szCs w:val="32"/>
          <w:highlight w:val="none"/>
        </w:rPr>
        <w:t>十二、</w:t>
      </w:r>
      <w:bookmarkEnd w:id="62"/>
      <w:r>
        <w:rPr>
          <w:rFonts w:hint="eastAsia" w:ascii="Times New Roman" w:hAnsi="Times New Roman" w:eastAsia="仿宋_GB2312" w:cs="仿宋_GB2312"/>
          <w:color w:val="auto"/>
          <w:sz w:val="32"/>
          <w:szCs w:val="32"/>
          <w:highlight w:val="none"/>
          <w:lang w:eastAsia="zh-CN"/>
        </w:rPr>
        <w:t>国有资本经营预算财政拨款支出决算表</w:t>
      </w:r>
    </w:p>
    <w:p w14:paraId="4CCE231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3" w:name="_Toc15396631"/>
      <w:r>
        <w:rPr>
          <w:rFonts w:hint="eastAsia" w:ascii="Times New Roman" w:hAnsi="Times New Roman" w:eastAsia="仿宋_GB2312" w:cs="仿宋_GB2312"/>
          <w:color w:val="auto"/>
          <w:sz w:val="32"/>
          <w:szCs w:val="32"/>
          <w:highlight w:val="none"/>
        </w:rPr>
        <w:t>十三、</w:t>
      </w:r>
      <w:bookmarkEnd w:id="63"/>
      <w:r>
        <w:rPr>
          <w:rFonts w:hint="eastAsia" w:ascii="Times New Roman" w:hAnsi="Times New Roman" w:eastAsia="仿宋_GB2312" w:cs="仿宋_GB2312"/>
          <w:color w:val="auto"/>
          <w:sz w:val="32"/>
          <w:szCs w:val="32"/>
          <w:highlight w:val="none"/>
          <w:lang w:eastAsia="zh-CN"/>
        </w:rPr>
        <w:t>财政拨款“三公”经费支出决算表</w:t>
      </w:r>
    </w:p>
    <w:p w14:paraId="5602DEC3">
      <w:pPr>
        <w:rPr>
          <w:rFonts w:hint="eastAsia" w:ascii="Times New Roman" w:hAnsi="Times New Roman"/>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878DB63-3081-4414-9C70-075FD4439DC0}"/>
  </w:font>
  <w:font w:name="黑体">
    <w:panose1 w:val="02010609060101010101"/>
    <w:charset w:val="86"/>
    <w:family w:val="auto"/>
    <w:pitch w:val="default"/>
    <w:sig w:usb0="800002BF" w:usb1="38CF7CFA" w:usb2="00000016" w:usb3="00000000" w:csb0="00040001" w:csb1="00000000"/>
    <w:embedRegular r:id="rId2" w:fontKey="{C040FC6D-A630-48DC-B676-6EC07CC3765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6A4090AC-2248-48E8-8528-3137533B0FFB}"/>
  </w:font>
  <w:font w:name="仿宋">
    <w:panose1 w:val="02010609060101010101"/>
    <w:charset w:val="86"/>
    <w:family w:val="modern"/>
    <w:pitch w:val="default"/>
    <w:sig w:usb0="800002BF" w:usb1="38CF7CFA" w:usb2="00000016" w:usb3="00000000" w:csb0="00040001" w:csb1="00000000"/>
    <w:embedRegular r:id="rId4" w:fontKey="{7EFB786C-8575-4A23-B375-C05A7E15D4F5}"/>
  </w:font>
  <w:font w:name="??">
    <w:altName w:val="仿宋"/>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embedRegular r:id="rId5" w:fontKey="{17A23F1C-687C-457B-9E65-08FBFFC88584}"/>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6" w:fontKey="{DAFA2453-3F8F-4A36-9D53-5355A92058F4}"/>
  </w:font>
  <w:font w:name="方正仿宋_GBK">
    <w:panose1 w:val="02000000000000000000"/>
    <w:charset w:val="86"/>
    <w:family w:val="auto"/>
    <w:pitch w:val="default"/>
    <w:sig w:usb0="A00002BF" w:usb1="38CF7CFA" w:usb2="00082016" w:usb3="00000000" w:csb0="00040001" w:csb1="00000000"/>
    <w:embedRegular r:id="rId7" w:fontKey="{F711AB63-4C79-4AA2-8C95-79CB5180099E}"/>
  </w:font>
  <w:font w:name="微软雅黑">
    <w:panose1 w:val="020B0503020204020204"/>
    <w:charset w:val="86"/>
    <w:family w:val="auto"/>
    <w:pitch w:val="default"/>
    <w:sig w:usb0="80000287" w:usb1="280F3C52" w:usb2="00000016" w:usb3="00000000" w:csb0="0004001F" w:csb1="00000000"/>
    <w:embedRegular r:id="rId8" w:fontKey="{D32DFE52-B026-4A08-8358-049AC0EE09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33488">
    <w:pPr>
      <w:pStyle w:val="12"/>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D16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8ED1640">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3D0C1CD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0C8C">
    <w:pPr>
      <w:pStyle w:val="12"/>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BE11A">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4FBE11A">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E7467">
    <w:pPr>
      <w:pStyle w:val="12"/>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97526">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A597526">
                    <w:pPr>
                      <w:pStyle w:val="12"/>
                    </w:pPr>
                    <w:r>
                      <w:fldChar w:fldCharType="begin"/>
                    </w:r>
                    <w:r>
                      <w:instrText xml:space="preserve"> PAGE  \* MERGEFORMAT </w:instrText>
                    </w:r>
                    <w:r>
                      <w:fldChar w:fldCharType="separate"/>
                    </w:r>
                    <w:r>
                      <w:t>2</w:t>
                    </w:r>
                    <w:r>
                      <w:fldChar w:fldCharType="end"/>
                    </w:r>
                  </w:p>
                </w:txbxContent>
              </v:textbox>
            </v:shape>
          </w:pict>
        </mc:Fallback>
      </mc:AlternateContent>
    </w:r>
  </w:p>
  <w:p w14:paraId="283C97AD">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6A9D2">
    <w:pPr>
      <w:pStyle w:val="12"/>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25CDB">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5E25CD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789A4">
    <w:pPr>
      <w:pStyle w:val="12"/>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3B36C6">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B3B36C6">
                    <w:pPr>
                      <w:pStyle w:val="12"/>
                    </w:pPr>
                    <w:r>
                      <w:fldChar w:fldCharType="begin"/>
                    </w:r>
                    <w:r>
                      <w:instrText xml:space="preserve"> PAGE  \* MERGEFORMAT </w:instrText>
                    </w:r>
                    <w:r>
                      <w:fldChar w:fldCharType="separate"/>
                    </w:r>
                    <w:r>
                      <w:t>2</w:t>
                    </w:r>
                    <w:r>
                      <w:fldChar w:fldCharType="end"/>
                    </w:r>
                  </w:p>
                </w:txbxContent>
              </v:textbox>
            </v:shape>
          </w:pict>
        </mc:Fallback>
      </mc:AlternateContent>
    </w:r>
  </w:p>
  <w:p w14:paraId="79B0A7CA">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74921">
    <w:pPr>
      <w:pStyle w:val="12"/>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B21034">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2B21034">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84A8B">
    <w:pPr>
      <w:pStyle w:val="12"/>
      <w:jc w:val="cente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B9014">
                          <w:pPr>
                            <w:pStyle w:val="12"/>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ADB9014">
                    <w:pPr>
                      <w:pStyle w:val="12"/>
                    </w:pPr>
                    <w:r>
                      <w:fldChar w:fldCharType="begin"/>
                    </w:r>
                    <w:r>
                      <w:instrText xml:space="preserve"> PAGE  \* MERGEFORMAT </w:instrText>
                    </w:r>
                    <w:r>
                      <w:fldChar w:fldCharType="separate"/>
                    </w:r>
                    <w:r>
                      <w:t>13</w:t>
                    </w:r>
                    <w:r>
                      <w:fldChar w:fldCharType="end"/>
                    </w:r>
                  </w:p>
                </w:txbxContent>
              </v:textbox>
            </v:shape>
          </w:pict>
        </mc:Fallback>
      </mc:AlternateContent>
    </w:r>
  </w:p>
  <w:p w14:paraId="5824566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A337B">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D8504A"/>
    <w:multiLevelType w:val="multilevel"/>
    <w:tmpl w:val="D9D8504A"/>
    <w:lvl w:ilvl="0" w:tentative="0">
      <w:start w:val="2"/>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EFE39D60"/>
    <w:multiLevelType w:val="multilevel"/>
    <w:tmpl w:val="EFE39D60"/>
    <w:lvl w:ilvl="0" w:tentative="0">
      <w:start w:val="2"/>
      <w:numFmt w:val="chineseCounting"/>
      <w:suff w:val="nothing"/>
      <w:lvlText w:val="（%1）"/>
      <w:lvlJc w:val="left"/>
      <w:pPr>
        <w:ind w:left="0" w:firstLine="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FFBE1E26"/>
    <w:multiLevelType w:val="multilevel"/>
    <w:tmpl w:val="FFBE1E26"/>
    <w:lvl w:ilvl="0" w:tentative="0">
      <w:start w:val="3"/>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FFFF2A10"/>
    <w:multiLevelType w:val="singleLevel"/>
    <w:tmpl w:val="FFFF2A10"/>
    <w:lvl w:ilvl="0" w:tentative="0">
      <w:start w:val="1"/>
      <w:numFmt w:val="decimal"/>
      <w:lvlText w:val="%1."/>
      <w:lvlJc w:val="left"/>
      <w:pPr>
        <w:tabs>
          <w:tab w:val="left" w:pos="312"/>
        </w:tabs>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B9398C"/>
    <w:rsid w:val="061E35DE"/>
    <w:rsid w:val="066E0107"/>
    <w:rsid w:val="07996F6E"/>
    <w:rsid w:val="07DFD8BA"/>
    <w:rsid w:val="08DB07E4"/>
    <w:rsid w:val="09867E8F"/>
    <w:rsid w:val="0A2032A3"/>
    <w:rsid w:val="0C6C4794"/>
    <w:rsid w:val="0CA8290A"/>
    <w:rsid w:val="0D35B1ED"/>
    <w:rsid w:val="0DE07E2B"/>
    <w:rsid w:val="0F98263C"/>
    <w:rsid w:val="0FE3C4C5"/>
    <w:rsid w:val="101860EC"/>
    <w:rsid w:val="10C055FF"/>
    <w:rsid w:val="11772AA4"/>
    <w:rsid w:val="118107EC"/>
    <w:rsid w:val="13D50BC4"/>
    <w:rsid w:val="14022904"/>
    <w:rsid w:val="152F2A07"/>
    <w:rsid w:val="15FE6B8E"/>
    <w:rsid w:val="165E0673"/>
    <w:rsid w:val="16BB723D"/>
    <w:rsid w:val="186504BB"/>
    <w:rsid w:val="1938089F"/>
    <w:rsid w:val="19A445FC"/>
    <w:rsid w:val="1B7D550C"/>
    <w:rsid w:val="1BE8440E"/>
    <w:rsid w:val="1D155CEE"/>
    <w:rsid w:val="1E740ACF"/>
    <w:rsid w:val="1F62156A"/>
    <w:rsid w:val="1FEF6206"/>
    <w:rsid w:val="1FF35744"/>
    <w:rsid w:val="1FF6BC77"/>
    <w:rsid w:val="21962A9E"/>
    <w:rsid w:val="21AE7C77"/>
    <w:rsid w:val="224D6862"/>
    <w:rsid w:val="22BC3C41"/>
    <w:rsid w:val="23860B96"/>
    <w:rsid w:val="240371BF"/>
    <w:rsid w:val="260F557C"/>
    <w:rsid w:val="281408E2"/>
    <w:rsid w:val="29FD04D3"/>
    <w:rsid w:val="2BC5112A"/>
    <w:rsid w:val="2BFF7BC6"/>
    <w:rsid w:val="2C8A61B5"/>
    <w:rsid w:val="2D2E01CF"/>
    <w:rsid w:val="2DF04E50"/>
    <w:rsid w:val="2E9545B0"/>
    <w:rsid w:val="2EBED35E"/>
    <w:rsid w:val="2EE5E4DE"/>
    <w:rsid w:val="2F040D46"/>
    <w:rsid w:val="2FAE5751"/>
    <w:rsid w:val="2FB1A395"/>
    <w:rsid w:val="2FD9A7D8"/>
    <w:rsid w:val="2FFBF12C"/>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5B92F1"/>
    <w:rsid w:val="3B7EF35A"/>
    <w:rsid w:val="3B9FDB6C"/>
    <w:rsid w:val="3BF5BC2F"/>
    <w:rsid w:val="3CEBA265"/>
    <w:rsid w:val="3D98207C"/>
    <w:rsid w:val="3D9B0D99"/>
    <w:rsid w:val="3DBF3163"/>
    <w:rsid w:val="3DEE7CF3"/>
    <w:rsid w:val="3DF02244"/>
    <w:rsid w:val="3E78745D"/>
    <w:rsid w:val="3EFFFE16"/>
    <w:rsid w:val="3FF4CAE0"/>
    <w:rsid w:val="3FF5A640"/>
    <w:rsid w:val="3FF7B227"/>
    <w:rsid w:val="40E54C45"/>
    <w:rsid w:val="43A407DF"/>
    <w:rsid w:val="44515BEA"/>
    <w:rsid w:val="44E268DA"/>
    <w:rsid w:val="453F7E5B"/>
    <w:rsid w:val="486A6C7A"/>
    <w:rsid w:val="49176D9B"/>
    <w:rsid w:val="4A627F82"/>
    <w:rsid w:val="4B0E749A"/>
    <w:rsid w:val="4B4F25DA"/>
    <w:rsid w:val="4BDA0CFB"/>
    <w:rsid w:val="4BE068DB"/>
    <w:rsid w:val="4BFB852D"/>
    <w:rsid w:val="4D3C0CCC"/>
    <w:rsid w:val="4D577224"/>
    <w:rsid w:val="4DBF1CEB"/>
    <w:rsid w:val="4EAB630A"/>
    <w:rsid w:val="4ECE2238"/>
    <w:rsid w:val="4F833267"/>
    <w:rsid w:val="4FBD9B75"/>
    <w:rsid w:val="4FE9BD67"/>
    <w:rsid w:val="4FFB052F"/>
    <w:rsid w:val="4FFD5D21"/>
    <w:rsid w:val="51E1640E"/>
    <w:rsid w:val="53083A92"/>
    <w:rsid w:val="537E6D0A"/>
    <w:rsid w:val="53AF27A2"/>
    <w:rsid w:val="53F74C96"/>
    <w:rsid w:val="56E47B74"/>
    <w:rsid w:val="57BD3DD4"/>
    <w:rsid w:val="57FBE366"/>
    <w:rsid w:val="5A71963B"/>
    <w:rsid w:val="5A7FAD65"/>
    <w:rsid w:val="5AA9292B"/>
    <w:rsid w:val="5AF92295"/>
    <w:rsid w:val="5BD34FDF"/>
    <w:rsid w:val="5BDD79E6"/>
    <w:rsid w:val="5BF561CA"/>
    <w:rsid w:val="5BFF5DFC"/>
    <w:rsid w:val="5CD71FC4"/>
    <w:rsid w:val="5D1F11B5"/>
    <w:rsid w:val="5DAE1B18"/>
    <w:rsid w:val="5DC92008"/>
    <w:rsid w:val="5DE7D9E5"/>
    <w:rsid w:val="5DF71381"/>
    <w:rsid w:val="5ECEC941"/>
    <w:rsid w:val="5F493CB7"/>
    <w:rsid w:val="5FA10BCA"/>
    <w:rsid w:val="5FBF9FF3"/>
    <w:rsid w:val="5FCD4E2C"/>
    <w:rsid w:val="5FD15F49"/>
    <w:rsid w:val="5FDE782F"/>
    <w:rsid w:val="5FEF394A"/>
    <w:rsid w:val="5FF67715"/>
    <w:rsid w:val="5FFBB441"/>
    <w:rsid w:val="62BF3928"/>
    <w:rsid w:val="647F5392"/>
    <w:rsid w:val="664B1D71"/>
    <w:rsid w:val="67AA3209"/>
    <w:rsid w:val="681C4F0D"/>
    <w:rsid w:val="68FE0CCA"/>
    <w:rsid w:val="69046D0F"/>
    <w:rsid w:val="698D0931"/>
    <w:rsid w:val="6A993CED"/>
    <w:rsid w:val="6B053271"/>
    <w:rsid w:val="6BC5B944"/>
    <w:rsid w:val="6BCE6674"/>
    <w:rsid w:val="6BF31691"/>
    <w:rsid w:val="6BF7125E"/>
    <w:rsid w:val="6C4A05C8"/>
    <w:rsid w:val="6C8742B8"/>
    <w:rsid w:val="6C8A170F"/>
    <w:rsid w:val="6CB54609"/>
    <w:rsid w:val="6DBF5E93"/>
    <w:rsid w:val="6DFF077E"/>
    <w:rsid w:val="6E7E3605"/>
    <w:rsid w:val="6E7FDCC7"/>
    <w:rsid w:val="6ED6A62E"/>
    <w:rsid w:val="6EE00B15"/>
    <w:rsid w:val="6F544B20"/>
    <w:rsid w:val="6F6FB3EB"/>
    <w:rsid w:val="6F784160"/>
    <w:rsid w:val="6F7F6D61"/>
    <w:rsid w:val="6F8731EA"/>
    <w:rsid w:val="6FACDC4A"/>
    <w:rsid w:val="6FCE6052"/>
    <w:rsid w:val="6FD57C00"/>
    <w:rsid w:val="6FEFFFD8"/>
    <w:rsid w:val="6FF5CC65"/>
    <w:rsid w:val="6FFB47EC"/>
    <w:rsid w:val="6FFF034A"/>
    <w:rsid w:val="6FFF1C1C"/>
    <w:rsid w:val="70496804"/>
    <w:rsid w:val="712A28F1"/>
    <w:rsid w:val="715C0E4B"/>
    <w:rsid w:val="72233669"/>
    <w:rsid w:val="72734D90"/>
    <w:rsid w:val="729E87AD"/>
    <w:rsid w:val="7332FE48"/>
    <w:rsid w:val="73AB61DA"/>
    <w:rsid w:val="73AD73D5"/>
    <w:rsid w:val="73B6EB34"/>
    <w:rsid w:val="73DE9230"/>
    <w:rsid w:val="73FA497D"/>
    <w:rsid w:val="744731E5"/>
    <w:rsid w:val="74527205"/>
    <w:rsid w:val="74BBD01D"/>
    <w:rsid w:val="74ED5379"/>
    <w:rsid w:val="74FC2395"/>
    <w:rsid w:val="75DEEEC2"/>
    <w:rsid w:val="75FF4500"/>
    <w:rsid w:val="76E3355F"/>
    <w:rsid w:val="76FF5125"/>
    <w:rsid w:val="776F6FFA"/>
    <w:rsid w:val="778769C8"/>
    <w:rsid w:val="77A723EE"/>
    <w:rsid w:val="77DC22F5"/>
    <w:rsid w:val="77FBEDA2"/>
    <w:rsid w:val="77FDB10B"/>
    <w:rsid w:val="78AF1F2B"/>
    <w:rsid w:val="79086DAD"/>
    <w:rsid w:val="79974F09"/>
    <w:rsid w:val="79D7FD79"/>
    <w:rsid w:val="79EE5BA4"/>
    <w:rsid w:val="7A894339"/>
    <w:rsid w:val="7ADB4C10"/>
    <w:rsid w:val="7AFF7572"/>
    <w:rsid w:val="7B1790F3"/>
    <w:rsid w:val="7B6C7DFB"/>
    <w:rsid w:val="7BBFBED0"/>
    <w:rsid w:val="7BC3E394"/>
    <w:rsid w:val="7C1F3737"/>
    <w:rsid w:val="7CBFC87B"/>
    <w:rsid w:val="7CFE0F48"/>
    <w:rsid w:val="7D7EC23E"/>
    <w:rsid w:val="7D916348"/>
    <w:rsid w:val="7DA30E92"/>
    <w:rsid w:val="7DFFB7ED"/>
    <w:rsid w:val="7E8ADEBF"/>
    <w:rsid w:val="7EEF11D3"/>
    <w:rsid w:val="7EF1C09B"/>
    <w:rsid w:val="7F0971A6"/>
    <w:rsid w:val="7F3F50F7"/>
    <w:rsid w:val="7F3F679B"/>
    <w:rsid w:val="7F4FC4EF"/>
    <w:rsid w:val="7F5E4D54"/>
    <w:rsid w:val="7F6E0135"/>
    <w:rsid w:val="7F954DBA"/>
    <w:rsid w:val="7FA30C79"/>
    <w:rsid w:val="7FAF8ABF"/>
    <w:rsid w:val="7FB7269E"/>
    <w:rsid w:val="7FB76C9A"/>
    <w:rsid w:val="7FC96657"/>
    <w:rsid w:val="7FD65AEC"/>
    <w:rsid w:val="7FDA9588"/>
    <w:rsid w:val="7FDD8882"/>
    <w:rsid w:val="7FDF220F"/>
    <w:rsid w:val="7FEDC5F7"/>
    <w:rsid w:val="7FEDD9DE"/>
    <w:rsid w:val="7FF5890D"/>
    <w:rsid w:val="7FF93490"/>
    <w:rsid w:val="7FFB5494"/>
    <w:rsid w:val="7FFC9F3B"/>
    <w:rsid w:val="7FFDAA1E"/>
    <w:rsid w:val="85F60F66"/>
    <w:rsid w:val="8DFCB214"/>
    <w:rsid w:val="93DF8003"/>
    <w:rsid w:val="99FF2014"/>
    <w:rsid w:val="9D4EC73F"/>
    <w:rsid w:val="A6DD0D7F"/>
    <w:rsid w:val="ADC6F725"/>
    <w:rsid w:val="AECF658A"/>
    <w:rsid w:val="AF7F7CD6"/>
    <w:rsid w:val="B77BEE62"/>
    <w:rsid w:val="B7BAF874"/>
    <w:rsid w:val="B7CF06AB"/>
    <w:rsid w:val="B7CFA926"/>
    <w:rsid w:val="B7F8786B"/>
    <w:rsid w:val="BABB6AA1"/>
    <w:rsid w:val="BB2F4199"/>
    <w:rsid w:val="BD079C78"/>
    <w:rsid w:val="BD733540"/>
    <w:rsid w:val="BDEF484C"/>
    <w:rsid w:val="BDEFFC49"/>
    <w:rsid w:val="BEFEFAE0"/>
    <w:rsid w:val="BF3735D5"/>
    <w:rsid w:val="BF7F09AC"/>
    <w:rsid w:val="BFBF9D34"/>
    <w:rsid w:val="BFD475C3"/>
    <w:rsid w:val="BFDE5EA6"/>
    <w:rsid w:val="C2EF0403"/>
    <w:rsid w:val="CF5BE890"/>
    <w:rsid w:val="CF6FC6F3"/>
    <w:rsid w:val="CFD3D3D7"/>
    <w:rsid w:val="CFDF1009"/>
    <w:rsid w:val="D7CDEB39"/>
    <w:rsid w:val="D7D7B16A"/>
    <w:rsid w:val="D7FB86DF"/>
    <w:rsid w:val="D8D6DB89"/>
    <w:rsid w:val="DAFF2DBF"/>
    <w:rsid w:val="DB6F4CAB"/>
    <w:rsid w:val="DB777682"/>
    <w:rsid w:val="DCFEA5C2"/>
    <w:rsid w:val="DD1FB521"/>
    <w:rsid w:val="DDFF73B6"/>
    <w:rsid w:val="DEFBFEAE"/>
    <w:rsid w:val="DF1F3B80"/>
    <w:rsid w:val="DF6F9789"/>
    <w:rsid w:val="DFFFA9E8"/>
    <w:rsid w:val="E31D6A9C"/>
    <w:rsid w:val="E3D1BEF8"/>
    <w:rsid w:val="E5F4E9DC"/>
    <w:rsid w:val="E70FE695"/>
    <w:rsid w:val="E7F02725"/>
    <w:rsid w:val="E876C4B8"/>
    <w:rsid w:val="EB651301"/>
    <w:rsid w:val="EBFC20E1"/>
    <w:rsid w:val="EBFCE006"/>
    <w:rsid w:val="ECFED1BC"/>
    <w:rsid w:val="ED1D69BB"/>
    <w:rsid w:val="ED7FD312"/>
    <w:rsid w:val="EEDB0C91"/>
    <w:rsid w:val="EF53993F"/>
    <w:rsid w:val="EF56618C"/>
    <w:rsid w:val="EF6DDB70"/>
    <w:rsid w:val="EF6FD633"/>
    <w:rsid w:val="EF7DB9D3"/>
    <w:rsid w:val="EFBFB2F4"/>
    <w:rsid w:val="EFBFFA21"/>
    <w:rsid w:val="EFD3F5EC"/>
    <w:rsid w:val="EFEF78F1"/>
    <w:rsid w:val="EFFF251C"/>
    <w:rsid w:val="EFFFF2EB"/>
    <w:rsid w:val="F2BEBCB8"/>
    <w:rsid w:val="F36FB518"/>
    <w:rsid w:val="F3DE1A04"/>
    <w:rsid w:val="F3F722E5"/>
    <w:rsid w:val="F6FD7599"/>
    <w:rsid w:val="F6FF50BD"/>
    <w:rsid w:val="F77FCC7E"/>
    <w:rsid w:val="F7E45F3B"/>
    <w:rsid w:val="FA3B3369"/>
    <w:rsid w:val="FA5F1E70"/>
    <w:rsid w:val="FA5FDB97"/>
    <w:rsid w:val="FB77D479"/>
    <w:rsid w:val="FB785B4F"/>
    <w:rsid w:val="FB7F486A"/>
    <w:rsid w:val="FBFF5B2E"/>
    <w:rsid w:val="FD7E4504"/>
    <w:rsid w:val="FD7FFE2B"/>
    <w:rsid w:val="FDEE196B"/>
    <w:rsid w:val="FDFE6575"/>
    <w:rsid w:val="FE6DCB60"/>
    <w:rsid w:val="FE970657"/>
    <w:rsid w:val="FEDFDDC2"/>
    <w:rsid w:val="FEEB294E"/>
    <w:rsid w:val="FEED32F6"/>
    <w:rsid w:val="FEF67154"/>
    <w:rsid w:val="FEF781DD"/>
    <w:rsid w:val="FF2FD6DA"/>
    <w:rsid w:val="FF3F7E3F"/>
    <w:rsid w:val="FF77030D"/>
    <w:rsid w:val="FFBA12D7"/>
    <w:rsid w:val="FFBE0589"/>
    <w:rsid w:val="FFCE3CBE"/>
    <w:rsid w:val="FFDFFAEE"/>
    <w:rsid w:val="FFE666BF"/>
    <w:rsid w:val="FFEE9057"/>
    <w:rsid w:val="FFF9B57B"/>
    <w:rsid w:val="FFFD61D9"/>
    <w:rsid w:val="FFFD8F59"/>
    <w:rsid w:val="FFFF2BB1"/>
    <w:rsid w:val="FFFFB04D"/>
    <w:rsid w:val="FFFFCDC5"/>
    <w:rsid w:val="FFFFF6A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Times New Roman" w:hAnsi="Times New Roman" w:eastAsia="宋体" w:cs="Times New Roman"/>
      <w:kern w:val="2"/>
      <w:sz w:val="21"/>
      <w:szCs w:val="21"/>
      <w:lang w:val="en-US" w:eastAsia="zh-CN" w:bidi="ar"/>
    </w:r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semiHidden/>
    <w:unhideWhenUsed/>
    <w:qFormat/>
    <w:uiPriority w:val="99"/>
    <w:rPr>
      <w:sz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4"/>
    <w:qFormat/>
    <w:uiPriority w:val="9"/>
    <w:rPr>
      <w:rFonts w:ascii="Times New Roman" w:hAnsi="Times New Roman"/>
      <w:b/>
      <w:bCs/>
      <w:kern w:val="44"/>
      <w:sz w:val="44"/>
      <w:szCs w:val="44"/>
    </w:rPr>
  </w:style>
  <w:style w:type="character" w:customStyle="1" w:styleId="32">
    <w:name w:val="标题 2 Char"/>
    <w:basedOn w:val="19"/>
    <w:link w:val="5"/>
    <w:qFormat/>
    <w:uiPriority w:val="9"/>
    <w:rPr>
      <w:rFonts w:asciiTheme="majorHAnsi" w:hAnsiTheme="majorHAnsi" w:eastAsiaTheme="majorEastAsia" w:cstheme="majorBidi"/>
      <w:b/>
      <w:bCs/>
      <w:kern w:val="2"/>
      <w:sz w:val="32"/>
      <w:szCs w:val="32"/>
    </w:rPr>
  </w:style>
  <w:style w:type="paragraph" w:customStyle="1" w:styleId="33">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1"/>
    <w:semiHidden/>
    <w:qFormat/>
    <w:uiPriority w:val="99"/>
    <w:rPr>
      <w:rFonts w:ascii="Times New Roman" w:hAnsi="Times New Roman"/>
      <w:kern w:val="2"/>
      <w:sz w:val="18"/>
      <w:szCs w:val="18"/>
    </w:rPr>
  </w:style>
  <w:style w:type="character" w:customStyle="1" w:styleId="35">
    <w:name w:val="标题 3 Char"/>
    <w:basedOn w:val="19"/>
    <w:link w:val="6"/>
    <w:qFormat/>
    <w:uiPriority w:val="9"/>
    <w:rPr>
      <w:rFonts w:ascii="Times New Roman" w:hAnsi="Times New Roman"/>
      <w:b/>
      <w:bCs/>
      <w:kern w:val="2"/>
      <w:sz w:val="32"/>
      <w:szCs w:val="32"/>
    </w:rPr>
  </w:style>
  <w:style w:type="paragraph" w:customStyle="1" w:styleId="36">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文档正文"/>
    <w:basedOn w:val="1"/>
    <w:qFormat/>
    <w:uiPriority w:val="0"/>
    <w:pPr>
      <w:adjustRightInd w:val="0"/>
      <w:snapToGrid w:val="0"/>
      <w:spacing w:line="480" w:lineRule="atLeast"/>
      <w:textAlignment w:val="baseline"/>
    </w:pPr>
    <w:rPr>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0" i="0" u="none" strike="noStrike" kern="1200" spc="0" baseline="0">
                <a:solidFill>
                  <a:schemeClr val="tx1">
                    <a:lumMod val="65000"/>
                    <a:lumOff val="35000"/>
                  </a:schemeClr>
                </a:solidFill>
                <a:latin typeface="+mn-lt"/>
                <a:ea typeface="+mn-ea"/>
                <a:cs typeface="+mn-cs"/>
              </a:defRPr>
            </a:pPr>
            <a:r>
              <a:rPr lang="en-US" altLang="zh-CN" sz="1080"/>
              <a:t>2024</a:t>
            </a:r>
            <a:r>
              <a:rPr altLang="en-US" sz="1080"/>
              <a:t>、</a:t>
            </a:r>
            <a:r>
              <a:rPr lang="en-US" altLang="zh-CN" sz="1080"/>
              <a:t>2025</a:t>
            </a:r>
            <a:r>
              <a:rPr altLang="en-US" sz="1080"/>
              <a:t>年决算总计变动情况</a:t>
            </a:r>
            <a:r>
              <a:rPr lang="en-US" altLang="zh-CN" sz="1080"/>
              <a:t>         </a:t>
            </a:r>
            <a:r>
              <a:rPr altLang="en-US" sz="1080"/>
              <a:t>（单位：万元）</a:t>
            </a:r>
            <a:endParaRPr altLang="en-US" sz="1080"/>
          </a:p>
        </c:rich>
      </c:tx>
      <c:layout>
        <c:manualLayout>
          <c:xMode val="edge"/>
          <c:yMode val="edge"/>
          <c:x val="0.130208333333333"/>
          <c:y val="0.00677812923633077"/>
        </c:manualLayout>
      </c:layout>
      <c:overlay val="0"/>
      <c:spPr>
        <a:noFill/>
        <a:ln>
          <a:noFill/>
        </a:ln>
        <a:effectLst/>
      </c:spPr>
    </c:title>
    <c:autoTitleDeleted val="0"/>
    <c:plotArea>
      <c:layout>
        <c:manualLayout>
          <c:layoutTarget val="inner"/>
          <c:xMode val="edge"/>
          <c:yMode val="edge"/>
          <c:x val="0.0836896929824562"/>
          <c:y val="0.192498870311794"/>
          <c:w val="0.886156798245614"/>
          <c:h val="0.634071396294623"/>
        </c:manualLayout>
      </c:layout>
      <c:barChart>
        <c:barDir val="col"/>
        <c:grouping val="clustered"/>
        <c:varyColors val="0"/>
        <c:ser>
          <c:idx val="0"/>
          <c:order val="0"/>
          <c:tx>
            <c:strRef>
              <c:f>Sheet1!$B$1</c:f>
              <c:strCache>
                <c:ptCount val="1"/>
                <c:pt idx="0">
                  <c:v>收入决算数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488.01</c:v>
                </c:pt>
                <c:pt idx="1">
                  <c:v>460.09</c:v>
                </c:pt>
              </c:numCache>
            </c:numRef>
          </c:val>
        </c:ser>
        <c:ser>
          <c:idx val="1"/>
          <c:order val="1"/>
          <c:tx>
            <c:strRef>
              <c:f>Sheet1!$C$1</c:f>
              <c:strCache>
                <c:ptCount val="1"/>
                <c:pt idx="0">
                  <c:v>支出决算数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488.01</c:v>
                </c:pt>
                <c:pt idx="1">
                  <c:v>460.09</c:v>
                </c:pt>
              </c:numCache>
            </c:numRef>
          </c:val>
        </c:ser>
        <c:dLbls>
          <c:showLegendKey val="0"/>
          <c:showVal val="0"/>
          <c:showCatName val="0"/>
          <c:showSerName val="0"/>
          <c:showPercent val="0"/>
          <c:showBubbleSize val="0"/>
        </c:dLbls>
        <c:gapWidth val="219"/>
        <c:overlap val="-27"/>
        <c:axId val="302123913"/>
        <c:axId val="607485259"/>
      </c:barChart>
      <c:catAx>
        <c:axId val="30212391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485259"/>
        <c:crosses val="autoZero"/>
        <c:auto val="1"/>
        <c:lblAlgn val="ctr"/>
        <c:lblOffset val="100"/>
        <c:noMultiLvlLbl val="0"/>
      </c:catAx>
      <c:valAx>
        <c:axId val="6074852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2123913"/>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1002314-2a9a-45d0-9912-548338d33e2f}"/>
      </c:ext>
    </c:extLst>
  </c:chart>
  <c:spPr>
    <a:solidFill>
      <a:schemeClr val="bg1"/>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a:t>
            </a:r>
            <a:r>
              <a:rPr lang="en-US" altLang="zh-CN"/>
              <a:t>5</a:t>
            </a:r>
            <a:r>
              <a:t>年收入决算结构图</a:t>
            </a:r>
          </a:p>
        </c:rich>
      </c:tx>
      <c:layout/>
      <c:overlay val="0"/>
      <c:spPr>
        <a:noFill/>
        <a:ln>
          <a:noFill/>
        </a:ln>
        <a:effectLst/>
      </c:spPr>
    </c:title>
    <c:autoTitleDeleted val="0"/>
    <c:plotArea>
      <c:layout/>
      <c:pieChart>
        <c:varyColors val="1"/>
        <c:ser>
          <c:idx val="0"/>
          <c:order val="0"/>
          <c:tx>
            <c:strRef>
              <c:f>Sheet1!$B$1</c:f>
              <c:strCache>
                <c:ptCount val="1"/>
                <c:pt idx="0">
                  <c:v>2025年收入决算结构图（单位：万元）</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一般公共预算财政收入</c:v>
                </c:pt>
              </c:strCache>
            </c:strRef>
          </c:cat>
          <c:val>
            <c:numRef>
              <c:f>Sheet1!$B$2</c:f>
              <c:numCache>
                <c:formatCode>0%</c:formatCode>
                <c:ptCount val="1"/>
                <c:pt idx="0">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e0cc592-1fd9-426c-a6d6-88563137bf0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a:t>
            </a:r>
            <a:r>
              <a:rPr lang="en-US" altLang="zh-CN"/>
              <a:t>5</a:t>
            </a:r>
            <a:r>
              <a:t>年支出决算结构图</a:t>
            </a:r>
          </a:p>
        </c:rich>
      </c:tx>
      <c:layout/>
      <c:overlay val="0"/>
      <c:spPr>
        <a:noFill/>
        <a:ln>
          <a:noFill/>
        </a:ln>
        <a:effectLst/>
      </c:spPr>
    </c:title>
    <c:autoTitleDeleted val="0"/>
    <c:plotArea>
      <c:layout/>
      <c:pieChart>
        <c:varyColors val="1"/>
        <c:ser>
          <c:idx val="0"/>
          <c:order val="0"/>
          <c:tx>
            <c:strRef>
              <c:f>Sheet1!$B$1</c:f>
              <c:strCache>
                <c:ptCount val="1"/>
                <c:pt idx="0">
                  <c:v>2025年支出决算结构图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83.3%</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16.7%</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0.8333</c:v>
                </c:pt>
                <c:pt idx="1">
                  <c:v>0.1667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9ea281-0a33-4035-9186-65a9d532149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0" i="0" u="none" strike="noStrike" kern="1200" spc="0" baseline="0">
                <a:solidFill>
                  <a:schemeClr val="tx1">
                    <a:lumMod val="65000"/>
                    <a:lumOff val="35000"/>
                  </a:schemeClr>
                </a:solidFill>
                <a:latin typeface="+mn-lt"/>
                <a:ea typeface="+mn-ea"/>
                <a:cs typeface="+mn-cs"/>
              </a:defRPr>
            </a:pPr>
            <a:r>
              <a:rPr lang="en-US" altLang="zh-CN" sz="1080"/>
              <a:t>2024</a:t>
            </a:r>
            <a:r>
              <a:rPr altLang="en-US" sz="1080"/>
              <a:t>年、</a:t>
            </a:r>
            <a:r>
              <a:rPr lang="en-US" altLang="zh-CN" sz="1080"/>
              <a:t>2025</a:t>
            </a:r>
            <a:r>
              <a:rPr altLang="en-US" sz="1080"/>
              <a:t>年财政拨款收、支决算总计变动情况</a:t>
            </a:r>
            <a:endParaRPr altLang="en-US" sz="1080"/>
          </a:p>
        </c:rich>
      </c:tx>
      <c:layout>
        <c:manualLayout>
          <c:xMode val="edge"/>
          <c:yMode val="edge"/>
          <c:x val="0.154554249839021"/>
          <c:y val="0.00830105146651909"/>
        </c:manualLayout>
      </c:layout>
      <c:overlay val="0"/>
      <c:spPr>
        <a:noFill/>
        <a:ln>
          <a:noFill/>
        </a:ln>
        <a:effectLst/>
      </c:spPr>
    </c:title>
    <c:autoTitleDeleted val="0"/>
    <c:plotArea>
      <c:layout>
        <c:manualLayout>
          <c:layoutTarget val="inner"/>
          <c:xMode val="edge"/>
          <c:yMode val="edge"/>
          <c:x val="0.106206088992974"/>
          <c:y val="0.285384361596833"/>
          <c:w val="0.88940281030445"/>
          <c:h val="0.496007918178819"/>
        </c:manualLayout>
      </c:layout>
      <c:barChart>
        <c:barDir val="col"/>
        <c:grouping val="clustered"/>
        <c:varyColors val="0"/>
        <c:ser>
          <c:idx val="0"/>
          <c:order val="0"/>
          <c:tx>
            <c:strRef>
              <c:f>Sheet1!$B$1</c:f>
              <c:strCache>
                <c:ptCount val="1"/>
                <c:pt idx="0">
                  <c:v>财政拨款收入（万元）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Sheet1!$B$2:$B$3</c:f>
              <c:numCache>
                <c:formatCode>General</c:formatCode>
                <c:ptCount val="2"/>
                <c:pt idx="0">
                  <c:v>488.01</c:v>
                </c:pt>
                <c:pt idx="1" c:formatCode="0.00_ ">
                  <c:v>460.09</c:v>
                </c:pt>
              </c:numCache>
            </c:numRef>
          </c:val>
        </c:ser>
        <c:ser>
          <c:idx val="1"/>
          <c:order val="1"/>
          <c:tx>
            <c:strRef>
              <c:f>Sheet1!$C$1</c:f>
              <c:strCache>
                <c:ptCount val="1"/>
                <c:pt idx="0">
                  <c:v>财政拨款支出（万元）</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2024年度</c:v>
                </c:pt>
                <c:pt idx="1">
                  <c:v>2025年度</c:v>
                </c:pt>
              </c:strCache>
            </c:strRef>
          </c:cat>
          <c:val>
            <c:numRef>
              <c:f>Sheet1!$C$2:$C$3</c:f>
              <c:numCache>
                <c:formatCode>General</c:formatCode>
                <c:ptCount val="2"/>
                <c:pt idx="0">
                  <c:v>488.01</c:v>
                </c:pt>
                <c:pt idx="1" c:formatCode="0.00_ ">
                  <c:v>460.09</c:v>
                </c:pt>
              </c:numCache>
            </c:numRef>
          </c:val>
        </c:ser>
        <c:dLbls>
          <c:showLegendKey val="0"/>
          <c:showVal val="0"/>
          <c:showCatName val="0"/>
          <c:showSerName val="0"/>
          <c:showPercent val="0"/>
          <c:showBubbleSize val="0"/>
        </c:dLbls>
        <c:gapWidth val="219"/>
        <c:overlap val="-27"/>
        <c:axId val="32158416"/>
        <c:axId val="146435056"/>
      </c:barChart>
      <c:catAx>
        <c:axId val="321584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6435056"/>
        <c:crosses val="autoZero"/>
        <c:auto val="1"/>
        <c:lblAlgn val="ctr"/>
        <c:lblOffset val="100"/>
        <c:noMultiLvlLbl val="0"/>
      </c:catAx>
      <c:valAx>
        <c:axId val="146435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58416"/>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330375"/>
          <c:y val="0.939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be3404-1262-48c2-b646-88b9b9a5e125}"/>
      </c:ext>
    </c:extLst>
  </c:chart>
  <c:spPr>
    <a:solidFill>
      <a:schemeClr val="bg1"/>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spc="0" baseline="0">
                <a:solidFill>
                  <a:schemeClr val="tx1">
                    <a:lumMod val="65000"/>
                    <a:lumOff val="35000"/>
                  </a:schemeClr>
                </a:solidFill>
                <a:latin typeface="+mn-lt"/>
                <a:ea typeface="+mn-ea"/>
                <a:cs typeface="+mn-cs"/>
              </a:defRPr>
            </a:pPr>
            <a:r>
              <a:rPr sz="960"/>
              <a:t>一般公共预算财政拨款支出决算变动（万元）</a:t>
            </a:r>
            <a:endParaRPr sz="960"/>
          </a:p>
        </c:rich>
      </c:tx>
      <c:layout>
        <c:manualLayout>
          <c:xMode val="edge"/>
          <c:yMode val="edge"/>
          <c:x val="0.227184097210745"/>
          <c:y val="0.0800633022838126"/>
        </c:manualLayout>
      </c:layout>
      <c:overlay val="0"/>
      <c:spPr>
        <a:noFill/>
        <a:ln>
          <a:noFill/>
        </a:ln>
        <a:effectLst/>
      </c:spPr>
    </c:title>
    <c:autoTitleDeleted val="0"/>
    <c:plotArea>
      <c:layout>
        <c:manualLayout>
          <c:layoutTarget val="inner"/>
          <c:xMode val="edge"/>
          <c:yMode val="edge"/>
          <c:x val="0.0845090137161521"/>
          <c:y val="0.315671758683029"/>
          <c:w val="0.883502929386371"/>
          <c:h val="0.552140629430111"/>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Sheet1!$A$1:$A$2</c:f>
              <c:strCache>
                <c:ptCount val="2"/>
                <c:pt idx="0">
                  <c:v>2024年度</c:v>
                </c:pt>
                <c:pt idx="1">
                  <c:v>2025年度</c:v>
                </c:pt>
              </c:strCache>
            </c:strRef>
          </c:cat>
          <c:val>
            <c:numRef>
              <c:f>Sheet1!$B$1:$B$2</c:f>
              <c:numCache>
                <c:formatCode>General</c:formatCode>
                <c:ptCount val="2"/>
                <c:pt idx="0">
                  <c:v>488.01</c:v>
                </c:pt>
                <c:pt idx="1">
                  <c:v>460.09</c:v>
                </c:pt>
              </c:numCache>
            </c:numRef>
          </c:val>
        </c:ser>
        <c:dLbls>
          <c:showLegendKey val="0"/>
          <c:showVal val="1"/>
          <c:showCatName val="0"/>
          <c:showSerName val="0"/>
          <c:showPercent val="0"/>
          <c:showBubbleSize val="0"/>
        </c:dLbls>
        <c:gapWidth val="219"/>
        <c:overlap val="-27"/>
        <c:axId val="680577323"/>
        <c:axId val="945057866"/>
      </c:barChart>
      <c:catAx>
        <c:axId val="68057732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945057866"/>
        <c:crosses val="autoZero"/>
        <c:auto val="1"/>
        <c:lblAlgn val="ctr"/>
        <c:lblOffset val="100"/>
        <c:noMultiLvlLbl val="0"/>
      </c:catAx>
      <c:valAx>
        <c:axId val="94505786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680577323"/>
        <c:crosses val="autoZero"/>
        <c:crossBetween val="between"/>
      </c:valAx>
      <c:spPr>
        <a:noFill/>
        <a:ln>
          <a:noFill/>
        </a:ln>
        <a:effectLst/>
      </c:spPr>
    </c:plotArea>
    <c:plotVisOnly val="1"/>
    <c:dispBlanksAs val="gap"/>
    <c:showDLblsOverMax val="0"/>
    <c:extLst>
      <c:ext uri="{0b15fc19-7d7d-44ad-8c2d-2c3a37ce22c3}">
        <chartProps xmlns="https://web.wps.cn/et/2018/main" chartId="{9b3dcc5e-322a-4d5d-a954-535fdc9fb02d}"/>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t>365.39</a:t>
                    </a:r>
                    <a:r>
                      <a:rPr lang="en-US" altLang="zh-CN"/>
                      <a:t>   79.4%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242994505494505"/>
                      <c:h val="0.0512873754152824"/>
                    </c:manualLayout>
                  </c15:layout>
                </c:ext>
              </c:extLst>
            </c:dLbl>
            <c:dLbl>
              <c:idx val="1"/>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t>49.25</a:t>
                    </a:r>
                    <a:r>
                      <a:rPr lang="en-US" altLang="zh-CN"/>
                      <a:t>    10.7%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295741758241758"/>
                      <c:h val="0.0641611295681063"/>
                    </c:manualLayout>
                  </c15:layout>
                </c:ext>
              </c:extLst>
            </c:dLbl>
            <c:dLbl>
              <c:idx val="2"/>
              <c:layout>
                <c:manualLayout>
                  <c:x val="-0.191669451622098"/>
                  <c:y val="0.0249010897797769"/>
                </c:manualLayout>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t>18.58</a:t>
                    </a:r>
                    <a:r>
                      <a:rPr lang="en-US" altLang="zh-CN"/>
                      <a:t>    4.0%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27293956043956"/>
                      <c:h val="0.0504568106312292"/>
                    </c:manualLayout>
                  </c15:layout>
                </c:ext>
              </c:extLst>
            </c:dLbl>
            <c:dLbl>
              <c:idx val="3"/>
              <c:layout>
                <c:manualLayout>
                  <c:x val="0.0176012398373477"/>
                  <c:y val="0.00813426239932442"/>
                </c:manualLayout>
              </c:layout>
              <c:tx>
                <c:rich>
                  <a:bodyPr rot="0" spcFirstLastPara="0" vertOverflow="ellipsis" vert="horz" wrap="square" lIns="38100" tIns="19050" rIns="38100" bIns="19050" anchor="ctr" anchorCtr="1"/>
                  <a:lstStyle/>
                  <a:p>
                    <a:pPr defTabSz="914400">
                      <a:defRPr lang="zh-CN" sz="900" b="1" i="0" u="none" strike="noStrike" kern="1200" baseline="0">
                        <a:solidFill>
                          <a:schemeClr val="tx1">
                            <a:lumMod val="75000"/>
                            <a:lumOff val="25000"/>
                          </a:schemeClr>
                        </a:solidFill>
                        <a:latin typeface="+mn-lt"/>
                        <a:ea typeface="+mn-ea"/>
                        <a:cs typeface="+mn-cs"/>
                      </a:defRPr>
                    </a:pPr>
                    <a:r>
                      <a:t>26.87</a:t>
                    </a:r>
                    <a:r>
                      <a:rPr lang="en-US" altLang="zh-CN"/>
                      <a:t>   5.8%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269368131868132"/>
                      <c:h val="0.0618770764119601"/>
                    </c:manualLayout>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一般公共服务支出（万元）</c:v>
                </c:pt>
                <c:pt idx="1">
                  <c:v>社会保障和就业支出（万元）</c:v>
                </c:pt>
                <c:pt idx="2">
                  <c:v>卫生健康支出（万元）</c:v>
                </c:pt>
                <c:pt idx="3">
                  <c:v>住房保障支出（万元）</c:v>
                </c:pt>
              </c:strCache>
            </c:strRef>
          </c:cat>
          <c:val>
            <c:numRef>
              <c:f>Sheet1!$B$2:$B$5</c:f>
              <c:numCache>
                <c:formatCode>General</c:formatCode>
                <c:ptCount val="4"/>
                <c:pt idx="0">
                  <c:v>365.39</c:v>
                </c:pt>
                <c:pt idx="1">
                  <c:v>49.25</c:v>
                </c:pt>
                <c:pt idx="2">
                  <c:v>18.58</c:v>
                </c:pt>
                <c:pt idx="3" c:formatCode="0.00_ ">
                  <c:v>26.87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dd05297-3427-4bf3-a11d-64f431e603d7}"/>
      </c:ext>
    </c:extLst>
  </c:chart>
  <c:spPr>
    <a:solidFill>
      <a:schemeClr val="bg1"/>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a:t>
            </a:r>
            <a:r>
              <a:rPr lang="en-US" altLang="zh-CN"/>
              <a:t>5</a:t>
            </a:r>
            <a:r>
              <a:t>年“三公”经费财政拨款支出结构</a:t>
            </a:r>
          </a:p>
        </c:rich>
      </c:tx>
      <c:layout>
        <c:manualLayout>
          <c:xMode val="edge"/>
          <c:yMode val="edge"/>
          <c:x val="0.13109756097561"/>
          <c:y val="0.0744"/>
        </c:manualLayout>
      </c:layout>
      <c:overlay val="0"/>
      <c:spPr>
        <a:noFill/>
        <a:ln>
          <a:noFill/>
        </a:ln>
        <a:effectLst/>
      </c:spPr>
    </c:title>
    <c:autoTitleDeleted val="0"/>
    <c:plotArea>
      <c:layout/>
      <c:pieChart>
        <c:varyColors val="1"/>
        <c:ser>
          <c:idx val="0"/>
          <c:order val="0"/>
          <c:tx>
            <c:strRef>
              <c:f>Sheet1!$B$1</c:f>
              <c:strCache>
                <c:ptCount val="1"/>
                <c:pt idx="0">
                  <c:v>2025年“三公”经费财政拨款支出结构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485027429257077"/>
                  <c:y val="-0.022930900246438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11.24万元</a:t>
                    </a:r>
                    <a:r>
                      <a:rPr lang="en-US" altLang="zh-CN"/>
                      <a:t>     100%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283813747228381"/>
                      <c:h val="0.071466666666666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公务用车购置及运行维护费支出决算（万元）</c:v>
                </c:pt>
                <c:pt idx="1">
                  <c:v>公务接待费支出决算（万元）</c:v>
                </c:pt>
              </c:strCache>
            </c:strRef>
          </c:cat>
          <c:val>
            <c:numRef>
              <c:f>Sheet1!$B$2:$B$3</c:f>
              <c:numCache>
                <c:formatCode>General</c:formatCode>
                <c:ptCount val="2"/>
                <c:pt idx="0">
                  <c:v>11.24</c:v>
                </c:pt>
                <c:pt idx="1">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8929085-7e72-4fdf-a65c-ab1a10ee868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df74fb-b149-41d8-9fd4-54e9469350a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53</Pages>
  <Words>9970</Words>
  <Characters>12010</Characters>
  <Lines>1</Lines>
  <Paragraphs>1</Paragraphs>
  <TotalTime>4</TotalTime>
  <ScaleCrop>false</ScaleCrop>
  <LinksUpToDate>false</LinksUpToDate>
  <CharactersWithSpaces>12052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放飞心情</cp:lastModifiedBy>
  <cp:lastPrinted>2026-09-02T08:53:00Z</cp:lastPrinted>
  <dcterms:modified xsi:type="dcterms:W3CDTF">2026-09-09T09:13:00Z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728EDE53306845949CA4F149ED2027D4_13</vt:lpwstr>
  </property>
  <property fmtid="{D5CDD505-2E9C-101B-9397-08002B2CF9AE}" pid="4" name="KSOTemplateDocerSaveRecord">
    <vt:lpwstr>eyJoZGlkIjoiYmY0YTg2NTMzMmEyYTJmZWUxNzNjMGZkMmFhZGM3MTQiLCJ1c2VySWQiOiI2NjU5OTAwMDcifQ==</vt:lpwstr>
  </property>
</Properties>
</file>