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B8158">
      <w:pPr>
        <w:pStyle w:val="15"/>
        <w:shd w:val="clear" w:color="auto" w:fill="FFFFFF"/>
        <w:spacing w:before="0" w:beforeAutospacing="0"/>
        <w:ind w:left="0"/>
        <w:jc w:val="center"/>
        <w:rPr>
          <w:sz w:val="42"/>
          <w:szCs w:val="42"/>
        </w:rPr>
      </w:pPr>
      <w:bookmarkStart w:id="0" w:name="_Toc15306267"/>
    </w:p>
    <w:p w14:paraId="491070AB">
      <w:pPr>
        <w:pStyle w:val="15"/>
        <w:shd w:val="clear" w:color="auto" w:fill="FFFFFF"/>
        <w:spacing w:before="0" w:beforeAutospacing="0"/>
        <w:ind w:left="0"/>
        <w:jc w:val="center"/>
        <w:rPr>
          <w:sz w:val="44"/>
          <w:szCs w:val="44"/>
        </w:rPr>
      </w:pPr>
    </w:p>
    <w:p w14:paraId="148C24EC">
      <w:pPr>
        <w:pStyle w:val="15"/>
        <w:shd w:val="clear" w:color="auto" w:fill="FFFFFF"/>
        <w:spacing w:before="0" w:beforeAutospacing="0"/>
        <w:ind w:left="0"/>
        <w:jc w:val="center"/>
        <w:rPr>
          <w:b w:val="0"/>
          <w:bCs w:val="0"/>
          <w:sz w:val="44"/>
          <w:szCs w:val="44"/>
        </w:rPr>
      </w:pPr>
      <w:r>
        <w:rPr>
          <w:b w:val="0"/>
          <w:bCs w:val="0"/>
          <w:sz w:val="44"/>
          <w:szCs w:val="44"/>
        </w:rPr>
        <w:t>202</w:t>
      </w:r>
      <w:r>
        <w:rPr>
          <w:rFonts w:hint="eastAsia"/>
          <w:b w:val="0"/>
          <w:bCs w:val="0"/>
          <w:sz w:val="44"/>
          <w:szCs w:val="44"/>
          <w:lang w:val="en-US" w:eastAsia="zh-CN"/>
        </w:rPr>
        <w:t>5</w:t>
      </w:r>
      <w:r>
        <w:rPr>
          <w:b w:val="0"/>
          <w:bCs w:val="0"/>
          <w:sz w:val="44"/>
          <w:szCs w:val="44"/>
        </w:rPr>
        <w:t>年度阿坝州市场监督管理局</w:t>
      </w:r>
    </w:p>
    <w:p w14:paraId="04A08ED2">
      <w:pPr>
        <w:pStyle w:val="15"/>
        <w:shd w:val="clear" w:color="auto" w:fill="FFFFFF"/>
        <w:spacing w:before="0" w:beforeAutospacing="0"/>
        <w:ind w:left="0"/>
        <w:jc w:val="center"/>
        <w:rPr>
          <w:rFonts w:hint="eastAsia" w:eastAsia="宋体"/>
          <w:b w:val="0"/>
          <w:bCs w:val="0"/>
          <w:sz w:val="44"/>
          <w:szCs w:val="44"/>
          <w:lang w:eastAsia="zh-CN"/>
        </w:rPr>
      </w:pPr>
      <w:r>
        <w:rPr>
          <w:b w:val="0"/>
          <w:bCs w:val="0"/>
          <w:sz w:val="44"/>
          <w:szCs w:val="44"/>
        </w:rPr>
        <w:t>单位决算</w:t>
      </w:r>
    </w:p>
    <w:bookmarkEnd w:id="0"/>
    <w:p w14:paraId="55779EA9">
      <w:pPr>
        <w:widowControl/>
        <w:jc w:val="both"/>
        <w:rPr>
          <w:rFonts w:ascii="Arial Unicode MS" w:hAnsi="宋体" w:eastAsia="Arial Unicode MS"/>
          <w:color w:val="000000"/>
          <w:sz w:val="36"/>
          <w:szCs w:val="36"/>
        </w:rPr>
      </w:pPr>
    </w:p>
    <w:p w14:paraId="7C375525">
      <w:pPr>
        <w:widowControl/>
        <w:jc w:val="both"/>
        <w:rPr>
          <w:rFonts w:ascii="Arial Unicode MS" w:hAnsi="宋体" w:eastAsia="Arial Unicode MS"/>
          <w:color w:val="000000"/>
          <w:sz w:val="36"/>
          <w:szCs w:val="36"/>
        </w:rPr>
      </w:pPr>
    </w:p>
    <w:p w14:paraId="3028E089">
      <w:pPr>
        <w:widowControl/>
        <w:jc w:val="both"/>
        <w:rPr>
          <w:rFonts w:ascii="Arial Unicode MS" w:hAnsi="宋体" w:eastAsia="Arial Unicode MS"/>
          <w:color w:val="000000"/>
          <w:sz w:val="36"/>
          <w:szCs w:val="36"/>
        </w:rPr>
      </w:pPr>
    </w:p>
    <w:p w14:paraId="091E86D6">
      <w:pPr>
        <w:widowControl/>
        <w:jc w:val="both"/>
        <w:rPr>
          <w:rFonts w:ascii="Arial Unicode MS" w:hAnsi="宋体" w:eastAsia="Arial Unicode MS"/>
          <w:color w:val="000000"/>
          <w:sz w:val="36"/>
          <w:szCs w:val="36"/>
        </w:rPr>
      </w:pPr>
    </w:p>
    <w:p w14:paraId="21A0DA19">
      <w:pPr>
        <w:widowControl/>
        <w:jc w:val="both"/>
        <w:rPr>
          <w:rFonts w:ascii="Arial Unicode MS" w:hAnsi="宋体" w:eastAsia="Arial Unicode MS"/>
          <w:color w:val="000000"/>
          <w:sz w:val="36"/>
          <w:szCs w:val="36"/>
        </w:rPr>
      </w:pPr>
    </w:p>
    <w:p w14:paraId="059BCB5B">
      <w:pPr>
        <w:widowControl/>
        <w:jc w:val="both"/>
        <w:rPr>
          <w:rFonts w:ascii="Arial Unicode MS" w:hAnsi="宋体" w:eastAsia="Arial Unicode MS"/>
          <w:color w:val="000000"/>
          <w:sz w:val="36"/>
          <w:szCs w:val="36"/>
        </w:rPr>
      </w:pPr>
    </w:p>
    <w:p w14:paraId="753221B8">
      <w:pPr>
        <w:widowControl/>
        <w:jc w:val="both"/>
        <w:rPr>
          <w:rFonts w:ascii="Arial Unicode MS" w:hAnsi="宋体" w:eastAsia="Arial Unicode MS"/>
          <w:color w:val="000000"/>
          <w:sz w:val="36"/>
          <w:szCs w:val="36"/>
        </w:rPr>
      </w:pPr>
    </w:p>
    <w:p w14:paraId="47AAE890">
      <w:pPr>
        <w:widowControl/>
        <w:ind w:firstLine="1280" w:firstLineChars="400"/>
        <w:jc w:val="both"/>
        <w:rPr>
          <w:rFonts w:ascii="黑体" w:hAnsi="黑体" w:eastAsia="黑体"/>
          <w:color w:val="000000"/>
          <w:sz w:val="48"/>
          <w:szCs w:val="48"/>
        </w:rPr>
      </w:pPr>
      <w:bookmarkStart w:id="1" w:name="_Hlk113547609"/>
      <w:r>
        <w:rPr>
          <w:rFonts w:hint="eastAsia" w:cs="仿宋_GB2312"/>
          <w:sz w:val="32"/>
          <w:szCs w:val="32"/>
        </w:rPr>
        <w:t>已经保密审查、内容审定，同意对外公开</w:t>
      </w:r>
      <w:bookmarkEnd w:id="1"/>
      <w:r>
        <w:rPr>
          <w:rFonts w:ascii="Arial Unicode MS" w:hAnsi="宋体" w:eastAsia="Arial Unicode MS"/>
          <w:color w:val="000000"/>
          <w:sz w:val="36"/>
          <w:szCs w:val="36"/>
        </w:rPr>
        <w:br w:type="page"/>
      </w:r>
      <w:r>
        <w:rPr>
          <w:rFonts w:hint="eastAsia" w:ascii="Arial Unicode MS" w:hAnsi="宋体" w:eastAsia="Arial Unicode MS"/>
          <w:color w:val="000000"/>
          <w:sz w:val="36"/>
          <w:szCs w:val="36"/>
          <w:lang w:val="en-US" w:eastAsia="zh-CN"/>
        </w:rPr>
        <w:t xml:space="preserve">                     </w:t>
      </w:r>
      <w:r>
        <w:rPr>
          <w:rFonts w:hint="eastAsia" w:ascii="黑体" w:hAnsi="黑体" w:eastAsia="黑体" w:cs="黑体"/>
          <w:color w:val="000000"/>
          <w:sz w:val="48"/>
          <w:szCs w:val="48"/>
        </w:rPr>
        <w:t>目录</w:t>
      </w:r>
    </w:p>
    <w:p w14:paraId="78CD0756">
      <w:pPr>
        <w:widowControl/>
        <w:jc w:val="center"/>
        <w:rPr>
          <w:rFonts w:ascii="黑体" w:hAnsi="黑体" w:eastAsia="黑体"/>
          <w:sz w:val="28"/>
          <w:szCs w:val="28"/>
        </w:rPr>
      </w:pPr>
      <w:r>
        <w:rPr>
          <w:rFonts w:ascii="黑体" w:hAnsi="黑体" w:eastAsia="黑体" w:cs="黑体"/>
          <w:color w:val="000000"/>
          <w:sz w:val="48"/>
          <w:szCs w:val="48"/>
        </w:rPr>
        <w:fldChar w:fldCharType="begin"/>
      </w:r>
      <w:r>
        <w:rPr>
          <w:rFonts w:ascii="黑体" w:hAnsi="黑体" w:eastAsia="黑体" w:cs="黑体"/>
          <w:color w:val="000000"/>
          <w:sz w:val="48"/>
          <w:szCs w:val="48"/>
        </w:rPr>
        <w:instrText xml:space="preserve"> TOC \o "1-2" \h \z \u </w:instrText>
      </w:r>
      <w:r>
        <w:rPr>
          <w:rFonts w:ascii="黑体" w:hAnsi="黑体" w:eastAsia="黑体" w:cs="黑体"/>
          <w:color w:val="000000"/>
          <w:sz w:val="48"/>
          <w:szCs w:val="48"/>
        </w:rPr>
        <w:fldChar w:fldCharType="separate"/>
      </w:r>
    </w:p>
    <w:p w14:paraId="71084A4A">
      <w:pPr>
        <w:pStyle w:val="11"/>
        <w:rPr>
          <w:rFonts w:cs="Times New Roman"/>
        </w:rPr>
      </w:pPr>
      <w:r>
        <w:rPr>
          <w:rFonts w:hint="eastAsia"/>
        </w:rPr>
        <w:t>公开时间：</w:t>
      </w:r>
      <w:r>
        <w:t>20</w:t>
      </w:r>
      <w:r>
        <w:rPr>
          <w:rFonts w:hint="eastAsia"/>
          <w:lang w:val="en-US" w:eastAsia="zh-CN"/>
        </w:rPr>
        <w:t>26</w:t>
      </w:r>
      <w:r>
        <w:rPr>
          <w:rFonts w:hint="eastAsia"/>
        </w:rPr>
        <w:t>年</w:t>
      </w:r>
      <w:r>
        <w:rPr>
          <w:rFonts w:hint="eastAsia"/>
          <w:lang w:val="en-US" w:eastAsia="zh-CN"/>
        </w:rPr>
        <w:t>9</w:t>
      </w:r>
      <w:r>
        <w:rPr>
          <w:rFonts w:hint="eastAsia"/>
        </w:rPr>
        <w:t>月</w:t>
      </w:r>
      <w:r>
        <w:rPr>
          <w:rFonts w:hint="eastAsia"/>
          <w:lang w:val="en-US" w:eastAsia="zh-CN"/>
        </w:rPr>
        <w:t>9</w:t>
      </w:r>
      <w:bookmarkStart w:id="45" w:name="_GoBack"/>
      <w:bookmarkEnd w:id="45"/>
      <w:r>
        <w:rPr>
          <w:rFonts w:hint="eastAsia"/>
        </w:rPr>
        <w:t>日</w:t>
      </w:r>
    </w:p>
    <w:p w14:paraId="22FA71B2"/>
    <w:p w14:paraId="6EC52F89">
      <w:pPr>
        <w:pStyle w:val="11"/>
        <w:ind w:left="0" w:leftChars="0" w:firstLine="0" w:firstLineChars="0"/>
        <w:jc w:val="both"/>
        <w:rPr>
          <w:rFonts w:cs="Times New Roman"/>
        </w:rPr>
      </w:pPr>
      <w:r>
        <w:fldChar w:fldCharType="begin"/>
      </w:r>
      <w:r>
        <w:instrText xml:space="preserve"> HYPERLINK \l "_Toc15396599" </w:instrText>
      </w:r>
      <w:r>
        <w:fldChar w:fldCharType="separate"/>
      </w:r>
      <w:r>
        <w:rPr>
          <w:rStyle w:val="19"/>
          <w:rFonts w:hint="eastAsia"/>
        </w:rPr>
        <w:t>第一部分</w:t>
      </w:r>
      <w:r>
        <w:rPr>
          <w:rStyle w:val="19"/>
          <w:rFonts w:hint="eastAsia"/>
          <w:lang w:eastAsia="zh-CN"/>
        </w:rPr>
        <w:t>　单位</w:t>
      </w:r>
      <w:r>
        <w:rPr>
          <w:rStyle w:val="19"/>
          <w:rFonts w:hint="eastAsia"/>
        </w:rPr>
        <w:t>概况</w:t>
      </w:r>
      <w:r>
        <w:rPr>
          <w:rFonts w:cs="Times New Roman"/>
        </w:rPr>
        <w:tab/>
      </w:r>
      <w:r>
        <w:t>4</w:t>
      </w:r>
      <w:r>
        <w:fldChar w:fldCharType="end"/>
      </w:r>
    </w:p>
    <w:p w14:paraId="5DA9F998">
      <w:pPr>
        <w:pStyle w:val="14"/>
        <w:ind w:left="0" w:leftChars="0" w:firstLine="0" w:firstLineChars="0"/>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"_Toc15396600" </w:instrText>
      </w:r>
      <w:r>
        <w:rPr>
          <w:rFonts w:hint="eastAsia" w:ascii="仿宋" w:hAnsi="仿宋" w:eastAsia="仿宋" w:cs="仿宋"/>
          <w:sz w:val="28"/>
          <w:szCs w:val="28"/>
        </w:rPr>
        <w:fldChar w:fldCharType="separate"/>
      </w:r>
      <w:r>
        <w:rPr>
          <w:rFonts w:hint="eastAsia" w:ascii="仿宋" w:hAnsi="仿宋" w:eastAsia="仿宋" w:cs="仿宋"/>
          <w:sz w:val="28"/>
          <w:szCs w:val="28"/>
        </w:rPr>
        <w:t>一、</w:t>
      </w:r>
      <w:r>
        <w:rPr>
          <w:rFonts w:hint="eastAsia" w:ascii="仿宋" w:hAnsi="仿宋" w:eastAsia="仿宋" w:cs="仿宋"/>
          <w:sz w:val="28"/>
          <w:szCs w:val="28"/>
          <w:lang w:eastAsia="zh-CN"/>
        </w:rPr>
        <w:t>单位职责</w:t>
      </w:r>
      <w:r>
        <w:rPr>
          <w:rFonts w:hint="eastAsia" w:ascii="仿宋" w:hAnsi="仿宋" w:eastAsia="仿宋" w:cs="仿宋"/>
          <w:sz w:val="28"/>
          <w:szCs w:val="28"/>
        </w:rPr>
        <w:tab/>
      </w:r>
      <w:r>
        <w:rPr>
          <w:rFonts w:hint="eastAsia" w:ascii="仿宋" w:hAnsi="仿宋" w:eastAsia="仿宋" w:cs="仿宋"/>
          <w:sz w:val="28"/>
          <w:szCs w:val="28"/>
          <w:lang w:val="en-US" w:eastAsia="zh-CN"/>
        </w:rPr>
        <w:t>...................4</w:t>
      </w:r>
      <w:r>
        <w:rPr>
          <w:rFonts w:hint="eastAsia" w:ascii="仿宋" w:hAnsi="仿宋" w:eastAsia="仿宋" w:cs="仿宋"/>
          <w:sz w:val="28"/>
          <w:szCs w:val="28"/>
        </w:rPr>
        <w:fldChar w:fldCharType="end"/>
      </w:r>
    </w:p>
    <w:p w14:paraId="6B0ACCBA">
      <w:pPr>
        <w:pStyle w:val="14"/>
        <w:ind w:left="0" w:leftChars="0" w:firstLine="0" w:firstLineChars="0"/>
        <w:rPr>
          <w:rFonts w:hint="eastAsia" w:ascii="仿宋" w:hAnsi="仿宋" w:eastAsia="仿宋" w:cs="仿宋"/>
          <w:sz w:val="28"/>
          <w:szCs w:val="28"/>
          <w:lang w:val="en-US" w:eastAsia="zh-CN"/>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"_Toc15396601" </w:instrText>
      </w:r>
      <w:r>
        <w:rPr>
          <w:rFonts w:hint="eastAsia" w:ascii="仿宋" w:hAnsi="仿宋" w:eastAsia="仿宋" w:cs="仿宋"/>
          <w:sz w:val="28"/>
          <w:szCs w:val="28"/>
        </w:rPr>
        <w:fldChar w:fldCharType="separate"/>
      </w:r>
      <w:r>
        <w:rPr>
          <w:rFonts w:hint="eastAsia" w:ascii="仿宋" w:hAnsi="仿宋" w:eastAsia="仿宋" w:cs="仿宋"/>
          <w:sz w:val="28"/>
          <w:szCs w:val="28"/>
        </w:rPr>
        <w:t>二、</w:t>
      </w:r>
      <w:r>
        <w:rPr>
          <w:rFonts w:hint="eastAsia" w:ascii="仿宋" w:hAnsi="仿宋" w:eastAsia="仿宋" w:cs="仿宋"/>
          <w:sz w:val="28"/>
          <w:szCs w:val="28"/>
          <w:lang w:val="en-US" w:eastAsia="zh-CN"/>
        </w:rPr>
        <w:t>机构设置</w:t>
      </w:r>
      <w:r>
        <w:rPr>
          <w:rFonts w:hint="eastAsia" w:ascii="仿宋" w:hAnsi="仿宋" w:eastAsia="仿宋" w:cs="仿宋"/>
          <w:sz w:val="28"/>
          <w:szCs w:val="28"/>
        </w:rPr>
        <w:tab/>
      </w:r>
      <w:r>
        <w:rPr>
          <w:rFonts w:hint="eastAsia" w:ascii="仿宋" w:hAnsi="仿宋" w:eastAsia="仿宋" w:cs="仿宋"/>
          <w:sz w:val="28"/>
          <w:szCs w:val="28"/>
        </w:rPr>
        <w:fldChar w:fldCharType="end"/>
      </w:r>
      <w:r>
        <w:rPr>
          <w:rFonts w:hint="eastAsia" w:ascii="仿宋" w:hAnsi="仿宋" w:eastAsia="仿宋" w:cs="仿宋"/>
          <w:sz w:val="28"/>
          <w:szCs w:val="28"/>
          <w:lang w:val="en-US" w:eastAsia="zh-CN"/>
        </w:rPr>
        <w:t>9</w:t>
      </w:r>
    </w:p>
    <w:p w14:paraId="69A4A7EC">
      <w:pPr>
        <w:pStyle w:val="11"/>
        <w:ind w:left="0" w:leftChars="0" w:firstLine="0" w:firstLineChars="0"/>
        <w:jc w:val="both"/>
        <w:rPr>
          <w:rFonts w:hint="eastAsia" w:eastAsia="仿宋" w:cs="Times New Roman"/>
          <w:lang w:val="en-US" w:eastAsia="zh-CN"/>
        </w:rPr>
      </w:pPr>
      <w:r>
        <w:fldChar w:fldCharType="begin"/>
      </w:r>
      <w:r>
        <w:instrText xml:space="preserve"> HYPERLINK \l "_Toc15396602" </w:instrText>
      </w:r>
      <w:r>
        <w:fldChar w:fldCharType="separate"/>
      </w:r>
      <w:r>
        <w:rPr>
          <w:rStyle w:val="19"/>
          <w:rFonts w:hint="eastAsia"/>
        </w:rPr>
        <w:t>第二部分</w:t>
      </w:r>
      <w:r>
        <w:rPr>
          <w:rStyle w:val="19"/>
          <w:rFonts w:hint="eastAsia"/>
          <w:lang w:val="en-US" w:eastAsia="zh-CN"/>
        </w:rPr>
        <w:t xml:space="preserve"> </w:t>
      </w:r>
      <w:r>
        <w:rPr>
          <w:rStyle w:val="19"/>
        </w:rPr>
        <w:t xml:space="preserve"> 20</w:t>
      </w:r>
      <w:r>
        <w:rPr>
          <w:rStyle w:val="19"/>
          <w:rFonts w:hint="eastAsia"/>
          <w:lang w:val="en-US" w:eastAsia="zh-CN"/>
        </w:rPr>
        <w:t>25</w:t>
      </w:r>
      <w:r>
        <w:rPr>
          <w:rStyle w:val="19"/>
          <w:rFonts w:hint="eastAsia"/>
        </w:rPr>
        <w:t>年度</w:t>
      </w:r>
      <w:r>
        <w:rPr>
          <w:rStyle w:val="19"/>
          <w:rFonts w:hint="eastAsia"/>
          <w:lang w:eastAsia="zh-CN"/>
        </w:rPr>
        <w:t>单位</w:t>
      </w:r>
      <w:r>
        <w:rPr>
          <w:rStyle w:val="19"/>
          <w:rFonts w:hint="eastAsia"/>
        </w:rPr>
        <w:t>决算情况说明</w:t>
      </w:r>
      <w:r>
        <w:rPr>
          <w:rFonts w:cs="Times New Roman"/>
        </w:rPr>
        <w:tab/>
      </w:r>
      <w:r>
        <w:rPr>
          <w:rFonts w:hint="eastAsia" w:cs="Times New Roman"/>
          <w:lang w:val="en-US" w:eastAsia="zh-CN"/>
        </w:rPr>
        <w:t>.</w:t>
      </w:r>
      <w:r>
        <w:rPr>
          <w:rFonts w:hint="eastAsia"/>
          <w:lang w:val="en-US" w:eastAsia="zh-CN"/>
        </w:rPr>
        <w:t>1</w:t>
      </w:r>
      <w:r>
        <w:fldChar w:fldCharType="end"/>
      </w:r>
      <w:r>
        <w:rPr>
          <w:rFonts w:hint="eastAsia"/>
          <w:lang w:val="en-US" w:eastAsia="zh-CN"/>
        </w:rPr>
        <w:t>9</w:t>
      </w:r>
    </w:p>
    <w:p w14:paraId="370881F9">
      <w:pPr>
        <w:pStyle w:val="14"/>
        <w:ind w:left="0" w:leftChars="0" w:firstLine="0" w:firstLineChars="0"/>
        <w:rPr>
          <w:rFonts w:ascii="仿宋" w:hAnsi="仿宋" w:eastAsia="仿宋"/>
          <w:sz w:val="28"/>
          <w:szCs w:val="28"/>
        </w:rPr>
      </w:pPr>
      <w:r>
        <w:fldChar w:fldCharType="begin"/>
      </w:r>
      <w:r>
        <w:instrText xml:space="preserve"> HYPERLINK \l "_Toc15396603" </w:instrText>
      </w:r>
      <w:r>
        <w:fldChar w:fldCharType="separate"/>
      </w:r>
      <w:r>
        <w:rPr>
          <w:rStyle w:val="19"/>
          <w:rFonts w:hint="eastAsia" w:ascii="仿宋" w:hAnsi="仿宋" w:eastAsia="仿宋" w:cs="仿宋"/>
          <w:sz w:val="28"/>
          <w:szCs w:val="28"/>
        </w:rPr>
        <w:t>一、收入支出决算总体情况说明</w:t>
      </w:r>
      <w:r>
        <w:rPr>
          <w:rFonts w:ascii="仿宋" w:hAnsi="仿宋" w:eastAsia="仿宋"/>
          <w:sz w:val="28"/>
          <w:szCs w:val="28"/>
        </w:rPr>
        <w:tab/>
      </w:r>
      <w:r>
        <w:rPr>
          <w:rFonts w:hint="eastAsia" w:ascii="仿宋" w:hAnsi="仿宋" w:eastAsia="仿宋"/>
          <w:sz w:val="28"/>
          <w:szCs w:val="28"/>
          <w:lang w:val="en-US" w:eastAsia="zh-CN"/>
        </w:rPr>
        <w:t>.</w:t>
      </w:r>
      <w:r>
        <w:rPr>
          <w:rFonts w:ascii="仿宋" w:hAnsi="仿宋" w:eastAsia="仿宋" w:cs="仿宋"/>
          <w:sz w:val="28"/>
          <w:szCs w:val="28"/>
        </w:rPr>
        <w:fldChar w:fldCharType="begin"/>
      </w:r>
      <w:r>
        <w:rPr>
          <w:rFonts w:ascii="仿宋" w:hAnsi="仿宋" w:eastAsia="仿宋" w:cs="仿宋"/>
          <w:sz w:val="28"/>
          <w:szCs w:val="28"/>
        </w:rPr>
        <w:instrText xml:space="preserve"> PAGEREF _Toc15396603 \h </w:instrText>
      </w:r>
      <w:r>
        <w:rPr>
          <w:rFonts w:ascii="仿宋" w:hAnsi="仿宋" w:eastAsia="仿宋" w:cs="仿宋"/>
          <w:sz w:val="28"/>
          <w:szCs w:val="28"/>
        </w:rPr>
        <w:fldChar w:fldCharType="separate"/>
      </w:r>
      <w:r>
        <w:rPr>
          <w:rFonts w:ascii="仿宋" w:hAnsi="仿宋" w:eastAsia="仿宋" w:cs="仿宋"/>
          <w:sz w:val="28"/>
          <w:szCs w:val="28"/>
        </w:rPr>
        <w:t xml:space="preserve"> 19</w:t>
      </w:r>
      <w:r>
        <w:rPr>
          <w:rFonts w:ascii="仿宋" w:hAnsi="仿宋" w:eastAsia="仿宋" w:cs="仿宋"/>
          <w:sz w:val="28"/>
          <w:szCs w:val="28"/>
        </w:rPr>
        <w:fldChar w:fldCharType="end"/>
      </w:r>
      <w:r>
        <w:rPr>
          <w:rFonts w:ascii="仿宋" w:hAnsi="仿宋" w:eastAsia="仿宋" w:cs="仿宋"/>
          <w:sz w:val="28"/>
          <w:szCs w:val="28"/>
        </w:rPr>
        <w:fldChar w:fldCharType="end"/>
      </w:r>
    </w:p>
    <w:p w14:paraId="6F1EF7B1">
      <w:pPr>
        <w:pStyle w:val="14"/>
        <w:ind w:left="0" w:leftChars="0" w:firstLine="0" w:firstLineChars="0"/>
        <w:rPr>
          <w:rFonts w:ascii="仿宋" w:hAnsi="仿宋" w:eastAsia="仿宋"/>
          <w:sz w:val="28"/>
          <w:szCs w:val="28"/>
        </w:rPr>
      </w:pPr>
      <w:r>
        <w:fldChar w:fldCharType="begin"/>
      </w:r>
      <w:r>
        <w:instrText xml:space="preserve"> HYPERLINK \l "_Toc15396604" </w:instrText>
      </w:r>
      <w:r>
        <w:fldChar w:fldCharType="separate"/>
      </w:r>
      <w:r>
        <w:rPr>
          <w:rStyle w:val="19"/>
          <w:rFonts w:hint="eastAsia" w:ascii="仿宋" w:hAnsi="仿宋" w:eastAsia="仿宋" w:cs="仿宋"/>
          <w:sz w:val="28"/>
          <w:szCs w:val="28"/>
        </w:rPr>
        <w:t>二、收入决算情况说明</w:t>
      </w:r>
      <w:r>
        <w:rPr>
          <w:rFonts w:ascii="仿宋" w:hAnsi="仿宋" w:eastAsia="仿宋"/>
          <w:sz w:val="28"/>
          <w:szCs w:val="28"/>
        </w:rPr>
        <w:tab/>
      </w:r>
      <w:r>
        <w:rPr>
          <w:rFonts w:ascii="仿宋" w:hAnsi="仿宋" w:eastAsia="仿宋" w:cs="仿宋"/>
          <w:sz w:val="28"/>
          <w:szCs w:val="28"/>
        </w:rPr>
        <w:fldChar w:fldCharType="begin"/>
      </w:r>
      <w:r>
        <w:rPr>
          <w:rFonts w:ascii="仿宋" w:hAnsi="仿宋" w:eastAsia="仿宋" w:cs="仿宋"/>
          <w:sz w:val="28"/>
          <w:szCs w:val="28"/>
        </w:rPr>
        <w:instrText xml:space="preserve"> PAGEREF _Toc15396604 \h </w:instrText>
      </w:r>
      <w:r>
        <w:rPr>
          <w:rFonts w:ascii="仿宋" w:hAnsi="仿宋" w:eastAsia="仿宋" w:cs="仿宋"/>
          <w:sz w:val="28"/>
          <w:szCs w:val="28"/>
        </w:rPr>
        <w:fldChar w:fldCharType="separate"/>
      </w:r>
      <w:r>
        <w:rPr>
          <w:rFonts w:ascii="仿宋" w:hAnsi="仿宋" w:eastAsia="仿宋" w:cs="仿宋"/>
          <w:sz w:val="28"/>
          <w:szCs w:val="28"/>
        </w:rPr>
        <w:t xml:space="preserve"> 19 </w:t>
      </w:r>
      <w:r>
        <w:rPr>
          <w:rFonts w:ascii="仿宋" w:hAnsi="仿宋" w:eastAsia="仿宋" w:cs="仿宋"/>
          <w:sz w:val="28"/>
          <w:szCs w:val="28"/>
        </w:rPr>
        <w:fldChar w:fldCharType="end"/>
      </w:r>
      <w:r>
        <w:rPr>
          <w:rFonts w:ascii="仿宋" w:hAnsi="仿宋" w:eastAsia="仿宋" w:cs="仿宋"/>
          <w:sz w:val="28"/>
          <w:szCs w:val="28"/>
        </w:rPr>
        <w:fldChar w:fldCharType="end"/>
      </w:r>
    </w:p>
    <w:p w14:paraId="660C10B2">
      <w:pPr>
        <w:pStyle w:val="14"/>
        <w:ind w:left="0" w:leftChars="0" w:firstLine="0" w:firstLineChars="0"/>
        <w:rPr>
          <w:rFonts w:ascii="仿宋" w:hAnsi="仿宋" w:eastAsia="仿宋"/>
          <w:sz w:val="28"/>
          <w:szCs w:val="28"/>
        </w:rPr>
      </w:pPr>
      <w:r>
        <w:fldChar w:fldCharType="begin"/>
      </w:r>
      <w:r>
        <w:instrText xml:space="preserve"> HYPERLINK \l "_Toc15396605" </w:instrText>
      </w:r>
      <w:r>
        <w:fldChar w:fldCharType="separate"/>
      </w:r>
      <w:r>
        <w:rPr>
          <w:rStyle w:val="19"/>
          <w:rFonts w:hint="eastAsia" w:ascii="仿宋" w:hAnsi="仿宋" w:eastAsia="仿宋" w:cs="仿宋"/>
          <w:sz w:val="28"/>
          <w:szCs w:val="28"/>
        </w:rPr>
        <w:t>三、支出决算情况说明</w:t>
      </w:r>
      <w:r>
        <w:rPr>
          <w:rFonts w:ascii="仿宋" w:hAnsi="仿宋" w:eastAsia="仿宋"/>
          <w:sz w:val="28"/>
          <w:szCs w:val="28"/>
        </w:rPr>
        <w:tab/>
      </w:r>
      <w:r>
        <w:rPr>
          <w:rFonts w:ascii="仿宋" w:hAnsi="仿宋" w:eastAsia="仿宋" w:cs="仿宋"/>
          <w:sz w:val="28"/>
          <w:szCs w:val="28"/>
        </w:rPr>
        <w:fldChar w:fldCharType="begin"/>
      </w:r>
      <w:r>
        <w:rPr>
          <w:rFonts w:ascii="仿宋" w:hAnsi="仿宋" w:eastAsia="仿宋" w:cs="仿宋"/>
          <w:sz w:val="28"/>
          <w:szCs w:val="28"/>
        </w:rPr>
        <w:instrText xml:space="preserve"> PAGEREF _Toc15396605 \h </w:instrText>
      </w:r>
      <w:r>
        <w:rPr>
          <w:rFonts w:ascii="仿宋" w:hAnsi="仿宋" w:eastAsia="仿宋" w:cs="仿宋"/>
          <w:sz w:val="28"/>
          <w:szCs w:val="28"/>
        </w:rPr>
        <w:fldChar w:fldCharType="separate"/>
      </w:r>
      <w:r>
        <w:rPr>
          <w:rFonts w:ascii="仿宋" w:hAnsi="仿宋" w:eastAsia="仿宋" w:cs="仿宋"/>
          <w:sz w:val="28"/>
          <w:szCs w:val="28"/>
        </w:rPr>
        <w:t xml:space="preserve">20 </w:t>
      </w:r>
      <w:r>
        <w:rPr>
          <w:rFonts w:ascii="仿宋" w:hAnsi="仿宋" w:eastAsia="仿宋" w:cs="仿宋"/>
          <w:sz w:val="28"/>
          <w:szCs w:val="28"/>
        </w:rPr>
        <w:fldChar w:fldCharType="end"/>
      </w:r>
      <w:r>
        <w:rPr>
          <w:rFonts w:ascii="仿宋" w:hAnsi="仿宋" w:eastAsia="仿宋" w:cs="仿宋"/>
          <w:sz w:val="28"/>
          <w:szCs w:val="28"/>
        </w:rPr>
        <w:fldChar w:fldCharType="end"/>
      </w:r>
    </w:p>
    <w:p w14:paraId="4C8A506F">
      <w:pPr>
        <w:pStyle w:val="14"/>
        <w:ind w:left="0" w:leftChars="0" w:firstLine="0" w:firstLineChars="0"/>
        <w:rPr>
          <w:rFonts w:ascii="仿宋" w:hAnsi="仿宋" w:eastAsia="仿宋"/>
          <w:sz w:val="28"/>
          <w:szCs w:val="28"/>
        </w:rPr>
      </w:pPr>
      <w:r>
        <w:fldChar w:fldCharType="begin"/>
      </w:r>
      <w:r>
        <w:instrText xml:space="preserve"> HYPERLINK \l "_Toc15396606" </w:instrText>
      </w:r>
      <w:r>
        <w:fldChar w:fldCharType="separate"/>
      </w:r>
      <w:r>
        <w:rPr>
          <w:rStyle w:val="19"/>
          <w:rFonts w:hint="eastAsia" w:ascii="仿宋" w:hAnsi="仿宋" w:eastAsia="仿宋" w:cs="仿宋"/>
          <w:sz w:val="28"/>
          <w:szCs w:val="28"/>
        </w:rPr>
        <w:t>四、财政拨款收入支出决算总体情况说明</w:t>
      </w:r>
      <w:r>
        <w:rPr>
          <w:rFonts w:ascii="仿宋" w:hAnsi="仿宋" w:eastAsia="仿宋"/>
          <w:sz w:val="28"/>
          <w:szCs w:val="28"/>
        </w:rPr>
        <w:tab/>
      </w:r>
      <w:r>
        <w:rPr>
          <w:rFonts w:ascii="仿宋" w:hAnsi="仿宋" w:eastAsia="仿宋" w:cs="仿宋"/>
          <w:sz w:val="28"/>
          <w:szCs w:val="28"/>
        </w:rPr>
        <w:fldChar w:fldCharType="begin"/>
      </w:r>
      <w:r>
        <w:rPr>
          <w:rFonts w:ascii="仿宋" w:hAnsi="仿宋" w:eastAsia="仿宋" w:cs="仿宋"/>
          <w:sz w:val="28"/>
          <w:szCs w:val="28"/>
        </w:rPr>
        <w:instrText xml:space="preserve"> PAGEREF _Toc15396606 \h </w:instrText>
      </w:r>
      <w:r>
        <w:rPr>
          <w:rFonts w:ascii="仿宋" w:hAnsi="仿宋" w:eastAsia="仿宋" w:cs="仿宋"/>
          <w:sz w:val="28"/>
          <w:szCs w:val="28"/>
        </w:rPr>
        <w:fldChar w:fldCharType="separate"/>
      </w:r>
      <w:r>
        <w:rPr>
          <w:rFonts w:ascii="仿宋" w:hAnsi="仿宋" w:eastAsia="仿宋" w:cs="仿宋"/>
          <w:sz w:val="28"/>
          <w:szCs w:val="28"/>
        </w:rPr>
        <w:t xml:space="preserve">21 </w:t>
      </w:r>
      <w:r>
        <w:rPr>
          <w:rFonts w:ascii="仿宋" w:hAnsi="仿宋" w:eastAsia="仿宋" w:cs="仿宋"/>
          <w:sz w:val="28"/>
          <w:szCs w:val="28"/>
        </w:rPr>
        <w:fldChar w:fldCharType="end"/>
      </w:r>
      <w:r>
        <w:rPr>
          <w:rFonts w:ascii="仿宋" w:hAnsi="仿宋" w:eastAsia="仿宋" w:cs="仿宋"/>
          <w:sz w:val="28"/>
          <w:szCs w:val="28"/>
        </w:rPr>
        <w:fldChar w:fldCharType="end"/>
      </w:r>
    </w:p>
    <w:p w14:paraId="1E6EE3C4">
      <w:pPr>
        <w:pStyle w:val="14"/>
        <w:ind w:left="0" w:leftChars="0" w:firstLine="0" w:firstLineChars="0"/>
        <w:rPr>
          <w:rFonts w:hint="eastAsia" w:ascii="仿宋" w:hAnsi="仿宋" w:eastAsia="仿宋"/>
          <w:sz w:val="28"/>
          <w:szCs w:val="28"/>
          <w:lang w:val="en-US" w:eastAsia="zh-CN"/>
        </w:rPr>
      </w:pPr>
      <w:r>
        <w:fldChar w:fldCharType="begin"/>
      </w:r>
      <w:r>
        <w:instrText xml:space="preserve"> HYPERLINK \l "_Toc15396607" </w:instrText>
      </w:r>
      <w:r>
        <w:fldChar w:fldCharType="separate"/>
      </w:r>
      <w:r>
        <w:rPr>
          <w:rStyle w:val="19"/>
          <w:rFonts w:hint="eastAsia" w:ascii="仿宋" w:hAnsi="仿宋" w:eastAsia="仿宋" w:cs="仿宋"/>
          <w:sz w:val="28"/>
          <w:szCs w:val="28"/>
        </w:rPr>
        <w:t>五、一般公共预算财政拨款支出决算情况说明</w:t>
      </w:r>
      <w:r>
        <w:rPr>
          <w:rFonts w:ascii="仿宋" w:hAnsi="仿宋" w:eastAsia="仿宋"/>
          <w:sz w:val="28"/>
          <w:szCs w:val="28"/>
        </w:rPr>
        <w:tab/>
      </w:r>
      <w:r>
        <w:rPr>
          <w:rFonts w:hint="eastAsia" w:ascii="仿宋" w:hAnsi="仿宋" w:eastAsia="仿宋" w:cs="仿宋"/>
          <w:sz w:val="28"/>
          <w:szCs w:val="28"/>
          <w:lang w:val="en-US" w:eastAsia="zh-CN"/>
        </w:rPr>
        <w:t>2</w:t>
      </w:r>
      <w:r>
        <w:rPr>
          <w:rFonts w:ascii="仿宋" w:hAnsi="仿宋" w:eastAsia="仿宋" w:cs="仿宋"/>
          <w:sz w:val="28"/>
          <w:szCs w:val="28"/>
        </w:rPr>
        <w:fldChar w:fldCharType="end"/>
      </w:r>
      <w:r>
        <w:rPr>
          <w:rFonts w:hint="eastAsia" w:ascii="仿宋" w:hAnsi="仿宋" w:eastAsia="仿宋" w:cs="仿宋"/>
          <w:sz w:val="28"/>
          <w:szCs w:val="28"/>
          <w:lang w:val="en-US" w:eastAsia="zh-CN"/>
        </w:rPr>
        <w:t>2</w:t>
      </w:r>
    </w:p>
    <w:p w14:paraId="16C3D5B2">
      <w:pPr>
        <w:pStyle w:val="14"/>
        <w:ind w:left="0" w:leftChars="0" w:firstLine="0" w:firstLineChars="0"/>
        <w:rPr>
          <w:rFonts w:hint="eastAsia" w:ascii="仿宋" w:hAnsi="仿宋" w:eastAsia="仿宋"/>
          <w:sz w:val="28"/>
          <w:szCs w:val="28"/>
          <w:lang w:val="en-US" w:eastAsia="zh-CN"/>
        </w:rPr>
      </w:pPr>
      <w:r>
        <w:fldChar w:fldCharType="begin"/>
      </w:r>
      <w:r>
        <w:instrText xml:space="preserve"> HYPERLINK \l "_Toc15396608" </w:instrText>
      </w:r>
      <w:r>
        <w:fldChar w:fldCharType="separate"/>
      </w:r>
      <w:r>
        <w:rPr>
          <w:rStyle w:val="19"/>
          <w:rFonts w:hint="eastAsia" w:ascii="仿宋" w:hAnsi="仿宋" w:eastAsia="仿宋" w:cs="仿宋"/>
          <w:sz w:val="28"/>
          <w:szCs w:val="28"/>
        </w:rPr>
        <w:t>六、一般公共预算财政拨款基本支出决算情况说明</w:t>
      </w:r>
      <w:r>
        <w:rPr>
          <w:rFonts w:ascii="仿宋" w:hAnsi="仿宋" w:eastAsia="仿宋"/>
          <w:sz w:val="28"/>
          <w:szCs w:val="28"/>
        </w:rPr>
        <w:tab/>
      </w:r>
      <w:r>
        <w:rPr>
          <w:rFonts w:hint="eastAsia" w:ascii="仿宋" w:hAnsi="仿宋" w:eastAsia="仿宋"/>
          <w:sz w:val="28"/>
          <w:szCs w:val="28"/>
          <w:lang w:val="en-US" w:eastAsia="zh-CN"/>
        </w:rPr>
        <w:t>2</w:t>
      </w:r>
      <w:r>
        <w:rPr>
          <w:rFonts w:ascii="仿宋" w:hAnsi="仿宋" w:eastAsia="仿宋" w:cs="仿宋"/>
          <w:sz w:val="28"/>
          <w:szCs w:val="28"/>
        </w:rPr>
        <w:fldChar w:fldCharType="end"/>
      </w:r>
      <w:r>
        <w:rPr>
          <w:rFonts w:hint="eastAsia" w:ascii="仿宋" w:hAnsi="仿宋" w:eastAsia="仿宋" w:cs="仿宋"/>
          <w:sz w:val="28"/>
          <w:szCs w:val="28"/>
          <w:lang w:val="en-US" w:eastAsia="zh-CN"/>
        </w:rPr>
        <w:t>5</w:t>
      </w:r>
    </w:p>
    <w:p w14:paraId="6149233E">
      <w:pPr>
        <w:pStyle w:val="14"/>
        <w:ind w:left="0" w:leftChars="0" w:firstLine="0" w:firstLineChars="0"/>
        <w:rPr>
          <w:rFonts w:hint="default" w:ascii="仿宋" w:hAnsi="仿宋" w:eastAsia="仿宋"/>
          <w:sz w:val="28"/>
          <w:szCs w:val="28"/>
          <w:lang w:val="en-US" w:eastAsia="zh-CN"/>
        </w:rPr>
      </w:pPr>
      <w:r>
        <w:fldChar w:fldCharType="begin"/>
      </w:r>
      <w:r>
        <w:instrText xml:space="preserve"> HYPERLINK \l "_Toc15396609" </w:instrText>
      </w:r>
      <w:r>
        <w:fldChar w:fldCharType="separate"/>
      </w:r>
      <w:r>
        <w:rPr>
          <w:rStyle w:val="19"/>
          <w:rFonts w:hint="eastAsia" w:ascii="仿宋" w:hAnsi="仿宋" w:eastAsia="仿宋" w:cs="仿宋"/>
          <w:sz w:val="28"/>
          <w:szCs w:val="28"/>
        </w:rPr>
        <w:t>七、</w:t>
      </w:r>
      <w:r>
        <w:rPr>
          <w:rStyle w:val="19"/>
          <w:rFonts w:hint="eastAsia" w:ascii="仿宋" w:hAnsi="仿宋" w:eastAsia="仿宋" w:cs="仿宋"/>
          <w:sz w:val="28"/>
          <w:szCs w:val="28"/>
          <w:lang w:eastAsia="zh-CN"/>
        </w:rPr>
        <w:t>财政</w:t>
      </w:r>
      <w:r>
        <w:rPr>
          <w:rStyle w:val="19"/>
          <w:rFonts w:hint="eastAsia" w:ascii="仿宋" w:hAnsi="仿宋" w:eastAsia="仿宋" w:cs="仿宋"/>
          <w:sz w:val="28"/>
          <w:szCs w:val="28"/>
          <w:lang w:val="en-US" w:eastAsia="zh-CN"/>
        </w:rPr>
        <w:t xml:space="preserve"> 拨款</w:t>
      </w:r>
      <w:r>
        <w:rPr>
          <w:rStyle w:val="19"/>
          <w:rFonts w:hint="eastAsia" w:ascii="仿宋" w:hAnsi="仿宋" w:eastAsia="仿宋" w:cs="仿宋"/>
          <w:sz w:val="28"/>
          <w:szCs w:val="28"/>
        </w:rPr>
        <w:t>“三公”经费支出决算情况说明</w:t>
      </w:r>
      <w:r>
        <w:rPr>
          <w:rFonts w:ascii="仿宋" w:hAnsi="仿宋" w:eastAsia="仿宋"/>
          <w:sz w:val="28"/>
          <w:szCs w:val="28"/>
        </w:rPr>
        <w:tab/>
      </w:r>
      <w:r>
        <w:rPr>
          <w:rFonts w:ascii="仿宋" w:hAnsi="仿宋" w:eastAsia="仿宋" w:cs="仿宋"/>
          <w:sz w:val="28"/>
          <w:szCs w:val="28"/>
        </w:rPr>
        <w:fldChar w:fldCharType="end"/>
      </w:r>
      <w:r>
        <w:rPr>
          <w:rFonts w:hint="eastAsia" w:ascii="仿宋" w:hAnsi="仿宋" w:eastAsia="仿宋" w:cs="仿宋"/>
          <w:sz w:val="28"/>
          <w:szCs w:val="28"/>
          <w:lang w:val="en-US" w:eastAsia="zh-CN"/>
        </w:rPr>
        <w:t>25</w:t>
      </w:r>
    </w:p>
    <w:p w14:paraId="318F60AB">
      <w:pPr>
        <w:pStyle w:val="14"/>
        <w:ind w:left="0" w:leftChars="0" w:firstLine="0" w:firstLineChars="0"/>
        <w:rPr>
          <w:rFonts w:ascii="仿宋" w:hAnsi="仿宋" w:eastAsia="仿宋"/>
          <w:sz w:val="28"/>
          <w:szCs w:val="28"/>
        </w:rPr>
      </w:pPr>
      <w:r>
        <w:fldChar w:fldCharType="begin"/>
      </w:r>
      <w:r>
        <w:instrText xml:space="preserve"> HYPERLINK \l "_Toc15396610" </w:instrText>
      </w:r>
      <w:r>
        <w:fldChar w:fldCharType="separate"/>
      </w:r>
      <w:r>
        <w:rPr>
          <w:rStyle w:val="19"/>
          <w:rFonts w:hint="eastAsia" w:ascii="仿宋" w:hAnsi="仿宋" w:eastAsia="仿宋" w:cs="仿宋"/>
          <w:sz w:val="28"/>
          <w:szCs w:val="28"/>
        </w:rPr>
        <w:t>八、政府性基金预算支出决算情况说明</w:t>
      </w:r>
      <w:r>
        <w:rPr>
          <w:rFonts w:ascii="仿宋" w:hAnsi="仿宋" w:eastAsia="仿宋"/>
          <w:sz w:val="28"/>
          <w:szCs w:val="28"/>
        </w:rPr>
        <w:tab/>
      </w:r>
      <w:r>
        <w:rPr>
          <w:rFonts w:ascii="仿宋" w:hAnsi="仿宋" w:eastAsia="仿宋" w:cs="仿宋"/>
          <w:sz w:val="28"/>
          <w:szCs w:val="28"/>
        </w:rPr>
        <w:fldChar w:fldCharType="begin"/>
      </w:r>
      <w:r>
        <w:rPr>
          <w:rFonts w:ascii="仿宋" w:hAnsi="仿宋" w:eastAsia="仿宋" w:cs="仿宋"/>
          <w:sz w:val="28"/>
          <w:szCs w:val="28"/>
        </w:rPr>
        <w:instrText xml:space="preserve"> PAGEREF _Toc15396610 \h </w:instrText>
      </w:r>
      <w:r>
        <w:rPr>
          <w:rFonts w:ascii="仿宋" w:hAnsi="仿宋" w:eastAsia="仿宋" w:cs="仿宋"/>
          <w:sz w:val="28"/>
          <w:szCs w:val="28"/>
        </w:rPr>
        <w:fldChar w:fldCharType="separate"/>
      </w:r>
      <w:r>
        <w:rPr>
          <w:rFonts w:ascii="仿宋" w:hAnsi="仿宋" w:eastAsia="仿宋" w:cs="仿宋"/>
          <w:sz w:val="28"/>
          <w:szCs w:val="28"/>
        </w:rPr>
        <w:t>27</w:t>
      </w:r>
      <w:r>
        <w:rPr>
          <w:rFonts w:ascii="仿宋" w:hAnsi="仿宋" w:eastAsia="仿宋" w:cs="仿宋"/>
          <w:sz w:val="28"/>
          <w:szCs w:val="28"/>
        </w:rPr>
        <w:fldChar w:fldCharType="end"/>
      </w:r>
      <w:r>
        <w:rPr>
          <w:rFonts w:ascii="仿宋" w:hAnsi="仿宋" w:eastAsia="仿宋" w:cs="仿宋"/>
          <w:sz w:val="28"/>
          <w:szCs w:val="28"/>
        </w:rPr>
        <w:fldChar w:fldCharType="end"/>
      </w:r>
    </w:p>
    <w:p w14:paraId="602D9A39">
      <w:pPr>
        <w:pStyle w:val="14"/>
        <w:ind w:left="0" w:leftChars="0" w:firstLine="0" w:firstLineChars="0"/>
        <w:rPr>
          <w:rFonts w:hint="eastAsia" w:eastAsia="仿宋"/>
          <w:lang w:val="en-US" w:eastAsia="zh-CN"/>
        </w:rPr>
      </w:pPr>
      <w:r>
        <w:fldChar w:fldCharType="begin"/>
      </w:r>
      <w:r>
        <w:instrText xml:space="preserve"> HYPERLINK \l "_Toc15396611" </w:instrText>
      </w:r>
      <w:r>
        <w:fldChar w:fldCharType="separate"/>
      </w:r>
      <w:r>
        <w:rPr>
          <w:rStyle w:val="19"/>
          <w:rFonts w:hint="eastAsia" w:ascii="仿宋" w:hAnsi="仿宋" w:eastAsia="仿宋" w:cs="仿宋"/>
          <w:sz w:val="28"/>
          <w:szCs w:val="28"/>
        </w:rPr>
        <w:t>九、国有资本经营预算支出决算情况说明</w:t>
      </w:r>
      <w:r>
        <w:rPr>
          <w:rFonts w:ascii="仿宋" w:hAnsi="仿宋" w:eastAsia="仿宋"/>
          <w:sz w:val="28"/>
          <w:szCs w:val="28"/>
        </w:rPr>
        <w:tab/>
      </w:r>
      <w:r>
        <w:rPr>
          <w:rFonts w:hint="eastAsia" w:ascii="仿宋" w:hAnsi="仿宋" w:eastAsia="仿宋"/>
          <w:sz w:val="28"/>
          <w:szCs w:val="28"/>
          <w:lang w:val="en-US" w:eastAsia="zh-CN"/>
        </w:rPr>
        <w:t>2</w:t>
      </w:r>
      <w:r>
        <w:rPr>
          <w:rFonts w:ascii="仿宋" w:hAnsi="仿宋" w:eastAsia="仿宋" w:cs="仿宋"/>
          <w:sz w:val="28"/>
          <w:szCs w:val="28"/>
        </w:rPr>
        <w:fldChar w:fldCharType="end"/>
      </w:r>
      <w:r>
        <w:rPr>
          <w:rFonts w:hint="eastAsia" w:ascii="仿宋" w:hAnsi="仿宋" w:eastAsia="仿宋" w:cs="仿宋"/>
          <w:sz w:val="28"/>
          <w:szCs w:val="28"/>
          <w:lang w:val="en-US" w:eastAsia="zh-CN"/>
        </w:rPr>
        <w:t>8</w:t>
      </w:r>
    </w:p>
    <w:p w14:paraId="54B75F88">
      <w:pPr>
        <w:pStyle w:val="14"/>
        <w:ind w:left="0" w:leftChars="0" w:firstLine="0" w:firstLineChars="0"/>
        <w:rPr>
          <w:rFonts w:ascii="仿宋" w:hAnsi="仿宋" w:eastAsia="仿宋"/>
          <w:sz w:val="28"/>
          <w:szCs w:val="28"/>
        </w:rPr>
      </w:pPr>
      <w:r>
        <w:fldChar w:fldCharType="begin"/>
      </w:r>
      <w:r>
        <w:instrText xml:space="preserve"> HYPERLINK \l "_Toc15396612" </w:instrText>
      </w:r>
      <w:r>
        <w:fldChar w:fldCharType="separate"/>
      </w:r>
      <w:r>
        <w:rPr>
          <w:rStyle w:val="19"/>
          <w:rFonts w:hint="eastAsia" w:ascii="仿宋" w:hAnsi="仿宋" w:eastAsia="仿宋" w:cs="仿宋"/>
          <w:sz w:val="28"/>
          <w:szCs w:val="28"/>
        </w:rPr>
        <w:t>十、其他重要事项的情况说明</w:t>
      </w:r>
      <w:r>
        <w:rPr>
          <w:rFonts w:ascii="仿宋" w:hAnsi="仿宋" w:eastAsia="仿宋"/>
          <w:sz w:val="28"/>
          <w:szCs w:val="28"/>
        </w:rPr>
        <w:tab/>
      </w:r>
      <w:r>
        <w:rPr>
          <w:rFonts w:ascii="仿宋" w:hAnsi="仿宋" w:eastAsia="仿宋" w:cs="仿宋"/>
          <w:sz w:val="28"/>
          <w:szCs w:val="28"/>
        </w:rPr>
        <w:fldChar w:fldCharType="begin"/>
      </w:r>
      <w:r>
        <w:rPr>
          <w:rFonts w:ascii="仿宋" w:hAnsi="仿宋" w:eastAsia="仿宋" w:cs="仿宋"/>
          <w:sz w:val="28"/>
          <w:szCs w:val="28"/>
        </w:rPr>
        <w:instrText xml:space="preserve"> PAGEREF _Toc15396612 \h </w:instrText>
      </w:r>
      <w:r>
        <w:rPr>
          <w:rFonts w:ascii="仿宋" w:hAnsi="仿宋" w:eastAsia="仿宋" w:cs="仿宋"/>
          <w:sz w:val="28"/>
          <w:szCs w:val="28"/>
        </w:rPr>
        <w:fldChar w:fldCharType="separate"/>
      </w:r>
      <w:r>
        <w:rPr>
          <w:rFonts w:ascii="仿宋" w:hAnsi="仿宋" w:eastAsia="仿宋" w:cs="仿宋"/>
          <w:sz w:val="28"/>
          <w:szCs w:val="28"/>
        </w:rPr>
        <w:t xml:space="preserve"> 28 </w:t>
      </w:r>
      <w:r>
        <w:rPr>
          <w:rFonts w:ascii="仿宋" w:hAnsi="仿宋" w:eastAsia="仿宋" w:cs="仿宋"/>
          <w:sz w:val="28"/>
          <w:szCs w:val="28"/>
        </w:rPr>
        <w:fldChar w:fldCharType="end"/>
      </w:r>
      <w:r>
        <w:rPr>
          <w:rFonts w:ascii="仿宋" w:hAnsi="仿宋" w:eastAsia="仿宋" w:cs="仿宋"/>
          <w:sz w:val="28"/>
          <w:szCs w:val="28"/>
        </w:rPr>
        <w:fldChar w:fldCharType="end"/>
      </w:r>
    </w:p>
    <w:p w14:paraId="05E21D30">
      <w:pPr>
        <w:pStyle w:val="11"/>
        <w:ind w:left="0" w:leftChars="0" w:firstLine="0" w:firstLineChars="0"/>
        <w:jc w:val="both"/>
        <w:rPr>
          <w:rFonts w:hint="eastAsia" w:eastAsia="仿宋"/>
          <w:sz w:val="28"/>
          <w:szCs w:val="28"/>
          <w:lang w:val="en-US" w:eastAsia="zh-CN"/>
        </w:rPr>
      </w:pPr>
      <w:r>
        <w:rPr>
          <w:sz w:val="28"/>
          <w:szCs w:val="28"/>
        </w:rPr>
        <w:fldChar w:fldCharType="begin"/>
      </w:r>
      <w:r>
        <w:rPr>
          <w:sz w:val="28"/>
          <w:szCs w:val="28"/>
        </w:rPr>
        <w:instrText xml:space="preserve"> HYPERLINK \l "_Toc15396613" </w:instrText>
      </w:r>
      <w:r>
        <w:rPr>
          <w:sz w:val="28"/>
          <w:szCs w:val="28"/>
        </w:rPr>
        <w:fldChar w:fldCharType="separate"/>
      </w:r>
      <w:r>
        <w:rPr>
          <w:rStyle w:val="19"/>
          <w:rFonts w:hint="eastAsia"/>
          <w:kern w:val="44"/>
          <w:sz w:val="28"/>
          <w:szCs w:val="28"/>
        </w:rPr>
        <w:t>第三部分</w:t>
      </w:r>
      <w:r>
        <w:rPr>
          <w:rStyle w:val="19"/>
          <w:rFonts w:hint="eastAsia"/>
          <w:kern w:val="44"/>
          <w:sz w:val="28"/>
          <w:szCs w:val="28"/>
          <w:lang w:val="en-US" w:eastAsia="zh-CN"/>
        </w:rPr>
        <w:t xml:space="preserve">  </w:t>
      </w:r>
      <w:r>
        <w:rPr>
          <w:rStyle w:val="19"/>
          <w:rFonts w:hint="eastAsia"/>
          <w:sz w:val="28"/>
          <w:szCs w:val="28"/>
        </w:rPr>
        <w:t>名</w:t>
      </w:r>
      <w:r>
        <w:rPr>
          <w:rStyle w:val="19"/>
          <w:rFonts w:hint="eastAsia"/>
          <w:kern w:val="44"/>
          <w:sz w:val="28"/>
          <w:szCs w:val="28"/>
        </w:rPr>
        <w:t>词解释</w:t>
      </w:r>
      <w:r>
        <w:rPr>
          <w:rFonts w:cs="Times New Roman"/>
          <w:sz w:val="28"/>
          <w:szCs w:val="28"/>
        </w:rPr>
        <w:tab/>
      </w:r>
      <w:r>
        <w:rPr>
          <w:rFonts w:hint="eastAsia"/>
          <w:sz w:val="28"/>
          <w:szCs w:val="28"/>
          <w:lang w:val="en-US" w:eastAsia="zh-CN"/>
        </w:rPr>
        <w:t>3</w:t>
      </w:r>
      <w:r>
        <w:rPr>
          <w:sz w:val="28"/>
          <w:szCs w:val="28"/>
        </w:rPr>
        <w:fldChar w:fldCharType="end"/>
      </w:r>
      <w:r>
        <w:rPr>
          <w:rFonts w:hint="eastAsia"/>
          <w:sz w:val="28"/>
          <w:szCs w:val="28"/>
          <w:lang w:val="en-US" w:eastAsia="zh-CN"/>
        </w:rPr>
        <w:t>0</w:t>
      </w:r>
    </w:p>
    <w:p w14:paraId="445BB308">
      <w:pPr>
        <w:pStyle w:val="11"/>
        <w:ind w:left="0" w:leftChars="0" w:firstLine="0" w:firstLineChars="0"/>
        <w:jc w:val="both"/>
        <w:rPr>
          <w:rFonts w:hint="eastAsia" w:eastAsia="仿宋" w:cs="Times New Roman"/>
          <w:sz w:val="28"/>
          <w:szCs w:val="28"/>
          <w:lang w:val="en-US" w:eastAsia="zh-CN"/>
        </w:rPr>
      </w:pPr>
      <w:r>
        <w:rPr>
          <w:sz w:val="28"/>
          <w:szCs w:val="28"/>
        </w:rPr>
        <w:fldChar w:fldCharType="begin"/>
      </w:r>
      <w:r>
        <w:rPr>
          <w:sz w:val="28"/>
          <w:szCs w:val="28"/>
        </w:rPr>
        <w:instrText xml:space="preserve"> HYPERLINK \l "_Toc15396614" </w:instrText>
      </w:r>
      <w:r>
        <w:rPr>
          <w:sz w:val="28"/>
          <w:szCs w:val="28"/>
        </w:rPr>
        <w:fldChar w:fldCharType="separate"/>
      </w:r>
      <w:r>
        <w:rPr>
          <w:rStyle w:val="19"/>
          <w:rFonts w:hint="eastAsia"/>
          <w:sz w:val="28"/>
          <w:szCs w:val="28"/>
        </w:rPr>
        <w:t>第</w:t>
      </w:r>
      <w:r>
        <w:rPr>
          <w:rStyle w:val="19"/>
          <w:rFonts w:hint="eastAsia"/>
          <w:kern w:val="44"/>
          <w:sz w:val="28"/>
          <w:szCs w:val="28"/>
        </w:rPr>
        <w:t>四部分</w:t>
      </w:r>
      <w:r>
        <w:rPr>
          <w:rStyle w:val="19"/>
          <w:rFonts w:hint="eastAsia"/>
          <w:kern w:val="44"/>
          <w:sz w:val="28"/>
          <w:szCs w:val="28"/>
          <w:lang w:val="en-US" w:eastAsia="zh-CN"/>
        </w:rPr>
        <w:t xml:space="preserve">  </w:t>
      </w:r>
      <w:r>
        <w:rPr>
          <w:rStyle w:val="19"/>
          <w:rFonts w:hint="eastAsia"/>
          <w:kern w:val="44"/>
          <w:sz w:val="28"/>
          <w:szCs w:val="28"/>
        </w:rPr>
        <w:t>附件</w:t>
      </w:r>
      <w:r>
        <w:rPr>
          <w:rFonts w:cs="Times New Roman"/>
          <w:sz w:val="28"/>
          <w:szCs w:val="28"/>
        </w:rPr>
        <w:tab/>
      </w:r>
      <w:r>
        <w:rPr>
          <w:rFonts w:hint="eastAsia" w:cs="Times New Roman"/>
          <w:sz w:val="28"/>
          <w:szCs w:val="28"/>
          <w:lang w:val="en-US" w:eastAsia="zh-CN"/>
        </w:rPr>
        <w:t>3</w:t>
      </w:r>
      <w:r>
        <w:rPr>
          <w:rFonts w:hint="eastAsia"/>
          <w:sz w:val="28"/>
          <w:szCs w:val="28"/>
          <w:lang w:val="en-US" w:eastAsia="zh-CN"/>
        </w:rPr>
        <w:t>4</w:t>
      </w:r>
      <w:r>
        <w:rPr>
          <w:sz w:val="28"/>
          <w:szCs w:val="28"/>
        </w:rPr>
        <w:fldChar w:fldCharType="end"/>
      </w:r>
    </w:p>
    <w:p w14:paraId="00007D82">
      <w:pPr>
        <w:pStyle w:val="11"/>
        <w:ind w:left="0" w:leftChars="0" w:firstLine="0" w:firstLineChars="0"/>
        <w:jc w:val="both"/>
        <w:rPr>
          <w:rFonts w:hint="default" w:eastAsia="仿宋" w:cs="Times New Roman"/>
          <w:lang w:val="en-US" w:eastAsia="zh-CN"/>
        </w:rPr>
      </w:pPr>
      <w:r>
        <w:fldChar w:fldCharType="begin"/>
      </w:r>
      <w:r>
        <w:instrText xml:space="preserve"> HYPERLINK \l "_Toc15396618" </w:instrText>
      </w:r>
      <w:r>
        <w:fldChar w:fldCharType="separate"/>
      </w:r>
      <w:r>
        <w:rPr>
          <w:rStyle w:val="19"/>
          <w:rFonts w:hint="eastAsia"/>
        </w:rPr>
        <w:t>第</w:t>
      </w:r>
      <w:r>
        <w:rPr>
          <w:rStyle w:val="19"/>
          <w:rFonts w:hint="eastAsia"/>
          <w:kern w:val="44"/>
        </w:rPr>
        <w:t>五部分</w:t>
      </w:r>
      <w:r>
        <w:rPr>
          <w:rStyle w:val="19"/>
          <w:rFonts w:hint="eastAsia"/>
          <w:kern w:val="44"/>
          <w:lang w:val="en-US" w:eastAsia="zh-CN"/>
        </w:rPr>
        <w:t xml:space="preserve">  </w:t>
      </w:r>
      <w:r>
        <w:rPr>
          <w:rStyle w:val="19"/>
          <w:rFonts w:hint="eastAsia"/>
          <w:kern w:val="44"/>
        </w:rPr>
        <w:t>附表</w:t>
      </w:r>
      <w:r>
        <w:rPr>
          <w:rFonts w:cs="Times New Roman"/>
        </w:rPr>
        <w:tab/>
      </w:r>
      <w:r>
        <w:rPr>
          <w:rFonts w:hint="eastAsia" w:cs="Times New Roman"/>
          <w:lang w:val="en-US" w:eastAsia="zh-CN"/>
        </w:rPr>
        <w:t>1</w:t>
      </w:r>
      <w:r>
        <w:fldChar w:fldCharType="end"/>
      </w:r>
      <w:r>
        <w:rPr>
          <w:rFonts w:hint="eastAsia"/>
          <w:lang w:val="en-US" w:eastAsia="zh-CN"/>
        </w:rPr>
        <w:t>52</w:t>
      </w:r>
    </w:p>
    <w:p w14:paraId="0A4700E1">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一、</w:t>
      </w:r>
      <w:r>
        <w:fldChar w:fldCharType="begin"/>
      </w:r>
      <w:r>
        <w:instrText xml:space="preserve"> HYPERLINK \l "_Toc15396619" </w:instrText>
      </w:r>
      <w:r>
        <w:fldChar w:fldCharType="separate"/>
      </w:r>
      <w:r>
        <w:rPr>
          <w:rStyle w:val="19"/>
          <w:rFonts w:hint="eastAsia" w:ascii="仿宋" w:hAnsi="仿宋" w:eastAsia="仿宋" w:cs="仿宋"/>
          <w:sz w:val="28"/>
          <w:szCs w:val="28"/>
        </w:rPr>
        <w:t>收入支出决算总表</w:t>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3A787733">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二、</w:t>
      </w:r>
      <w:r>
        <w:fldChar w:fldCharType="begin"/>
      </w:r>
      <w:r>
        <w:instrText xml:space="preserve"> HYPERLINK \l "_Toc15396620" </w:instrText>
      </w:r>
      <w:r>
        <w:fldChar w:fldCharType="separate"/>
      </w:r>
      <w:r>
        <w:rPr>
          <w:rStyle w:val="19"/>
          <w:rFonts w:hint="eastAsia" w:ascii="仿宋" w:hAnsi="仿宋" w:eastAsia="仿宋" w:cs="仿宋"/>
          <w:sz w:val="28"/>
          <w:szCs w:val="28"/>
        </w:rPr>
        <w:t>收入</w:t>
      </w:r>
      <w:r>
        <w:rPr>
          <w:rStyle w:val="19"/>
          <w:rFonts w:hint="eastAsia" w:ascii="仿宋" w:hAnsi="仿宋" w:eastAsia="仿宋" w:cs="仿宋"/>
          <w:sz w:val="28"/>
          <w:szCs w:val="28"/>
          <w:lang w:eastAsia="zh-CN"/>
        </w:rPr>
        <w:t>决算</w:t>
      </w:r>
      <w:r>
        <w:rPr>
          <w:rStyle w:val="19"/>
          <w:rFonts w:hint="eastAsia" w:ascii="仿宋" w:hAnsi="仿宋" w:eastAsia="仿宋" w:cs="仿宋"/>
          <w:sz w:val="28"/>
          <w:szCs w:val="28"/>
        </w:rPr>
        <w:t>表</w:t>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4C732B01">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三、</w:t>
      </w:r>
      <w:r>
        <w:fldChar w:fldCharType="begin"/>
      </w:r>
      <w:r>
        <w:instrText xml:space="preserve"> HYPERLINK \l "_Toc15396621" </w:instrText>
      </w:r>
      <w:r>
        <w:fldChar w:fldCharType="separate"/>
      </w:r>
      <w:r>
        <w:rPr>
          <w:rStyle w:val="19"/>
          <w:rFonts w:hint="eastAsia" w:ascii="仿宋" w:hAnsi="仿宋" w:eastAsia="仿宋" w:cs="仿宋"/>
          <w:sz w:val="28"/>
          <w:szCs w:val="28"/>
        </w:rPr>
        <w:t>支出</w:t>
      </w:r>
      <w:r>
        <w:rPr>
          <w:rStyle w:val="19"/>
          <w:rFonts w:hint="eastAsia" w:ascii="仿宋" w:hAnsi="仿宋" w:eastAsia="仿宋" w:cs="仿宋"/>
          <w:sz w:val="28"/>
          <w:szCs w:val="28"/>
          <w:lang w:eastAsia="zh-CN"/>
        </w:rPr>
        <w:t>决算</w:t>
      </w:r>
      <w:r>
        <w:rPr>
          <w:rStyle w:val="19"/>
          <w:rFonts w:hint="eastAsia" w:ascii="仿宋" w:hAnsi="仿宋" w:eastAsia="仿宋" w:cs="仿宋"/>
          <w:sz w:val="28"/>
          <w:szCs w:val="28"/>
        </w:rPr>
        <w:t>表</w:t>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0ECE34DF">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四、</w:t>
      </w:r>
      <w:r>
        <w:fldChar w:fldCharType="begin"/>
      </w:r>
      <w:r>
        <w:instrText xml:space="preserve"> HYPERLINK \l "_Toc15396622" </w:instrText>
      </w:r>
      <w:r>
        <w:fldChar w:fldCharType="separate"/>
      </w:r>
      <w:r>
        <w:rPr>
          <w:rStyle w:val="19"/>
          <w:rFonts w:hint="eastAsia" w:ascii="仿宋" w:hAnsi="仿宋" w:eastAsia="仿宋" w:cs="仿宋"/>
          <w:sz w:val="28"/>
          <w:szCs w:val="28"/>
        </w:rPr>
        <w:t>财政拨款收入支出决算总表</w:t>
      </w:r>
      <w:r>
        <w:rPr>
          <w:rFonts w:ascii="仿宋" w:hAnsi="仿宋" w:eastAsia="仿宋"/>
          <w:sz w:val="28"/>
          <w:szCs w:val="28"/>
        </w:rPr>
        <w:tab/>
      </w:r>
      <w:r>
        <w:rPr>
          <w:rFonts w:ascii="仿宋" w:hAnsi="仿宋" w:eastAsia="仿宋" w:cs="仿宋"/>
          <w:sz w:val="28"/>
          <w:szCs w:val="28"/>
        </w:rPr>
        <w:fldChar w:fldCharType="end"/>
      </w:r>
      <w:r>
        <w:rPr>
          <w:rFonts w:hint="eastAsia" w:ascii="仿宋" w:hAnsi="仿宋" w:eastAsia="仿宋" w:cs="仿宋"/>
          <w:sz w:val="28"/>
          <w:szCs w:val="28"/>
          <w:lang w:val="en-US" w:eastAsia="zh-CN"/>
        </w:rPr>
        <w:t>152</w:t>
      </w:r>
    </w:p>
    <w:p w14:paraId="5E2309E2">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五、</w:t>
      </w:r>
      <w:r>
        <w:fldChar w:fldCharType="begin"/>
      </w:r>
      <w:r>
        <w:instrText xml:space="preserve"> HYPERLINK \l "_Toc15396623" </w:instrText>
      </w:r>
      <w:r>
        <w:fldChar w:fldCharType="separate"/>
      </w:r>
      <w:r>
        <w:rPr>
          <w:rFonts w:hint="eastAsia" w:ascii="仿宋" w:hAnsi="仿宋" w:eastAsia="仿宋" w:cs="仿宋"/>
          <w:sz w:val="28"/>
          <w:szCs w:val="28"/>
        </w:rPr>
        <w:t>财政拨款支出决算明细表</w:t>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1E4105A4">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六、</w:t>
      </w:r>
      <w:r>
        <w:fldChar w:fldCharType="begin"/>
      </w:r>
      <w:r>
        <w:instrText xml:space="preserve"> HYPERLINK \l "_Toc15396624" </w:instrText>
      </w:r>
      <w:r>
        <w:fldChar w:fldCharType="separate"/>
      </w:r>
      <w:r>
        <w:rPr>
          <w:rStyle w:val="19"/>
          <w:rFonts w:hint="eastAsia" w:ascii="仿宋" w:hAnsi="仿宋" w:eastAsia="仿宋" w:cs="仿宋"/>
          <w:sz w:val="28"/>
          <w:szCs w:val="28"/>
        </w:rPr>
        <w:t>一般公共预算财政拨款支出决算表</w:t>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5E5D9032">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七、</w:t>
      </w:r>
      <w:r>
        <w:fldChar w:fldCharType="begin"/>
      </w:r>
      <w:r>
        <w:instrText xml:space="preserve"> HYPERLINK \l "_Toc15396625" </w:instrText>
      </w:r>
      <w:r>
        <w:fldChar w:fldCharType="separate"/>
      </w:r>
      <w:r>
        <w:rPr>
          <w:rStyle w:val="19"/>
          <w:rFonts w:hint="eastAsia" w:ascii="仿宋" w:hAnsi="仿宋" w:eastAsia="仿宋" w:cs="仿宋"/>
          <w:sz w:val="28"/>
          <w:szCs w:val="28"/>
        </w:rPr>
        <w:t>一般公共预算财政拨款支出决算明细表</w:t>
      </w:r>
      <w:r>
        <w:rPr>
          <w:rFonts w:ascii="仿宋" w:hAnsi="仿宋" w:eastAsia="仿宋"/>
          <w:sz w:val="28"/>
          <w:szCs w:val="28"/>
        </w:rPr>
        <w:tab/>
      </w:r>
      <w:r>
        <w:rPr>
          <w:rFonts w:ascii="仿宋" w:hAnsi="仿宋" w:eastAsia="仿宋" w:cs="仿宋"/>
          <w:sz w:val="28"/>
          <w:szCs w:val="28"/>
        </w:rPr>
        <w:fldChar w:fldCharType="end"/>
      </w:r>
      <w:r>
        <w:rPr>
          <w:rFonts w:hint="eastAsia" w:ascii="仿宋" w:hAnsi="仿宋" w:eastAsia="仿宋" w:cs="仿宋"/>
          <w:sz w:val="28"/>
          <w:szCs w:val="28"/>
          <w:lang w:val="en-US" w:eastAsia="zh-CN"/>
        </w:rPr>
        <w:t>152</w:t>
      </w:r>
    </w:p>
    <w:p w14:paraId="1072513C">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八、</w:t>
      </w:r>
      <w:r>
        <w:fldChar w:fldCharType="begin"/>
      </w:r>
      <w:r>
        <w:instrText xml:space="preserve"> HYPERLINK \l "_Toc15396626" </w:instrText>
      </w:r>
      <w:r>
        <w:fldChar w:fldCharType="separate"/>
      </w:r>
      <w:r>
        <w:rPr>
          <w:rStyle w:val="19"/>
          <w:rFonts w:hint="eastAsia" w:ascii="仿宋" w:hAnsi="仿宋" w:eastAsia="仿宋" w:cs="仿宋"/>
          <w:sz w:val="28"/>
          <w:szCs w:val="28"/>
        </w:rPr>
        <w:t>一般公共预算财政拨款基本支出决算表</w:t>
      </w:r>
      <w:r>
        <w:rPr>
          <w:rFonts w:ascii="仿宋" w:hAnsi="仿宋" w:eastAsia="仿宋"/>
          <w:sz w:val="28"/>
          <w:szCs w:val="28"/>
        </w:rPr>
        <w:tab/>
      </w:r>
      <w:r>
        <w:rPr>
          <w:rFonts w:ascii="仿宋" w:hAnsi="仿宋" w:eastAsia="仿宋" w:cs="仿宋"/>
          <w:sz w:val="28"/>
          <w:szCs w:val="28"/>
        </w:rPr>
        <w:fldChar w:fldCharType="end"/>
      </w:r>
      <w:r>
        <w:rPr>
          <w:rFonts w:hint="eastAsia" w:ascii="仿宋" w:hAnsi="仿宋" w:eastAsia="仿宋" w:cs="仿宋"/>
          <w:sz w:val="28"/>
          <w:szCs w:val="28"/>
          <w:lang w:val="en-US" w:eastAsia="zh-CN"/>
        </w:rPr>
        <w:t>152</w:t>
      </w:r>
    </w:p>
    <w:p w14:paraId="59A1FEA9">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九、</w:t>
      </w:r>
      <w:r>
        <w:fldChar w:fldCharType="begin"/>
      </w:r>
      <w:r>
        <w:instrText xml:space="preserve"> HYPERLINK \l "_Toc15396627" </w:instrText>
      </w:r>
      <w:r>
        <w:fldChar w:fldCharType="separate"/>
      </w:r>
      <w:r>
        <w:rPr>
          <w:rStyle w:val="19"/>
          <w:rFonts w:hint="eastAsia" w:ascii="仿宋" w:hAnsi="仿宋" w:eastAsia="仿宋" w:cs="仿宋"/>
          <w:sz w:val="28"/>
          <w:szCs w:val="28"/>
        </w:rPr>
        <w:t>一般公共预算财政拨款项目支出决算表</w:t>
      </w:r>
      <w:r>
        <w:rPr>
          <w:rFonts w:ascii="仿宋" w:hAnsi="仿宋" w:eastAsia="仿宋"/>
          <w:sz w:val="28"/>
          <w:szCs w:val="28"/>
        </w:rPr>
        <w:tab/>
      </w:r>
      <w:r>
        <w:rPr>
          <w:rFonts w:ascii="仿宋" w:hAnsi="仿宋" w:eastAsia="仿宋" w:cs="仿宋"/>
          <w:sz w:val="28"/>
          <w:szCs w:val="28"/>
        </w:rPr>
        <w:fldChar w:fldCharType="end"/>
      </w:r>
      <w:r>
        <w:rPr>
          <w:rFonts w:hint="eastAsia" w:ascii="仿宋" w:hAnsi="仿宋" w:eastAsia="仿宋" w:cs="仿宋"/>
          <w:sz w:val="28"/>
          <w:szCs w:val="28"/>
          <w:lang w:val="en-US" w:eastAsia="zh-CN"/>
        </w:rPr>
        <w:t>152</w:t>
      </w:r>
    </w:p>
    <w:p w14:paraId="1FDEF864">
      <w:pPr>
        <w:pStyle w:val="14"/>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rPr>
        <w:t>十、</w:t>
      </w:r>
      <w:r>
        <w:rPr>
          <w:rStyle w:val="19"/>
          <w:rFonts w:hint="eastAsia" w:ascii="仿宋" w:hAnsi="仿宋" w:eastAsia="仿宋" w:cs="仿宋"/>
          <w:sz w:val="28"/>
          <w:szCs w:val="28"/>
        </w:rPr>
        <w:t>政府性基金预算财政拨款收入支出决算表</w:t>
      </w:r>
      <w:r>
        <w:fldChar w:fldCharType="begin"/>
      </w:r>
      <w:r>
        <w:instrText xml:space="preserve"> HYPERLINK \l "_Toc15396628" </w:instrText>
      </w:r>
      <w:r>
        <w:fldChar w:fldCharType="separate"/>
      </w:r>
      <w:r>
        <w:rPr>
          <w:rFonts w:ascii="仿宋" w:hAnsi="仿宋" w:eastAsia="仿宋"/>
          <w:sz w:val="28"/>
          <w:szCs w:val="28"/>
        </w:rPr>
        <w:tab/>
      </w:r>
      <w:r>
        <w:rPr>
          <w:rFonts w:ascii="仿宋" w:hAnsi="仿宋" w:eastAsia="仿宋" w:cs="仿宋"/>
          <w:sz w:val="28"/>
          <w:szCs w:val="28"/>
        </w:rPr>
        <w:fldChar w:fldCharType="end"/>
      </w:r>
      <w:r>
        <w:rPr>
          <w:rFonts w:hint="eastAsia" w:ascii="仿宋" w:hAnsi="仿宋" w:eastAsia="仿宋" w:cs="仿宋"/>
          <w:sz w:val="28"/>
          <w:szCs w:val="28"/>
          <w:lang w:val="en-US" w:eastAsia="zh-CN"/>
        </w:rPr>
        <w:t>152</w:t>
      </w:r>
    </w:p>
    <w:p w14:paraId="7383F692">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十一、</w:t>
      </w:r>
      <w:r>
        <w:rPr>
          <w:rFonts w:hint="eastAsia" w:ascii="仿宋" w:hAnsi="仿宋" w:eastAsia="仿宋" w:cs="仿宋"/>
          <w:sz w:val="28"/>
          <w:szCs w:val="28"/>
          <w:lang w:eastAsia="zh-CN"/>
        </w:rPr>
        <w:t>国有资本经营预算财政拨款收入支出决算表</w:t>
      </w:r>
      <w:r>
        <w:fldChar w:fldCharType="begin"/>
      </w:r>
      <w:r>
        <w:instrText xml:space="preserve"> HYPERLINK \l "_Toc15396629" </w:instrText>
      </w:r>
      <w:r>
        <w:fldChar w:fldCharType="separate"/>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4BEAA5FD">
      <w:pPr>
        <w:pStyle w:val="14"/>
        <w:ind w:left="0" w:leftChars="0" w:firstLine="0" w:firstLineChars="0"/>
        <w:rPr>
          <w:rFonts w:hint="default" w:ascii="仿宋" w:hAnsi="仿宋" w:eastAsia="仿宋"/>
          <w:sz w:val="28"/>
          <w:szCs w:val="28"/>
          <w:lang w:val="en-US" w:eastAsia="zh-CN"/>
        </w:rPr>
      </w:pPr>
      <w:r>
        <w:rPr>
          <w:rFonts w:hint="eastAsia" w:ascii="仿宋" w:hAnsi="仿宋" w:eastAsia="仿宋" w:cs="仿宋"/>
          <w:sz w:val="28"/>
          <w:szCs w:val="28"/>
        </w:rPr>
        <w:t>十二、</w:t>
      </w:r>
      <w:r>
        <w:fldChar w:fldCharType="begin"/>
      </w:r>
      <w:r>
        <w:instrText xml:space="preserve"> HYPERLINK \l "_Toc15396630" </w:instrText>
      </w:r>
      <w:r>
        <w:fldChar w:fldCharType="separate"/>
      </w:r>
      <w:r>
        <w:rPr>
          <w:rStyle w:val="19"/>
          <w:rFonts w:hint="eastAsia" w:ascii="仿宋" w:hAnsi="仿宋" w:eastAsia="仿宋" w:cs="仿宋"/>
          <w:sz w:val="28"/>
          <w:szCs w:val="28"/>
          <w:lang w:eastAsia="zh-CN"/>
        </w:rPr>
        <w:t>国有资本经营预算财政拨款支出决算表</w:t>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735E5AB6">
      <w:pPr>
        <w:pStyle w:val="14"/>
        <w:ind w:left="0" w:leftChars="0" w:firstLine="0" w:firstLineChars="0"/>
        <w:rPr>
          <w:rFonts w:hint="default" w:ascii="仿宋" w:hAnsi="仿宋" w:eastAsia="仿宋" w:cs="仿宋"/>
          <w:sz w:val="28"/>
          <w:szCs w:val="28"/>
          <w:lang w:val="en-US" w:eastAsia="zh-CN"/>
        </w:rPr>
      </w:pPr>
      <w:r>
        <w:rPr>
          <w:rFonts w:hint="eastAsia" w:ascii="仿宋" w:hAnsi="仿宋" w:eastAsia="仿宋" w:cs="仿宋"/>
          <w:sz w:val="28"/>
          <w:szCs w:val="28"/>
        </w:rPr>
        <w:t>十三、</w:t>
      </w:r>
      <w:r>
        <w:fldChar w:fldCharType="begin"/>
      </w:r>
      <w:r>
        <w:instrText xml:space="preserve"> HYPERLINK \l "_Toc15396631" </w:instrText>
      </w:r>
      <w:r>
        <w:fldChar w:fldCharType="separate"/>
      </w:r>
      <w:r>
        <w:rPr>
          <w:rStyle w:val="19"/>
          <w:rFonts w:hint="eastAsia" w:ascii="仿宋" w:hAnsi="仿宋" w:eastAsia="仿宋" w:cs="仿宋"/>
          <w:sz w:val="28"/>
          <w:szCs w:val="28"/>
          <w:lang w:eastAsia="zh-CN"/>
        </w:rPr>
        <w:t>财政拨款“三公”经费支出决算表</w:t>
      </w:r>
      <w:r>
        <w:rPr>
          <w:rFonts w:ascii="仿宋" w:hAnsi="仿宋" w:eastAsia="仿宋"/>
          <w:sz w:val="28"/>
          <w:szCs w:val="28"/>
        </w:rPr>
        <w:tab/>
      </w:r>
      <w:r>
        <w:rPr>
          <w:rFonts w:hint="eastAsia" w:ascii="仿宋" w:hAnsi="仿宋" w:eastAsia="仿宋"/>
          <w:sz w:val="28"/>
          <w:szCs w:val="28"/>
          <w:lang w:val="en-US" w:eastAsia="zh-CN"/>
        </w:rPr>
        <w:t>1</w:t>
      </w:r>
      <w:r>
        <w:rPr>
          <w:rFonts w:ascii="仿宋" w:hAnsi="仿宋" w:eastAsia="仿宋" w:cs="仿宋"/>
          <w:sz w:val="28"/>
          <w:szCs w:val="28"/>
        </w:rPr>
        <w:fldChar w:fldCharType="end"/>
      </w:r>
      <w:r>
        <w:rPr>
          <w:rFonts w:hint="eastAsia" w:ascii="仿宋" w:hAnsi="仿宋" w:eastAsia="仿宋" w:cs="仿宋"/>
          <w:sz w:val="28"/>
          <w:szCs w:val="28"/>
          <w:lang w:val="en-US" w:eastAsia="zh-CN"/>
        </w:rPr>
        <w:t>52</w:t>
      </w:r>
    </w:p>
    <w:p w14:paraId="09930CEB">
      <w:pPr>
        <w:widowControl w:val="0"/>
        <w:tabs>
          <w:tab w:val="right" w:leader="dot" w:pos="8296"/>
        </w:tabs>
        <w:jc w:val="left"/>
        <w:rPr>
          <w:rFonts w:hint="default" w:ascii="等线" w:hAnsi="等线" w:eastAsia="等线" w:cs="Times New Roman"/>
          <w:smallCaps w:val="0"/>
          <w:kern w:val="2"/>
          <w:sz w:val="21"/>
          <w:szCs w:val="22"/>
          <w:lang w:val="en-US" w:eastAsia="zh-CN" w:bidi="ar-SA"/>
        </w:rPr>
      </w:pPr>
    </w:p>
    <w:p w14:paraId="5054673F">
      <w:pPr>
        <w:rPr>
          <w:rFonts w:hint="eastAsia"/>
          <w:lang w:val="en-US" w:eastAsia="zh-CN"/>
        </w:rPr>
      </w:pPr>
    </w:p>
    <w:p w14:paraId="22CC851E">
      <w:pPr>
        <w:widowControl/>
        <w:jc w:val="left"/>
        <w:rPr>
          <w:rFonts w:ascii="仿宋" w:hAnsi="仿宋" w:eastAsia="仿宋"/>
          <w:color w:val="000000"/>
          <w:sz w:val="24"/>
          <w:szCs w:val="24"/>
        </w:rPr>
      </w:pPr>
      <w:r>
        <w:rPr>
          <w:rFonts w:ascii="黑体" w:hAnsi="黑体" w:eastAsia="黑体" w:cs="黑体"/>
          <w:color w:val="000000"/>
          <w:sz w:val="48"/>
          <w:szCs w:val="48"/>
        </w:rPr>
        <w:fldChar w:fldCharType="end"/>
      </w:r>
    </w:p>
    <w:p w14:paraId="76DADC51">
      <w:pPr>
        <w:widowControl/>
        <w:jc w:val="left"/>
        <w:rPr>
          <w:rFonts w:ascii="黑体" w:hAnsi="黑体" w:eastAsia="黑体"/>
          <w:kern w:val="44"/>
          <w:sz w:val="44"/>
          <w:szCs w:val="44"/>
        </w:rPr>
      </w:pPr>
      <w:bookmarkStart w:id="2" w:name="_Toc15396599"/>
      <w:bookmarkStart w:id="3" w:name="_Toc15377196"/>
      <w:r>
        <w:rPr>
          <w:rFonts w:ascii="黑体" w:hAnsi="黑体" w:eastAsia="黑体"/>
          <w:b/>
          <w:bCs/>
        </w:rPr>
        <w:br w:type="page"/>
      </w:r>
    </w:p>
    <w:p w14:paraId="7005765E">
      <w:pPr>
        <w:pStyle w:val="2"/>
        <w:jc w:val="center"/>
        <w:rPr>
          <w:rFonts w:ascii="黑体" w:eastAsia="黑体"/>
          <w:color w:val="000000"/>
          <w:sz w:val="32"/>
          <w:szCs w:val="32"/>
        </w:rPr>
      </w:pPr>
      <w:r>
        <w:rPr>
          <w:rFonts w:hint="eastAsia" w:ascii="黑体" w:hAnsi="黑体" w:eastAsia="黑体" w:cs="黑体"/>
          <w:b w:val="0"/>
          <w:bCs w:val="0"/>
        </w:rPr>
        <w:t>第一部分</w:t>
      </w:r>
      <w:r>
        <w:rPr>
          <w:rFonts w:hint="eastAsia" w:ascii="黑体" w:hAnsi="黑体" w:eastAsia="黑体" w:cs="黑体"/>
          <w:b w:val="0"/>
          <w:bCs w:val="0"/>
          <w:lang w:eastAsia="zh-CN"/>
        </w:rPr>
        <w:t>　</w:t>
      </w:r>
      <w:r>
        <w:rPr>
          <w:rStyle w:val="22"/>
          <w:rFonts w:hint="eastAsia" w:ascii="黑体" w:hAnsi="黑体" w:eastAsia="黑体" w:cs="黑体"/>
          <w:b w:val="0"/>
          <w:bCs w:val="0"/>
          <w:lang w:eastAsia="zh-CN"/>
        </w:rPr>
        <w:t>单位</w:t>
      </w:r>
      <w:r>
        <w:rPr>
          <w:rStyle w:val="22"/>
          <w:rFonts w:hint="eastAsia" w:ascii="黑体" w:hAnsi="黑体" w:eastAsia="黑体" w:cs="黑体"/>
          <w:b w:val="0"/>
          <w:bCs w:val="0"/>
        </w:rPr>
        <w:t>概况</w:t>
      </w:r>
      <w:bookmarkEnd w:id="2"/>
      <w:bookmarkEnd w:id="3"/>
    </w:p>
    <w:p w14:paraId="1076DB6B">
      <w:pPr>
        <w:pStyle w:val="3"/>
        <w:rPr>
          <w:rFonts w:hint="eastAsia" w:ascii="黑体" w:hAnsi="黑体" w:eastAsia="黑体" w:cs="黑体"/>
          <w:b w:val="0"/>
          <w:bCs w:val="0"/>
          <w:color w:val="000000"/>
          <w:lang w:eastAsia="zh-CN"/>
        </w:rPr>
      </w:pPr>
      <w:bookmarkStart w:id="4" w:name="_Toc15377197"/>
      <w:bookmarkStart w:id="5" w:name="_Toc15396600"/>
      <w:r>
        <w:rPr>
          <w:rFonts w:hint="eastAsia" w:ascii="黑体" w:hAnsi="黑体" w:eastAsia="黑体" w:cs="黑体"/>
          <w:b w:val="0"/>
          <w:bCs w:val="0"/>
          <w:color w:val="000000"/>
        </w:rPr>
        <w:t>一、</w:t>
      </w:r>
      <w:bookmarkEnd w:id="4"/>
      <w:bookmarkEnd w:id="5"/>
      <w:r>
        <w:rPr>
          <w:rFonts w:hint="eastAsia" w:ascii="黑体" w:hAnsi="黑体" w:eastAsia="黑体" w:cs="黑体"/>
          <w:b w:val="0"/>
          <w:bCs w:val="0"/>
          <w:color w:val="000000"/>
          <w:lang w:eastAsia="zh-CN"/>
        </w:rPr>
        <w:t>单位职责</w:t>
      </w:r>
    </w:p>
    <w:p w14:paraId="7EB2144D">
      <w:pPr>
        <w:rPr>
          <w:rFonts w:hint="eastAsia" w:ascii="仿宋" w:hAnsi="仿宋" w:eastAsia="仿宋" w:cs="仿宋"/>
          <w:color w:val="000000"/>
          <w:kern w:val="0"/>
          <w:sz w:val="32"/>
          <w:szCs w:val="32"/>
          <w:lang w:val="en-US" w:eastAsia="zh-CN" w:bidi="ar-SA"/>
        </w:rPr>
      </w:pPr>
      <w:r>
        <w:rPr>
          <w:rFonts w:hint="eastAsia" w:ascii="仿宋" w:hAnsi="仿宋" w:eastAsia="仿宋" w:cs="仿宋"/>
          <w:b/>
          <w:bCs/>
          <w:color w:val="000000"/>
          <w:kern w:val="0"/>
          <w:sz w:val="32"/>
          <w:szCs w:val="32"/>
          <w:lang w:val="en-US" w:eastAsia="zh-CN" w:bidi="ar-SA"/>
        </w:rPr>
        <w:t>（一）职能职责</w:t>
      </w:r>
    </w:p>
    <w:p w14:paraId="28FC640F">
      <w:pPr>
        <w:pStyle w:val="8"/>
        <w:adjustRightInd w:val="0"/>
        <w:snapToGrid w:val="0"/>
        <w:spacing w:before="93" w:line="600" w:lineRule="exact"/>
        <w:ind w:firstLine="672" w:firstLineChars="210"/>
        <w:outlineLvl w:val="2"/>
        <w:rPr>
          <w:rFonts w:hint="eastAsia" w:ascii="仿宋" w:hAnsi="仿宋" w:eastAsia="仿宋" w:cs="仿宋"/>
          <w:color w:val="000000"/>
          <w:sz w:val="32"/>
          <w:szCs w:val="32"/>
        </w:rPr>
      </w:pPr>
      <w:bookmarkStart w:id="6" w:name="_Toc15378446"/>
      <w:bookmarkStart w:id="7" w:name="_Toc15377199"/>
      <w:r>
        <w:rPr>
          <w:rFonts w:hint="eastAsia" w:ascii="仿宋" w:hAnsi="仿宋" w:eastAsia="仿宋" w:cs="仿宋"/>
          <w:color w:val="000000"/>
          <w:sz w:val="32"/>
          <w:szCs w:val="32"/>
        </w:rPr>
        <w:t>根</w:t>
      </w:r>
      <w:r>
        <w:rPr>
          <w:rFonts w:hint="eastAsia" w:ascii="仿宋_GB2312" w:eastAsia="仿宋_GB2312"/>
          <w:sz w:val="32"/>
          <w:szCs w:val="32"/>
        </w:rPr>
        <w:t>据</w:t>
      </w:r>
      <w:r>
        <w:rPr>
          <w:rFonts w:hint="eastAsia" w:ascii="仿宋_GB2312" w:eastAsia="仿宋_GB2312"/>
          <w:sz w:val="32"/>
          <w:szCs w:val="32"/>
          <w:lang w:eastAsia="zh-CN"/>
        </w:rPr>
        <w:t>《中国共产党机构编制工作条例》和《阿坝州机构改革方案》（阿委发</w:t>
      </w:r>
      <w:r>
        <w:rPr>
          <w:rFonts w:hint="eastAsia" w:ascii="仿宋_GB2312" w:eastAsia="仿宋_GB2312"/>
          <w:sz w:val="32"/>
          <w:szCs w:val="32"/>
        </w:rPr>
        <w:t>〔20</w:t>
      </w:r>
      <w:r>
        <w:rPr>
          <w:rFonts w:hint="eastAsia" w:ascii="仿宋_GB2312" w:eastAsia="仿宋_GB2312"/>
          <w:sz w:val="32"/>
          <w:szCs w:val="32"/>
          <w:lang w:val="en-US" w:eastAsia="zh-CN"/>
        </w:rPr>
        <w:t>24</w:t>
      </w:r>
      <w:r>
        <w:rPr>
          <w:rFonts w:hint="eastAsia" w:ascii="仿宋_GB2312" w:eastAsia="仿宋_GB2312"/>
          <w:sz w:val="32"/>
          <w:szCs w:val="32"/>
        </w:rPr>
        <w:t>〕</w:t>
      </w:r>
      <w:r>
        <w:rPr>
          <w:rFonts w:hint="eastAsia" w:ascii="仿宋_GB2312" w:eastAsia="仿宋_GB2312"/>
          <w:sz w:val="32"/>
          <w:szCs w:val="32"/>
          <w:lang w:val="en-US" w:eastAsia="zh-CN"/>
        </w:rPr>
        <w:t>1</w:t>
      </w:r>
      <w:r>
        <w:rPr>
          <w:rFonts w:hint="eastAsia" w:ascii="仿宋_GB2312" w:eastAsia="仿宋_GB2312"/>
          <w:sz w:val="32"/>
          <w:szCs w:val="32"/>
        </w:rPr>
        <w:t>号</w:t>
      </w:r>
      <w:r>
        <w:rPr>
          <w:rFonts w:hint="eastAsia" w:ascii="仿宋_GB2312" w:eastAsia="仿宋_GB2312"/>
          <w:sz w:val="32"/>
          <w:szCs w:val="32"/>
          <w:lang w:eastAsia="zh-CN"/>
        </w:rPr>
        <w:t>以及</w:t>
      </w:r>
      <w:r>
        <w:rPr>
          <w:rFonts w:hint="eastAsia" w:ascii="仿宋_GB2312" w:eastAsia="仿宋_GB2312"/>
          <w:sz w:val="32"/>
          <w:szCs w:val="32"/>
        </w:rPr>
        <w:t>《</w:t>
      </w:r>
      <w:r>
        <w:rPr>
          <w:rFonts w:hint="eastAsia" w:ascii="仿宋_GB2312" w:eastAsia="仿宋_GB2312"/>
          <w:sz w:val="32"/>
          <w:szCs w:val="32"/>
          <w:lang w:eastAsia="zh-CN"/>
        </w:rPr>
        <w:t>中共阿坝州委办公室</w:t>
      </w:r>
      <w:r>
        <w:rPr>
          <w:rFonts w:hint="eastAsia" w:ascii="仿宋_GB2312" w:eastAsia="仿宋_GB2312"/>
          <w:sz w:val="32"/>
          <w:szCs w:val="32"/>
          <w:lang w:val="en-US" w:eastAsia="zh-CN"/>
        </w:rPr>
        <w:t xml:space="preserve"> 阿坝州人民政府办公室关于印发阿坝州市场监督管理局职能配置、内设机构和人员编制规定的通知》</w:t>
      </w:r>
      <w:r>
        <w:rPr>
          <w:rFonts w:hint="eastAsia" w:ascii="仿宋_GB2312" w:eastAsia="仿宋_GB2312"/>
          <w:sz w:val="32"/>
          <w:szCs w:val="32"/>
        </w:rPr>
        <w:t>（阿委</w:t>
      </w:r>
      <w:r>
        <w:rPr>
          <w:rFonts w:hint="eastAsia" w:ascii="仿宋_GB2312" w:eastAsia="仿宋_GB2312"/>
          <w:sz w:val="32"/>
          <w:szCs w:val="32"/>
          <w:lang w:eastAsia="zh-CN"/>
        </w:rPr>
        <w:t>办</w:t>
      </w:r>
      <w:r>
        <w:rPr>
          <w:rFonts w:hint="eastAsia" w:ascii="仿宋_GB2312" w:eastAsia="仿宋_GB2312"/>
          <w:sz w:val="32"/>
          <w:szCs w:val="32"/>
        </w:rPr>
        <w:t>发〔20</w:t>
      </w:r>
      <w:r>
        <w:rPr>
          <w:rFonts w:hint="eastAsia" w:ascii="仿宋_GB2312" w:eastAsia="仿宋_GB2312"/>
          <w:sz w:val="32"/>
          <w:szCs w:val="32"/>
          <w:lang w:val="en-US" w:eastAsia="zh-CN"/>
        </w:rPr>
        <w:t>24</w:t>
      </w:r>
      <w:r>
        <w:rPr>
          <w:rFonts w:hint="eastAsia" w:ascii="仿宋_GB2312" w:eastAsia="仿宋_GB2312"/>
          <w:sz w:val="32"/>
          <w:szCs w:val="32"/>
        </w:rPr>
        <w:t>〕</w:t>
      </w:r>
      <w:r>
        <w:rPr>
          <w:rFonts w:hint="eastAsia" w:ascii="仿宋_GB2312" w:eastAsia="仿宋_GB2312"/>
          <w:sz w:val="32"/>
          <w:szCs w:val="32"/>
          <w:lang w:val="en-US" w:eastAsia="zh-CN"/>
        </w:rPr>
        <w:t>29</w:t>
      </w:r>
      <w:r>
        <w:rPr>
          <w:rFonts w:hint="eastAsia" w:ascii="仿宋_GB2312" w:eastAsia="仿宋_GB2312"/>
          <w:sz w:val="32"/>
          <w:szCs w:val="32"/>
        </w:rPr>
        <w:t>号）</w:t>
      </w:r>
      <w:r>
        <w:rPr>
          <w:rFonts w:hint="eastAsia" w:ascii="仿宋_GB2312" w:eastAsia="仿宋_GB2312"/>
          <w:sz w:val="32"/>
          <w:szCs w:val="32"/>
          <w:lang w:eastAsia="zh-CN"/>
        </w:rPr>
        <w:t>，成立</w:t>
      </w:r>
      <w:r>
        <w:rPr>
          <w:rFonts w:hint="eastAsia" w:ascii="仿宋_GB2312" w:eastAsia="仿宋_GB2312"/>
          <w:sz w:val="32"/>
          <w:szCs w:val="32"/>
        </w:rPr>
        <w:t>阿坝州市场监督管理局（简称州市场监管局）是阿坝州人民政府工作部门，为正县级。</w:t>
      </w:r>
      <w:r>
        <w:rPr>
          <w:rFonts w:hint="eastAsia" w:ascii="仿宋" w:hAnsi="仿宋" w:eastAsia="仿宋" w:cs="仿宋"/>
          <w:color w:val="000000"/>
          <w:sz w:val="32"/>
          <w:szCs w:val="32"/>
        </w:rPr>
        <w:t>主要职</w:t>
      </w:r>
      <w:r>
        <w:rPr>
          <w:rFonts w:hint="eastAsia" w:ascii="仿宋" w:hAnsi="仿宋" w:eastAsia="仿宋" w:cs="仿宋"/>
          <w:color w:val="000000"/>
          <w:sz w:val="32"/>
          <w:szCs w:val="32"/>
          <w:lang w:eastAsia="zh-CN"/>
        </w:rPr>
        <w:t>能</w:t>
      </w:r>
      <w:r>
        <w:rPr>
          <w:rFonts w:hint="eastAsia" w:ascii="仿宋" w:hAnsi="仿宋" w:eastAsia="仿宋" w:cs="仿宋"/>
          <w:color w:val="000000"/>
          <w:sz w:val="32"/>
          <w:szCs w:val="32"/>
        </w:rPr>
        <w:t>是：</w:t>
      </w:r>
    </w:p>
    <w:p w14:paraId="3D307401">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负责全州市场综合监督管理工作。起草市场监督管理有关地方性法规规章草案和规范性文件。组织实施质量强州、食品安全、标准化和知识产权战略，拟订并组织实施全州食品安全等规划，规范和维护市场秩序，推进科技信息化建设和新闻宣传工作，营造诚实守信、公平竞争的市场环境。</w:t>
      </w:r>
    </w:p>
    <w:p w14:paraId="781F848E">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负责全州市场主体统一登记注册。负责全州各类企业、农民专业合作社和从事经营活动的单位、个体工商户以及外国（地区）企业、常驻代表机构等经营主体的登记注册和监督管理工作。承担审批服务便民化有关工作。建立市场主体信息公示和共享机制，依法公示和共享有关信息，加强信用监管，推动市场主体信用体系建设。指导监督各县（市）市场监管行政审批工作。</w:t>
      </w:r>
    </w:p>
    <w:p w14:paraId="43CF3C3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负责组织和指导全州市场监督管理综合行政执法工作。指导全州市场监管综合执法队伍建设，推动实行统一的市场监管。组织查处和督办大案要案、疑难案件、跨区域案件。规范市场监督管理行政执法行为。指导监督各县（市）综合行政执法局市场监管综合行政执法工作。</w:t>
      </w:r>
    </w:p>
    <w:p w14:paraId="23A07707">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负责全州反垄断统一执法。统筹推进竞争政策实施，组织实施公平竞争审查制度；依委托协助开展垄断协议、滥用市场支配地位和滥用行政权力排除、限制竞争等反垄断执法调查工作。指导在州企业在国外的反垄断应诉工作。</w:t>
      </w:r>
    </w:p>
    <w:p w14:paraId="41FF90DE">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负责监督管理全州市场秩序。依法监督管理市场交易、网络商品交易及有关服务的行为。组织指导查处价格收费违法违规、不正当竞争、违法直销、传销、侵犯知识产权和制售假冒伪劣行为。指导广告业发展，监督管理广告活动。依法查处无照生产经营和相关无证生产经营行为。依法开展消费者权益保护工作。指导州保护消费者权益委员会开展消费维权工作。</w:t>
      </w:r>
    </w:p>
    <w:p w14:paraId="477318B5">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负责全州宏观质量管理。拟订并组织实施质量发展的制度措施。统筹全州质量基础设施建设与应用。会同有关部门组织实施重大工程设备质量监理制度，组织产品质量事故调查，贯彻实施缺陷产品召回制度，监督管理产品防伪工作。</w:t>
      </w:r>
    </w:p>
    <w:p w14:paraId="45B1D65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7.</w:t>
      </w:r>
      <w:r>
        <w:rPr>
          <w:rFonts w:hint="eastAsia" w:ascii="仿宋_GB2312" w:eastAsia="仿宋_GB2312"/>
          <w:sz w:val="32"/>
          <w:szCs w:val="32"/>
        </w:rPr>
        <w:t>负责全州产品质量安全监督管理。负责产品质量监督抽查和风险监控工作，组织实施质量分级制度、质量安全追溯制度。负责工业产品生产许可的证后管理。负责纤维质量监督工作。</w:t>
      </w:r>
    </w:p>
    <w:p w14:paraId="30288E1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负责全州特种设备安全监督管理。综合管理特种设备安全监察、监督工作，监督检查高耗能特种设备节能标准和锅炉产品环境保护标准的执行情况。</w:t>
      </w:r>
    </w:p>
    <w:p w14:paraId="70F6A556">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负责全州食品安全监督管理及综合协调。统筹指导全州食品安全工作。负责食品安全应急体系建设，组织指导重大食品安全事件应急处置和调查处理工作。承担州食品安全委员会日常工作。指导督促食品生产经营企业落实食品安全主体责任，组织开展食品安全监督抽检、风险监测、核查处置和风险预警工作。</w:t>
      </w:r>
    </w:p>
    <w:p w14:paraId="53410F76">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负责药品（含中药、民族药，下同）、医疗器械、化妆品的质量安全监督管理及上市后风险管理。依法依授权组织实施药品、医疗器械、化妆品的许可、备案、检查、安全监测和处罚。掌握分析药品安全形势并提出改进工作的建议。参与省药监局组织的监督检查。指导县（市）药品、医疗器械和化妆品监督管理工作。依法依授权承担我州执业药师注册管理工作，贯彻执行执业药师其他相关管理制度。</w:t>
      </w:r>
    </w:p>
    <w:p w14:paraId="41F5D84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11.</w:t>
      </w:r>
      <w:r>
        <w:rPr>
          <w:rFonts w:hint="eastAsia" w:ascii="仿宋_GB2312" w:eastAsia="仿宋_GB2312"/>
          <w:sz w:val="32"/>
          <w:szCs w:val="32"/>
        </w:rPr>
        <w:t>负责统一管理全州计量工作。推行法定计量单位，执行国家计量制度，管理计量器具及量值传递和比对工作。规范、监督商品量和计量行为。</w:t>
      </w:r>
    </w:p>
    <w:p w14:paraId="3D797979">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12.</w:t>
      </w:r>
      <w:r>
        <w:rPr>
          <w:rFonts w:hint="eastAsia" w:ascii="仿宋_GB2312" w:eastAsia="仿宋_GB2312"/>
          <w:sz w:val="32"/>
          <w:szCs w:val="32"/>
        </w:rPr>
        <w:t>负责统一管理全州标准化工作。依法承担地方标准立项、编号和发布等工作，协调指导地方标准、团体标准、企业标准制定工作，依法对标准制定和实施情况开展监督检查。</w:t>
      </w:r>
    </w:p>
    <w:p w14:paraId="3BAF4EC6">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13.</w:t>
      </w:r>
      <w:r>
        <w:rPr>
          <w:rFonts w:hint="eastAsia" w:ascii="仿宋_GB2312" w:eastAsia="仿宋_GB2312"/>
          <w:sz w:val="32"/>
          <w:szCs w:val="32"/>
        </w:rPr>
        <w:t>负责统一管理全州检验检测工作。规范检验检测市场，完善检验检测体系，指导协调检验检测行业发展。</w:t>
      </w:r>
    </w:p>
    <w:p w14:paraId="676C4203">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14.</w:t>
      </w:r>
      <w:r>
        <w:rPr>
          <w:rFonts w:hint="eastAsia" w:ascii="仿宋_GB2312" w:eastAsia="仿宋_GB2312"/>
          <w:sz w:val="32"/>
          <w:szCs w:val="32"/>
        </w:rPr>
        <w:t>负责统一管理全州认证认可工作。监督管理认证认可和合格评定工作。</w:t>
      </w:r>
    </w:p>
    <w:p w14:paraId="7A458D6B">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15.</w:t>
      </w:r>
      <w:r>
        <w:rPr>
          <w:rFonts w:hint="eastAsia" w:ascii="仿宋_GB2312" w:eastAsia="仿宋_GB2312"/>
          <w:sz w:val="32"/>
          <w:szCs w:val="32"/>
        </w:rPr>
        <w:t>负责全州知识产权监督管理。贯彻落实国家、省知识产权战略、政策和法规规章，负责知识产权强州体系建设，制定全州知识产权规划，负责知识产权的创造、运用、保护、管理和服务工作。培育知识产权文化。负责组织实施指导知识产权行政执法工作。</w:t>
      </w:r>
    </w:p>
    <w:p w14:paraId="4591AAA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16.</w:t>
      </w:r>
      <w:r>
        <w:rPr>
          <w:rFonts w:hint="eastAsia" w:ascii="仿宋_GB2312" w:eastAsia="仿宋_GB2312"/>
          <w:sz w:val="32"/>
          <w:szCs w:val="32"/>
        </w:rPr>
        <w:t>负责促进全州民营经济发展。负责全州民营经济发展工作的任务制定、调查研究、统筹协调、督促落实及民营企业合法权益维护。在州委社会工作部指导下，指导全州市场监督管理部门配合党委社会工作部门开展小微企业、个体工商户、专业市场的党建工作。</w:t>
      </w:r>
    </w:p>
    <w:p w14:paraId="6E39806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17.</w:t>
      </w:r>
      <w:r>
        <w:rPr>
          <w:rFonts w:hint="eastAsia" w:ascii="仿宋_GB2312" w:eastAsia="仿宋_GB2312"/>
          <w:sz w:val="32"/>
          <w:szCs w:val="32"/>
        </w:rPr>
        <w:t>负责职责范围内的安全生产和职业健康、生态环境保护、应急联动等工作。</w:t>
      </w:r>
    </w:p>
    <w:p w14:paraId="3028A364">
      <w:pPr>
        <w:snapToGrid w:val="0"/>
        <w:spacing w:line="52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完成州委、州政府交办的其他任务。</w:t>
      </w:r>
    </w:p>
    <w:p w14:paraId="693CFE2D">
      <w:pPr>
        <w:pStyle w:val="8"/>
        <w:adjustRightInd w:val="0"/>
        <w:snapToGrid w:val="0"/>
        <w:spacing w:before="93" w:line="600" w:lineRule="exact"/>
        <w:ind w:firstLine="672" w:firstLineChars="210"/>
        <w:outlineLvl w:val="2"/>
        <w:rPr>
          <w:rFonts w:hint="eastAsia" w:ascii="仿宋_GB2312" w:eastAsia="仿宋_GB2312"/>
          <w:sz w:val="32"/>
          <w:szCs w:val="32"/>
        </w:rPr>
      </w:pPr>
      <w:r>
        <w:rPr>
          <w:rFonts w:hint="eastAsia" w:ascii="仿宋_GB2312" w:eastAsia="仿宋_GB2312"/>
          <w:sz w:val="32"/>
          <w:szCs w:val="32"/>
        </w:rPr>
        <w:t>负责全州市场综合监督管理工作。起草市场监督管理有关自治法规规章和规范性文件草案。组织实施质量强州、食品安全、标准化和知识产权战略，拟订并组织实施全州食品安全等规划，规范和维护市场秩序，营造诚实守信、公平竞争的市场环境。</w:t>
      </w:r>
    </w:p>
    <w:p w14:paraId="40C82F4F">
      <w:pPr>
        <w:pStyle w:val="8"/>
        <w:adjustRightInd w:val="0"/>
        <w:snapToGrid w:val="0"/>
        <w:spacing w:before="93" w:line="600" w:lineRule="exact"/>
        <w:ind w:firstLine="675" w:firstLineChars="210"/>
        <w:outlineLvl w:val="2"/>
        <w:rPr>
          <w:rFonts w:ascii="仿宋" w:hAnsi="仿宋" w:eastAsia="仿宋" w:cs="Times New Roman"/>
          <w:b/>
          <w:bCs/>
          <w:color w:val="000000"/>
          <w:sz w:val="32"/>
          <w:szCs w:val="32"/>
        </w:rPr>
      </w:pPr>
      <w:r>
        <w:rPr>
          <w:rFonts w:hint="eastAsia" w:ascii="仿宋" w:hAnsi="仿宋" w:eastAsia="仿宋" w:cs="仿宋"/>
          <w:b/>
          <w:bCs/>
          <w:color w:val="000000"/>
          <w:sz w:val="32"/>
          <w:szCs w:val="32"/>
          <w:lang w:eastAsia="zh-CN"/>
        </w:rPr>
        <w:t>（二）</w:t>
      </w:r>
      <w:r>
        <w:rPr>
          <w:rFonts w:ascii="仿宋" w:hAnsi="仿宋" w:eastAsia="仿宋" w:cs="仿宋"/>
          <w:b/>
          <w:bCs/>
          <w:color w:val="000000"/>
          <w:sz w:val="32"/>
          <w:szCs w:val="32"/>
        </w:rPr>
        <w:t>20</w:t>
      </w:r>
      <w:r>
        <w:rPr>
          <w:rFonts w:hint="eastAsia" w:ascii="仿宋" w:hAnsi="仿宋" w:eastAsia="仿宋" w:cs="仿宋"/>
          <w:b/>
          <w:bCs/>
          <w:color w:val="000000"/>
          <w:sz w:val="32"/>
          <w:szCs w:val="32"/>
          <w:lang w:val="en-US" w:eastAsia="zh-CN"/>
        </w:rPr>
        <w:t>25</w:t>
      </w:r>
      <w:r>
        <w:rPr>
          <w:rFonts w:hint="eastAsia" w:ascii="仿宋" w:hAnsi="仿宋" w:eastAsia="仿宋" w:cs="仿宋"/>
          <w:b/>
          <w:bCs/>
          <w:color w:val="000000"/>
          <w:sz w:val="32"/>
          <w:szCs w:val="32"/>
        </w:rPr>
        <w:t>年</w:t>
      </w:r>
      <w:r>
        <w:rPr>
          <w:rFonts w:hint="eastAsia" w:ascii="仿宋" w:hAnsi="仿宋" w:eastAsia="仿宋" w:cs="仿宋"/>
          <w:b/>
          <w:bCs/>
          <w:color w:val="000000"/>
          <w:sz w:val="32"/>
          <w:szCs w:val="32"/>
          <w:lang w:eastAsia="zh-CN"/>
        </w:rPr>
        <w:t>度</w:t>
      </w:r>
      <w:r>
        <w:rPr>
          <w:rFonts w:hint="eastAsia" w:ascii="仿宋" w:hAnsi="仿宋" w:eastAsia="仿宋" w:cs="仿宋"/>
          <w:b/>
          <w:bCs/>
          <w:color w:val="000000"/>
          <w:sz w:val="32"/>
          <w:szCs w:val="32"/>
        </w:rPr>
        <w:t>重点工作完成情况</w:t>
      </w:r>
      <w:bookmarkEnd w:id="6"/>
      <w:bookmarkEnd w:id="7"/>
    </w:p>
    <w:p w14:paraId="57D1D289">
      <w:pPr>
        <w:snapToGrid w:val="0"/>
        <w:spacing w:line="520" w:lineRule="exact"/>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1.</w:t>
      </w:r>
      <w:r>
        <w:rPr>
          <w:rFonts w:hint="eastAsia" w:ascii="仿宋_GB2312" w:hAnsi="Times New Roman" w:eastAsia="仿宋_GB2312" w:cs="Times New Roman"/>
          <w:sz w:val="32"/>
          <w:szCs w:val="32"/>
          <w:lang w:eastAsia="zh-CN"/>
        </w:rPr>
        <w:t>稳主体、激活力，营商环境更加优质。聚力深化“高效办成一件事”“重点企业事前服务”等改革，开展事前服务和上门指导，推动经营主体办事更加便利。制定出台《阿坝州培育壮大市场主体促进经济高质量发展若干措施》，不断做大增量、壮大体量，全州市场主体突破9万大关，完成“个转企”111户。创新实施公平竞争审查网上抽查，深入开展整治滥用行政权力排除、限制竞争专项行动，清理现行有效政策措施142项。</w:t>
      </w:r>
    </w:p>
    <w:p w14:paraId="49865431">
      <w:pPr>
        <w:snapToGrid w:val="0"/>
        <w:spacing w:line="520" w:lineRule="exact"/>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2.</w:t>
      </w:r>
      <w:r>
        <w:rPr>
          <w:rFonts w:hint="eastAsia" w:ascii="仿宋_GB2312" w:hAnsi="Times New Roman" w:eastAsia="仿宋_GB2312" w:cs="Times New Roman"/>
          <w:sz w:val="32"/>
          <w:szCs w:val="32"/>
          <w:lang w:eastAsia="zh-CN"/>
        </w:rPr>
        <w:t>除隐患、防风险，安全底线更加坚实。运用“一基四类”工作法，大力推进食品安全“互联网+AI”监管，梳理在产在营主体2092户，推流接入省级平台892户，接入率达到42.22%。持续加强食品、药品、特种设备、旅游市场“微网实格”监管，推广使用“净土阿坝·平安微治理随手拍”，累计消除风险隐患2300余个。制定出台全省首个单一品种全链条管理办法，即《阿坝州牦牛肉制品管理办法》，着力规范牦牛肉制品生产经营行为。强化“监检联动”，创新构建“三圈管控+四时覆盖”动态监管体系，全力护航夏季避暑旅游。</w:t>
      </w:r>
    </w:p>
    <w:p w14:paraId="13AA4B60">
      <w:pPr>
        <w:snapToGrid w:val="0"/>
        <w:spacing w:line="520" w:lineRule="exact"/>
        <w:ind w:firstLine="640" w:firstLineChars="200"/>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val="en-US" w:eastAsia="zh-CN"/>
        </w:rPr>
        <w:t>3.</w:t>
      </w:r>
      <w:r>
        <w:rPr>
          <w:rFonts w:hint="eastAsia" w:ascii="仿宋_GB2312" w:hAnsi="Times New Roman" w:eastAsia="仿宋_GB2312" w:cs="Times New Roman"/>
          <w:sz w:val="32"/>
          <w:szCs w:val="32"/>
          <w:lang w:eastAsia="zh-CN"/>
        </w:rPr>
        <w:t>强监管、严执法，市场环境更加有序。全面攻坚“春雷行动2025”“守护消费”铁拳行动，持续擦亮“天下九寨沟 大美阿坝州”金字招牌，查办案件1215件，罚没503.73万元，移送公安机关5件。运用“四不两直”方式，扎实开展“五一”、国庆中秋假期旅游消费市场督查检查，闭环整改问题隐患1015个。以</w:t>
      </w:r>
      <w:r>
        <w:rPr>
          <w:rFonts w:hint="eastAsia" w:ascii="仿宋_GB2312" w:cs="Times New Roman"/>
          <w:sz w:val="32"/>
          <w:szCs w:val="32"/>
          <w:lang w:eastAsia="zh-CN"/>
        </w:rPr>
        <w:t>“揭榜挂帅”</w:t>
      </w:r>
      <w:r>
        <w:rPr>
          <w:rFonts w:hint="eastAsia" w:ascii="仿宋_GB2312" w:hAnsi="Times New Roman" w:eastAsia="仿宋_GB2312" w:cs="Times New Roman"/>
          <w:sz w:val="32"/>
          <w:szCs w:val="32"/>
          <w:lang w:eastAsia="zh-CN"/>
        </w:rPr>
        <w:t>的方式，承接省局执法稽查科普宣传，做深做实以案释法、以案说法。巩固提升跨区域执法协作成效，签订川甘青三省四州交界地区食品安全高质量发展跨区域合作共治框架协议。</w:t>
      </w:r>
    </w:p>
    <w:p w14:paraId="419B6947">
      <w:pPr>
        <w:snapToGrid w:val="0"/>
        <w:spacing w:line="520" w:lineRule="exact"/>
        <w:ind w:firstLine="640" w:firstLineChars="200"/>
        <w:rPr>
          <w:rFonts w:hint="eastAsia" w:ascii="仿宋_GB2312" w:eastAsia="仿宋_GB2312"/>
          <w:b/>
          <w:bCs/>
          <w:sz w:val="32"/>
          <w:szCs w:val="32"/>
        </w:rPr>
      </w:pPr>
      <w:r>
        <w:rPr>
          <w:rFonts w:hint="eastAsia" w:ascii="仿宋_GB2312" w:hAnsi="Times New Roman" w:eastAsia="仿宋_GB2312" w:cs="Times New Roman"/>
          <w:sz w:val="32"/>
          <w:szCs w:val="32"/>
          <w:lang w:val="en-US" w:eastAsia="zh-CN"/>
        </w:rPr>
        <w:t>4.</w:t>
      </w:r>
      <w:r>
        <w:rPr>
          <w:rFonts w:hint="eastAsia" w:ascii="仿宋_GB2312" w:hAnsi="Times New Roman" w:eastAsia="仿宋_GB2312" w:cs="Times New Roman"/>
          <w:sz w:val="32"/>
          <w:szCs w:val="32"/>
          <w:lang w:eastAsia="zh-CN"/>
        </w:rPr>
        <w:t>抓产业、强支撑，质量建设全面发力。强力推进质量强企、强链、强县，红原牦牛乳业入选全省质量强企典型案例，汶川县获评“博鳌亚洲论坛绿色发展基地”称号。坚持好中选优，评选第五届州政府质量奖组织奖4个、个人奖5名。夯实质量发展硬核支撑，高标准制定“羌族金银花茶”质量标准，阿坝侨源气体获批“全国标准实施监测点”，黑水嘎尔庄园获得全州首家“五钻”民宿认证。加强知识产权培育保护，小金四姑娘山天然沙棘在全州首次通过知识产权管理体系国际标准认证，小金苹果、</w:t>
      </w:r>
      <w:r>
        <w:rPr>
          <w:rFonts w:hint="eastAsia" w:ascii="仿宋_GB2312" w:cs="Times New Roman"/>
          <w:sz w:val="32"/>
          <w:szCs w:val="32"/>
          <w:lang w:eastAsia="zh-CN"/>
        </w:rPr>
        <w:t>黑水</w:t>
      </w:r>
      <w:r>
        <w:rPr>
          <w:rFonts w:hint="eastAsia" w:ascii="仿宋_GB2312" w:hAnsi="Times New Roman" w:eastAsia="仿宋_GB2312" w:cs="Times New Roman"/>
          <w:sz w:val="32"/>
          <w:szCs w:val="32"/>
          <w:lang w:eastAsia="zh-CN"/>
        </w:rPr>
        <w:t>蜂蜜、九寨沟蜂蜜入选《中欧地理标志协定》。</w:t>
      </w:r>
    </w:p>
    <w:p w14:paraId="64D60208">
      <w:pPr>
        <w:spacing w:line="576" w:lineRule="exact"/>
        <w:ind w:right="35" w:rightChars="11" w:firstLine="643" w:firstLineChars="20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lang w:eastAsia="zh-CN"/>
        </w:rPr>
        <w:t>二、机构设置</w:t>
      </w:r>
    </w:p>
    <w:p w14:paraId="1FB754A0">
      <w:pPr>
        <w:spacing w:line="576" w:lineRule="exact"/>
        <w:ind w:right="35" w:rightChars="11"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州市场监管局设下列内设机构：</w:t>
      </w:r>
    </w:p>
    <w:p w14:paraId="4CB0BC3E">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（一）办公室。</w:t>
      </w:r>
      <w:r>
        <w:rPr>
          <w:rFonts w:hint="eastAsia" w:ascii="仿宋_GB2312" w:hAnsi="仿宋_GB2312" w:eastAsia="仿宋_GB2312" w:cs="仿宋_GB2312"/>
          <w:color w:val="000000"/>
          <w:sz w:val="32"/>
          <w:szCs w:val="32"/>
        </w:rPr>
        <w:t>负责文电、会务、档案、机要等机关日常运转工作。承担保密、信息、绩效管理、政务公开、信访、国有资产实物管理、政府采购组织实施、工作督办、值班值守等工作。组织办理人大代表建议、政协委员提案。牵头组织编制本部门应急预案，组织协调市场监督管理方面重大事故的应急处置和调查处理工作。做好本单位安全生产和职业健康工作。</w:t>
      </w:r>
    </w:p>
    <w:p w14:paraId="7E64A753">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（二）综合规划科。</w:t>
      </w:r>
      <w:r>
        <w:rPr>
          <w:rFonts w:hint="eastAsia" w:ascii="仿宋_GB2312" w:hAnsi="仿宋_GB2312" w:eastAsia="仿宋_GB2312" w:cs="仿宋_GB2312"/>
          <w:color w:val="000000"/>
          <w:sz w:val="32"/>
          <w:szCs w:val="32"/>
        </w:rPr>
        <w:t>负责组织开展全州市场监督管理领域政务调研、政策研究、趋势研判、重大课题计划编制及成果评选。承担重要综合性文稿起草工作。承担全州市场监督管理综合性规划的编制、组织实施、评估和协调衔接工作。承担市场监督管理史志、年鉴、大事记等编纂工作。承担全州市场监督管理综合性统计工作。承担健全完善市场监督管理协调机制工作。牵头协调市场监管领域全面深化改革工作及乡村振兴、托底帮扶等综合协调工作。</w:t>
      </w:r>
    </w:p>
    <w:p w14:paraId="25C34CB2">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（三）法规科。</w:t>
      </w:r>
      <w:r>
        <w:rPr>
          <w:rFonts w:hint="eastAsia" w:ascii="仿宋_GB2312" w:hAnsi="仿宋_GB2312" w:eastAsia="仿宋_GB2312" w:cs="仿宋_GB2312"/>
          <w:color w:val="000000"/>
          <w:sz w:val="32"/>
          <w:szCs w:val="32"/>
        </w:rPr>
        <w:t>负责协调相关立法准备工作。负责规范性文件合法性审查。负责组织实施依法治州、法治政府建设工作。负责行政处罚案件的审核工作。负责本部门重大行政执法决定的法制审核。承担有关行政复议、行政应诉和行政执法监督工作。承担本部门权责清单清理、动态调整等工作。组织开展法治宣传工作。</w:t>
      </w:r>
    </w:p>
    <w:p w14:paraId="0187FB5C">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（四）登记注册与行政审批科。</w:t>
      </w:r>
      <w:r>
        <w:rPr>
          <w:rFonts w:hint="eastAsia" w:ascii="仿宋_GB2312" w:hAnsi="仿宋_GB2312" w:eastAsia="仿宋_GB2312" w:cs="仿宋_GB2312"/>
          <w:color w:val="000000"/>
          <w:sz w:val="32"/>
          <w:szCs w:val="32"/>
        </w:rPr>
        <w:t>负责拟订市场主体统一登记注册和营业执照核发的制度措施并指导实施。组织推进深化商事制度改革。承担指导登记注册全程电子化工作。承担登记注册信息的分析公开工作。组织运用市场主体基础信息库。牵头协调推进本系统政府职能转变、优化政府服务提升行政效能、行政审批制度改革，承担审批服务便民化有关工作。组织指导对市场主体登记注册行为的监督检查工作。牵头清理规范本系统审批服务事项，规范行政审批过程，集中承担州本级有关审批服务事项的受理、审批等工作，推进纳入一体化政务服务平台。依法依授权开展</w:t>
      </w:r>
      <w:r>
        <w:rPr>
          <w:rFonts w:hint="eastAsia" w:ascii="仿宋_GB2312" w:hAnsi="仿宋_GB2312" w:cs="仿宋_GB2312"/>
          <w:color w:val="000000"/>
          <w:sz w:val="32"/>
          <w:szCs w:val="32"/>
          <w:lang w:eastAsia="zh-CN"/>
        </w:rPr>
        <w:t>执业</w:t>
      </w:r>
      <w:r>
        <w:rPr>
          <w:rFonts w:hint="eastAsia" w:ascii="仿宋_GB2312" w:hAnsi="仿宋_GB2312" w:eastAsia="仿宋_GB2312" w:cs="仿宋_GB2312"/>
          <w:color w:val="000000"/>
          <w:sz w:val="32"/>
          <w:szCs w:val="32"/>
        </w:rPr>
        <w:t>药师注册工作。组织实施市场监管集中审批的有关业务培训指导工作。</w:t>
      </w:r>
    </w:p>
    <w:p w14:paraId="44EF281E">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（五）市场信用监督管理科。</w:t>
      </w:r>
      <w:r>
        <w:rPr>
          <w:rFonts w:hint="eastAsia" w:ascii="仿宋_GB2312" w:hAnsi="仿宋_GB2312" w:eastAsia="仿宋_GB2312" w:cs="仿宋_GB2312"/>
          <w:color w:val="000000"/>
          <w:sz w:val="32"/>
          <w:szCs w:val="32"/>
        </w:rPr>
        <w:t>负责拟订信用监督管理的制度措施。负责经营异常名录和严重违法失信名单的管理工作，牵头协调“双随机、一公开”等监管工作。负责全州企业信用信息公示系统的建设和管理工作。组织指导信用分类管理、信息公示和市场主体诚信体系建设工作。承担市场主体监督管理信息和公示信息归集共享、联合惩戒的协调联系工作。依法指导监管、规范市场交易行为。牵头组织协调开展市场环境质量提升及旅游市场等专项整治工作。</w:t>
      </w:r>
    </w:p>
    <w:p w14:paraId="7F663477">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（六）价格监督检查科。</w:t>
      </w:r>
      <w:r>
        <w:rPr>
          <w:rFonts w:hint="eastAsia" w:ascii="仿宋_GB2312" w:hAnsi="仿宋_GB2312" w:eastAsia="仿宋_GB2312" w:cs="仿宋_GB2312"/>
          <w:color w:val="000000"/>
          <w:sz w:val="32"/>
          <w:szCs w:val="32"/>
        </w:rPr>
        <w:t>负责实施和按权限拟订有关价格、收费监督检查的制度措施、规则指南。组织实施商品价格、服务价格以及国家机关、事业性收费的监督检查工作。指导全州价格监督检查工作。</w:t>
      </w:r>
    </w:p>
    <w:p w14:paraId="1EC7FC41">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（七）消费者权益保护科。</w:t>
      </w:r>
      <w:r>
        <w:rPr>
          <w:rFonts w:hint="eastAsia" w:ascii="仿宋_GB2312" w:hAnsi="仿宋_GB2312" w:eastAsia="仿宋_GB2312" w:cs="仿宋_GB2312"/>
          <w:color w:val="000000"/>
          <w:sz w:val="32"/>
          <w:szCs w:val="32"/>
        </w:rPr>
        <w:t>负责拟订保护消费者权益的具体措施、办法并组织实施。指导消费环境建设。指导开展消费者维权宣传教育。协调解决跨区域消费维权工作。承担收集、掌握、综合分析和研究全州消费维权工作中出现的新情况、新问题。组织指导12315消费维权体系建设，统一投诉举报运行热线、平台和工作机制。负责市场监管领域的消费投诉、举报受理工作。负责收集、分流、统计维权案源材料。</w:t>
      </w:r>
    </w:p>
    <w:p w14:paraId="3593EB3F">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（八）网络交易与广告监督管理科。</w:t>
      </w:r>
      <w:r>
        <w:rPr>
          <w:rFonts w:hint="eastAsia" w:ascii="仿宋_GB2312" w:hAnsi="仿宋_GB2312" w:eastAsia="仿宋_GB2312" w:cs="仿宋_GB2312"/>
          <w:color w:val="000000"/>
          <w:sz w:val="32"/>
          <w:szCs w:val="32"/>
        </w:rPr>
        <w:t>负责拟订实施网络商品交易及有关服务和广告监督管理的制度措施。组织指导网络交易平台和网络经营主体规范管理工作。组织实施网络市场监测工作。依法组织实施合同、拍卖行为监督管理。指导全州合同信用建设。指导广告业发展。指导广告发布登记工作。组织指导开展广告整治。指导广告审查机构和广告行业组织的工作。</w:t>
      </w:r>
    </w:p>
    <w:p w14:paraId="2ED20B12">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（九）质量发展科。</w:t>
      </w:r>
      <w:r>
        <w:rPr>
          <w:rFonts w:hint="eastAsia" w:ascii="仿宋_GB2312" w:hAnsi="仿宋_GB2312" w:eastAsia="仿宋_GB2312" w:cs="仿宋_GB2312"/>
          <w:color w:val="000000"/>
          <w:sz w:val="32"/>
          <w:szCs w:val="32"/>
        </w:rPr>
        <w:t>负责拟订推进质量强州战略的政策措施并组织实施，承担统筹全州质量基础设施协同服务及应用工作。组织实施质量奖励制度，推进品牌建设工作。贯彻落实产品和服务质量提升、产品质量安全事故强制报告、缺陷产品召回等制度。承办工程设备质量监理有关事宜。承担产品防伪的监督管理工作。开展服务质量监督监测，组织产品质量事故调查。</w:t>
      </w:r>
    </w:p>
    <w:p w14:paraId="6876EC43">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（十）产品质量安全监督管理科。</w:t>
      </w:r>
      <w:r>
        <w:rPr>
          <w:rFonts w:hint="eastAsia" w:ascii="仿宋_GB2312" w:hAnsi="仿宋_GB2312" w:eastAsia="仿宋_GB2312" w:cs="仿宋_GB2312"/>
          <w:color w:val="000000"/>
          <w:sz w:val="32"/>
          <w:szCs w:val="32"/>
        </w:rPr>
        <w:t>负责拟订全州重点监督的产品目录并组织实施。负责全州工业产品生产许可证后监督管理工作。组织实施产品质量监督抽查、风险监控、预警管理和分类监督管理工作。承担纤维质量监督工作。指导和协调产品质量的行业、地方和专业性监督。指导产品质量监督检验工作。</w:t>
      </w:r>
    </w:p>
    <w:p w14:paraId="00734D2B">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（十一）食品安全协调科。</w:t>
      </w:r>
      <w:r>
        <w:rPr>
          <w:rFonts w:hint="eastAsia" w:ascii="仿宋_GB2312" w:hAnsi="仿宋_GB2312" w:eastAsia="仿宋_GB2312" w:cs="仿宋_GB2312"/>
          <w:color w:val="000000"/>
          <w:sz w:val="32"/>
          <w:szCs w:val="32"/>
        </w:rPr>
        <w:t>负责州食品安全委员会办公室日常工作，负责州食安委组成人员调整，负责制定修订州食安委工作规则。负责组织州食品安全委员会办公室专题会议，起草全州年度食品安全工作总结，制定年度食品安全重点工作计划。负责组织开展对州直有关部门和县（市）</w:t>
      </w:r>
      <w:r>
        <w:rPr>
          <w:rFonts w:hint="eastAsia" w:ascii="仿宋_GB2312" w:hAnsi="仿宋_GB2312" w:eastAsia="仿宋_GB2312" w:cs="仿宋_GB2312"/>
          <w:color w:val="000000"/>
          <w:sz w:val="32"/>
          <w:szCs w:val="32"/>
          <w:lang w:eastAsia="zh-CN"/>
        </w:rPr>
        <w:t>党委、政府</w:t>
      </w:r>
      <w:r>
        <w:rPr>
          <w:rFonts w:hint="eastAsia" w:ascii="仿宋_GB2312" w:hAnsi="仿宋_GB2312" w:eastAsia="仿宋_GB2312" w:cs="仿宋_GB2312"/>
          <w:color w:val="000000"/>
          <w:sz w:val="32"/>
          <w:szCs w:val="32"/>
        </w:rPr>
        <w:t>履行食品安全监督管理职责的考核评价工作。牵头推动省级食品安全示范县（市）创建，指导县（市）食品安全示范乡（镇）创建。统筹协调食品安全监管全过程中的重大问题，推动健全食品安全跨地区跨部门协调联动机制。负责组织修订全州食品安全应急预案，组织开展食品安全演练。</w:t>
      </w:r>
    </w:p>
    <w:p w14:paraId="0D5DC558">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（十二）食品生产安全监督管理科。</w:t>
      </w:r>
      <w:r>
        <w:rPr>
          <w:rFonts w:hint="eastAsia" w:ascii="仿宋_GB2312" w:hAnsi="仿宋_GB2312" w:eastAsia="仿宋_GB2312" w:cs="仿宋_GB2312"/>
          <w:color w:val="000000"/>
          <w:sz w:val="32"/>
          <w:szCs w:val="32"/>
        </w:rPr>
        <w:t>负责食品生产环节的食品安全监管。拟订食品生产者落实主体责任的制度措施并监督实施。负责组织和指导对食品生产企业监督检查工作。指导食品生产企业建立健全质量管理体系、食品安全可追溯体系。负责指导全州开展食品生产加工小作坊监管工作。承担生产环节食品安全状况调查工作。</w:t>
      </w:r>
    </w:p>
    <w:p w14:paraId="592517AE">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（十三）食品流通安全监督管理科。</w:t>
      </w:r>
      <w:r>
        <w:rPr>
          <w:rFonts w:hint="eastAsia" w:ascii="仿宋_GB2312" w:hAnsi="仿宋_GB2312" w:eastAsia="仿宋_GB2312" w:cs="仿宋_GB2312"/>
          <w:color w:val="000000"/>
          <w:sz w:val="32"/>
          <w:szCs w:val="32"/>
        </w:rPr>
        <w:t>负责流通领域的食品安全监管。组织实施并指导开展监督检查、安全状况调查工作。分析掌握流通领域食品安全形势，拟订食品流通、市场销售食用农产品监督管理和食品经营者落实主体责任的制度措施。</w:t>
      </w:r>
    </w:p>
    <w:p w14:paraId="1D5F81F1">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（十四）餐饮服务食品安全监督管理科。</w:t>
      </w:r>
      <w:r>
        <w:rPr>
          <w:rFonts w:hint="eastAsia" w:ascii="仿宋_GB2312" w:hAnsi="仿宋_GB2312" w:eastAsia="仿宋_GB2312" w:cs="仿宋_GB2312"/>
          <w:color w:val="000000"/>
          <w:sz w:val="32"/>
          <w:szCs w:val="32"/>
        </w:rPr>
        <w:t>负责餐饮服务领域的食品安全监管，组织实施并指导开展监督检查、安全状况调查工作。分析掌握我州餐饮服务领域食品安全形势，拟订餐饮服务监督管理落实主体责任的制度措施。组织实施餐饮食品质量安全提升工作。指导食品安全保障工作。</w:t>
      </w:r>
    </w:p>
    <w:p w14:paraId="14271379">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（十五）特殊食品安全监督管理科。</w:t>
      </w:r>
      <w:r>
        <w:rPr>
          <w:rFonts w:hint="eastAsia" w:ascii="仿宋_GB2312" w:hAnsi="仿宋_GB2312" w:eastAsia="仿宋_GB2312" w:cs="仿宋_GB2312"/>
          <w:color w:val="000000"/>
          <w:sz w:val="32"/>
          <w:szCs w:val="32"/>
        </w:rPr>
        <w:t>负责保健食品、特殊医学用途配方食品、婴幼儿配方乳粉等特殊食品和食盐的生产、经营等各环节全链条全过程质量安全监管。分析掌握保健食品、特殊医学用途配方食品、婴幼儿配方乳粉等特殊食品和食盐领域食品安全形势，拟订并组织实施特殊食品安全监督管理的制度措施。</w:t>
      </w:r>
    </w:p>
    <w:p w14:paraId="5755AF06">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（十六）产品安全抽检监测科。</w:t>
      </w:r>
      <w:r>
        <w:rPr>
          <w:rFonts w:hint="eastAsia" w:ascii="仿宋_GB2312" w:hAnsi="仿宋_GB2312" w:eastAsia="仿宋_GB2312" w:cs="仿宋_GB2312"/>
          <w:color w:val="000000"/>
          <w:sz w:val="32"/>
          <w:szCs w:val="32"/>
        </w:rPr>
        <w:t>负责依法依授权组织实施全州市场监管领域产品（商品）抽检工作，发布质量安全信息。负责收集、分流、统计、转呈案源线索，督促指导不合格产品（商品）的核查、处置、召回。组织开展产品（商品）安全评价性抽检、风险预警和风险交流。参与制定产品（商品）安全风险监测计划，承担风险监测工作，指导产品（商品）检验检测工作。</w:t>
      </w:r>
    </w:p>
    <w:p w14:paraId="422BD783">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（十七）药品监督管理科（中药民族药监管科）。</w:t>
      </w:r>
      <w:r>
        <w:rPr>
          <w:rFonts w:hint="eastAsia" w:ascii="仿宋_GB2312" w:hAnsi="仿宋_GB2312" w:eastAsia="仿宋_GB2312" w:cs="仿宋_GB2312"/>
          <w:color w:val="000000"/>
          <w:sz w:val="32"/>
          <w:szCs w:val="32"/>
        </w:rPr>
        <w:t>负责全州药品经营、使用环节的监督管理。监督和指导实施药品流通管理规定和经营质量管理规范。依法依</w:t>
      </w:r>
      <w:r>
        <w:rPr>
          <w:rFonts w:hint="eastAsia" w:ascii="仿宋_GB2312" w:hAnsi="仿宋_GB2312" w:eastAsia="仿宋_GB2312" w:cs="仿宋_GB2312"/>
          <w:color w:val="000000"/>
          <w:sz w:val="32"/>
          <w:szCs w:val="32"/>
          <w:lang w:eastAsia="zh-CN"/>
        </w:rPr>
        <w:t>权</w:t>
      </w:r>
      <w:r>
        <w:rPr>
          <w:rFonts w:hint="eastAsia" w:ascii="仿宋_GB2312" w:hAnsi="仿宋_GB2312" w:eastAsia="仿宋_GB2312" w:cs="仿宋_GB2312"/>
          <w:color w:val="000000"/>
          <w:sz w:val="32"/>
          <w:szCs w:val="32"/>
        </w:rPr>
        <w:t>开展药品流通领域监督检查工作。指导实施药品不良反应监测及合理用药工作。依法依</w:t>
      </w:r>
      <w:r>
        <w:rPr>
          <w:rFonts w:hint="eastAsia" w:ascii="仿宋_GB2312" w:hAnsi="仿宋_GB2312" w:cs="仿宋_GB2312"/>
          <w:color w:val="000000"/>
          <w:sz w:val="32"/>
          <w:szCs w:val="32"/>
          <w:lang w:eastAsia="zh-CN"/>
        </w:rPr>
        <w:t>责</w:t>
      </w:r>
      <w:r>
        <w:rPr>
          <w:rFonts w:hint="eastAsia" w:ascii="仿宋_GB2312" w:hAnsi="仿宋_GB2312" w:eastAsia="仿宋_GB2312" w:cs="仿宋_GB2312"/>
          <w:color w:val="000000"/>
          <w:sz w:val="32"/>
          <w:szCs w:val="32"/>
        </w:rPr>
        <w:t>开展执业药师管理相关工作。</w:t>
      </w:r>
    </w:p>
    <w:p w14:paraId="76E8463F">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（十八）医疗器械监督管理科。</w:t>
      </w:r>
      <w:r>
        <w:rPr>
          <w:rFonts w:hint="eastAsia" w:ascii="仿宋_GB2312" w:hAnsi="仿宋_GB2312" w:eastAsia="仿宋_GB2312" w:cs="仿宋_GB2312"/>
          <w:color w:val="000000"/>
          <w:sz w:val="32"/>
          <w:szCs w:val="32"/>
        </w:rPr>
        <w:t>负责全州医疗器械研发</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一类）、生产（一类）、经营、使用环节监督管理，监督实施医疗器械生产、经营、使用质量管理规范。监督实施医疗器械标准和分类管理。按权限负责医疗器械经营备案，指导实施医疗器械不良事件监测并依法处置。</w:t>
      </w:r>
    </w:p>
    <w:p w14:paraId="05380328">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（十九）化妆品监督管理科。</w:t>
      </w:r>
      <w:r>
        <w:rPr>
          <w:rFonts w:hint="eastAsia" w:ascii="仿宋_GB2312" w:hAnsi="仿宋_GB2312" w:eastAsia="仿宋_GB2312" w:cs="仿宋_GB2312"/>
          <w:color w:val="000000"/>
          <w:sz w:val="32"/>
          <w:szCs w:val="32"/>
        </w:rPr>
        <w:t>负责全州化妆品经营、使用环节的监督管理。监督实施化妆品标准、分类规则、技术指导原则。指导实施化妆品不良反应监测并依法处置。按照省药监局授权开展相关工作。</w:t>
      </w:r>
    </w:p>
    <w:p w14:paraId="0CE0152D">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（二十）特种设备安全监察科。</w:t>
      </w:r>
      <w:r>
        <w:rPr>
          <w:rFonts w:hint="eastAsia" w:ascii="仿宋_GB2312" w:hAnsi="仿宋_GB2312" w:eastAsia="仿宋_GB2312" w:cs="仿宋_GB2312"/>
          <w:color w:val="000000"/>
          <w:sz w:val="32"/>
          <w:szCs w:val="32"/>
        </w:rPr>
        <w:t>负责拟订实施特种设备安全有关规范性文件、制度并组织实施。依法组织对特种设备的生产、经营、使用单位和检验检测机构实施监督检查。依法组织对高耗能特种设备节能标准和锅炉生产、进口、销售环节环境保护标准的执行情况进行监督检查，开展风险分析工作。按规定权限组织调查处理特种设备事故并进行统计分析。按规定权限监督管理特种设备检验检测机构和检验检测人员、作业人员。承担州市场监管局安全生产委员会办公室日常工作，联系协调州安全生产委员会办公室及成员单位安全生产相关工作。</w:t>
      </w:r>
    </w:p>
    <w:p w14:paraId="310CCC63">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（二十一）计量科。</w:t>
      </w:r>
      <w:r>
        <w:rPr>
          <w:rFonts w:hint="eastAsia" w:ascii="仿宋_GB2312" w:hAnsi="仿宋_GB2312" w:eastAsia="仿宋_GB2312" w:cs="仿宋_GB2312"/>
          <w:color w:val="000000"/>
          <w:sz w:val="32"/>
          <w:szCs w:val="32"/>
        </w:rPr>
        <w:t>负责推行国家法定计量单位和国家计量制度。负责全州计量标准、计量标准物质和计量器具管理工作，组织量值传递溯源和计量比对工作。组织实施计量检定规程和技术规范。承担商品量、计量行为、计量仲裁检定和计量技术机构及人员的监督管理工作。规范计量数据使用。</w:t>
      </w:r>
    </w:p>
    <w:p w14:paraId="1E625198">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（二十二）认证认可与检验检测科。</w:t>
      </w:r>
      <w:r>
        <w:rPr>
          <w:rFonts w:hint="eastAsia" w:ascii="仿宋_GB2312" w:hAnsi="仿宋_GB2312" w:eastAsia="仿宋_GB2312" w:cs="仿宋_GB2312"/>
          <w:color w:val="000000"/>
          <w:sz w:val="32"/>
          <w:szCs w:val="32"/>
        </w:rPr>
        <w:t>负责组织实施全州认证认可与检验检测的监督管理。监督规范全州认证认可与检验检测市场。负责全州检验检测机构资质认定事中事后监督管理。负责全州强制性产品认证和自愿性认证的监督管理。</w:t>
      </w:r>
    </w:p>
    <w:p w14:paraId="2C69C123">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（二十三）标准化科。</w:t>
      </w:r>
      <w:r>
        <w:rPr>
          <w:rFonts w:hint="eastAsia" w:ascii="仿宋_GB2312" w:hAnsi="仿宋_GB2312" w:eastAsia="仿宋_GB2312" w:cs="仿宋_GB2312"/>
          <w:color w:val="000000"/>
          <w:sz w:val="32"/>
          <w:szCs w:val="32"/>
        </w:rPr>
        <w:t>负责组织实施标准化发展战略、规划和管理制度。负责地方标准（含标准样品）的立项、编号、审查、发布等工作。负责依法对团体标准、企业标准的制定进行指导和监督，推动团体标准、企业标准自我声明公开制度实施。依法组织实施标准和对标准的实施进行监督检查。推动国际标准化工作。承担统一社会信用代码相关工作。指导管理商品条码工作。</w:t>
      </w:r>
    </w:p>
    <w:p w14:paraId="55987654">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（二十四）知识产权规划发展科。</w:t>
      </w:r>
      <w:r>
        <w:rPr>
          <w:rFonts w:hint="eastAsia" w:ascii="仿宋_GB2312" w:hAnsi="仿宋_GB2312" w:eastAsia="仿宋_GB2312" w:cs="仿宋_GB2312"/>
          <w:color w:val="000000"/>
          <w:sz w:val="32"/>
          <w:szCs w:val="32"/>
        </w:rPr>
        <w:t>负责州知识产权局日常工作。拟订并组织实施知识产权发展规划和建设知识产权强州的政策措施。拟订并组织实施强化知识产权创造运营的管理政策和制度。承担知识产权考核、营商环境评价等工作。组织开展知识产权试点示范。承担省级知识产权专项资金管理工作。承担促进商标、专利、地理标志等知识产权转移转化、产业化等运用工作。培育知识产权密集型产业、企业。</w:t>
      </w:r>
    </w:p>
    <w:p w14:paraId="15EAC389">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（二十五）知识产权保护科。</w:t>
      </w:r>
      <w:r>
        <w:rPr>
          <w:rFonts w:hint="eastAsia" w:ascii="仿宋_GB2312" w:hAnsi="仿宋_GB2312" w:eastAsia="仿宋_GB2312" w:cs="仿宋_GB2312"/>
          <w:color w:val="000000"/>
          <w:sz w:val="32"/>
          <w:szCs w:val="32"/>
        </w:rPr>
        <w:t>负责拟订实施知识产权保护体系建设政策措施。承担商标、驰名商标、专利、地理标志、集成电路布图设计、官方标志、特殊标志等知识产权保护工作。承担知识产权行政裁决、纠纷调处和争议处理、维权援助等工作；承担知识产权公共服务平台建设和知识产权信息开发、传播利用工作。承担知识产权风险预警、分析评议工作。承担商标、专利等知识产权服务机构监督管理工作。承担知识产权信用分级分类监管相关工作。承担专利奖评选工作。</w:t>
      </w:r>
    </w:p>
    <w:p w14:paraId="5C8346C7">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（二十六）民营经济协调发展科（小微企业个体工商户专业市场党建工作办公室）。</w:t>
      </w:r>
      <w:r>
        <w:rPr>
          <w:rFonts w:hint="eastAsia" w:ascii="仿宋_GB2312" w:hAnsi="仿宋_GB2312" w:eastAsia="仿宋_GB2312" w:cs="仿宋_GB2312"/>
          <w:color w:val="000000"/>
          <w:sz w:val="32"/>
          <w:szCs w:val="32"/>
        </w:rPr>
        <w:t>负责州民营经济工作领导小组各成员单位的统筹协调。督查民营经济发展工作、政策措施贯彻落实情况。组织开展民营企业评议政府部门、主要领导干部联系重点民营企业和商（协）会工作。组织开展全州民营经济发展调查研究，拟订促进民族经济发展的政策措施。创新民营经济发展的体制机制。扶持个体私营经济发展。承担指导协调民营企业维权工作。负责指导全州市场监督管理部门配合党委社会工作部门开展小微企业、个体工商户、专业市场的党建工作。</w:t>
      </w:r>
    </w:p>
    <w:p w14:paraId="53AA52B0">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（二十七）新闻宣传与科技信息化科。</w:t>
      </w:r>
      <w:r>
        <w:rPr>
          <w:rFonts w:hint="eastAsia" w:ascii="仿宋_GB2312" w:hAnsi="仿宋_GB2312" w:eastAsia="仿宋_GB2312" w:cs="仿宋_GB2312"/>
          <w:color w:val="000000"/>
          <w:sz w:val="32"/>
          <w:szCs w:val="32"/>
        </w:rPr>
        <w:t>负责拟订市场监督管理信息公布制度，承担新闻宣传、新闻发布工作。组织市场监督管理舆情监测、分析和协调处置工作。组织协调重大宣传活动。指导本系统新闻宣传工作。拟订实施相关科技发展规划和技术机构建设规划，推动本系统检测机构资源共享和整合改革。负责提出质量基础设施等重大科技需求，承担相关科研攻关、技术引进、成果应用、技术改造和技术装备管理事项。负责本部门信息化建设及运行保障工作。</w:t>
      </w:r>
    </w:p>
    <w:p w14:paraId="14A08C2E">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（二十八）财务科。</w:t>
      </w:r>
      <w:r>
        <w:rPr>
          <w:rFonts w:hint="eastAsia" w:ascii="仿宋_GB2312" w:hAnsi="仿宋_GB2312" w:eastAsia="仿宋_GB2312" w:cs="仿宋_GB2312"/>
          <w:color w:val="000000"/>
          <w:sz w:val="32"/>
          <w:szCs w:val="32"/>
        </w:rPr>
        <w:t>负责制定实施财务管理内控制度。组织机关和所属单位编制预决算、预算执行及财政资金绩效考评工作。承担机关国有资产账务管理、政府采购预算及预算执行、财务、财政专项补助经费、制装、各项收入及票据管理等工作。指导所属单位财务及国有资产管理、政府采购管理工作。</w:t>
      </w:r>
    </w:p>
    <w:p w14:paraId="460DDD5B">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（二十九）执法稽查科。</w:t>
      </w:r>
      <w:r>
        <w:rPr>
          <w:rFonts w:hint="eastAsia" w:ascii="仿宋_GB2312" w:hAnsi="仿宋_GB2312" w:eastAsia="仿宋_GB2312" w:cs="仿宋_GB2312"/>
          <w:color w:val="000000"/>
          <w:sz w:val="32"/>
          <w:szCs w:val="32"/>
        </w:rPr>
        <w:t>负责监督实施市场监管综合执法及稽查办案的工作标准和规范。负责市场监管领域全州性、跨区域大案要案的督办查处和组织协调。牵头负责州级行政执法事项及专项整治，会同相关科室指导查处市场主体准入、生产、经营、交易及服务中的有关违法行为和案件查办工作，实行与业务科室协同办案机制，指导实施市场监管综合执法规范化建设。依法依授权执行和拟订有关反垄断、反不正当竞争、直销监管及禁止传销的制度、措施和办法。依法依授权指导阿坝州企业在国外的反垄断应诉工作。指导实施公平竞争审查工作。承担监督管理直销企业、直销员及其直销活动和打击传销工作。承担县（市）市场监管综合行政执法业务指导监督工作。负责收集、掌握、分析和研究全州市场监督管理案件工作中出现的新情况、新问题，</w:t>
      </w:r>
      <w:r>
        <w:rPr>
          <w:rFonts w:hint="eastAsia" w:ascii="仿宋_GB2312" w:hAnsi="仿宋_GB2312" w:cs="仿宋_GB2312"/>
          <w:color w:val="000000"/>
          <w:sz w:val="32"/>
          <w:szCs w:val="32"/>
          <w:lang w:eastAsia="zh-CN"/>
        </w:rPr>
        <w:t>制定</w:t>
      </w:r>
      <w:r>
        <w:rPr>
          <w:rFonts w:hint="eastAsia" w:ascii="仿宋_GB2312" w:hAnsi="仿宋_GB2312" w:eastAsia="仿宋_GB2312" w:cs="仿宋_GB2312"/>
          <w:color w:val="000000"/>
          <w:sz w:val="32"/>
          <w:szCs w:val="32"/>
        </w:rPr>
        <w:t>解决办法及措施。</w:t>
      </w:r>
    </w:p>
    <w:p w14:paraId="47512145">
      <w:pPr>
        <w:spacing w:line="576" w:lineRule="exact"/>
        <w:ind w:right="35" w:rightChars="11" w:firstLine="643"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lang w:eastAsia="zh-CN"/>
        </w:rPr>
        <w:t>（三十）</w:t>
      </w:r>
      <w:r>
        <w:rPr>
          <w:rFonts w:hint="eastAsia" w:ascii="仿宋_GB2312" w:hAnsi="仿宋_GB2312" w:eastAsia="仿宋_GB2312" w:cs="仿宋_GB2312"/>
          <w:b/>
          <w:bCs/>
          <w:color w:val="000000"/>
          <w:sz w:val="32"/>
          <w:szCs w:val="32"/>
        </w:rPr>
        <w:t>机关党委（人事科）。</w:t>
      </w:r>
      <w:r>
        <w:rPr>
          <w:rFonts w:hint="eastAsia" w:ascii="仿宋_GB2312" w:hAnsi="仿宋_GB2312" w:eastAsia="仿宋_GB2312" w:cs="仿宋_GB2312"/>
          <w:color w:val="000000"/>
          <w:sz w:val="32"/>
          <w:szCs w:val="32"/>
        </w:rPr>
        <w:t>负责党的建设和意识形态工作，组织学习宣传贯彻党的路线、方针、政策，确保党的各项政策贯彻落实。制定党建工作计划和方案，组织开展党员教育、管理、服务和发展工作，指导基层党组织和工会、共青团、妇委会、红十字会等群团组织开展工作，牵头开展精神文明建设、双拥工作。负责机关纪检、内部审计监督工作。负责机关干部人事、工资福利、机构编制、教育培训等工作。按照管理权限开展干部考核、评选表彰、人事档案及因私出国（境）证照管理工作。负责本单位人才队伍建设、职称评审等工作。负责机关离退休干部管理服务工作。承办领导干部个人有关事项报告、选人用人专项检查、“一报告两评议”工作等工作。指导直属单位人事管理及离退休干部管理服务工作。指导本系统基层标准化规范化建设工作。</w:t>
      </w:r>
    </w:p>
    <w:p w14:paraId="0FFD01EE">
      <w:pPr>
        <w:spacing w:line="576" w:lineRule="exact"/>
        <w:ind w:right="35" w:rightChars="11"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州市场监管局行政编制</w:t>
      </w:r>
      <w:r>
        <w:rPr>
          <w:rFonts w:hint="eastAsia" w:ascii="仿宋_GB2312" w:hAnsi="仿宋_GB2312" w:eastAsia="仿宋_GB2312" w:cs="仿宋_GB2312"/>
          <w:sz w:val="32"/>
          <w:szCs w:val="32"/>
          <w:lang w:val="en-US" w:eastAsia="zh-CN"/>
        </w:rPr>
        <w:t>75</w:t>
      </w:r>
      <w:r>
        <w:rPr>
          <w:rFonts w:hint="eastAsia" w:ascii="仿宋_GB2312" w:hAnsi="仿宋_GB2312" w:eastAsia="仿宋_GB2312" w:cs="仿宋_GB2312"/>
          <w:sz w:val="32"/>
          <w:szCs w:val="32"/>
        </w:rPr>
        <w:t>名。其中，局长1名，副局长</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正科级领导职数</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名（含</w:t>
      </w:r>
      <w:r>
        <w:rPr>
          <w:rFonts w:hint="eastAsia" w:ascii="仿宋_GB2312" w:hAnsi="仿宋_GB2312" w:eastAsia="仿宋_GB2312" w:cs="仿宋_GB2312"/>
          <w:sz w:val="32"/>
          <w:szCs w:val="32"/>
          <w:lang w:eastAsia="zh-CN"/>
        </w:rPr>
        <w:t>总工程师</w:t>
      </w:r>
      <w:r>
        <w:rPr>
          <w:rFonts w:hint="eastAsia" w:ascii="仿宋_GB2312" w:hAnsi="仿宋_GB2312" w:eastAsia="仿宋_GB2312" w:cs="仿宋_GB2312"/>
          <w:sz w:val="32"/>
          <w:szCs w:val="32"/>
          <w:lang w:val="en-US" w:eastAsia="zh-CN"/>
        </w:rPr>
        <w:t>1名，安全总监1名，总经济师1名，</w:t>
      </w:r>
      <w:r>
        <w:rPr>
          <w:rFonts w:hint="eastAsia" w:ascii="仿宋_GB2312" w:hAnsi="仿宋_GB2312" w:eastAsia="仿宋_GB2312" w:cs="仿宋_GB2312"/>
          <w:sz w:val="32"/>
          <w:szCs w:val="32"/>
        </w:rPr>
        <w:t>机关党委专职副书记1名</w:t>
      </w:r>
      <w:r>
        <w:rPr>
          <w:rFonts w:hint="eastAsia" w:ascii="仿宋_GB2312" w:hAnsi="仿宋_GB2312" w:eastAsia="仿宋_GB2312" w:cs="仿宋_GB2312"/>
          <w:sz w:val="32"/>
          <w:szCs w:val="32"/>
          <w:lang w:eastAsia="zh-CN"/>
        </w:rPr>
        <w:t>，市场专员</w:t>
      </w:r>
      <w:r>
        <w:rPr>
          <w:rFonts w:hint="eastAsia" w:ascii="仿宋_GB2312" w:hAnsi="仿宋_GB2312" w:eastAsia="仿宋_GB2312" w:cs="仿宋_GB2312"/>
          <w:sz w:val="32"/>
          <w:szCs w:val="32"/>
          <w:lang w:val="en-US" w:eastAsia="zh-CN"/>
        </w:rPr>
        <w:t>2名</w:t>
      </w:r>
      <w:r>
        <w:rPr>
          <w:rFonts w:hint="eastAsia" w:ascii="仿宋_GB2312" w:hAnsi="仿宋_GB2312" w:eastAsia="仿宋_GB2312" w:cs="仿宋_GB2312"/>
          <w:sz w:val="32"/>
          <w:szCs w:val="32"/>
        </w:rPr>
        <w:t>），副科级领导职数</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名。机关工勤人员事业编制</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名。</w:t>
      </w:r>
    </w:p>
    <w:p w14:paraId="24279E5D">
      <w:pPr>
        <w:pStyle w:val="23"/>
        <w:rPr>
          <w:rFonts w:hint="eastAsia"/>
        </w:rPr>
      </w:pPr>
    </w:p>
    <w:p w14:paraId="598E1C73">
      <w:pPr>
        <w:pStyle w:val="23"/>
        <w:rPr>
          <w:rFonts w:hint="eastAsia"/>
        </w:rPr>
      </w:pPr>
    </w:p>
    <w:p w14:paraId="5186D208">
      <w:pPr>
        <w:pStyle w:val="23"/>
        <w:rPr>
          <w:rFonts w:hint="eastAsia"/>
        </w:rPr>
      </w:pPr>
    </w:p>
    <w:p w14:paraId="57E995D5">
      <w:pPr>
        <w:pStyle w:val="23"/>
        <w:rPr>
          <w:rFonts w:hint="eastAsia"/>
        </w:rPr>
      </w:pPr>
    </w:p>
    <w:p w14:paraId="6DEB237F">
      <w:pPr>
        <w:pStyle w:val="2"/>
        <w:ind w:left="0" w:leftChars="0" w:right="440" w:firstLine="440" w:firstLineChars="100"/>
        <w:jc w:val="both"/>
      </w:pPr>
      <w:bookmarkStart w:id="8" w:name="_Toc15377204"/>
      <w:bookmarkStart w:id="9" w:name="_Toc15396602"/>
      <w:r>
        <w:rPr>
          <w:rFonts w:hint="eastAsia" w:ascii="黑体" w:hAnsi="黑体" w:eastAsia="黑体" w:cs="黑体"/>
          <w:b w:val="0"/>
          <w:bCs w:val="0"/>
          <w:color w:val="000000"/>
        </w:rPr>
        <w:t>第二部分</w:t>
      </w:r>
      <w:r>
        <w:rPr>
          <w:rFonts w:hint="eastAsia" w:ascii="黑体" w:hAnsi="黑体" w:eastAsia="黑体" w:cs="黑体"/>
          <w:b w:val="0"/>
          <w:bCs w:val="0"/>
          <w:color w:val="000000"/>
          <w:lang w:val="en-US" w:eastAsia="zh-CN"/>
        </w:rPr>
        <w:t xml:space="preserve"> </w:t>
      </w:r>
      <w:r>
        <w:rPr>
          <w:rStyle w:val="22"/>
          <w:rFonts w:ascii="黑体" w:hAnsi="黑体" w:eastAsia="黑体" w:cs="黑体"/>
          <w:b w:val="0"/>
          <w:bCs w:val="0"/>
        </w:rPr>
        <w:t>20</w:t>
      </w:r>
      <w:r>
        <w:rPr>
          <w:rStyle w:val="22"/>
          <w:rFonts w:hint="eastAsia" w:ascii="黑体" w:hAnsi="黑体" w:eastAsia="黑体" w:cs="黑体"/>
          <w:b w:val="0"/>
          <w:bCs w:val="0"/>
          <w:lang w:val="en-US" w:eastAsia="zh-CN"/>
        </w:rPr>
        <w:t>25</w:t>
      </w:r>
      <w:r>
        <w:rPr>
          <w:rStyle w:val="22"/>
          <w:rFonts w:hint="eastAsia" w:ascii="黑体" w:hAnsi="黑体" w:eastAsia="黑体" w:cs="黑体"/>
          <w:b w:val="0"/>
          <w:bCs w:val="0"/>
        </w:rPr>
        <w:t>年度</w:t>
      </w:r>
      <w:r>
        <w:rPr>
          <w:rStyle w:val="22"/>
          <w:rFonts w:hint="eastAsia" w:ascii="黑体" w:hAnsi="黑体" w:eastAsia="黑体" w:cs="黑体"/>
          <w:b w:val="0"/>
          <w:bCs w:val="0"/>
          <w:lang w:eastAsia="zh-CN"/>
        </w:rPr>
        <w:t>单位</w:t>
      </w:r>
      <w:r>
        <w:rPr>
          <w:rStyle w:val="22"/>
          <w:rFonts w:hint="eastAsia" w:ascii="黑体" w:hAnsi="黑体" w:eastAsia="黑体" w:cs="黑体"/>
          <w:b w:val="0"/>
          <w:bCs w:val="0"/>
        </w:rPr>
        <w:t>决算情况说明</w:t>
      </w:r>
      <w:bookmarkEnd w:id="8"/>
      <w:bookmarkEnd w:id="9"/>
    </w:p>
    <w:p w14:paraId="3D8FAC99">
      <w:pPr>
        <w:pStyle w:val="24"/>
        <w:numPr>
          <w:ilvl w:val="0"/>
          <w:numId w:val="1"/>
        </w:numPr>
        <w:spacing w:line="600" w:lineRule="exact"/>
        <w:ind w:firstLineChars="0"/>
        <w:outlineLvl w:val="1"/>
        <w:rPr>
          <w:rStyle w:val="25"/>
          <w:rFonts w:ascii="黑体" w:hAnsi="黑体" w:eastAsia="黑体" w:cs="Times New Roman"/>
          <w:b w:val="0"/>
          <w:bCs w:val="0"/>
        </w:rPr>
      </w:pPr>
      <w:bookmarkStart w:id="10" w:name="_Toc15396603"/>
      <w:bookmarkStart w:id="11" w:name="_Toc15377205"/>
      <w:r>
        <w:rPr>
          <w:rFonts w:hint="eastAsia" w:ascii="黑体" w:hAnsi="黑体" w:eastAsia="黑体" w:cs="黑体"/>
          <w:color w:val="000000"/>
          <w:sz w:val="32"/>
          <w:szCs w:val="32"/>
        </w:rPr>
        <w:t>收</w:t>
      </w:r>
      <w:r>
        <w:rPr>
          <w:rStyle w:val="25"/>
          <w:rFonts w:hint="eastAsia" w:ascii="黑体" w:hAnsi="黑体" w:eastAsia="黑体" w:cs="黑体"/>
          <w:b w:val="0"/>
          <w:bCs w:val="0"/>
        </w:rPr>
        <w:t>入支出决算总体情况说明</w:t>
      </w:r>
      <w:bookmarkEnd w:id="10"/>
      <w:bookmarkEnd w:id="11"/>
    </w:p>
    <w:p w14:paraId="0D209219">
      <w:pPr>
        <w:spacing w:line="600" w:lineRule="exact"/>
        <w:ind w:firstLine="640" w:firstLineChars="20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年度本单位全年收入3837.23万元，其中：本年财政拨款收入3837.23万元、上年结余0万元、其他收入0万元。与上年4170.38万元比较下降7.99%，主要原因是人员退休和厉行节约。支出3837.23万元，其中基本支出3361.47万元、项目支出475.76万元，与上年4170.38万元，相比下降7.99%。主要原因是2025年人员退休和厉行节约。</w:t>
      </w:r>
      <w:r>
        <w:rPr>
          <w:rFonts w:hint="eastAsia" w:ascii="仿宋" w:hAnsi="仿宋" w:eastAsia="仿宋" w:cs="仿宋"/>
          <w:color w:val="000000"/>
          <w:sz w:val="32"/>
          <w:szCs w:val="32"/>
        </w:rPr>
        <w:t>（图</w:t>
      </w:r>
      <w:r>
        <w:rPr>
          <w:rFonts w:ascii="仿宋" w:hAnsi="仿宋" w:eastAsia="仿宋" w:cs="仿宋"/>
          <w:color w:val="000000"/>
          <w:sz w:val="32"/>
          <w:szCs w:val="32"/>
        </w:rPr>
        <w:t>1</w:t>
      </w:r>
      <w:r>
        <w:rPr>
          <w:rFonts w:hint="eastAsia" w:ascii="仿宋" w:hAnsi="仿宋" w:eastAsia="仿宋" w:cs="仿宋"/>
          <w:color w:val="000000"/>
          <w:sz w:val="32"/>
          <w:szCs w:val="32"/>
        </w:rPr>
        <w:t>：收、支决算总计变动情况图）（柱状图）</w:t>
      </w:r>
    </w:p>
    <w:p w14:paraId="2943A3BB">
      <w:pPr>
        <w:spacing w:line="600" w:lineRule="exact"/>
        <w:ind w:firstLine="640" w:firstLineChars="200"/>
        <w:rPr>
          <w:rFonts w:ascii="仿宋" w:hAnsi="仿宋" w:eastAsia="仿宋"/>
          <w:color w:val="000000"/>
          <w:sz w:val="32"/>
          <w:szCs w:val="32"/>
        </w:rPr>
      </w:pPr>
      <w:r>
        <w:pict>
          <v:shape id="_x0000_s1026" o:spid="_x0000_s1026" o:spt="75" type="#_x0000_t75" style="position:absolute;left:0pt;margin-left:41.6pt;margin-top:9.65pt;height:177.5pt;width:343.45pt;z-index:251659264;mso-width-relative:page;mso-height-relative:page;" o:ole="t" filled="f" o:preferrelative="t" stroked="f" coordsize="21600,21600">
            <v:path/>
            <v:fill on="f" focussize="0,0"/>
            <v:stroke on="f"/>
            <v:imagedata r:id="rId11" o:title=""/>
            <o:lock v:ext="edit" aspectratio="t"/>
          </v:shape>
          <o:OLEObject Type="Embed" ProgID="Excel.Chart.8" ShapeID="_x0000_s1026" DrawAspect="Content" ObjectID="_1468075725" r:id="rId10">
            <o:LockedField>false</o:LockedField>
          </o:OLEObject>
        </w:pict>
      </w:r>
    </w:p>
    <w:p w14:paraId="43186CEA">
      <w:pPr>
        <w:spacing w:line="600" w:lineRule="exact"/>
        <w:rPr>
          <w:rFonts w:ascii="仿宋" w:hAnsi="仿宋" w:eastAsia="仿宋"/>
          <w:color w:val="000000"/>
          <w:sz w:val="32"/>
          <w:szCs w:val="32"/>
        </w:rPr>
      </w:pPr>
    </w:p>
    <w:p w14:paraId="273472DD">
      <w:pPr>
        <w:rPr>
          <w:rFonts w:ascii="仿宋" w:hAnsi="仿宋" w:eastAsia="仿宋"/>
          <w:color w:val="000000"/>
          <w:sz w:val="32"/>
          <w:szCs w:val="32"/>
        </w:rPr>
      </w:pPr>
    </w:p>
    <w:p w14:paraId="6892B612">
      <w:pPr>
        <w:spacing w:line="600" w:lineRule="exact"/>
        <w:rPr>
          <w:rFonts w:ascii="仿宋" w:hAnsi="仿宋" w:eastAsia="仿宋"/>
          <w:color w:val="000000"/>
          <w:sz w:val="32"/>
          <w:szCs w:val="32"/>
        </w:rPr>
      </w:pPr>
    </w:p>
    <w:p w14:paraId="41F8BE58">
      <w:pPr>
        <w:spacing w:line="600" w:lineRule="exact"/>
        <w:rPr>
          <w:rFonts w:ascii="仿宋" w:hAnsi="仿宋" w:eastAsia="仿宋"/>
          <w:color w:val="000000"/>
          <w:sz w:val="32"/>
          <w:szCs w:val="32"/>
        </w:rPr>
      </w:pPr>
    </w:p>
    <w:p w14:paraId="1B762622">
      <w:pPr>
        <w:spacing w:line="600" w:lineRule="exact"/>
        <w:rPr>
          <w:rFonts w:ascii="仿宋" w:hAnsi="仿宋" w:eastAsia="仿宋"/>
          <w:color w:val="000000"/>
          <w:sz w:val="32"/>
          <w:szCs w:val="32"/>
        </w:rPr>
      </w:pPr>
    </w:p>
    <w:p w14:paraId="65C6D8B5">
      <w:pPr>
        <w:pStyle w:val="24"/>
        <w:numPr>
          <w:ilvl w:val="0"/>
          <w:numId w:val="1"/>
        </w:numPr>
        <w:spacing w:line="600" w:lineRule="exact"/>
        <w:ind w:firstLineChars="0"/>
        <w:outlineLvl w:val="1"/>
        <w:rPr>
          <w:rStyle w:val="25"/>
          <w:rFonts w:ascii="黑体" w:hAnsi="黑体" w:eastAsia="黑体" w:cs="Times New Roman"/>
          <w:b w:val="0"/>
          <w:bCs w:val="0"/>
        </w:rPr>
      </w:pPr>
      <w:bookmarkStart w:id="12" w:name="_Toc15396604"/>
      <w:bookmarkStart w:id="13" w:name="_Toc15377206"/>
      <w:r>
        <w:rPr>
          <w:rFonts w:hint="eastAsia" w:ascii="黑体" w:hAnsi="黑体" w:eastAsia="黑体" w:cs="黑体"/>
          <w:color w:val="000000"/>
          <w:sz w:val="32"/>
          <w:szCs w:val="32"/>
        </w:rPr>
        <w:t>收</w:t>
      </w:r>
      <w:r>
        <w:rPr>
          <w:rStyle w:val="25"/>
          <w:rFonts w:hint="eastAsia" w:ascii="黑体" w:hAnsi="黑体" w:eastAsia="黑体" w:cs="黑体"/>
          <w:b w:val="0"/>
          <w:bCs w:val="0"/>
        </w:rPr>
        <w:t>入决算情况说明</w:t>
      </w:r>
      <w:bookmarkEnd w:id="12"/>
      <w:bookmarkEnd w:id="13"/>
    </w:p>
    <w:p w14:paraId="279B4DDB">
      <w:pPr>
        <w:spacing w:line="600" w:lineRule="exact"/>
        <w:ind w:firstLine="640" w:firstLineChars="200"/>
        <w:outlineLvl w:val="1"/>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本年收入合计</w:t>
      </w:r>
      <w:r>
        <w:rPr>
          <w:rFonts w:hint="eastAsia" w:ascii="仿宋" w:hAnsi="仿宋" w:eastAsia="仿宋" w:cs="仿宋"/>
          <w:color w:val="000000"/>
          <w:sz w:val="32"/>
          <w:szCs w:val="32"/>
          <w:lang w:val="en-US" w:eastAsia="zh-CN"/>
        </w:rPr>
        <w:t>3837.23</w:t>
      </w:r>
      <w:r>
        <w:rPr>
          <w:rFonts w:hint="eastAsia" w:ascii="仿宋" w:hAnsi="仿宋" w:eastAsia="仿宋" w:cs="仿宋"/>
          <w:color w:val="000000"/>
          <w:sz w:val="32"/>
          <w:szCs w:val="32"/>
        </w:rPr>
        <w:t>万元，其中：一般公共预算财政拨款收入</w:t>
      </w:r>
      <w:r>
        <w:rPr>
          <w:rFonts w:hint="eastAsia" w:ascii="仿宋" w:hAnsi="仿宋" w:eastAsia="仿宋" w:cs="仿宋"/>
          <w:color w:val="000000"/>
          <w:sz w:val="32"/>
          <w:szCs w:val="32"/>
          <w:lang w:val="en-US" w:eastAsia="zh-CN"/>
        </w:rPr>
        <w:t>3837.23</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100</w:t>
      </w:r>
      <w:r>
        <w:rPr>
          <w:rFonts w:ascii="仿宋" w:hAnsi="仿宋" w:eastAsia="仿宋" w:cs="仿宋"/>
          <w:color w:val="000000"/>
          <w:sz w:val="32"/>
          <w:szCs w:val="32"/>
        </w:rPr>
        <w:t>%</w:t>
      </w:r>
      <w:r>
        <w:rPr>
          <w:rFonts w:hint="eastAsia" w:ascii="仿宋" w:hAnsi="仿宋" w:eastAsia="仿宋" w:cs="仿宋"/>
          <w:color w:val="000000"/>
          <w:sz w:val="32"/>
          <w:szCs w:val="32"/>
        </w:rPr>
        <w:t>；政府性基金预算财政拨款收入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；国有资本经营预算财政拨款收入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；事业收入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；经营收入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；附属单位上缴收入</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；其他收入</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0</w:t>
      </w:r>
      <w:r>
        <w:rPr>
          <w:rFonts w:ascii="仿宋" w:hAnsi="仿宋" w:eastAsia="仿宋" w:cs="仿宋"/>
          <w:color w:val="000000"/>
          <w:sz w:val="32"/>
          <w:szCs w:val="32"/>
        </w:rPr>
        <w:t>%</w:t>
      </w:r>
      <w:r>
        <w:rPr>
          <w:rFonts w:hint="eastAsia" w:ascii="仿宋" w:hAnsi="仿宋" w:eastAsia="仿宋" w:cs="仿宋"/>
          <w:color w:val="000000"/>
          <w:sz w:val="32"/>
          <w:szCs w:val="32"/>
        </w:rPr>
        <w:t>。</w:t>
      </w:r>
    </w:p>
    <w:p w14:paraId="78483F65">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2</w:t>
      </w:r>
      <w:r>
        <w:rPr>
          <w:rFonts w:hint="eastAsia" w:ascii="仿宋" w:hAnsi="仿宋" w:eastAsia="仿宋" w:cs="仿宋"/>
          <w:color w:val="000000"/>
          <w:sz w:val="32"/>
          <w:szCs w:val="32"/>
        </w:rPr>
        <w:t>：收入决算结构图）（饼状图）</w:t>
      </w:r>
    </w:p>
    <w:p w14:paraId="60E6FB41">
      <w:pPr>
        <w:spacing w:line="600" w:lineRule="exact"/>
        <w:ind w:firstLine="640" w:firstLineChars="200"/>
        <w:rPr>
          <w:rFonts w:ascii="仿宋" w:hAnsi="仿宋" w:eastAsia="仿宋"/>
          <w:color w:val="000000"/>
          <w:sz w:val="32"/>
          <w:szCs w:val="32"/>
        </w:rPr>
      </w:pPr>
      <w:r>
        <w:pict>
          <v:shape id="_x0000_s1027" o:spid="_x0000_s1027" o:spt="75" type="#_x0000_t75" style="position:absolute;left:0pt;margin-left:0pt;margin-top:-5.1pt;height:196.55pt;width:417.55pt;z-index:251660288;mso-width-relative:page;mso-height-relative:page;" o:ole="t" filled="f" o:preferrelative="t" stroked="f" coordsize="21600,21600">
            <v:path/>
            <v:fill on="f" focussize="0,0"/>
            <v:stroke on="f"/>
            <v:imagedata r:id="rId13" o:title=""/>
            <o:lock v:ext="edit" aspectratio="t"/>
          </v:shape>
          <o:OLEObject Type="Embed" ProgID="Excel.Chart.8" ShapeID="_x0000_s1027" DrawAspect="Content" ObjectID="_1468075726" r:id="rId12">
            <o:LockedField>false</o:LockedField>
          </o:OLEObject>
        </w:pict>
      </w:r>
    </w:p>
    <w:p w14:paraId="7970BEAD">
      <w:pPr>
        <w:spacing w:line="600" w:lineRule="exact"/>
        <w:ind w:firstLine="640" w:firstLineChars="200"/>
        <w:rPr>
          <w:rFonts w:ascii="仿宋" w:hAnsi="仿宋" w:eastAsia="仿宋"/>
          <w:color w:val="000000"/>
          <w:sz w:val="32"/>
          <w:szCs w:val="32"/>
        </w:rPr>
      </w:pPr>
    </w:p>
    <w:p w14:paraId="2A01E2F8">
      <w:pPr>
        <w:spacing w:line="600" w:lineRule="exact"/>
        <w:ind w:firstLine="640" w:firstLineChars="200"/>
        <w:rPr>
          <w:rFonts w:ascii="仿宋" w:hAnsi="仿宋" w:eastAsia="仿宋"/>
          <w:color w:val="000000"/>
          <w:sz w:val="32"/>
          <w:szCs w:val="32"/>
        </w:rPr>
      </w:pPr>
    </w:p>
    <w:p w14:paraId="2DD2FE52">
      <w:pPr>
        <w:spacing w:line="600" w:lineRule="exact"/>
        <w:ind w:firstLine="640" w:firstLineChars="200"/>
        <w:rPr>
          <w:rFonts w:ascii="仿宋" w:hAnsi="仿宋" w:eastAsia="仿宋"/>
          <w:color w:val="000000"/>
          <w:sz w:val="32"/>
          <w:szCs w:val="32"/>
        </w:rPr>
      </w:pPr>
    </w:p>
    <w:p w14:paraId="1703D714">
      <w:pPr>
        <w:spacing w:line="600" w:lineRule="exact"/>
        <w:ind w:firstLine="640" w:firstLineChars="200"/>
        <w:rPr>
          <w:rFonts w:ascii="仿宋" w:hAnsi="仿宋" w:eastAsia="仿宋"/>
          <w:color w:val="000000"/>
          <w:sz w:val="32"/>
          <w:szCs w:val="32"/>
        </w:rPr>
      </w:pPr>
    </w:p>
    <w:p w14:paraId="08B302C0">
      <w:pPr>
        <w:tabs>
          <w:tab w:val="left" w:pos="358"/>
        </w:tabs>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ab/>
      </w:r>
    </w:p>
    <w:p w14:paraId="2D586FD0">
      <w:pPr>
        <w:spacing w:line="600" w:lineRule="exact"/>
        <w:ind w:firstLine="640" w:firstLineChars="200"/>
        <w:rPr>
          <w:rFonts w:ascii="??_GB2312" w:eastAsia="Times New Roman"/>
          <w:color w:val="FF0000"/>
          <w:sz w:val="32"/>
          <w:szCs w:val="32"/>
        </w:rPr>
      </w:pPr>
    </w:p>
    <w:p w14:paraId="0C7D996A">
      <w:pPr>
        <w:pStyle w:val="24"/>
        <w:numPr>
          <w:ilvl w:val="0"/>
          <w:numId w:val="1"/>
        </w:numPr>
        <w:spacing w:line="600" w:lineRule="exact"/>
        <w:ind w:firstLineChars="0"/>
        <w:outlineLvl w:val="1"/>
        <w:rPr>
          <w:rStyle w:val="25"/>
          <w:rFonts w:ascii="黑体" w:hAnsi="黑体" w:eastAsia="黑体" w:cs="Times New Roman"/>
          <w:b w:val="0"/>
          <w:bCs w:val="0"/>
        </w:rPr>
      </w:pPr>
      <w:bookmarkStart w:id="14" w:name="_Toc15396605"/>
      <w:bookmarkStart w:id="15" w:name="_Toc15377207"/>
      <w:r>
        <w:rPr>
          <w:rFonts w:hint="eastAsia" w:ascii="黑体" w:hAnsi="黑体" w:eastAsia="黑体" w:cs="黑体"/>
          <w:color w:val="000000"/>
          <w:sz w:val="32"/>
          <w:szCs w:val="32"/>
        </w:rPr>
        <w:t>支</w:t>
      </w:r>
      <w:r>
        <w:rPr>
          <w:rStyle w:val="25"/>
          <w:rFonts w:hint="eastAsia" w:ascii="黑体" w:hAnsi="黑体" w:eastAsia="黑体" w:cs="黑体"/>
          <w:b w:val="0"/>
          <w:bCs w:val="0"/>
        </w:rPr>
        <w:t>出决算情况说明</w:t>
      </w:r>
      <w:bookmarkEnd w:id="14"/>
      <w:bookmarkEnd w:id="15"/>
    </w:p>
    <w:p w14:paraId="5D5C368A">
      <w:pPr>
        <w:spacing w:line="600" w:lineRule="exact"/>
        <w:ind w:firstLine="640"/>
        <w:rPr>
          <w:rFonts w:ascii="仿宋" w:hAnsi="仿宋" w:eastAsia="仿宋"/>
          <w:color w:val="000000"/>
          <w:sz w:val="32"/>
          <w:szCs w:val="32"/>
          <w:shd w:val="pct10" w:color="auto" w:fill="FFFFFF"/>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本年支出合计</w:t>
      </w:r>
      <w:r>
        <w:rPr>
          <w:rFonts w:hint="eastAsia" w:ascii="仿宋" w:hAnsi="仿宋" w:eastAsia="仿宋" w:cs="仿宋"/>
          <w:color w:val="000000"/>
          <w:sz w:val="32"/>
          <w:szCs w:val="32"/>
          <w:lang w:val="en-US" w:eastAsia="zh-CN"/>
        </w:rPr>
        <w:t>3837.23</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val="en-US" w:eastAsia="zh-CN"/>
        </w:rPr>
        <w:t>按资金来源财政预算拨款支出3837.23万元，占本年支出的100%；按支出性质分基本支出3361.47万元，占总支出的87.6%，项目支出475.76万元，占总支出的12.4%；按支出经济分类工资福利支出2423.01万元，占本年支出的63.14%，商品和服务支出968.39万元，占本年支出的25.24%，对个人和家庭补助支出445.83万元，占本年支出的11.62%，其他资本性支出0万元，占本年支出的0%；</w:t>
      </w:r>
      <w:r>
        <w:rPr>
          <w:rFonts w:hint="eastAsia" w:ascii="仿宋" w:hAnsi="仿宋" w:eastAsia="仿宋" w:cs="仿宋"/>
          <w:color w:val="000000"/>
          <w:sz w:val="32"/>
          <w:szCs w:val="32"/>
        </w:rPr>
        <w:t>上缴上级支出</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；经营支出</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；对附属单位补助支出</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w:t>
      </w:r>
    </w:p>
    <w:p w14:paraId="37BC095C">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3</w:t>
      </w:r>
      <w:r>
        <w:rPr>
          <w:rFonts w:hint="eastAsia" w:ascii="仿宋" w:hAnsi="仿宋" w:eastAsia="仿宋" w:cs="仿宋"/>
          <w:color w:val="000000"/>
          <w:sz w:val="32"/>
          <w:szCs w:val="32"/>
        </w:rPr>
        <w:t>：支出决算结构图）（饼状图）</w:t>
      </w:r>
    </w:p>
    <w:p w14:paraId="4E871C81">
      <w:pPr>
        <w:pStyle w:val="8"/>
      </w:pPr>
    </w:p>
    <w:p w14:paraId="64DA23BC">
      <w:pPr>
        <w:spacing w:line="600" w:lineRule="exact"/>
        <w:ind w:firstLine="640" w:firstLineChars="200"/>
        <w:rPr>
          <w:rFonts w:ascii="仿宋" w:hAnsi="仿宋" w:eastAsia="仿宋"/>
          <w:color w:val="000000"/>
          <w:sz w:val="32"/>
          <w:szCs w:val="32"/>
        </w:rPr>
      </w:pPr>
      <w:r>
        <w:pict>
          <v:shape id="_x0000_s1028" o:spid="_x0000_s1028" o:spt="75" type="#_x0000_t75" style="position:absolute;left:0pt;margin-left:32.7pt;margin-top:-28.75pt;height:242.4pt;width:367.2pt;z-index:251661312;mso-width-relative:page;mso-height-relative:page;" o:ole="t" filled="f" o:preferrelative="t" stroked="f" coordsize="21600,21600">
            <v:path/>
            <v:fill on="f" focussize="0,0"/>
            <v:stroke on="f"/>
            <v:imagedata r:id="rId15" o:title=""/>
            <o:lock v:ext="edit" aspectratio="t"/>
          </v:shape>
          <o:OLEObject Type="Embed" ProgID="Excel.Chart.8" ShapeID="_x0000_s1028" DrawAspect="Content" ObjectID="_1468075727" r:id="rId14">
            <o:LockedField>false</o:LockedField>
          </o:OLEObject>
        </w:pict>
      </w:r>
    </w:p>
    <w:p w14:paraId="1BD28E3B">
      <w:pPr>
        <w:spacing w:line="600" w:lineRule="exact"/>
        <w:ind w:firstLine="640" w:firstLineChars="200"/>
        <w:rPr>
          <w:rFonts w:ascii="仿宋" w:hAnsi="仿宋" w:eastAsia="仿宋"/>
          <w:color w:val="000000"/>
          <w:sz w:val="32"/>
          <w:szCs w:val="32"/>
        </w:rPr>
      </w:pPr>
    </w:p>
    <w:p w14:paraId="482898C0">
      <w:pPr>
        <w:spacing w:line="600" w:lineRule="exact"/>
        <w:ind w:firstLine="640" w:firstLineChars="200"/>
        <w:rPr>
          <w:rFonts w:ascii="仿宋" w:hAnsi="仿宋" w:eastAsia="仿宋"/>
          <w:color w:val="000000"/>
          <w:sz w:val="32"/>
          <w:szCs w:val="32"/>
        </w:rPr>
      </w:pPr>
    </w:p>
    <w:p w14:paraId="4458E8F6">
      <w:pPr>
        <w:spacing w:line="600" w:lineRule="exact"/>
        <w:ind w:firstLine="640" w:firstLineChars="200"/>
        <w:rPr>
          <w:rFonts w:ascii="仿宋" w:hAnsi="仿宋" w:eastAsia="仿宋"/>
          <w:color w:val="000000"/>
          <w:sz w:val="32"/>
          <w:szCs w:val="32"/>
        </w:rPr>
      </w:pPr>
    </w:p>
    <w:p w14:paraId="07AE9FBE">
      <w:pPr>
        <w:spacing w:line="600" w:lineRule="exact"/>
        <w:ind w:firstLine="640" w:firstLineChars="200"/>
        <w:rPr>
          <w:rFonts w:ascii="仿宋" w:hAnsi="仿宋" w:eastAsia="仿宋"/>
          <w:color w:val="000000"/>
          <w:sz w:val="32"/>
          <w:szCs w:val="32"/>
        </w:rPr>
      </w:pPr>
    </w:p>
    <w:p w14:paraId="29484319">
      <w:pPr>
        <w:spacing w:line="600" w:lineRule="exact"/>
        <w:ind w:firstLine="640" w:firstLineChars="200"/>
        <w:rPr>
          <w:rFonts w:ascii="??_GB2312" w:eastAsia="Times New Roman"/>
          <w:color w:val="FF0000"/>
          <w:sz w:val="32"/>
          <w:szCs w:val="32"/>
        </w:rPr>
      </w:pPr>
    </w:p>
    <w:p w14:paraId="19DAFF71">
      <w:pPr>
        <w:spacing w:line="600" w:lineRule="exact"/>
        <w:ind w:firstLine="640" w:firstLineChars="200"/>
        <w:outlineLvl w:val="1"/>
        <w:rPr>
          <w:rFonts w:hint="eastAsia" w:ascii="黑体" w:hAnsi="黑体" w:eastAsia="黑体" w:cs="黑体"/>
          <w:color w:val="000000"/>
          <w:sz w:val="32"/>
          <w:szCs w:val="32"/>
        </w:rPr>
      </w:pPr>
      <w:bookmarkStart w:id="16" w:name="_Toc15377208"/>
      <w:bookmarkStart w:id="17" w:name="_Toc15396606"/>
    </w:p>
    <w:p w14:paraId="4E59FE96">
      <w:pPr>
        <w:spacing w:line="600" w:lineRule="exact"/>
        <w:ind w:firstLine="640" w:firstLineChars="200"/>
        <w:outlineLvl w:val="1"/>
        <w:rPr>
          <w:rStyle w:val="25"/>
          <w:rFonts w:ascii="黑体" w:hAnsi="黑体" w:eastAsia="黑体" w:cs="Times New Roman"/>
          <w:b w:val="0"/>
          <w:bCs w:val="0"/>
        </w:rPr>
      </w:pPr>
      <w:r>
        <w:rPr>
          <w:rFonts w:hint="eastAsia" w:ascii="黑体" w:hAnsi="黑体" w:eastAsia="黑体" w:cs="黑体"/>
          <w:color w:val="000000"/>
          <w:sz w:val="32"/>
          <w:szCs w:val="32"/>
        </w:rPr>
        <w:t>四、财</w:t>
      </w:r>
      <w:r>
        <w:rPr>
          <w:rStyle w:val="25"/>
          <w:rFonts w:hint="eastAsia" w:ascii="黑体" w:hAnsi="黑体" w:eastAsia="黑体" w:cs="黑体"/>
          <w:b w:val="0"/>
          <w:bCs w:val="0"/>
        </w:rPr>
        <w:t>政拨款收入支出决算总体情况说明</w:t>
      </w:r>
      <w:bookmarkEnd w:id="16"/>
      <w:bookmarkEnd w:id="17"/>
    </w:p>
    <w:p w14:paraId="518645D4">
      <w:pPr>
        <w:spacing w:line="600" w:lineRule="exact"/>
        <w:ind w:firstLine="640" w:firstLineChars="20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财政拨款收入</w:t>
      </w:r>
      <w:r>
        <w:rPr>
          <w:rFonts w:hint="eastAsia" w:ascii="仿宋" w:hAnsi="仿宋" w:eastAsia="仿宋" w:cs="仿宋"/>
          <w:color w:val="000000"/>
          <w:sz w:val="32"/>
          <w:szCs w:val="32"/>
          <w:lang w:val="en-US" w:eastAsia="zh-CN"/>
        </w:rPr>
        <w:t>3837.23万元</w:t>
      </w:r>
      <w:r>
        <w:rPr>
          <w:rFonts w:hint="eastAsia" w:ascii="仿宋" w:hAnsi="仿宋" w:eastAsia="仿宋" w:cs="仿宋"/>
          <w:color w:val="000000"/>
          <w:sz w:val="32"/>
          <w:szCs w:val="32"/>
        </w:rPr>
        <w:t>、支出总计</w:t>
      </w:r>
      <w:r>
        <w:rPr>
          <w:rFonts w:hint="eastAsia" w:ascii="仿宋" w:hAnsi="仿宋" w:eastAsia="仿宋" w:cs="仿宋"/>
          <w:color w:val="000000"/>
          <w:sz w:val="32"/>
          <w:szCs w:val="32"/>
          <w:lang w:val="en-US" w:eastAsia="zh-CN"/>
        </w:rPr>
        <w:t>3837.23</w:t>
      </w:r>
      <w:r>
        <w:rPr>
          <w:rFonts w:hint="eastAsia" w:ascii="仿宋" w:hAnsi="仿宋" w:eastAsia="仿宋" w:cs="仿宋"/>
          <w:color w:val="000000"/>
          <w:sz w:val="32"/>
          <w:szCs w:val="32"/>
        </w:rPr>
        <w:t>万元。与</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相比，财政拨款收入</w:t>
      </w:r>
      <w:r>
        <w:rPr>
          <w:rFonts w:hint="eastAsia" w:ascii="仿宋" w:hAnsi="仿宋" w:eastAsia="仿宋" w:cs="仿宋"/>
          <w:color w:val="000000"/>
          <w:sz w:val="32"/>
          <w:szCs w:val="32"/>
          <w:lang w:eastAsia="zh-CN"/>
        </w:rPr>
        <w:t>减少</w:t>
      </w:r>
      <w:r>
        <w:rPr>
          <w:rFonts w:hint="eastAsia" w:ascii="仿宋" w:hAnsi="仿宋" w:eastAsia="仿宋" w:cs="仿宋"/>
          <w:color w:val="000000"/>
          <w:sz w:val="32"/>
          <w:szCs w:val="32"/>
          <w:lang w:val="en-US" w:eastAsia="zh-CN"/>
        </w:rPr>
        <w:t>333.15</w:t>
      </w:r>
      <w:r>
        <w:rPr>
          <w:rFonts w:hint="eastAsia" w:ascii="仿宋" w:hAnsi="仿宋" w:eastAsia="仿宋" w:cs="仿宋"/>
          <w:color w:val="000000"/>
          <w:sz w:val="32"/>
          <w:szCs w:val="32"/>
        </w:rPr>
        <w:t>万元、支出总计</w:t>
      </w:r>
      <w:r>
        <w:rPr>
          <w:rFonts w:hint="eastAsia" w:ascii="仿宋" w:hAnsi="仿宋" w:eastAsia="仿宋" w:cs="仿宋"/>
          <w:color w:val="000000"/>
          <w:sz w:val="32"/>
          <w:szCs w:val="32"/>
          <w:lang w:eastAsia="zh-CN"/>
        </w:rPr>
        <w:t>减少</w:t>
      </w:r>
      <w:r>
        <w:rPr>
          <w:rFonts w:hint="eastAsia" w:ascii="仿宋" w:hAnsi="仿宋" w:eastAsia="仿宋" w:cs="仿宋"/>
          <w:color w:val="000000"/>
          <w:sz w:val="32"/>
          <w:szCs w:val="32"/>
          <w:lang w:val="en-US" w:eastAsia="zh-CN"/>
        </w:rPr>
        <w:t>333.15</w:t>
      </w:r>
      <w:r>
        <w:rPr>
          <w:rFonts w:hint="eastAsia" w:ascii="仿宋" w:hAnsi="仿宋" w:eastAsia="仿宋" w:cs="仿宋"/>
          <w:color w:val="000000"/>
          <w:sz w:val="32"/>
          <w:szCs w:val="32"/>
        </w:rPr>
        <w:t>万元，收入</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7.99</w:t>
      </w:r>
      <w:r>
        <w:rPr>
          <w:rFonts w:ascii="仿宋" w:hAnsi="仿宋" w:eastAsia="仿宋" w:cs="仿宋"/>
          <w:color w:val="000000"/>
          <w:sz w:val="32"/>
          <w:szCs w:val="32"/>
        </w:rPr>
        <w:t>%</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7.99</w:t>
      </w:r>
      <w:r>
        <w:rPr>
          <w:rFonts w:ascii="仿宋" w:hAnsi="仿宋" w:eastAsia="仿宋" w:cs="仿宋"/>
          <w:color w:val="000000"/>
          <w:sz w:val="32"/>
          <w:szCs w:val="32"/>
        </w:rPr>
        <w:t>%</w:t>
      </w:r>
      <w:r>
        <w:rPr>
          <w:rFonts w:hint="eastAsia" w:ascii="仿宋" w:hAnsi="仿宋" w:eastAsia="仿宋" w:cs="仿宋"/>
          <w:color w:val="000000"/>
          <w:sz w:val="32"/>
          <w:szCs w:val="32"/>
        </w:rPr>
        <w:t>。主要变动原因</w:t>
      </w:r>
      <w:r>
        <w:rPr>
          <w:rFonts w:hint="eastAsia" w:ascii="仿宋" w:hAnsi="仿宋" w:eastAsia="仿宋" w:cs="仿宋"/>
          <w:color w:val="000000"/>
          <w:sz w:val="32"/>
          <w:szCs w:val="32"/>
          <w:lang w:eastAsia="zh-CN"/>
        </w:rPr>
        <w:t>是</w:t>
      </w:r>
      <w:r>
        <w:rPr>
          <w:rFonts w:hint="eastAsia" w:ascii="仿宋" w:hAnsi="仿宋" w:eastAsia="仿宋" w:cs="仿宋"/>
          <w:color w:val="000000"/>
          <w:sz w:val="32"/>
          <w:szCs w:val="32"/>
          <w:lang w:val="en-US" w:eastAsia="zh-CN"/>
        </w:rPr>
        <w:t>2025年厉行节约和人员退休</w:t>
      </w:r>
      <w:r>
        <w:rPr>
          <w:rFonts w:hint="eastAsia" w:ascii="仿宋" w:hAnsi="仿宋" w:eastAsia="仿宋" w:cs="仿宋"/>
          <w:color w:val="000000"/>
          <w:sz w:val="32"/>
          <w:szCs w:val="32"/>
        </w:rPr>
        <w:t>。</w:t>
      </w:r>
    </w:p>
    <w:p w14:paraId="4A2FBF31">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4</w:t>
      </w:r>
      <w:r>
        <w:rPr>
          <w:rFonts w:hint="eastAsia" w:ascii="仿宋" w:hAnsi="仿宋" w:eastAsia="仿宋" w:cs="仿宋"/>
          <w:color w:val="000000"/>
          <w:sz w:val="32"/>
          <w:szCs w:val="32"/>
        </w:rPr>
        <w:t>：财政拨款收、支决算总计变动情况）（柱状图）</w:t>
      </w:r>
    </w:p>
    <w:p w14:paraId="26A807B9">
      <w:pPr>
        <w:spacing w:line="600" w:lineRule="exact"/>
        <w:ind w:firstLine="640" w:firstLineChars="200"/>
        <w:rPr>
          <w:rFonts w:ascii="仿宋" w:hAnsi="仿宋" w:eastAsia="仿宋"/>
          <w:color w:val="000000"/>
          <w:sz w:val="32"/>
          <w:szCs w:val="32"/>
        </w:rPr>
      </w:pPr>
    </w:p>
    <w:p w14:paraId="428A3EF0">
      <w:pPr>
        <w:spacing w:line="600" w:lineRule="exact"/>
        <w:ind w:firstLine="640" w:firstLineChars="200"/>
        <w:rPr>
          <w:rFonts w:ascii="仿宋" w:hAnsi="仿宋" w:eastAsia="仿宋"/>
          <w:color w:val="000000"/>
          <w:sz w:val="32"/>
          <w:szCs w:val="32"/>
        </w:rPr>
      </w:pPr>
    </w:p>
    <w:p w14:paraId="38272653">
      <w:pPr>
        <w:spacing w:line="600" w:lineRule="exact"/>
        <w:ind w:firstLine="640" w:firstLineChars="200"/>
        <w:rPr>
          <w:rFonts w:ascii="仿宋" w:hAnsi="仿宋" w:eastAsia="仿宋"/>
          <w:color w:val="000000"/>
          <w:sz w:val="32"/>
          <w:szCs w:val="32"/>
        </w:rPr>
      </w:pPr>
    </w:p>
    <w:p w14:paraId="24EAA1FB">
      <w:pPr>
        <w:spacing w:line="600" w:lineRule="exact"/>
        <w:ind w:firstLine="640" w:firstLineChars="200"/>
        <w:rPr>
          <w:rFonts w:ascii="仿宋" w:hAnsi="仿宋" w:eastAsia="仿宋"/>
          <w:color w:val="000000"/>
          <w:sz w:val="32"/>
          <w:szCs w:val="32"/>
        </w:rPr>
      </w:pPr>
      <w:r>
        <w:pict>
          <v:shape id="_x0000_s1029" o:spid="_x0000_s1029" o:spt="75" type="#_x0000_t75" style="position:absolute;left:0pt;margin-left:32pt;margin-top:-66pt;height:223.05pt;width:367.2pt;z-index:251662336;mso-width-relative:page;mso-height-relative:page;" o:ole="t" filled="f" o:preferrelative="t" stroked="f" coordsize="21600,21600">
            <v:path/>
            <v:fill on="f" focussize="0,0"/>
            <v:stroke on="f"/>
            <v:imagedata r:id="rId17" o:title=""/>
            <o:lock v:ext="edit" aspectratio="t"/>
          </v:shape>
          <o:OLEObject Type="Embed" ProgID="Excel.Chart.8" ShapeID="_x0000_s1029" DrawAspect="Content" ObjectID="_1468075728" r:id="rId16">
            <o:LockedField>false</o:LockedField>
          </o:OLEObject>
        </w:pict>
      </w:r>
    </w:p>
    <w:p w14:paraId="4D54929C">
      <w:pPr>
        <w:spacing w:line="600" w:lineRule="exact"/>
        <w:ind w:firstLine="640" w:firstLineChars="200"/>
        <w:rPr>
          <w:rFonts w:ascii="仿宋" w:hAnsi="仿宋" w:eastAsia="仿宋"/>
          <w:color w:val="000000"/>
          <w:sz w:val="32"/>
          <w:szCs w:val="32"/>
        </w:rPr>
      </w:pPr>
    </w:p>
    <w:p w14:paraId="61185CFA">
      <w:pPr>
        <w:spacing w:line="600" w:lineRule="exact"/>
        <w:ind w:firstLine="640" w:firstLineChars="200"/>
        <w:rPr>
          <w:rFonts w:ascii="仿宋" w:hAnsi="仿宋" w:eastAsia="仿宋"/>
          <w:color w:val="000000"/>
          <w:sz w:val="32"/>
          <w:szCs w:val="32"/>
        </w:rPr>
      </w:pPr>
    </w:p>
    <w:p w14:paraId="74F9E96A">
      <w:pPr>
        <w:spacing w:line="600" w:lineRule="exact"/>
        <w:ind w:firstLine="960" w:firstLineChars="300"/>
        <w:outlineLvl w:val="1"/>
        <w:rPr>
          <w:rStyle w:val="25"/>
          <w:rFonts w:ascii="黑体" w:hAnsi="黑体" w:eastAsia="黑体" w:cs="Times New Roman"/>
          <w:b w:val="0"/>
          <w:bCs w:val="0"/>
        </w:rPr>
      </w:pPr>
      <w:bookmarkStart w:id="18" w:name="_Toc15377209"/>
      <w:bookmarkStart w:id="19" w:name="_Toc15396607"/>
      <w:r>
        <w:rPr>
          <w:rFonts w:hint="eastAsia" w:ascii="黑体" w:hAnsi="黑体" w:eastAsia="黑体" w:cs="黑体"/>
          <w:color w:val="000000"/>
          <w:sz w:val="32"/>
          <w:szCs w:val="32"/>
        </w:rPr>
        <w:t>五、</w:t>
      </w:r>
      <w:r>
        <w:rPr>
          <w:rFonts w:hint="eastAsia" w:ascii="黑体" w:hAnsi="黑体" w:eastAsia="黑体" w:cs="黑体"/>
          <w:b/>
          <w:bCs/>
          <w:color w:val="000000"/>
          <w:sz w:val="32"/>
          <w:szCs w:val="32"/>
        </w:rPr>
        <w:t>一</w:t>
      </w:r>
      <w:r>
        <w:rPr>
          <w:rStyle w:val="25"/>
          <w:rFonts w:hint="eastAsia" w:ascii="黑体" w:hAnsi="黑体" w:eastAsia="黑体" w:cs="黑体"/>
          <w:b w:val="0"/>
          <w:bCs w:val="0"/>
        </w:rPr>
        <w:t>般公共预算财政拨款支出决算情况说明</w:t>
      </w:r>
      <w:bookmarkEnd w:id="18"/>
      <w:bookmarkEnd w:id="19"/>
    </w:p>
    <w:p w14:paraId="3B95470A">
      <w:pPr>
        <w:spacing w:line="600" w:lineRule="exact"/>
        <w:ind w:firstLine="643" w:firstLineChars="200"/>
        <w:outlineLvl w:val="2"/>
        <w:rPr>
          <w:rFonts w:ascii="仿宋" w:hAnsi="仿宋" w:eastAsia="仿宋"/>
          <w:b/>
          <w:bCs/>
          <w:color w:val="000000"/>
          <w:sz w:val="32"/>
          <w:szCs w:val="32"/>
        </w:rPr>
      </w:pPr>
      <w:bookmarkStart w:id="20" w:name="_Toc15377210"/>
      <w:r>
        <w:rPr>
          <w:rFonts w:hint="eastAsia" w:ascii="仿宋" w:hAnsi="仿宋" w:eastAsia="仿宋" w:cs="仿宋"/>
          <w:b/>
          <w:bCs/>
          <w:color w:val="000000"/>
          <w:sz w:val="32"/>
          <w:szCs w:val="32"/>
        </w:rPr>
        <w:t>（一）一般公共预算财政拨款支出决算总体情况</w:t>
      </w:r>
      <w:bookmarkEnd w:id="20"/>
    </w:p>
    <w:p w14:paraId="6F736269">
      <w:pPr>
        <w:spacing w:line="600" w:lineRule="exact"/>
        <w:ind w:firstLine="640" w:firstLineChars="200"/>
        <w:rPr>
          <w:rFonts w:hint="eastAsia" w:ascii="黑体" w:hAnsi="黑体" w:eastAsia="黑体" w:cs="黑体"/>
          <w:color w:val="000000"/>
          <w:sz w:val="32"/>
          <w:szCs w:val="32"/>
          <w:lang w:eastAsia="zh-CN"/>
        </w:rPr>
      </w:pPr>
      <w:r>
        <w:rPr>
          <w:rFonts w:hint="eastAsia" w:ascii="黑体" w:hAnsi="黑体" w:eastAsia="黑体" w:cs="黑体"/>
          <w:color w:val="000000"/>
          <w:sz w:val="32"/>
          <w:szCs w:val="32"/>
          <w:lang w:eastAsia="zh-CN"/>
        </w:rPr>
        <w:t>五</w:t>
      </w:r>
      <w:r>
        <w:rPr>
          <w:rFonts w:hint="eastAsia" w:ascii="黑体" w:hAnsi="黑体" w:eastAsia="黑体" w:cs="黑体"/>
          <w:color w:val="000000"/>
          <w:sz w:val="32"/>
          <w:szCs w:val="32"/>
        </w:rPr>
        <w:t>、</w:t>
      </w:r>
      <w:r>
        <w:rPr>
          <w:rFonts w:hint="eastAsia" w:ascii="黑体" w:hAnsi="黑体" w:eastAsia="黑体" w:cs="黑体"/>
          <w:color w:val="000000"/>
          <w:sz w:val="32"/>
          <w:szCs w:val="32"/>
          <w:lang w:eastAsia="zh-CN"/>
        </w:rPr>
        <w:t>一般公共预算财政拨款支出决算总体情况</w:t>
      </w:r>
    </w:p>
    <w:p w14:paraId="1FEA8530">
      <w:pPr>
        <w:pStyle w:val="8"/>
        <w:rPr>
          <w:rFonts w:hint="eastAsia"/>
          <w:lang w:eastAsia="zh-CN"/>
        </w:rPr>
      </w:pPr>
      <w:r>
        <w:rPr>
          <w:rFonts w:hint="eastAsia" w:ascii="黑体" w:hAnsi="黑体" w:eastAsia="黑体" w:cs="黑体"/>
          <w:color w:val="000000"/>
          <w:sz w:val="32"/>
          <w:szCs w:val="32"/>
          <w:lang w:eastAsia="zh-CN"/>
        </w:rPr>
        <w:t>（一）一般公共预算财政拨款支出决算总体情况</w:t>
      </w:r>
    </w:p>
    <w:p w14:paraId="098F81A5">
      <w:pPr>
        <w:spacing w:line="600" w:lineRule="exact"/>
        <w:ind w:firstLine="640" w:firstLineChars="20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一般公共预算财政拨款支出</w:t>
      </w:r>
      <w:r>
        <w:rPr>
          <w:rFonts w:hint="eastAsia" w:ascii="仿宋" w:hAnsi="仿宋" w:eastAsia="仿宋" w:cs="仿宋"/>
          <w:color w:val="000000"/>
          <w:sz w:val="32"/>
          <w:szCs w:val="32"/>
          <w:lang w:val="en-US" w:eastAsia="zh-CN"/>
        </w:rPr>
        <w:t>3837.23</w:t>
      </w:r>
      <w:r>
        <w:rPr>
          <w:rFonts w:hint="eastAsia" w:ascii="仿宋" w:hAnsi="仿宋" w:eastAsia="仿宋" w:cs="仿宋"/>
          <w:color w:val="000000"/>
          <w:sz w:val="32"/>
          <w:szCs w:val="32"/>
        </w:rPr>
        <w:t>万元，占本年支出合计的</w:t>
      </w:r>
      <w:r>
        <w:rPr>
          <w:rFonts w:hint="eastAsia" w:ascii="仿宋" w:hAnsi="仿宋" w:eastAsia="仿宋" w:cs="仿宋"/>
          <w:color w:val="000000"/>
          <w:sz w:val="32"/>
          <w:szCs w:val="32"/>
          <w:lang w:val="en-US" w:eastAsia="zh-CN"/>
        </w:rPr>
        <w:t>100</w:t>
      </w:r>
      <w:r>
        <w:rPr>
          <w:rFonts w:ascii="仿宋" w:hAnsi="仿宋" w:eastAsia="仿宋" w:cs="仿宋"/>
          <w:color w:val="000000"/>
          <w:sz w:val="32"/>
          <w:szCs w:val="32"/>
        </w:rPr>
        <w:t>%</w:t>
      </w:r>
      <w:r>
        <w:rPr>
          <w:rFonts w:hint="eastAsia" w:ascii="仿宋" w:hAnsi="仿宋" w:eastAsia="仿宋" w:cs="仿宋"/>
          <w:color w:val="000000"/>
          <w:sz w:val="32"/>
          <w:szCs w:val="32"/>
        </w:rPr>
        <w:t>。与</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年相比，一般公共预算财政拨款</w:t>
      </w:r>
      <w:r>
        <w:rPr>
          <w:rFonts w:hint="eastAsia" w:ascii="仿宋" w:hAnsi="仿宋" w:eastAsia="仿宋" w:cs="仿宋"/>
          <w:color w:val="000000"/>
          <w:sz w:val="32"/>
          <w:szCs w:val="32"/>
          <w:lang w:eastAsia="zh-CN"/>
        </w:rPr>
        <w:t>支出减少</w:t>
      </w:r>
      <w:r>
        <w:rPr>
          <w:rFonts w:hint="eastAsia" w:ascii="仿宋" w:hAnsi="仿宋" w:eastAsia="仿宋" w:cs="仿宋"/>
          <w:color w:val="000000"/>
          <w:sz w:val="32"/>
          <w:szCs w:val="32"/>
          <w:lang w:val="en-US" w:eastAsia="zh-CN"/>
        </w:rPr>
        <w:t>333.15</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7.99</w:t>
      </w:r>
      <w:r>
        <w:rPr>
          <w:rFonts w:ascii="仿宋" w:hAnsi="仿宋" w:eastAsia="仿宋" w:cs="仿宋"/>
          <w:color w:val="000000"/>
          <w:sz w:val="32"/>
          <w:szCs w:val="32"/>
        </w:rPr>
        <w:t>%</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主要变动原因是</w:t>
      </w:r>
      <w:r>
        <w:rPr>
          <w:rFonts w:hint="eastAsia" w:ascii="仿宋" w:hAnsi="仿宋" w:eastAsia="仿宋" w:cs="仿宋"/>
          <w:color w:val="000000"/>
          <w:sz w:val="32"/>
          <w:szCs w:val="32"/>
          <w:lang w:val="en-US" w:eastAsia="zh-CN"/>
        </w:rPr>
        <w:t>2025年厉行节约和人员退休</w:t>
      </w:r>
      <w:r>
        <w:rPr>
          <w:rFonts w:hint="eastAsia" w:ascii="仿宋" w:hAnsi="仿宋" w:eastAsia="仿宋" w:cs="仿宋"/>
          <w:color w:val="000000"/>
          <w:sz w:val="32"/>
          <w:szCs w:val="32"/>
        </w:rPr>
        <w:t>。</w:t>
      </w:r>
    </w:p>
    <w:p w14:paraId="1BA410F2">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5</w:t>
      </w:r>
      <w:r>
        <w:rPr>
          <w:rFonts w:hint="eastAsia" w:ascii="仿宋" w:hAnsi="仿宋" w:eastAsia="仿宋" w:cs="仿宋"/>
          <w:color w:val="000000"/>
          <w:sz w:val="32"/>
          <w:szCs w:val="32"/>
        </w:rPr>
        <w:t>：一般公共预算财政拨款支出决算变动情况）（柱状图）</w:t>
      </w:r>
    </w:p>
    <w:p w14:paraId="2EBE7706">
      <w:pPr>
        <w:spacing w:line="600" w:lineRule="exact"/>
        <w:ind w:firstLine="640" w:firstLineChars="200"/>
        <w:rPr>
          <w:rFonts w:ascii="仿宋" w:hAnsi="仿宋" w:eastAsia="仿宋"/>
          <w:color w:val="000000"/>
          <w:sz w:val="32"/>
          <w:szCs w:val="32"/>
        </w:rPr>
      </w:pPr>
      <w:r>
        <w:pict>
          <v:shape id="_x0000_s1030" o:spid="_x0000_s1030" o:spt="75" type="#_x0000_t75" style="position:absolute;left:0pt;margin-left:24.65pt;margin-top:7.5pt;height:242.4pt;width:367.2pt;z-index:251663360;mso-width-relative:page;mso-height-relative:page;" o:ole="t" filled="f" o:preferrelative="t" stroked="f" coordsize="21600,21600">
            <v:path/>
            <v:fill on="f" focussize="0,0"/>
            <v:stroke on="f"/>
            <v:imagedata r:id="rId19" o:title=""/>
            <o:lock v:ext="edit" aspectratio="t"/>
          </v:shape>
          <o:OLEObject Type="Embed" ProgID="Excel.Chart.8" ShapeID="_x0000_s1030" DrawAspect="Content" ObjectID="_1468075729" r:id="rId18">
            <o:LockedField>false</o:LockedField>
          </o:OLEObject>
        </w:pict>
      </w:r>
    </w:p>
    <w:p w14:paraId="164C7593">
      <w:pPr>
        <w:spacing w:line="600" w:lineRule="exact"/>
        <w:rPr>
          <w:rFonts w:ascii="仿宋" w:hAnsi="仿宋" w:eastAsia="仿宋"/>
          <w:color w:val="000000"/>
          <w:sz w:val="32"/>
          <w:szCs w:val="32"/>
        </w:rPr>
      </w:pPr>
    </w:p>
    <w:p w14:paraId="15E2816E">
      <w:pPr>
        <w:spacing w:line="600" w:lineRule="exact"/>
        <w:ind w:firstLine="640" w:firstLineChars="200"/>
        <w:rPr>
          <w:rFonts w:ascii="仿宋" w:hAnsi="仿宋" w:eastAsia="仿宋"/>
          <w:color w:val="000000"/>
          <w:sz w:val="32"/>
          <w:szCs w:val="32"/>
        </w:rPr>
      </w:pPr>
    </w:p>
    <w:p w14:paraId="049B4D26">
      <w:pPr>
        <w:ind w:left="0" w:leftChars="0" w:firstLine="0" w:firstLineChars="0"/>
      </w:pPr>
    </w:p>
    <w:p w14:paraId="2E103F9E">
      <w:pPr>
        <w:spacing w:line="600" w:lineRule="exact"/>
        <w:ind w:firstLine="640" w:firstLineChars="200"/>
        <w:rPr>
          <w:rFonts w:ascii="仿宋" w:hAnsi="仿宋" w:eastAsia="仿宋"/>
          <w:color w:val="000000"/>
          <w:sz w:val="32"/>
          <w:szCs w:val="32"/>
        </w:rPr>
      </w:pPr>
    </w:p>
    <w:p w14:paraId="59D95388">
      <w:pPr>
        <w:spacing w:line="600" w:lineRule="exact"/>
        <w:ind w:firstLine="640" w:firstLineChars="200"/>
        <w:rPr>
          <w:rFonts w:ascii="仿宋" w:hAnsi="仿宋" w:eastAsia="仿宋"/>
          <w:color w:val="000000"/>
          <w:sz w:val="32"/>
          <w:szCs w:val="32"/>
        </w:rPr>
      </w:pPr>
    </w:p>
    <w:p w14:paraId="4830AA62">
      <w:pPr>
        <w:spacing w:line="600" w:lineRule="exact"/>
        <w:ind w:firstLine="640" w:firstLineChars="200"/>
        <w:rPr>
          <w:rFonts w:ascii="仿宋" w:hAnsi="仿宋" w:eastAsia="仿宋"/>
          <w:color w:val="000000"/>
          <w:sz w:val="32"/>
          <w:szCs w:val="32"/>
        </w:rPr>
      </w:pPr>
    </w:p>
    <w:p w14:paraId="793E003C">
      <w:pPr>
        <w:spacing w:line="600" w:lineRule="exact"/>
        <w:ind w:firstLine="640" w:firstLineChars="200"/>
        <w:rPr>
          <w:rFonts w:ascii="仿宋" w:hAnsi="仿宋" w:eastAsia="仿宋"/>
          <w:color w:val="000000"/>
          <w:sz w:val="32"/>
          <w:szCs w:val="32"/>
        </w:rPr>
      </w:pPr>
    </w:p>
    <w:p w14:paraId="0A7E6466">
      <w:pPr>
        <w:spacing w:line="600" w:lineRule="exact"/>
        <w:rPr>
          <w:rFonts w:ascii="仿宋" w:hAnsi="仿宋" w:eastAsia="仿宋"/>
          <w:color w:val="000000"/>
          <w:sz w:val="32"/>
          <w:szCs w:val="32"/>
        </w:rPr>
      </w:pPr>
    </w:p>
    <w:p w14:paraId="4AF87393">
      <w:pPr>
        <w:spacing w:line="600" w:lineRule="exact"/>
        <w:ind w:firstLine="643" w:firstLineChars="200"/>
        <w:outlineLvl w:val="2"/>
        <w:rPr>
          <w:rFonts w:ascii="仿宋" w:hAnsi="仿宋" w:eastAsia="仿宋"/>
          <w:b/>
          <w:bCs/>
          <w:color w:val="000000"/>
          <w:sz w:val="32"/>
          <w:szCs w:val="32"/>
        </w:rPr>
      </w:pPr>
      <w:bookmarkStart w:id="21" w:name="_Toc15377211"/>
      <w:r>
        <w:rPr>
          <w:rFonts w:hint="eastAsia" w:ascii="仿宋" w:hAnsi="仿宋" w:eastAsia="仿宋" w:cs="仿宋"/>
          <w:b/>
          <w:bCs/>
          <w:color w:val="000000"/>
          <w:sz w:val="32"/>
          <w:szCs w:val="32"/>
        </w:rPr>
        <w:t>（二）一般公共预算财政拨款支出决算结构情况</w:t>
      </w:r>
      <w:bookmarkEnd w:id="21"/>
    </w:p>
    <w:p w14:paraId="26F35C23">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一般公共预算财政拨款支出</w:t>
      </w:r>
      <w:r>
        <w:rPr>
          <w:rFonts w:hint="eastAsia" w:ascii="仿宋" w:hAnsi="仿宋" w:eastAsia="仿宋" w:cs="仿宋"/>
          <w:color w:val="000000"/>
          <w:sz w:val="32"/>
          <w:szCs w:val="32"/>
          <w:lang w:val="en-US" w:eastAsia="zh-CN"/>
        </w:rPr>
        <w:t>3837.23</w:t>
      </w:r>
      <w:r>
        <w:rPr>
          <w:rFonts w:hint="eastAsia" w:ascii="仿宋" w:hAnsi="仿宋" w:eastAsia="仿宋" w:cs="仿宋"/>
          <w:color w:val="000000"/>
          <w:sz w:val="32"/>
          <w:szCs w:val="32"/>
        </w:rPr>
        <w:t>万元，主要用于以下方面</w:t>
      </w:r>
      <w:r>
        <w:rPr>
          <w:rFonts w:hint="eastAsia" w:ascii="仿宋" w:hAnsi="仿宋" w:eastAsia="仿宋" w:cs="仿宋"/>
          <w:color w:val="000000"/>
          <w:sz w:val="32"/>
          <w:szCs w:val="32"/>
          <w:lang w:eastAsia="zh-CN"/>
        </w:rPr>
        <w:t>：</w:t>
      </w:r>
      <w:r>
        <w:rPr>
          <w:rFonts w:hint="eastAsia" w:ascii="仿宋" w:hAnsi="仿宋" w:eastAsia="仿宋" w:cs="仿宋"/>
          <w:b w:val="0"/>
          <w:bCs w:val="0"/>
          <w:color w:val="000000"/>
          <w:sz w:val="32"/>
          <w:szCs w:val="32"/>
        </w:rPr>
        <w:t>社会保障和就业</w:t>
      </w:r>
      <w:r>
        <w:rPr>
          <w:rFonts w:hint="eastAsia" w:ascii="仿宋" w:hAnsi="仿宋" w:eastAsia="仿宋" w:cs="仿宋"/>
          <w:color w:val="000000"/>
          <w:sz w:val="32"/>
          <w:szCs w:val="32"/>
        </w:rPr>
        <w:t>支出</w:t>
      </w:r>
      <w:r>
        <w:rPr>
          <w:rFonts w:hint="eastAsia" w:ascii="仿宋" w:hAnsi="仿宋" w:eastAsia="仿宋" w:cs="仿宋"/>
          <w:color w:val="000000"/>
          <w:sz w:val="32"/>
          <w:szCs w:val="32"/>
          <w:lang w:val="en-US" w:eastAsia="zh-CN"/>
        </w:rPr>
        <w:t>335.17</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8.74</w:t>
      </w:r>
      <w:r>
        <w:rPr>
          <w:rFonts w:ascii="仿宋" w:hAnsi="仿宋" w:eastAsia="仿宋" w:cs="仿宋"/>
          <w:color w:val="000000"/>
          <w:sz w:val="32"/>
          <w:szCs w:val="32"/>
        </w:rPr>
        <w:t>%</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一般公共服务支出</w:t>
      </w:r>
      <w:r>
        <w:rPr>
          <w:rFonts w:hint="eastAsia" w:ascii="仿宋" w:hAnsi="仿宋" w:eastAsia="仿宋" w:cs="仿宋"/>
          <w:color w:val="000000"/>
          <w:sz w:val="32"/>
          <w:szCs w:val="32"/>
          <w:lang w:val="en-US" w:eastAsia="zh-CN"/>
        </w:rPr>
        <w:t>3164.21</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82.46</w:t>
      </w:r>
      <w:r>
        <w:rPr>
          <w:rFonts w:ascii="仿宋" w:hAnsi="仿宋" w:eastAsia="仿宋" w:cs="仿宋"/>
          <w:color w:val="000000"/>
          <w:sz w:val="32"/>
          <w:szCs w:val="32"/>
        </w:rPr>
        <w:t>%</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卫生健康支出</w:t>
      </w:r>
      <w:r>
        <w:rPr>
          <w:rFonts w:hint="eastAsia" w:ascii="仿宋" w:hAnsi="仿宋" w:eastAsia="仿宋" w:cs="仿宋"/>
          <w:color w:val="000000"/>
          <w:sz w:val="32"/>
          <w:szCs w:val="32"/>
          <w:lang w:val="en-US" w:eastAsia="zh-CN"/>
        </w:rPr>
        <w:t>143.88万元，占3.75%；</w:t>
      </w:r>
      <w:r>
        <w:rPr>
          <w:rFonts w:hint="eastAsia" w:ascii="仿宋" w:hAnsi="仿宋" w:eastAsia="仿宋" w:cs="仿宋"/>
          <w:color w:val="000000"/>
          <w:sz w:val="32"/>
          <w:szCs w:val="32"/>
        </w:rPr>
        <w:t>住房保障支出</w:t>
      </w:r>
      <w:r>
        <w:rPr>
          <w:rFonts w:hint="eastAsia" w:ascii="仿宋" w:hAnsi="仿宋" w:eastAsia="仿宋" w:cs="仿宋"/>
          <w:color w:val="000000"/>
          <w:sz w:val="32"/>
          <w:szCs w:val="32"/>
          <w:lang w:val="en-US" w:eastAsia="zh-CN"/>
        </w:rPr>
        <w:t>193.97</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5.05</w:t>
      </w:r>
      <w:r>
        <w:rPr>
          <w:rFonts w:ascii="仿宋" w:hAnsi="仿宋" w:eastAsia="仿宋" w:cs="仿宋"/>
          <w:color w:val="000000"/>
          <w:sz w:val="32"/>
          <w:szCs w:val="32"/>
        </w:rPr>
        <w:t>%</w:t>
      </w:r>
      <w:r>
        <w:rPr>
          <w:rFonts w:hint="eastAsia" w:ascii="仿宋" w:hAnsi="仿宋" w:eastAsia="仿宋" w:cs="仿宋"/>
          <w:color w:val="000000"/>
          <w:sz w:val="32"/>
          <w:szCs w:val="32"/>
        </w:rPr>
        <w:t>。</w:t>
      </w:r>
    </w:p>
    <w:p w14:paraId="080EEA8B">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6</w:t>
      </w:r>
      <w:r>
        <w:rPr>
          <w:rFonts w:hint="eastAsia" w:ascii="仿宋" w:hAnsi="仿宋" w:eastAsia="仿宋" w:cs="仿宋"/>
          <w:color w:val="000000"/>
          <w:sz w:val="32"/>
          <w:szCs w:val="32"/>
        </w:rPr>
        <w:t>：一般公共预算财政拨款支出决算结构）（饼状图）</w:t>
      </w:r>
    </w:p>
    <w:p w14:paraId="3F21E928"/>
    <w:p w14:paraId="7B9EA4DC">
      <w:pPr>
        <w:spacing w:line="600" w:lineRule="exact"/>
        <w:ind w:firstLine="640" w:firstLineChars="200"/>
        <w:rPr>
          <w:rFonts w:ascii="仿宋" w:hAnsi="仿宋" w:eastAsia="仿宋"/>
          <w:color w:val="000000"/>
          <w:sz w:val="32"/>
          <w:szCs w:val="32"/>
        </w:rPr>
      </w:pPr>
      <w:r>
        <w:pict>
          <v:shape id="_x0000_s1031" o:spid="_x0000_s1031" o:spt="75" type="#_x0000_t75" style="position:absolute;left:0pt;margin-left:6.5pt;margin-top:0.1pt;height:257.6pt;width:405.5pt;z-index:251664384;mso-width-relative:page;mso-height-relative:page;" o:ole="t" filled="f" o:preferrelative="t" stroked="f" coordsize="21600,21600">
            <v:path/>
            <v:fill on="f" focussize="0,0"/>
            <v:stroke on="f"/>
            <v:imagedata r:id="rId21" o:title=""/>
            <o:lock v:ext="edit" aspectratio="t"/>
          </v:shape>
          <o:OLEObject Type="Embed" ProgID="Excel.Chart.8" ShapeID="_x0000_s1031" DrawAspect="Content" ObjectID="_1468075730" r:id="rId20">
            <o:LockedField>false</o:LockedField>
          </o:OLEObject>
        </w:pict>
      </w:r>
    </w:p>
    <w:p w14:paraId="7AA9EA5D">
      <w:pPr>
        <w:spacing w:line="600" w:lineRule="exact"/>
        <w:ind w:firstLine="640" w:firstLineChars="200"/>
        <w:rPr>
          <w:rFonts w:ascii="仿宋" w:hAnsi="仿宋" w:eastAsia="仿宋"/>
          <w:color w:val="000000"/>
          <w:sz w:val="32"/>
          <w:szCs w:val="32"/>
        </w:rPr>
      </w:pPr>
    </w:p>
    <w:p w14:paraId="7657DC23">
      <w:pPr>
        <w:spacing w:line="600" w:lineRule="exact"/>
        <w:ind w:firstLine="640" w:firstLineChars="200"/>
        <w:rPr>
          <w:rFonts w:ascii="仿宋" w:hAnsi="仿宋" w:eastAsia="仿宋"/>
          <w:color w:val="000000"/>
          <w:sz w:val="32"/>
          <w:szCs w:val="32"/>
        </w:rPr>
      </w:pPr>
    </w:p>
    <w:p w14:paraId="76E1355D">
      <w:pPr>
        <w:spacing w:line="600" w:lineRule="exact"/>
        <w:ind w:firstLine="640" w:firstLineChars="200"/>
        <w:rPr>
          <w:rFonts w:ascii="仿宋" w:hAnsi="仿宋" w:eastAsia="仿宋"/>
          <w:color w:val="000000"/>
          <w:sz w:val="32"/>
          <w:szCs w:val="32"/>
        </w:rPr>
      </w:pPr>
    </w:p>
    <w:p w14:paraId="4BA38D77">
      <w:pPr>
        <w:spacing w:line="600" w:lineRule="exact"/>
        <w:ind w:firstLine="640" w:firstLineChars="200"/>
        <w:rPr>
          <w:rFonts w:ascii="仿宋" w:hAnsi="仿宋" w:eastAsia="仿宋"/>
          <w:color w:val="000000"/>
          <w:sz w:val="32"/>
          <w:szCs w:val="32"/>
        </w:rPr>
      </w:pPr>
    </w:p>
    <w:p w14:paraId="2DD48F44">
      <w:pPr>
        <w:spacing w:line="600" w:lineRule="exact"/>
        <w:ind w:firstLine="640" w:firstLineChars="200"/>
        <w:rPr>
          <w:rFonts w:ascii="仿宋" w:hAnsi="仿宋" w:eastAsia="仿宋"/>
          <w:color w:val="000000"/>
          <w:sz w:val="32"/>
          <w:szCs w:val="32"/>
        </w:rPr>
      </w:pPr>
    </w:p>
    <w:p w14:paraId="542F5F29">
      <w:pPr>
        <w:spacing w:line="600" w:lineRule="exact"/>
        <w:ind w:firstLine="640" w:firstLineChars="200"/>
        <w:rPr>
          <w:rFonts w:ascii="仿宋" w:hAnsi="仿宋" w:eastAsia="仿宋"/>
          <w:color w:val="000000"/>
          <w:sz w:val="32"/>
          <w:szCs w:val="32"/>
        </w:rPr>
      </w:pPr>
    </w:p>
    <w:p w14:paraId="21235D0B">
      <w:pPr>
        <w:spacing w:line="600" w:lineRule="exact"/>
        <w:outlineLvl w:val="2"/>
        <w:rPr>
          <w:rFonts w:hint="eastAsia" w:ascii="仿宋" w:hAnsi="仿宋" w:eastAsia="仿宋" w:cs="仿宋"/>
          <w:b/>
          <w:bCs/>
          <w:color w:val="000000"/>
          <w:sz w:val="32"/>
          <w:szCs w:val="32"/>
        </w:rPr>
      </w:pPr>
      <w:bookmarkStart w:id="22" w:name="_Toc15377212"/>
    </w:p>
    <w:p w14:paraId="407BEAB3">
      <w:pPr>
        <w:spacing w:line="600" w:lineRule="exact"/>
        <w:ind w:firstLine="643" w:firstLineChars="200"/>
        <w:outlineLvl w:val="2"/>
        <w:rPr>
          <w:rFonts w:hint="eastAsia" w:ascii="仿宋" w:hAnsi="仿宋" w:eastAsia="仿宋" w:cs="仿宋"/>
          <w:b/>
          <w:bCs/>
          <w:color w:val="000000"/>
          <w:sz w:val="32"/>
          <w:szCs w:val="32"/>
        </w:rPr>
      </w:pPr>
    </w:p>
    <w:p w14:paraId="0D513892">
      <w:pPr>
        <w:spacing w:line="600" w:lineRule="exact"/>
        <w:ind w:firstLine="643" w:firstLineChars="200"/>
        <w:outlineLvl w:val="2"/>
        <w:rPr>
          <w:rFonts w:ascii="仿宋" w:hAnsi="仿宋" w:eastAsia="仿宋"/>
          <w:b/>
          <w:bCs/>
          <w:color w:val="000000"/>
          <w:sz w:val="32"/>
          <w:szCs w:val="32"/>
        </w:rPr>
      </w:pPr>
      <w:r>
        <w:rPr>
          <w:rFonts w:hint="eastAsia" w:ascii="仿宋" w:hAnsi="仿宋" w:eastAsia="仿宋" w:cs="仿宋"/>
          <w:b/>
          <w:bCs/>
          <w:color w:val="000000"/>
          <w:sz w:val="32"/>
          <w:szCs w:val="32"/>
        </w:rPr>
        <w:t>（三）一般公共预算财政拨款支出决算具体情况</w:t>
      </w:r>
      <w:bookmarkEnd w:id="22"/>
    </w:p>
    <w:p w14:paraId="62A7CC95">
      <w:pPr>
        <w:spacing w:line="600" w:lineRule="exact"/>
        <w:ind w:firstLine="643" w:firstLineChars="200"/>
        <w:outlineLvl w:val="2"/>
        <w:rPr>
          <w:rFonts w:ascii="仿宋" w:hAnsi="仿宋" w:eastAsia="仿宋"/>
          <w:color w:val="FF0000"/>
          <w:sz w:val="32"/>
          <w:szCs w:val="32"/>
        </w:rPr>
      </w:pPr>
      <w:bookmarkStart w:id="23" w:name="_Toc15378460"/>
      <w:bookmarkStart w:id="24" w:name="_Toc15377213"/>
      <w:bookmarkStart w:id="25" w:name="_Toc15377444"/>
      <w:r>
        <w:rPr>
          <w:rFonts w:ascii="仿宋" w:hAnsi="仿宋" w:eastAsia="仿宋" w:cs="仿宋"/>
          <w:b/>
          <w:bCs/>
          <w:color w:val="000000"/>
          <w:sz w:val="32"/>
          <w:szCs w:val="32"/>
        </w:rPr>
        <w:t>20</w:t>
      </w:r>
      <w:r>
        <w:rPr>
          <w:rFonts w:hint="eastAsia" w:ascii="仿宋" w:hAnsi="仿宋" w:eastAsia="仿宋" w:cs="仿宋"/>
          <w:b/>
          <w:bCs/>
          <w:color w:val="000000"/>
          <w:sz w:val="32"/>
          <w:szCs w:val="32"/>
          <w:lang w:val="en-US" w:eastAsia="zh-CN"/>
        </w:rPr>
        <w:t>25</w:t>
      </w:r>
      <w:r>
        <w:rPr>
          <w:rFonts w:hint="eastAsia" w:ascii="仿宋" w:hAnsi="仿宋" w:eastAsia="仿宋" w:cs="仿宋"/>
          <w:b/>
          <w:bCs/>
          <w:color w:val="000000"/>
          <w:sz w:val="32"/>
          <w:szCs w:val="32"/>
        </w:rPr>
        <w:t>年</w:t>
      </w:r>
      <w:r>
        <w:rPr>
          <w:rFonts w:hint="eastAsia" w:ascii="仿宋" w:hAnsi="仿宋" w:eastAsia="仿宋" w:cs="仿宋"/>
          <w:b/>
          <w:bCs/>
          <w:color w:val="000000"/>
          <w:sz w:val="32"/>
          <w:szCs w:val="32"/>
          <w:lang w:eastAsia="zh-CN"/>
        </w:rPr>
        <w:t>度</w:t>
      </w:r>
      <w:r>
        <w:rPr>
          <w:rFonts w:hint="eastAsia" w:ascii="仿宋" w:hAnsi="仿宋" w:eastAsia="仿宋" w:cs="仿宋"/>
          <w:b/>
          <w:bCs/>
          <w:color w:val="000000"/>
          <w:sz w:val="32"/>
          <w:szCs w:val="32"/>
        </w:rPr>
        <w:t>一般公共预算支出决算数为</w:t>
      </w:r>
      <w:r>
        <w:rPr>
          <w:rFonts w:hint="eastAsia" w:ascii="仿宋" w:hAnsi="仿宋" w:eastAsia="仿宋" w:cs="仿宋"/>
          <w:b/>
          <w:bCs/>
          <w:color w:val="000000"/>
          <w:sz w:val="32"/>
          <w:szCs w:val="32"/>
          <w:lang w:val="en-US" w:eastAsia="zh-CN"/>
        </w:rPr>
        <w:t>3837.23万元</w:t>
      </w:r>
      <w:r>
        <w:rPr>
          <w:rFonts w:hint="eastAsia" w:ascii="仿宋" w:hAnsi="仿宋" w:eastAsia="仿宋" w:cs="仿宋"/>
          <w:color w:val="000000"/>
          <w:sz w:val="32"/>
          <w:szCs w:val="32"/>
        </w:rPr>
        <w:t>，</w:t>
      </w:r>
      <w:r>
        <w:rPr>
          <w:rStyle w:val="18"/>
          <w:rFonts w:hint="eastAsia" w:ascii="仿宋" w:hAnsi="仿宋" w:eastAsia="仿宋" w:cs="仿宋"/>
          <w:color w:val="000000"/>
          <w:sz w:val="32"/>
          <w:szCs w:val="32"/>
        </w:rPr>
        <w:t>完成预算</w:t>
      </w:r>
      <w:r>
        <w:rPr>
          <w:rStyle w:val="18"/>
          <w:rFonts w:ascii="仿宋" w:hAnsi="仿宋" w:eastAsia="仿宋" w:cs="仿宋"/>
          <w:color w:val="000000"/>
          <w:sz w:val="32"/>
          <w:szCs w:val="32"/>
        </w:rPr>
        <w:t>100%</w:t>
      </w:r>
      <w:r>
        <w:rPr>
          <w:rStyle w:val="18"/>
          <w:rFonts w:hint="eastAsia" w:ascii="仿宋" w:hAnsi="仿宋" w:eastAsia="仿宋" w:cs="仿宋"/>
          <w:color w:val="000000"/>
          <w:sz w:val="32"/>
          <w:szCs w:val="32"/>
        </w:rPr>
        <w:t>。其中：</w:t>
      </w:r>
      <w:bookmarkEnd w:id="23"/>
      <w:bookmarkEnd w:id="24"/>
      <w:bookmarkEnd w:id="25"/>
    </w:p>
    <w:p w14:paraId="4F303BF9">
      <w:pPr>
        <w:spacing w:line="600" w:lineRule="exact"/>
        <w:ind w:firstLine="602" w:firstLineChars="200"/>
        <w:rPr>
          <w:rFonts w:ascii="??_GB2312" w:eastAsia="Times New Roman"/>
          <w:color w:val="000000"/>
          <w:sz w:val="30"/>
          <w:szCs w:val="30"/>
        </w:rPr>
      </w:pPr>
      <w:r>
        <w:rPr>
          <w:rStyle w:val="18"/>
          <w:rFonts w:hint="eastAsia" w:ascii="??_GB2312" w:eastAsia="宋体" w:cs="??_GB2312"/>
          <w:color w:val="000000"/>
          <w:sz w:val="30"/>
          <w:szCs w:val="30"/>
          <w:lang w:val="en-US" w:eastAsia="zh-CN"/>
        </w:rPr>
        <w:t>1</w:t>
      </w:r>
      <w:r>
        <w:rPr>
          <w:rStyle w:val="18"/>
          <w:rFonts w:ascii="??_GB2312" w:eastAsia="Times New Roman" w:cs="??_GB2312"/>
          <w:color w:val="000000"/>
          <w:sz w:val="30"/>
          <w:szCs w:val="30"/>
        </w:rPr>
        <w:t xml:space="preserve">. </w:t>
      </w:r>
      <w:r>
        <w:rPr>
          <w:rStyle w:val="18"/>
          <w:rFonts w:ascii="??_GB2312" w:eastAsia="Times New Roman"/>
          <w:color w:val="000000"/>
          <w:sz w:val="30"/>
          <w:szCs w:val="30"/>
        </w:rPr>
        <w:t>社会保障和就业支出（</w:t>
      </w:r>
      <w:r>
        <w:rPr>
          <w:rStyle w:val="18"/>
          <w:rFonts w:ascii="??_GB2312" w:eastAsia="Times New Roman" w:cs="??_GB2312"/>
          <w:color w:val="000000"/>
          <w:sz w:val="30"/>
          <w:szCs w:val="30"/>
        </w:rPr>
        <w:t>208</w:t>
      </w:r>
      <w:r>
        <w:rPr>
          <w:rStyle w:val="18"/>
          <w:rFonts w:ascii="??_GB2312" w:eastAsia="Times New Roman"/>
          <w:color w:val="000000"/>
          <w:sz w:val="30"/>
          <w:szCs w:val="30"/>
        </w:rPr>
        <w:t>）行政事业单位离退休（</w:t>
      </w:r>
      <w:r>
        <w:rPr>
          <w:rStyle w:val="18"/>
          <w:rFonts w:ascii="??_GB2312" w:eastAsia="Times New Roman" w:cs="??_GB2312"/>
          <w:color w:val="000000"/>
          <w:sz w:val="30"/>
          <w:szCs w:val="30"/>
        </w:rPr>
        <w:t>05</w:t>
      </w:r>
      <w:r>
        <w:rPr>
          <w:rStyle w:val="18"/>
          <w:rFonts w:ascii="??_GB2312" w:eastAsia="Times New Roman"/>
          <w:color w:val="000000"/>
          <w:sz w:val="30"/>
          <w:szCs w:val="30"/>
        </w:rPr>
        <w:t>）机关事业单位基本养老保险缴费支出（</w:t>
      </w:r>
      <w:r>
        <w:rPr>
          <w:rStyle w:val="18"/>
          <w:rFonts w:ascii="??_GB2312" w:eastAsia="Times New Roman" w:cs="??_GB2312"/>
          <w:color w:val="000000"/>
          <w:sz w:val="30"/>
          <w:szCs w:val="30"/>
        </w:rPr>
        <w:t>05</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223.7</w:t>
      </w:r>
      <w:r>
        <w:rPr>
          <w:rFonts w:ascii="??_GB2312" w:eastAsia="Times New Roman"/>
          <w:color w:val="000000"/>
          <w:sz w:val="30"/>
          <w:szCs w:val="30"/>
        </w:rPr>
        <w:t>万元，完成预算</w:t>
      </w:r>
      <w:r>
        <w:rPr>
          <w:rFonts w:ascii="??_GB2312" w:eastAsia="Times New Roman" w:cs="??_GB2312"/>
          <w:color w:val="000000"/>
          <w:sz w:val="30"/>
          <w:szCs w:val="30"/>
        </w:rPr>
        <w:t>100%</w:t>
      </w:r>
      <w:r>
        <w:rPr>
          <w:rFonts w:ascii="??_GB2312" w:eastAsia="Times New Roman"/>
          <w:color w:val="000000"/>
          <w:sz w:val="30"/>
          <w:szCs w:val="30"/>
        </w:rPr>
        <w:t>。</w:t>
      </w:r>
    </w:p>
    <w:p w14:paraId="03A4F15C">
      <w:pPr>
        <w:spacing w:line="600" w:lineRule="exact"/>
        <w:ind w:firstLine="600" w:firstLineChars="200"/>
        <w:rPr>
          <w:rFonts w:hint="eastAsia" w:ascii="??_GB2312" w:eastAsia="宋体"/>
          <w:color w:val="000000"/>
          <w:sz w:val="30"/>
          <w:szCs w:val="30"/>
          <w:lang w:eastAsia="zh-CN"/>
        </w:rPr>
      </w:pPr>
      <w:r>
        <w:rPr>
          <w:rStyle w:val="18"/>
          <w:rFonts w:ascii="??_GB2312" w:eastAsia="Times New Roman" w:cs="??_GB2312"/>
          <w:color w:val="000000"/>
          <w:sz w:val="30"/>
          <w:szCs w:val="30"/>
        </w:rPr>
        <w:t xml:space="preserve">2. </w:t>
      </w:r>
      <w:r>
        <w:rPr>
          <w:rStyle w:val="18"/>
          <w:rFonts w:ascii="??_GB2312" w:eastAsia="Times New Roman"/>
          <w:color w:val="000000"/>
          <w:sz w:val="30"/>
          <w:szCs w:val="30"/>
        </w:rPr>
        <w:t>社会保障和就业支出（</w:t>
      </w:r>
      <w:r>
        <w:rPr>
          <w:rStyle w:val="18"/>
          <w:rFonts w:ascii="??_GB2312" w:eastAsia="Times New Roman" w:cs="??_GB2312"/>
          <w:color w:val="000000"/>
          <w:sz w:val="30"/>
          <w:szCs w:val="30"/>
        </w:rPr>
        <w:t>208</w:t>
      </w:r>
      <w:r>
        <w:rPr>
          <w:rStyle w:val="18"/>
          <w:rFonts w:ascii="??_GB2312" w:eastAsia="Times New Roman"/>
          <w:color w:val="000000"/>
          <w:sz w:val="30"/>
          <w:szCs w:val="30"/>
        </w:rPr>
        <w:t>）行政事业单位离退休（</w:t>
      </w:r>
      <w:r>
        <w:rPr>
          <w:rStyle w:val="18"/>
          <w:rFonts w:ascii="??_GB2312" w:eastAsia="Times New Roman" w:cs="??_GB2312"/>
          <w:color w:val="000000"/>
          <w:sz w:val="30"/>
          <w:szCs w:val="30"/>
        </w:rPr>
        <w:t>05</w:t>
      </w:r>
      <w:r>
        <w:rPr>
          <w:rStyle w:val="18"/>
          <w:rFonts w:ascii="??_GB2312" w:eastAsia="Times New Roman"/>
          <w:color w:val="000000"/>
          <w:sz w:val="30"/>
          <w:szCs w:val="30"/>
        </w:rPr>
        <w:t>）</w:t>
      </w:r>
      <w:r>
        <w:rPr>
          <w:rStyle w:val="18"/>
          <w:rFonts w:ascii="??_GB2312" w:eastAsia="Times New Roman" w:cs="??_GB2312"/>
          <w:color w:val="000000"/>
          <w:sz w:val="30"/>
          <w:szCs w:val="30"/>
        </w:rPr>
        <w:t xml:space="preserve"> </w:t>
      </w:r>
      <w:r>
        <w:rPr>
          <w:rStyle w:val="18"/>
          <w:rFonts w:ascii="??_GB2312" w:eastAsia="Times New Roman"/>
          <w:color w:val="000000"/>
          <w:sz w:val="30"/>
          <w:szCs w:val="30"/>
        </w:rPr>
        <w:t>机关事业单位职业年金缴费支出（</w:t>
      </w:r>
      <w:r>
        <w:rPr>
          <w:rStyle w:val="18"/>
          <w:rFonts w:ascii="??_GB2312" w:eastAsia="Times New Roman" w:cs="??_GB2312"/>
          <w:color w:val="000000"/>
          <w:sz w:val="30"/>
          <w:szCs w:val="30"/>
        </w:rPr>
        <w:t>06</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111.47</w:t>
      </w:r>
      <w:r>
        <w:rPr>
          <w:rFonts w:ascii="??_GB2312" w:eastAsia="Times New Roman"/>
          <w:color w:val="000000"/>
          <w:sz w:val="30"/>
          <w:szCs w:val="30"/>
        </w:rPr>
        <w:t>万元，完成预算</w:t>
      </w:r>
      <w:r>
        <w:rPr>
          <w:rFonts w:ascii="??_GB2312" w:eastAsia="Times New Roman" w:cs="??_GB2312"/>
          <w:color w:val="000000"/>
          <w:sz w:val="30"/>
          <w:szCs w:val="30"/>
        </w:rPr>
        <w:t>100%</w:t>
      </w:r>
      <w:r>
        <w:rPr>
          <w:rFonts w:ascii="??_GB2312" w:eastAsia="Times New Roman"/>
          <w:color w:val="000000"/>
          <w:sz w:val="30"/>
          <w:szCs w:val="30"/>
        </w:rPr>
        <w:t>。</w:t>
      </w:r>
    </w:p>
    <w:p w14:paraId="57AD7AAB">
      <w:pPr>
        <w:spacing w:line="600" w:lineRule="exact"/>
        <w:ind w:firstLine="602" w:firstLineChars="200"/>
        <w:rPr>
          <w:rFonts w:ascii="??_GB2312" w:eastAsia="Times New Roman"/>
          <w:color w:val="000000"/>
          <w:sz w:val="30"/>
          <w:szCs w:val="30"/>
        </w:rPr>
      </w:pPr>
      <w:r>
        <w:rPr>
          <w:rStyle w:val="18"/>
          <w:rFonts w:hint="eastAsia" w:ascii="??_GB2312" w:eastAsia="宋体" w:cs="??_GB2312"/>
          <w:color w:val="000000"/>
          <w:sz w:val="30"/>
          <w:szCs w:val="30"/>
          <w:lang w:val="en-US" w:eastAsia="zh-CN"/>
        </w:rPr>
        <w:t>3</w:t>
      </w:r>
      <w:r>
        <w:rPr>
          <w:rStyle w:val="18"/>
          <w:rFonts w:ascii="??_GB2312" w:eastAsia="Times New Roman" w:cs="??_GB2312"/>
          <w:color w:val="000000"/>
          <w:sz w:val="30"/>
          <w:szCs w:val="30"/>
        </w:rPr>
        <w:t xml:space="preserve">. </w:t>
      </w:r>
      <w:r>
        <w:rPr>
          <w:rStyle w:val="18"/>
          <w:rFonts w:hint="eastAsia" w:ascii="??_GB2312" w:eastAsia="宋体"/>
          <w:color w:val="000000"/>
          <w:sz w:val="30"/>
          <w:szCs w:val="30"/>
          <w:lang w:eastAsia="zh-CN"/>
        </w:rPr>
        <w:t>卫生健康</w:t>
      </w:r>
      <w:r>
        <w:rPr>
          <w:rStyle w:val="18"/>
          <w:rFonts w:ascii="??_GB2312" w:eastAsia="Times New Roman"/>
          <w:color w:val="000000"/>
          <w:sz w:val="30"/>
          <w:szCs w:val="30"/>
        </w:rPr>
        <w:t>支出（</w:t>
      </w:r>
      <w:r>
        <w:rPr>
          <w:rStyle w:val="18"/>
          <w:rFonts w:ascii="??_GB2312" w:eastAsia="Times New Roman" w:cs="??_GB2312"/>
          <w:color w:val="000000"/>
          <w:sz w:val="30"/>
          <w:szCs w:val="30"/>
        </w:rPr>
        <w:t>210</w:t>
      </w:r>
      <w:r>
        <w:rPr>
          <w:rStyle w:val="18"/>
          <w:rFonts w:ascii="??_GB2312" w:eastAsia="Times New Roman"/>
          <w:color w:val="000000"/>
          <w:sz w:val="30"/>
          <w:szCs w:val="30"/>
        </w:rPr>
        <w:t>）行政事业单位医疗（</w:t>
      </w:r>
      <w:r>
        <w:rPr>
          <w:rStyle w:val="18"/>
          <w:rFonts w:ascii="??_GB2312" w:eastAsia="Times New Roman" w:cs="??_GB2312"/>
          <w:color w:val="000000"/>
          <w:sz w:val="30"/>
          <w:szCs w:val="30"/>
        </w:rPr>
        <w:t>11</w:t>
      </w:r>
      <w:r>
        <w:rPr>
          <w:rStyle w:val="18"/>
          <w:rFonts w:ascii="??_GB2312" w:eastAsia="Times New Roman"/>
          <w:color w:val="000000"/>
          <w:sz w:val="30"/>
          <w:szCs w:val="30"/>
        </w:rPr>
        <w:t>）行政单位医疗（</w:t>
      </w:r>
      <w:r>
        <w:rPr>
          <w:rStyle w:val="18"/>
          <w:rFonts w:ascii="??_GB2312" w:eastAsia="Times New Roman" w:cs="??_GB2312"/>
          <w:color w:val="000000"/>
          <w:sz w:val="30"/>
          <w:szCs w:val="30"/>
        </w:rPr>
        <w:t>01</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107.26</w:t>
      </w:r>
      <w:r>
        <w:rPr>
          <w:rFonts w:ascii="??_GB2312" w:eastAsia="Times New Roman"/>
          <w:color w:val="000000"/>
          <w:sz w:val="30"/>
          <w:szCs w:val="30"/>
        </w:rPr>
        <w:t>万元，完成预算</w:t>
      </w:r>
      <w:r>
        <w:rPr>
          <w:rFonts w:ascii="??_GB2312" w:eastAsia="Times New Roman" w:cs="??_GB2312"/>
          <w:color w:val="000000"/>
          <w:sz w:val="30"/>
          <w:szCs w:val="30"/>
        </w:rPr>
        <w:t>100%</w:t>
      </w:r>
      <w:r>
        <w:rPr>
          <w:rFonts w:ascii="??_GB2312" w:eastAsia="Times New Roman"/>
          <w:color w:val="000000"/>
          <w:sz w:val="30"/>
          <w:szCs w:val="30"/>
        </w:rPr>
        <w:t>。</w:t>
      </w:r>
    </w:p>
    <w:p w14:paraId="3AC41928">
      <w:pPr>
        <w:spacing w:line="600" w:lineRule="exact"/>
        <w:ind w:firstLine="602" w:firstLineChars="200"/>
        <w:rPr>
          <w:rFonts w:ascii="??_GB2312" w:eastAsia="Times New Roman"/>
          <w:color w:val="000000"/>
          <w:sz w:val="30"/>
          <w:szCs w:val="30"/>
        </w:rPr>
      </w:pPr>
      <w:r>
        <w:rPr>
          <w:rStyle w:val="18"/>
          <w:rFonts w:hint="eastAsia" w:ascii="??_GB2312" w:eastAsia="宋体" w:cs="??_GB2312"/>
          <w:color w:val="000000"/>
          <w:sz w:val="30"/>
          <w:szCs w:val="30"/>
          <w:lang w:val="en-US" w:eastAsia="zh-CN"/>
        </w:rPr>
        <w:t>4</w:t>
      </w:r>
      <w:r>
        <w:rPr>
          <w:rStyle w:val="18"/>
          <w:rFonts w:ascii="??_GB2312" w:eastAsia="Times New Roman" w:cs="??_GB2312"/>
          <w:color w:val="000000"/>
          <w:sz w:val="30"/>
          <w:szCs w:val="30"/>
        </w:rPr>
        <w:t xml:space="preserve">. </w:t>
      </w:r>
      <w:r>
        <w:rPr>
          <w:rStyle w:val="18"/>
          <w:rFonts w:hint="eastAsia" w:ascii="??_GB2312" w:eastAsia="宋体"/>
          <w:color w:val="000000"/>
          <w:sz w:val="30"/>
          <w:szCs w:val="30"/>
          <w:lang w:eastAsia="zh-CN"/>
        </w:rPr>
        <w:t>卫生健康</w:t>
      </w:r>
      <w:r>
        <w:rPr>
          <w:rStyle w:val="18"/>
          <w:rFonts w:ascii="??_GB2312" w:eastAsia="Times New Roman"/>
          <w:color w:val="000000"/>
          <w:sz w:val="30"/>
          <w:szCs w:val="30"/>
        </w:rPr>
        <w:t>支出（</w:t>
      </w:r>
      <w:r>
        <w:rPr>
          <w:rStyle w:val="18"/>
          <w:rFonts w:ascii="??_GB2312" w:eastAsia="Times New Roman" w:cs="??_GB2312"/>
          <w:color w:val="000000"/>
          <w:sz w:val="30"/>
          <w:szCs w:val="30"/>
        </w:rPr>
        <w:t>210</w:t>
      </w:r>
      <w:r>
        <w:rPr>
          <w:rStyle w:val="18"/>
          <w:rFonts w:ascii="??_GB2312" w:eastAsia="Times New Roman"/>
          <w:color w:val="000000"/>
          <w:sz w:val="30"/>
          <w:szCs w:val="30"/>
        </w:rPr>
        <w:t>）行政事业单位医疗（</w:t>
      </w:r>
      <w:r>
        <w:rPr>
          <w:rStyle w:val="18"/>
          <w:rFonts w:ascii="??_GB2312" w:eastAsia="Times New Roman" w:cs="??_GB2312"/>
          <w:color w:val="000000"/>
          <w:sz w:val="30"/>
          <w:szCs w:val="30"/>
        </w:rPr>
        <w:t>11</w:t>
      </w:r>
      <w:r>
        <w:rPr>
          <w:rStyle w:val="18"/>
          <w:rFonts w:ascii="??_GB2312" w:eastAsia="Times New Roman"/>
          <w:color w:val="000000"/>
          <w:sz w:val="30"/>
          <w:szCs w:val="30"/>
        </w:rPr>
        <w:t>）</w:t>
      </w:r>
      <w:r>
        <w:rPr>
          <w:rStyle w:val="18"/>
          <w:rFonts w:hint="eastAsia" w:ascii="??_GB2312"/>
          <w:color w:val="000000"/>
          <w:sz w:val="30"/>
          <w:szCs w:val="30"/>
          <w:lang w:eastAsia="zh-CN"/>
        </w:rPr>
        <w:t>公务员医疗补助</w:t>
      </w:r>
      <w:r>
        <w:rPr>
          <w:rStyle w:val="18"/>
          <w:rFonts w:ascii="??_GB2312" w:eastAsia="Times New Roman"/>
          <w:color w:val="000000"/>
          <w:sz w:val="30"/>
          <w:szCs w:val="30"/>
        </w:rPr>
        <w:t>（</w:t>
      </w:r>
      <w:r>
        <w:rPr>
          <w:rStyle w:val="18"/>
          <w:rFonts w:ascii="??_GB2312" w:eastAsia="Times New Roman" w:cs="??_GB2312"/>
          <w:color w:val="000000"/>
          <w:sz w:val="30"/>
          <w:szCs w:val="30"/>
        </w:rPr>
        <w:t>0</w:t>
      </w:r>
      <w:r>
        <w:rPr>
          <w:rStyle w:val="18"/>
          <w:rFonts w:hint="eastAsia" w:ascii="??_GB2312" w:cs="??_GB2312"/>
          <w:color w:val="000000"/>
          <w:sz w:val="30"/>
          <w:szCs w:val="30"/>
          <w:lang w:val="en-US" w:eastAsia="zh-CN"/>
        </w:rPr>
        <w:t>3</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36.62</w:t>
      </w:r>
      <w:r>
        <w:rPr>
          <w:rFonts w:ascii="??_GB2312" w:eastAsia="Times New Roman"/>
          <w:color w:val="000000"/>
          <w:sz w:val="30"/>
          <w:szCs w:val="30"/>
        </w:rPr>
        <w:t>万元，完成预算</w:t>
      </w:r>
      <w:r>
        <w:rPr>
          <w:rFonts w:hint="eastAsia" w:ascii="??_GB2312" w:cs="??_GB2312"/>
          <w:sz w:val="30"/>
          <w:szCs w:val="30"/>
          <w:lang w:val="en-US" w:eastAsia="zh-CN"/>
        </w:rPr>
        <w:t>100</w:t>
      </w:r>
      <w:r>
        <w:rPr>
          <w:rFonts w:ascii="??_GB2312" w:eastAsia="Times New Roman" w:cs="??_GB2312"/>
          <w:sz w:val="30"/>
          <w:szCs w:val="30"/>
        </w:rPr>
        <w:t>%</w:t>
      </w:r>
      <w:r>
        <w:rPr>
          <w:rFonts w:ascii="??_GB2312" w:eastAsia="Times New Roman"/>
          <w:color w:val="000000"/>
          <w:sz w:val="30"/>
          <w:szCs w:val="30"/>
        </w:rPr>
        <w:t>。</w:t>
      </w:r>
    </w:p>
    <w:p w14:paraId="77F119C9">
      <w:pPr>
        <w:spacing w:line="600" w:lineRule="exact"/>
        <w:ind w:firstLine="602" w:firstLineChars="200"/>
        <w:rPr>
          <w:rFonts w:ascii="??_GB2312" w:eastAsia="Times New Roman"/>
          <w:color w:val="000000"/>
          <w:sz w:val="30"/>
          <w:szCs w:val="30"/>
        </w:rPr>
      </w:pPr>
      <w:r>
        <w:rPr>
          <w:rStyle w:val="18"/>
          <w:rFonts w:hint="eastAsia" w:ascii="??_GB2312" w:eastAsia="宋体" w:cs="??_GB2312"/>
          <w:color w:val="000000"/>
          <w:sz w:val="30"/>
          <w:szCs w:val="30"/>
          <w:lang w:val="en-US" w:eastAsia="zh-CN"/>
        </w:rPr>
        <w:t>5</w:t>
      </w:r>
      <w:r>
        <w:rPr>
          <w:rStyle w:val="18"/>
          <w:rFonts w:ascii="??_GB2312" w:eastAsia="Times New Roman" w:cs="??_GB2312"/>
          <w:color w:val="000000"/>
          <w:sz w:val="30"/>
          <w:szCs w:val="30"/>
        </w:rPr>
        <w:t xml:space="preserve">. </w:t>
      </w:r>
      <w:r>
        <w:rPr>
          <w:rStyle w:val="18"/>
          <w:rFonts w:hint="eastAsia" w:ascii="??_GB2312" w:cs="??_GB2312"/>
          <w:color w:val="000000"/>
          <w:sz w:val="30"/>
          <w:szCs w:val="30"/>
          <w:lang w:eastAsia="zh-CN"/>
        </w:rPr>
        <w:t>一般公共服务支出</w:t>
      </w:r>
      <w:r>
        <w:rPr>
          <w:rStyle w:val="18"/>
          <w:rFonts w:ascii="??_GB2312" w:eastAsia="Times New Roman"/>
          <w:color w:val="000000"/>
          <w:sz w:val="30"/>
          <w:szCs w:val="30"/>
        </w:rPr>
        <w:t>（</w:t>
      </w:r>
      <w:r>
        <w:rPr>
          <w:rStyle w:val="18"/>
          <w:rFonts w:hint="eastAsia" w:ascii="??_GB2312" w:cs="??_GB2312"/>
          <w:color w:val="000000"/>
          <w:sz w:val="30"/>
          <w:szCs w:val="30"/>
          <w:lang w:val="en-US" w:eastAsia="zh-CN"/>
        </w:rPr>
        <w:t>201</w:t>
      </w:r>
      <w:r>
        <w:rPr>
          <w:rStyle w:val="18"/>
          <w:rFonts w:ascii="??_GB2312" w:eastAsia="Times New Roman"/>
          <w:color w:val="000000"/>
          <w:sz w:val="30"/>
          <w:szCs w:val="30"/>
        </w:rPr>
        <w:t>）</w:t>
      </w:r>
      <w:r>
        <w:rPr>
          <w:rStyle w:val="18"/>
          <w:rFonts w:hint="eastAsia" w:ascii="??_GB2312"/>
          <w:color w:val="000000"/>
          <w:sz w:val="30"/>
          <w:szCs w:val="30"/>
          <w:lang w:eastAsia="zh-CN"/>
        </w:rPr>
        <w:t>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38</w:t>
      </w:r>
      <w:r>
        <w:rPr>
          <w:rStyle w:val="18"/>
          <w:rFonts w:ascii="??_GB2312" w:eastAsia="Times New Roman"/>
          <w:color w:val="000000"/>
          <w:sz w:val="30"/>
          <w:szCs w:val="30"/>
        </w:rPr>
        <w:t>）</w:t>
      </w:r>
      <w:r>
        <w:rPr>
          <w:rStyle w:val="18"/>
          <w:rFonts w:hint="eastAsia" w:ascii="??_GB2312"/>
          <w:color w:val="000000"/>
          <w:sz w:val="30"/>
          <w:szCs w:val="30"/>
          <w:lang w:eastAsia="zh-CN"/>
        </w:rPr>
        <w:t>行政运行</w:t>
      </w:r>
      <w:r>
        <w:rPr>
          <w:rStyle w:val="18"/>
          <w:rFonts w:ascii="??_GB2312" w:eastAsia="Times New Roman"/>
          <w:color w:val="000000"/>
          <w:sz w:val="30"/>
          <w:szCs w:val="30"/>
        </w:rPr>
        <w:t>（</w:t>
      </w:r>
      <w:r>
        <w:rPr>
          <w:rStyle w:val="18"/>
          <w:rFonts w:hint="eastAsia" w:ascii="??_GB2312" w:cs="??_GB2312"/>
          <w:color w:val="000000"/>
          <w:sz w:val="30"/>
          <w:szCs w:val="30"/>
          <w:lang w:val="en-US" w:eastAsia="zh-CN"/>
        </w:rPr>
        <w:t>01</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2688.45</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24B8E4CE">
      <w:pPr>
        <w:spacing w:line="600" w:lineRule="exact"/>
        <w:ind w:firstLine="602" w:firstLineChars="200"/>
        <w:rPr>
          <w:rFonts w:ascii="??_GB2312" w:eastAsia="Times New Roman"/>
          <w:color w:val="000000"/>
          <w:sz w:val="30"/>
          <w:szCs w:val="30"/>
        </w:rPr>
      </w:pPr>
      <w:r>
        <w:rPr>
          <w:rStyle w:val="18"/>
          <w:rFonts w:hint="eastAsia" w:ascii="??_GB2312" w:eastAsia="宋体" w:cs="??_GB2312"/>
          <w:color w:val="000000"/>
          <w:sz w:val="30"/>
          <w:szCs w:val="30"/>
          <w:lang w:val="en-US" w:eastAsia="zh-CN"/>
        </w:rPr>
        <w:t>6</w:t>
      </w:r>
      <w:r>
        <w:rPr>
          <w:rStyle w:val="18"/>
          <w:rFonts w:ascii="??_GB2312" w:eastAsia="Times New Roman" w:cs="??_GB2312"/>
          <w:color w:val="000000"/>
          <w:sz w:val="30"/>
          <w:szCs w:val="30"/>
        </w:rPr>
        <w:t>.</w:t>
      </w:r>
      <w:r>
        <w:rPr>
          <w:rStyle w:val="18"/>
          <w:rFonts w:hint="eastAsia" w:ascii="??_GB2312" w:cs="??_GB2312"/>
          <w:color w:val="000000"/>
          <w:sz w:val="30"/>
          <w:szCs w:val="30"/>
          <w:lang w:eastAsia="zh-CN"/>
        </w:rPr>
        <w:t>一般公共服务支出</w:t>
      </w:r>
      <w:r>
        <w:rPr>
          <w:rStyle w:val="18"/>
          <w:rFonts w:ascii="??_GB2312" w:eastAsia="Times New Roman"/>
          <w:color w:val="000000"/>
          <w:sz w:val="30"/>
          <w:szCs w:val="30"/>
        </w:rPr>
        <w:t>（</w:t>
      </w:r>
      <w:r>
        <w:rPr>
          <w:rStyle w:val="18"/>
          <w:rFonts w:hint="eastAsia" w:ascii="??_GB2312" w:cs="??_GB2312"/>
          <w:color w:val="000000"/>
          <w:sz w:val="30"/>
          <w:szCs w:val="30"/>
          <w:lang w:val="en-US" w:eastAsia="zh-CN"/>
        </w:rPr>
        <w:t>201</w:t>
      </w:r>
      <w:r>
        <w:rPr>
          <w:rStyle w:val="18"/>
          <w:rFonts w:ascii="??_GB2312" w:eastAsia="Times New Roman"/>
          <w:color w:val="000000"/>
          <w:sz w:val="30"/>
          <w:szCs w:val="30"/>
        </w:rPr>
        <w:t>）</w:t>
      </w:r>
      <w:r>
        <w:rPr>
          <w:rStyle w:val="18"/>
          <w:rFonts w:hint="eastAsia" w:ascii="??_GB2312"/>
          <w:color w:val="000000"/>
          <w:sz w:val="30"/>
          <w:szCs w:val="30"/>
          <w:lang w:eastAsia="zh-CN"/>
        </w:rPr>
        <w:t>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38</w:t>
      </w:r>
      <w:r>
        <w:rPr>
          <w:rStyle w:val="18"/>
          <w:rFonts w:ascii="??_GB2312" w:eastAsia="Times New Roman"/>
          <w:color w:val="000000"/>
          <w:sz w:val="30"/>
          <w:szCs w:val="30"/>
        </w:rPr>
        <w:t>）</w:t>
      </w:r>
      <w:r>
        <w:rPr>
          <w:rStyle w:val="18"/>
          <w:rFonts w:hint="eastAsia" w:ascii="??_GB2312"/>
          <w:color w:val="000000"/>
          <w:sz w:val="30"/>
          <w:szCs w:val="30"/>
          <w:lang w:eastAsia="zh-CN"/>
        </w:rPr>
        <w:t>市场监督管理专项</w:t>
      </w:r>
      <w:r>
        <w:rPr>
          <w:rStyle w:val="18"/>
          <w:rFonts w:ascii="??_GB2312" w:eastAsia="Times New Roman"/>
          <w:color w:val="000000"/>
          <w:sz w:val="30"/>
          <w:szCs w:val="30"/>
        </w:rPr>
        <w:t>（</w:t>
      </w:r>
      <w:r>
        <w:rPr>
          <w:rStyle w:val="18"/>
          <w:rFonts w:hint="eastAsia" w:ascii="??_GB2312" w:cs="??_GB2312"/>
          <w:color w:val="000000"/>
          <w:sz w:val="30"/>
          <w:szCs w:val="30"/>
          <w:lang w:val="en-US" w:eastAsia="zh-CN"/>
        </w:rPr>
        <w:t>04</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5</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28628663">
      <w:pPr>
        <w:spacing w:line="600" w:lineRule="exact"/>
        <w:ind w:firstLine="602" w:firstLineChars="200"/>
        <w:rPr>
          <w:rFonts w:ascii="??_GB2312" w:eastAsia="Times New Roman"/>
          <w:color w:val="000000"/>
          <w:sz w:val="30"/>
          <w:szCs w:val="30"/>
        </w:rPr>
      </w:pPr>
      <w:r>
        <w:rPr>
          <w:rStyle w:val="18"/>
          <w:rFonts w:hint="eastAsia" w:ascii="??_GB2312" w:cs="??_GB2312"/>
          <w:color w:val="000000"/>
          <w:sz w:val="30"/>
          <w:szCs w:val="30"/>
          <w:lang w:val="en-US" w:eastAsia="zh-CN"/>
        </w:rPr>
        <w:t>7</w:t>
      </w:r>
      <w:r>
        <w:rPr>
          <w:rStyle w:val="18"/>
          <w:rFonts w:ascii="??_GB2312" w:eastAsia="Times New Roman" w:cs="??_GB2312"/>
          <w:color w:val="000000"/>
          <w:sz w:val="30"/>
          <w:szCs w:val="30"/>
        </w:rPr>
        <w:t xml:space="preserve">. </w:t>
      </w:r>
      <w:r>
        <w:rPr>
          <w:rStyle w:val="18"/>
          <w:rFonts w:hint="eastAsia" w:ascii="??_GB2312" w:cs="??_GB2312"/>
          <w:color w:val="000000"/>
          <w:sz w:val="30"/>
          <w:szCs w:val="30"/>
          <w:lang w:eastAsia="zh-CN"/>
        </w:rPr>
        <w:t>一般公共服务支出</w:t>
      </w:r>
      <w:r>
        <w:rPr>
          <w:rStyle w:val="18"/>
          <w:rFonts w:ascii="??_GB2312" w:eastAsia="Times New Roman"/>
          <w:color w:val="000000"/>
          <w:sz w:val="30"/>
          <w:szCs w:val="30"/>
        </w:rPr>
        <w:t>（</w:t>
      </w:r>
      <w:r>
        <w:rPr>
          <w:rStyle w:val="18"/>
          <w:rFonts w:hint="eastAsia" w:ascii="??_GB2312" w:cs="??_GB2312"/>
          <w:color w:val="000000"/>
          <w:sz w:val="30"/>
          <w:szCs w:val="30"/>
          <w:lang w:val="en-US" w:eastAsia="zh-CN"/>
        </w:rPr>
        <w:t>201</w:t>
      </w:r>
      <w:r>
        <w:rPr>
          <w:rStyle w:val="18"/>
          <w:rFonts w:ascii="??_GB2312" w:eastAsia="Times New Roman"/>
          <w:color w:val="000000"/>
          <w:sz w:val="30"/>
          <w:szCs w:val="30"/>
        </w:rPr>
        <w:t>）</w:t>
      </w:r>
      <w:r>
        <w:rPr>
          <w:rStyle w:val="18"/>
          <w:rFonts w:hint="eastAsia" w:ascii="??_GB2312"/>
          <w:color w:val="000000"/>
          <w:sz w:val="30"/>
          <w:szCs w:val="30"/>
          <w:lang w:eastAsia="zh-CN"/>
        </w:rPr>
        <w:t>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38</w:t>
      </w:r>
      <w:r>
        <w:rPr>
          <w:rStyle w:val="18"/>
          <w:rFonts w:ascii="??_GB2312" w:eastAsia="Times New Roman"/>
          <w:color w:val="000000"/>
          <w:sz w:val="30"/>
          <w:szCs w:val="30"/>
        </w:rPr>
        <w:t>）</w:t>
      </w:r>
      <w:r>
        <w:rPr>
          <w:rStyle w:val="18"/>
          <w:rFonts w:hint="eastAsia" w:ascii="??_GB2312"/>
          <w:color w:val="000000"/>
          <w:sz w:val="30"/>
          <w:szCs w:val="30"/>
          <w:lang w:eastAsia="zh-CN"/>
        </w:rPr>
        <w:t>市场监管执法</w:t>
      </w:r>
      <w:r>
        <w:rPr>
          <w:rStyle w:val="18"/>
          <w:rFonts w:ascii="??_GB2312" w:eastAsia="Times New Roman"/>
          <w:color w:val="000000"/>
          <w:sz w:val="30"/>
          <w:szCs w:val="30"/>
        </w:rPr>
        <w:t>（</w:t>
      </w:r>
      <w:r>
        <w:rPr>
          <w:rStyle w:val="18"/>
          <w:rFonts w:hint="eastAsia" w:ascii="??_GB2312" w:cs="??_GB2312"/>
          <w:color w:val="000000"/>
          <w:sz w:val="30"/>
          <w:szCs w:val="30"/>
          <w:lang w:val="en-US" w:eastAsia="zh-CN"/>
        </w:rPr>
        <w:t>05</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15</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5DD14BDE">
      <w:pPr>
        <w:spacing w:line="600" w:lineRule="exact"/>
        <w:ind w:firstLine="602" w:firstLineChars="200"/>
        <w:rPr>
          <w:rFonts w:ascii="??_GB2312" w:eastAsia="Times New Roman"/>
          <w:color w:val="000000"/>
          <w:sz w:val="30"/>
          <w:szCs w:val="30"/>
        </w:rPr>
      </w:pPr>
      <w:r>
        <w:rPr>
          <w:rStyle w:val="18"/>
          <w:rFonts w:hint="eastAsia" w:ascii="??_GB2312" w:cs="??_GB2312"/>
          <w:color w:val="000000"/>
          <w:sz w:val="30"/>
          <w:szCs w:val="30"/>
          <w:lang w:val="en-US" w:eastAsia="zh-CN"/>
        </w:rPr>
        <w:t>8</w:t>
      </w:r>
      <w:r>
        <w:rPr>
          <w:rStyle w:val="18"/>
          <w:rFonts w:ascii="??_GB2312" w:eastAsia="Times New Roman" w:cs="??_GB2312"/>
          <w:color w:val="000000"/>
          <w:sz w:val="30"/>
          <w:szCs w:val="30"/>
        </w:rPr>
        <w:t xml:space="preserve">. </w:t>
      </w:r>
      <w:r>
        <w:rPr>
          <w:rStyle w:val="18"/>
          <w:rFonts w:hint="eastAsia" w:ascii="??_GB2312" w:cs="??_GB2312"/>
          <w:color w:val="000000"/>
          <w:sz w:val="30"/>
          <w:szCs w:val="30"/>
          <w:lang w:eastAsia="zh-CN"/>
        </w:rPr>
        <w:t>一般公共服务支出</w:t>
      </w:r>
      <w:r>
        <w:rPr>
          <w:rStyle w:val="18"/>
          <w:rFonts w:ascii="??_GB2312" w:eastAsia="Times New Roman"/>
          <w:color w:val="000000"/>
          <w:sz w:val="30"/>
          <w:szCs w:val="30"/>
        </w:rPr>
        <w:t>（</w:t>
      </w:r>
      <w:r>
        <w:rPr>
          <w:rStyle w:val="18"/>
          <w:rFonts w:hint="eastAsia" w:ascii="??_GB2312" w:cs="??_GB2312"/>
          <w:color w:val="000000"/>
          <w:sz w:val="30"/>
          <w:szCs w:val="30"/>
          <w:lang w:val="en-US" w:eastAsia="zh-CN"/>
        </w:rPr>
        <w:t>201</w:t>
      </w:r>
      <w:r>
        <w:rPr>
          <w:rStyle w:val="18"/>
          <w:rFonts w:ascii="??_GB2312" w:eastAsia="Times New Roman"/>
          <w:color w:val="000000"/>
          <w:sz w:val="30"/>
          <w:szCs w:val="30"/>
        </w:rPr>
        <w:t>）</w:t>
      </w:r>
      <w:r>
        <w:rPr>
          <w:rStyle w:val="18"/>
          <w:rFonts w:hint="eastAsia" w:ascii="??_GB2312"/>
          <w:color w:val="000000"/>
          <w:sz w:val="30"/>
          <w:szCs w:val="30"/>
          <w:lang w:eastAsia="zh-CN"/>
        </w:rPr>
        <w:t>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38</w:t>
      </w:r>
      <w:r>
        <w:rPr>
          <w:rStyle w:val="18"/>
          <w:rFonts w:ascii="??_GB2312" w:eastAsia="Times New Roman"/>
          <w:color w:val="000000"/>
          <w:sz w:val="30"/>
          <w:szCs w:val="30"/>
        </w:rPr>
        <w:t>）</w:t>
      </w:r>
      <w:r>
        <w:rPr>
          <w:rStyle w:val="18"/>
          <w:rFonts w:hint="eastAsia" w:ascii="??_GB2312"/>
          <w:color w:val="000000"/>
          <w:sz w:val="30"/>
          <w:szCs w:val="30"/>
          <w:lang w:eastAsia="zh-CN"/>
        </w:rPr>
        <w:t>信息化建设</w:t>
      </w:r>
      <w:r>
        <w:rPr>
          <w:rStyle w:val="18"/>
          <w:rFonts w:ascii="??_GB2312" w:eastAsia="Times New Roman"/>
          <w:color w:val="000000"/>
          <w:sz w:val="30"/>
          <w:szCs w:val="30"/>
        </w:rPr>
        <w:t>（</w:t>
      </w:r>
      <w:r>
        <w:rPr>
          <w:rStyle w:val="18"/>
          <w:rFonts w:hint="eastAsia" w:ascii="??_GB2312" w:eastAsia="宋体"/>
          <w:color w:val="000000"/>
          <w:sz w:val="30"/>
          <w:szCs w:val="30"/>
          <w:lang w:val="en-US" w:eastAsia="zh-CN"/>
        </w:rPr>
        <w:t>08</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13.38</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66657000">
      <w:pPr>
        <w:spacing w:line="600" w:lineRule="exact"/>
        <w:ind w:firstLine="602" w:firstLineChars="200"/>
        <w:rPr>
          <w:rFonts w:ascii="??_GB2312" w:eastAsia="Times New Roman"/>
          <w:color w:val="000000"/>
          <w:sz w:val="30"/>
          <w:szCs w:val="30"/>
        </w:rPr>
      </w:pPr>
      <w:r>
        <w:rPr>
          <w:rStyle w:val="18"/>
          <w:rFonts w:hint="eastAsia" w:ascii="??_GB2312" w:cs="??_GB2312"/>
          <w:color w:val="000000"/>
          <w:sz w:val="30"/>
          <w:szCs w:val="30"/>
          <w:lang w:val="en-US" w:eastAsia="zh-CN"/>
        </w:rPr>
        <w:t>9.</w:t>
      </w:r>
      <w:r>
        <w:rPr>
          <w:rStyle w:val="18"/>
          <w:rFonts w:hint="eastAsia" w:ascii="??_GB2312" w:cs="??_GB2312"/>
          <w:color w:val="000000"/>
          <w:sz w:val="30"/>
          <w:szCs w:val="30"/>
          <w:lang w:eastAsia="zh-CN"/>
        </w:rPr>
        <w:t>一般公共服务支出</w:t>
      </w:r>
      <w:r>
        <w:rPr>
          <w:rStyle w:val="18"/>
          <w:rFonts w:ascii="??_GB2312" w:eastAsia="Times New Roman"/>
          <w:color w:val="000000"/>
          <w:sz w:val="30"/>
          <w:szCs w:val="30"/>
        </w:rPr>
        <w:t>（</w:t>
      </w:r>
      <w:r>
        <w:rPr>
          <w:rStyle w:val="18"/>
          <w:rFonts w:hint="eastAsia" w:ascii="??_GB2312" w:cs="??_GB2312"/>
          <w:color w:val="000000"/>
          <w:sz w:val="30"/>
          <w:szCs w:val="30"/>
          <w:lang w:val="en-US" w:eastAsia="zh-CN"/>
        </w:rPr>
        <w:t>201</w:t>
      </w:r>
      <w:r>
        <w:rPr>
          <w:rStyle w:val="18"/>
          <w:rFonts w:ascii="??_GB2312" w:eastAsia="Times New Roman"/>
          <w:color w:val="000000"/>
          <w:sz w:val="30"/>
          <w:szCs w:val="30"/>
        </w:rPr>
        <w:t>）</w:t>
      </w:r>
      <w:r>
        <w:rPr>
          <w:rStyle w:val="18"/>
          <w:rFonts w:hint="eastAsia" w:ascii="??_GB2312"/>
          <w:color w:val="000000"/>
          <w:sz w:val="30"/>
          <w:szCs w:val="30"/>
          <w:lang w:eastAsia="zh-CN"/>
        </w:rPr>
        <w:t>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38</w:t>
      </w:r>
      <w:r>
        <w:rPr>
          <w:rStyle w:val="18"/>
          <w:rFonts w:ascii="??_GB2312" w:eastAsia="Times New Roman"/>
          <w:color w:val="000000"/>
          <w:sz w:val="30"/>
          <w:szCs w:val="30"/>
        </w:rPr>
        <w:t>）</w:t>
      </w:r>
      <w:r>
        <w:rPr>
          <w:rStyle w:val="18"/>
          <w:rFonts w:hint="eastAsia" w:ascii="??_GB2312"/>
          <w:color w:val="000000"/>
          <w:sz w:val="30"/>
          <w:szCs w:val="30"/>
          <w:lang w:eastAsia="zh-CN"/>
        </w:rPr>
        <w:t>质量基础</w:t>
      </w:r>
      <w:r>
        <w:rPr>
          <w:rStyle w:val="18"/>
          <w:rFonts w:ascii="??_GB2312" w:eastAsia="Times New Roman"/>
          <w:color w:val="000000"/>
          <w:sz w:val="30"/>
          <w:szCs w:val="30"/>
        </w:rPr>
        <w:t>（</w:t>
      </w:r>
      <w:r>
        <w:rPr>
          <w:rStyle w:val="18"/>
          <w:rFonts w:hint="eastAsia" w:ascii="??_GB2312" w:cs="??_GB2312"/>
          <w:color w:val="000000"/>
          <w:sz w:val="30"/>
          <w:szCs w:val="30"/>
          <w:lang w:val="en-US" w:eastAsia="zh-CN"/>
        </w:rPr>
        <w:t>10</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9.45</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19B7FE2F">
      <w:pPr>
        <w:spacing w:line="600" w:lineRule="exact"/>
        <w:ind w:firstLine="602" w:firstLineChars="200"/>
        <w:rPr>
          <w:rFonts w:ascii="??_GB2312" w:eastAsia="Times New Roman"/>
          <w:color w:val="000000"/>
          <w:sz w:val="30"/>
          <w:szCs w:val="30"/>
        </w:rPr>
      </w:pPr>
      <w:r>
        <w:rPr>
          <w:rStyle w:val="18"/>
          <w:rFonts w:hint="eastAsia" w:ascii="??_GB2312" w:cs="??_GB2312"/>
          <w:color w:val="000000"/>
          <w:sz w:val="30"/>
          <w:szCs w:val="30"/>
          <w:lang w:val="en-US" w:eastAsia="zh-CN"/>
        </w:rPr>
        <w:t>10.</w:t>
      </w:r>
      <w:r>
        <w:rPr>
          <w:rStyle w:val="18"/>
          <w:rFonts w:hint="eastAsia" w:ascii="??_GB2312" w:cs="??_GB2312"/>
          <w:color w:val="000000"/>
          <w:sz w:val="30"/>
          <w:szCs w:val="30"/>
          <w:lang w:eastAsia="zh-CN"/>
        </w:rPr>
        <w:t>一般公共服务支出</w:t>
      </w:r>
      <w:r>
        <w:rPr>
          <w:rStyle w:val="18"/>
          <w:rFonts w:ascii="??_GB2312" w:eastAsia="Times New Roman"/>
          <w:color w:val="000000"/>
          <w:sz w:val="30"/>
          <w:szCs w:val="30"/>
        </w:rPr>
        <w:t>（</w:t>
      </w:r>
      <w:r>
        <w:rPr>
          <w:rStyle w:val="18"/>
          <w:rFonts w:hint="eastAsia" w:ascii="??_GB2312" w:cs="??_GB2312"/>
          <w:color w:val="000000"/>
          <w:sz w:val="30"/>
          <w:szCs w:val="30"/>
          <w:lang w:val="en-US" w:eastAsia="zh-CN"/>
        </w:rPr>
        <w:t>201</w:t>
      </w:r>
      <w:r>
        <w:rPr>
          <w:rStyle w:val="18"/>
          <w:rFonts w:ascii="??_GB2312" w:eastAsia="Times New Roman"/>
          <w:color w:val="000000"/>
          <w:sz w:val="30"/>
          <w:szCs w:val="30"/>
        </w:rPr>
        <w:t>）</w:t>
      </w:r>
      <w:r>
        <w:rPr>
          <w:rStyle w:val="18"/>
          <w:rFonts w:hint="eastAsia" w:ascii="??_GB2312"/>
          <w:color w:val="000000"/>
          <w:sz w:val="30"/>
          <w:szCs w:val="30"/>
          <w:lang w:eastAsia="zh-CN"/>
        </w:rPr>
        <w:t>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38</w:t>
      </w:r>
      <w:r>
        <w:rPr>
          <w:rStyle w:val="18"/>
          <w:rFonts w:ascii="??_GB2312" w:eastAsia="Times New Roman"/>
          <w:color w:val="000000"/>
          <w:sz w:val="30"/>
          <w:szCs w:val="30"/>
        </w:rPr>
        <w:t>）</w:t>
      </w:r>
      <w:r>
        <w:rPr>
          <w:rStyle w:val="18"/>
          <w:rFonts w:hint="eastAsia" w:ascii="??_GB2312"/>
          <w:color w:val="000000"/>
          <w:sz w:val="30"/>
          <w:szCs w:val="30"/>
          <w:lang w:eastAsia="zh-CN"/>
        </w:rPr>
        <w:t>药品事务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12</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3</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7ECCFA00">
      <w:pPr>
        <w:spacing w:line="600" w:lineRule="exact"/>
        <w:ind w:firstLine="602" w:firstLineChars="200"/>
        <w:rPr>
          <w:rFonts w:ascii="??_GB2312" w:eastAsia="Times New Roman"/>
          <w:color w:val="auto"/>
          <w:sz w:val="30"/>
          <w:szCs w:val="30"/>
        </w:rPr>
      </w:pPr>
      <w:r>
        <w:rPr>
          <w:rStyle w:val="18"/>
          <w:rFonts w:hint="eastAsia" w:ascii="??_GB2312" w:cs="??_GB2312"/>
          <w:color w:val="000000"/>
          <w:sz w:val="30"/>
          <w:szCs w:val="30"/>
          <w:lang w:val="en-US" w:eastAsia="zh-CN"/>
        </w:rPr>
        <w:t>11</w:t>
      </w:r>
      <w:r>
        <w:rPr>
          <w:rStyle w:val="18"/>
          <w:rFonts w:ascii="??_GB2312" w:eastAsia="Times New Roman" w:cs="??_GB2312"/>
          <w:color w:val="000000"/>
          <w:sz w:val="30"/>
          <w:szCs w:val="30"/>
        </w:rPr>
        <w:t xml:space="preserve">. </w:t>
      </w:r>
      <w:r>
        <w:rPr>
          <w:rStyle w:val="18"/>
          <w:rFonts w:hint="eastAsia" w:ascii="??_GB2312" w:cs="??_GB2312"/>
          <w:color w:val="auto"/>
          <w:sz w:val="30"/>
          <w:szCs w:val="30"/>
          <w:lang w:eastAsia="zh-CN"/>
        </w:rPr>
        <w:t>一般公共服务支出</w:t>
      </w:r>
      <w:r>
        <w:rPr>
          <w:rStyle w:val="18"/>
          <w:rFonts w:ascii="??_GB2312" w:eastAsia="Times New Roman"/>
          <w:color w:val="auto"/>
          <w:sz w:val="30"/>
          <w:szCs w:val="30"/>
        </w:rPr>
        <w:t>（</w:t>
      </w:r>
      <w:r>
        <w:rPr>
          <w:rStyle w:val="18"/>
          <w:rFonts w:hint="eastAsia" w:ascii="??_GB2312" w:cs="??_GB2312"/>
          <w:color w:val="auto"/>
          <w:sz w:val="30"/>
          <w:szCs w:val="30"/>
          <w:lang w:val="en-US" w:eastAsia="zh-CN"/>
        </w:rPr>
        <w:t>201</w:t>
      </w:r>
      <w:r>
        <w:rPr>
          <w:rStyle w:val="18"/>
          <w:rFonts w:ascii="??_GB2312" w:eastAsia="Times New Roman"/>
          <w:color w:val="auto"/>
          <w:sz w:val="30"/>
          <w:szCs w:val="30"/>
        </w:rPr>
        <w:t>）</w:t>
      </w:r>
      <w:r>
        <w:rPr>
          <w:rStyle w:val="18"/>
          <w:rFonts w:hint="eastAsia" w:ascii="??_GB2312"/>
          <w:color w:val="auto"/>
          <w:sz w:val="30"/>
          <w:szCs w:val="30"/>
          <w:lang w:eastAsia="zh-CN"/>
        </w:rPr>
        <w:t>市场监督管理事务</w:t>
      </w:r>
      <w:r>
        <w:rPr>
          <w:rStyle w:val="18"/>
          <w:rFonts w:ascii="??_GB2312" w:eastAsia="Times New Roman"/>
          <w:color w:val="auto"/>
          <w:sz w:val="30"/>
          <w:szCs w:val="30"/>
        </w:rPr>
        <w:t>（</w:t>
      </w:r>
      <w:r>
        <w:rPr>
          <w:rStyle w:val="18"/>
          <w:rFonts w:hint="eastAsia" w:ascii="??_GB2312" w:cs="??_GB2312"/>
          <w:color w:val="auto"/>
          <w:sz w:val="30"/>
          <w:szCs w:val="30"/>
          <w:lang w:val="en-US" w:eastAsia="zh-CN"/>
        </w:rPr>
        <w:t>38</w:t>
      </w:r>
      <w:r>
        <w:rPr>
          <w:rStyle w:val="18"/>
          <w:rFonts w:ascii="??_GB2312" w:eastAsia="Times New Roman"/>
          <w:color w:val="auto"/>
          <w:sz w:val="30"/>
          <w:szCs w:val="30"/>
        </w:rPr>
        <w:t>）</w:t>
      </w:r>
      <w:r>
        <w:rPr>
          <w:rStyle w:val="18"/>
          <w:rFonts w:hint="eastAsia" w:ascii="??_GB2312"/>
          <w:color w:val="auto"/>
          <w:sz w:val="30"/>
          <w:szCs w:val="30"/>
          <w:lang w:eastAsia="zh-CN"/>
        </w:rPr>
        <w:t>质量安全监管</w:t>
      </w:r>
      <w:r>
        <w:rPr>
          <w:rStyle w:val="18"/>
          <w:rFonts w:ascii="??_GB2312" w:eastAsia="Times New Roman"/>
          <w:color w:val="auto"/>
          <w:sz w:val="30"/>
          <w:szCs w:val="30"/>
        </w:rPr>
        <w:t>（</w:t>
      </w:r>
      <w:r>
        <w:rPr>
          <w:rStyle w:val="18"/>
          <w:rFonts w:hint="eastAsia" w:ascii="??_GB2312" w:cs="??_GB2312"/>
          <w:color w:val="auto"/>
          <w:sz w:val="30"/>
          <w:szCs w:val="30"/>
          <w:lang w:val="en-US" w:eastAsia="zh-CN"/>
        </w:rPr>
        <w:t>15</w:t>
      </w:r>
      <w:r>
        <w:rPr>
          <w:rStyle w:val="18"/>
          <w:rFonts w:ascii="??_GB2312" w:eastAsia="Times New Roman"/>
          <w:color w:val="auto"/>
          <w:sz w:val="30"/>
          <w:szCs w:val="30"/>
        </w:rPr>
        <w:t>）：</w:t>
      </w:r>
      <w:r>
        <w:rPr>
          <w:rFonts w:ascii="??_GB2312" w:eastAsia="Times New Roman"/>
          <w:color w:val="auto"/>
          <w:sz w:val="30"/>
          <w:szCs w:val="30"/>
        </w:rPr>
        <w:t>支出决算为</w:t>
      </w:r>
      <w:r>
        <w:rPr>
          <w:rFonts w:hint="eastAsia" w:ascii="??_GB2312" w:cs="??_GB2312"/>
          <w:color w:val="auto"/>
          <w:sz w:val="30"/>
          <w:szCs w:val="30"/>
          <w:lang w:val="en-US" w:eastAsia="zh-CN"/>
        </w:rPr>
        <w:t>208.71</w:t>
      </w:r>
      <w:r>
        <w:rPr>
          <w:rFonts w:ascii="??_GB2312" w:eastAsia="Times New Roman"/>
          <w:color w:val="auto"/>
          <w:sz w:val="30"/>
          <w:szCs w:val="30"/>
        </w:rPr>
        <w:t>万元，完成预算</w:t>
      </w:r>
      <w:r>
        <w:rPr>
          <w:rFonts w:ascii="??_GB2312" w:cs="??_GB2312"/>
          <w:color w:val="auto"/>
          <w:sz w:val="30"/>
          <w:szCs w:val="30"/>
        </w:rPr>
        <w:t>10</w:t>
      </w:r>
      <w:r>
        <w:rPr>
          <w:rFonts w:hint="eastAsia" w:ascii="??_GB2312" w:cs="??_GB2312"/>
          <w:color w:val="auto"/>
          <w:sz w:val="30"/>
          <w:szCs w:val="30"/>
          <w:lang w:val="en-US" w:eastAsia="zh-CN"/>
        </w:rPr>
        <w:t>0</w:t>
      </w:r>
      <w:r>
        <w:rPr>
          <w:rFonts w:ascii="??_GB2312" w:eastAsia="Times New Roman" w:cs="??_GB2312"/>
          <w:color w:val="auto"/>
          <w:sz w:val="30"/>
          <w:szCs w:val="30"/>
        </w:rPr>
        <w:t>%</w:t>
      </w:r>
      <w:r>
        <w:rPr>
          <w:rFonts w:ascii="??_GB2312" w:eastAsia="Times New Roman"/>
          <w:color w:val="auto"/>
          <w:sz w:val="30"/>
          <w:szCs w:val="30"/>
        </w:rPr>
        <w:t>。</w:t>
      </w:r>
    </w:p>
    <w:p w14:paraId="540B2E26">
      <w:pPr>
        <w:spacing w:line="600" w:lineRule="exact"/>
        <w:ind w:firstLine="602" w:firstLineChars="200"/>
        <w:rPr>
          <w:color w:val="auto"/>
        </w:rPr>
      </w:pPr>
      <w:r>
        <w:rPr>
          <w:rStyle w:val="18"/>
          <w:rFonts w:hint="eastAsia" w:ascii="??_GB2312" w:cs="??_GB2312"/>
          <w:color w:val="000000"/>
          <w:sz w:val="30"/>
          <w:szCs w:val="30"/>
          <w:lang w:val="en-US" w:eastAsia="zh-CN"/>
        </w:rPr>
        <w:t>12</w:t>
      </w:r>
      <w:r>
        <w:rPr>
          <w:rStyle w:val="18"/>
          <w:rFonts w:ascii="??_GB2312" w:eastAsia="Times New Roman" w:cs="??_GB2312"/>
          <w:color w:val="000000"/>
          <w:sz w:val="30"/>
          <w:szCs w:val="30"/>
        </w:rPr>
        <w:t xml:space="preserve">. </w:t>
      </w:r>
      <w:r>
        <w:rPr>
          <w:rStyle w:val="18"/>
          <w:rFonts w:hint="eastAsia" w:ascii="??_GB2312" w:cs="??_GB2312"/>
          <w:color w:val="auto"/>
          <w:sz w:val="30"/>
          <w:szCs w:val="30"/>
          <w:lang w:eastAsia="zh-CN"/>
        </w:rPr>
        <w:t>一般公共服务支出</w:t>
      </w:r>
      <w:r>
        <w:rPr>
          <w:rStyle w:val="18"/>
          <w:rFonts w:ascii="??_GB2312" w:eastAsia="Times New Roman"/>
          <w:color w:val="auto"/>
          <w:sz w:val="30"/>
          <w:szCs w:val="30"/>
        </w:rPr>
        <w:t>（</w:t>
      </w:r>
      <w:r>
        <w:rPr>
          <w:rStyle w:val="18"/>
          <w:rFonts w:hint="eastAsia" w:ascii="??_GB2312" w:cs="??_GB2312"/>
          <w:color w:val="auto"/>
          <w:sz w:val="30"/>
          <w:szCs w:val="30"/>
          <w:lang w:val="en-US" w:eastAsia="zh-CN"/>
        </w:rPr>
        <w:t>201</w:t>
      </w:r>
      <w:r>
        <w:rPr>
          <w:rStyle w:val="18"/>
          <w:rFonts w:ascii="??_GB2312" w:eastAsia="Times New Roman"/>
          <w:color w:val="auto"/>
          <w:sz w:val="30"/>
          <w:szCs w:val="30"/>
        </w:rPr>
        <w:t>）</w:t>
      </w:r>
      <w:r>
        <w:rPr>
          <w:rStyle w:val="18"/>
          <w:rFonts w:hint="eastAsia" w:ascii="??_GB2312"/>
          <w:color w:val="auto"/>
          <w:sz w:val="30"/>
          <w:szCs w:val="30"/>
          <w:lang w:eastAsia="zh-CN"/>
        </w:rPr>
        <w:t>市场监督管理事务</w:t>
      </w:r>
      <w:r>
        <w:rPr>
          <w:rStyle w:val="18"/>
          <w:rFonts w:ascii="??_GB2312" w:eastAsia="Times New Roman"/>
          <w:color w:val="auto"/>
          <w:sz w:val="30"/>
          <w:szCs w:val="30"/>
        </w:rPr>
        <w:t>（</w:t>
      </w:r>
      <w:r>
        <w:rPr>
          <w:rStyle w:val="18"/>
          <w:rFonts w:hint="eastAsia" w:ascii="??_GB2312" w:cs="??_GB2312"/>
          <w:color w:val="auto"/>
          <w:sz w:val="30"/>
          <w:szCs w:val="30"/>
          <w:lang w:val="en-US" w:eastAsia="zh-CN"/>
        </w:rPr>
        <w:t>38</w:t>
      </w:r>
      <w:r>
        <w:rPr>
          <w:rStyle w:val="18"/>
          <w:rFonts w:ascii="??_GB2312" w:eastAsia="Times New Roman"/>
          <w:color w:val="auto"/>
          <w:sz w:val="30"/>
          <w:szCs w:val="30"/>
        </w:rPr>
        <w:t>）</w:t>
      </w:r>
      <w:r>
        <w:rPr>
          <w:rStyle w:val="18"/>
          <w:rFonts w:hint="eastAsia" w:ascii="??_GB2312"/>
          <w:color w:val="auto"/>
          <w:sz w:val="30"/>
          <w:szCs w:val="30"/>
          <w:lang w:eastAsia="zh-CN"/>
        </w:rPr>
        <w:t>食品安全监管</w:t>
      </w:r>
      <w:r>
        <w:rPr>
          <w:rStyle w:val="18"/>
          <w:rFonts w:ascii="??_GB2312" w:eastAsia="Times New Roman"/>
          <w:color w:val="auto"/>
          <w:sz w:val="30"/>
          <w:szCs w:val="30"/>
        </w:rPr>
        <w:t>（</w:t>
      </w:r>
      <w:r>
        <w:rPr>
          <w:rStyle w:val="18"/>
          <w:rFonts w:hint="eastAsia" w:ascii="??_GB2312" w:cs="??_GB2312"/>
          <w:color w:val="auto"/>
          <w:sz w:val="30"/>
          <w:szCs w:val="30"/>
          <w:lang w:val="en-US" w:eastAsia="zh-CN"/>
        </w:rPr>
        <w:t>16</w:t>
      </w:r>
      <w:r>
        <w:rPr>
          <w:rStyle w:val="18"/>
          <w:rFonts w:ascii="??_GB2312" w:eastAsia="Times New Roman"/>
          <w:color w:val="auto"/>
          <w:sz w:val="30"/>
          <w:szCs w:val="30"/>
        </w:rPr>
        <w:t>）：</w:t>
      </w:r>
      <w:r>
        <w:rPr>
          <w:rFonts w:ascii="??_GB2312" w:eastAsia="Times New Roman"/>
          <w:color w:val="auto"/>
          <w:sz w:val="30"/>
          <w:szCs w:val="30"/>
        </w:rPr>
        <w:t>支出决算为</w:t>
      </w:r>
      <w:r>
        <w:rPr>
          <w:rFonts w:hint="eastAsia" w:ascii="??_GB2312" w:cs="??_GB2312"/>
          <w:color w:val="auto"/>
          <w:sz w:val="30"/>
          <w:szCs w:val="30"/>
          <w:lang w:val="en-US" w:eastAsia="zh-CN"/>
        </w:rPr>
        <w:t>30</w:t>
      </w:r>
      <w:r>
        <w:rPr>
          <w:rFonts w:ascii="??_GB2312" w:eastAsia="Times New Roman"/>
          <w:color w:val="auto"/>
          <w:sz w:val="30"/>
          <w:szCs w:val="30"/>
        </w:rPr>
        <w:t>万元，完成预算</w:t>
      </w:r>
      <w:r>
        <w:rPr>
          <w:rFonts w:ascii="??_GB2312" w:cs="??_GB2312"/>
          <w:color w:val="auto"/>
          <w:sz w:val="30"/>
          <w:szCs w:val="30"/>
        </w:rPr>
        <w:t>10</w:t>
      </w:r>
      <w:r>
        <w:rPr>
          <w:rFonts w:hint="eastAsia" w:ascii="??_GB2312" w:cs="??_GB2312"/>
          <w:color w:val="auto"/>
          <w:sz w:val="30"/>
          <w:szCs w:val="30"/>
          <w:lang w:val="en-US" w:eastAsia="zh-CN"/>
        </w:rPr>
        <w:t>0</w:t>
      </w:r>
      <w:r>
        <w:rPr>
          <w:rFonts w:ascii="??_GB2312" w:eastAsia="Times New Roman" w:cs="??_GB2312"/>
          <w:color w:val="auto"/>
          <w:sz w:val="30"/>
          <w:szCs w:val="30"/>
        </w:rPr>
        <w:t>%</w:t>
      </w:r>
      <w:r>
        <w:rPr>
          <w:rFonts w:ascii="??_GB2312" w:eastAsia="Times New Roman"/>
          <w:color w:val="auto"/>
          <w:sz w:val="30"/>
          <w:szCs w:val="30"/>
        </w:rPr>
        <w:t>。</w:t>
      </w:r>
    </w:p>
    <w:p w14:paraId="5434EAC2">
      <w:pPr>
        <w:spacing w:line="600" w:lineRule="exact"/>
        <w:ind w:firstLine="602" w:firstLineChars="200"/>
        <w:rPr>
          <w:rFonts w:ascii="??_GB2312" w:eastAsia="Times New Roman"/>
          <w:color w:val="000000"/>
          <w:sz w:val="30"/>
          <w:szCs w:val="30"/>
        </w:rPr>
      </w:pPr>
      <w:r>
        <w:rPr>
          <w:rStyle w:val="18"/>
          <w:rFonts w:hint="eastAsia" w:ascii="??_GB2312" w:cs="??_GB2312"/>
          <w:color w:val="000000"/>
          <w:sz w:val="30"/>
          <w:szCs w:val="30"/>
          <w:lang w:val="en-US" w:eastAsia="zh-CN"/>
        </w:rPr>
        <w:t>13</w:t>
      </w:r>
      <w:r>
        <w:rPr>
          <w:rStyle w:val="18"/>
          <w:rFonts w:ascii="??_GB2312" w:eastAsia="Times New Roman" w:cs="??_GB2312"/>
          <w:color w:val="000000"/>
          <w:sz w:val="30"/>
          <w:szCs w:val="30"/>
        </w:rPr>
        <w:t xml:space="preserve">. </w:t>
      </w:r>
      <w:r>
        <w:rPr>
          <w:rStyle w:val="18"/>
          <w:rFonts w:hint="eastAsia" w:ascii="??_GB2312" w:cs="??_GB2312"/>
          <w:color w:val="000000"/>
          <w:sz w:val="30"/>
          <w:szCs w:val="30"/>
          <w:lang w:eastAsia="zh-CN"/>
        </w:rPr>
        <w:t>一般公共服务支出</w:t>
      </w:r>
      <w:r>
        <w:rPr>
          <w:rStyle w:val="18"/>
          <w:rFonts w:ascii="??_GB2312" w:eastAsia="Times New Roman"/>
          <w:color w:val="000000"/>
          <w:sz w:val="30"/>
          <w:szCs w:val="30"/>
        </w:rPr>
        <w:t>（</w:t>
      </w:r>
      <w:r>
        <w:rPr>
          <w:rStyle w:val="18"/>
          <w:rFonts w:hint="eastAsia" w:ascii="??_GB2312" w:cs="??_GB2312"/>
          <w:color w:val="000000"/>
          <w:sz w:val="30"/>
          <w:szCs w:val="30"/>
          <w:lang w:val="en-US" w:eastAsia="zh-CN"/>
        </w:rPr>
        <w:t>201</w:t>
      </w:r>
      <w:r>
        <w:rPr>
          <w:rStyle w:val="18"/>
          <w:rFonts w:ascii="??_GB2312" w:eastAsia="Times New Roman"/>
          <w:color w:val="000000"/>
          <w:sz w:val="30"/>
          <w:szCs w:val="30"/>
        </w:rPr>
        <w:t>）</w:t>
      </w:r>
      <w:r>
        <w:rPr>
          <w:rStyle w:val="18"/>
          <w:rFonts w:hint="eastAsia" w:ascii="??_GB2312"/>
          <w:color w:val="000000"/>
          <w:sz w:val="30"/>
          <w:szCs w:val="30"/>
          <w:lang w:eastAsia="zh-CN"/>
        </w:rPr>
        <w:t>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38</w:t>
      </w:r>
      <w:r>
        <w:rPr>
          <w:rStyle w:val="18"/>
          <w:rFonts w:ascii="??_GB2312" w:eastAsia="Times New Roman"/>
          <w:color w:val="000000"/>
          <w:sz w:val="30"/>
          <w:szCs w:val="30"/>
        </w:rPr>
        <w:t>）</w:t>
      </w:r>
      <w:r>
        <w:rPr>
          <w:rStyle w:val="18"/>
          <w:rFonts w:hint="eastAsia" w:ascii="??_GB2312"/>
          <w:color w:val="000000"/>
          <w:sz w:val="30"/>
          <w:szCs w:val="30"/>
          <w:lang w:eastAsia="zh-CN"/>
        </w:rPr>
        <w:t>其他市场监督管理事务</w:t>
      </w:r>
      <w:r>
        <w:rPr>
          <w:rStyle w:val="18"/>
          <w:rFonts w:ascii="??_GB2312" w:eastAsia="Times New Roman"/>
          <w:color w:val="000000"/>
          <w:sz w:val="30"/>
          <w:szCs w:val="30"/>
        </w:rPr>
        <w:t>（</w:t>
      </w:r>
      <w:r>
        <w:rPr>
          <w:rStyle w:val="18"/>
          <w:rFonts w:hint="eastAsia" w:ascii="??_GB2312" w:cs="??_GB2312"/>
          <w:color w:val="000000"/>
          <w:sz w:val="30"/>
          <w:szCs w:val="30"/>
          <w:lang w:val="en-US" w:eastAsia="zh-CN"/>
        </w:rPr>
        <w:t>99</w:t>
      </w:r>
      <w:r>
        <w:rPr>
          <w:rStyle w:val="18"/>
          <w:rFonts w:ascii="??_GB2312" w:eastAsia="Times New Roman"/>
          <w:color w:val="000000"/>
          <w:sz w:val="30"/>
          <w:szCs w:val="30"/>
        </w:rPr>
        <w:t>）：</w:t>
      </w:r>
      <w:r>
        <w:rPr>
          <w:rFonts w:ascii="??_GB2312" w:eastAsia="Times New Roman"/>
          <w:color w:val="000000"/>
          <w:sz w:val="30"/>
          <w:szCs w:val="30"/>
        </w:rPr>
        <w:t>支出决算为</w:t>
      </w:r>
      <w:r>
        <w:rPr>
          <w:rFonts w:hint="eastAsia" w:ascii="??_GB2312" w:cs="??_GB2312"/>
          <w:color w:val="000000"/>
          <w:sz w:val="30"/>
          <w:szCs w:val="30"/>
          <w:lang w:val="en-US" w:eastAsia="zh-CN"/>
        </w:rPr>
        <w:t>191.22</w:t>
      </w:r>
      <w:r>
        <w:rPr>
          <w:rFonts w:ascii="??_GB2312" w:eastAsia="Times New Roman"/>
          <w:color w:val="000000"/>
          <w:sz w:val="30"/>
          <w:szCs w:val="30"/>
        </w:rPr>
        <w:t>万元，完成预算</w:t>
      </w:r>
      <w:r>
        <w:rPr>
          <w:rFonts w:ascii="??_GB2312" w:cs="??_GB2312"/>
          <w:sz w:val="30"/>
          <w:szCs w:val="30"/>
        </w:rPr>
        <w:t>10</w:t>
      </w:r>
      <w:r>
        <w:rPr>
          <w:rFonts w:hint="eastAsia" w:ascii="??_GB2312" w:cs="??_GB2312"/>
          <w:sz w:val="30"/>
          <w:szCs w:val="30"/>
          <w:lang w:val="en-US" w:eastAsia="zh-CN"/>
        </w:rPr>
        <w:t>0</w:t>
      </w:r>
      <w:r>
        <w:rPr>
          <w:rFonts w:ascii="??_GB2312" w:eastAsia="Times New Roman" w:cs="??_GB2312"/>
          <w:sz w:val="30"/>
          <w:szCs w:val="30"/>
        </w:rPr>
        <w:t>%</w:t>
      </w:r>
      <w:r>
        <w:rPr>
          <w:rFonts w:ascii="??_GB2312" w:eastAsia="Times New Roman"/>
          <w:color w:val="000000"/>
          <w:sz w:val="30"/>
          <w:szCs w:val="30"/>
        </w:rPr>
        <w:t>。</w:t>
      </w:r>
    </w:p>
    <w:p w14:paraId="16701F3F">
      <w:pPr>
        <w:spacing w:line="600" w:lineRule="exact"/>
        <w:rPr>
          <w:rFonts w:ascii="??_GB2312" w:eastAsia="Times New Roman"/>
          <w:color w:val="000000"/>
          <w:sz w:val="30"/>
          <w:szCs w:val="30"/>
        </w:rPr>
      </w:pPr>
      <w:r>
        <w:rPr>
          <w:rStyle w:val="18"/>
          <w:rFonts w:hint="eastAsia" w:ascii="??_GB2312" w:eastAsia="宋体" w:cs="??_GB2312"/>
          <w:color w:val="000000"/>
          <w:sz w:val="30"/>
          <w:szCs w:val="30"/>
          <w:lang w:val="en-US" w:eastAsia="zh-CN"/>
        </w:rPr>
        <w:t>1</w:t>
      </w:r>
      <w:r>
        <w:rPr>
          <w:rStyle w:val="18"/>
          <w:rFonts w:hint="eastAsia" w:ascii="??_GB2312" w:cs="??_GB2312"/>
          <w:color w:val="000000"/>
          <w:sz w:val="30"/>
          <w:szCs w:val="30"/>
          <w:lang w:val="en-US" w:eastAsia="zh-CN"/>
        </w:rPr>
        <w:t>4</w:t>
      </w:r>
      <w:r>
        <w:rPr>
          <w:rStyle w:val="18"/>
          <w:rFonts w:ascii="??_GB2312" w:eastAsia="Times New Roman" w:cs="??_GB2312"/>
          <w:color w:val="000000"/>
          <w:sz w:val="30"/>
          <w:szCs w:val="30"/>
        </w:rPr>
        <w:t xml:space="preserve">. </w:t>
      </w:r>
      <w:r>
        <w:rPr>
          <w:rStyle w:val="18"/>
          <w:rFonts w:ascii="??_GB2312" w:eastAsia="Times New Roman"/>
          <w:color w:val="000000"/>
          <w:sz w:val="30"/>
          <w:szCs w:val="30"/>
        </w:rPr>
        <w:t>住房保障支出（</w:t>
      </w:r>
      <w:r>
        <w:rPr>
          <w:rStyle w:val="18"/>
          <w:rFonts w:ascii="??_GB2312" w:eastAsia="Times New Roman" w:cs="??_GB2312"/>
          <w:color w:val="000000"/>
          <w:sz w:val="30"/>
          <w:szCs w:val="30"/>
        </w:rPr>
        <w:t>221</w:t>
      </w:r>
      <w:r>
        <w:rPr>
          <w:rStyle w:val="18"/>
          <w:rFonts w:ascii="??_GB2312" w:eastAsia="Times New Roman"/>
          <w:color w:val="000000"/>
          <w:sz w:val="30"/>
          <w:szCs w:val="30"/>
        </w:rPr>
        <w:t>）住房改革支出（</w:t>
      </w:r>
      <w:r>
        <w:rPr>
          <w:rStyle w:val="18"/>
          <w:rFonts w:ascii="??_GB2312" w:eastAsia="Times New Roman" w:cs="??_GB2312"/>
          <w:color w:val="000000"/>
          <w:sz w:val="30"/>
          <w:szCs w:val="30"/>
        </w:rPr>
        <w:t>02</w:t>
      </w:r>
      <w:r>
        <w:rPr>
          <w:rStyle w:val="18"/>
          <w:rFonts w:ascii="??_GB2312" w:eastAsia="Times New Roman"/>
          <w:color w:val="000000"/>
          <w:sz w:val="30"/>
          <w:szCs w:val="30"/>
        </w:rPr>
        <w:t>）住房公积金（</w:t>
      </w:r>
      <w:r>
        <w:rPr>
          <w:rStyle w:val="18"/>
          <w:rFonts w:ascii="??_GB2312" w:eastAsia="Times New Roman" w:cs="??_GB2312"/>
          <w:color w:val="000000"/>
          <w:sz w:val="30"/>
          <w:szCs w:val="30"/>
        </w:rPr>
        <w:t>01</w:t>
      </w:r>
      <w:r>
        <w:rPr>
          <w:rStyle w:val="18"/>
          <w:rFonts w:ascii="??_GB2312" w:eastAsia="Times New Roman"/>
          <w:color w:val="000000"/>
          <w:sz w:val="30"/>
          <w:szCs w:val="30"/>
        </w:rPr>
        <w:t>）</w:t>
      </w:r>
      <w:r>
        <w:rPr>
          <w:rStyle w:val="18"/>
          <w:rFonts w:hint="eastAsia" w:ascii="??_GB2312" w:eastAsia="宋体"/>
          <w:color w:val="000000"/>
          <w:sz w:val="30"/>
          <w:szCs w:val="30"/>
          <w:lang w:eastAsia="zh-CN"/>
        </w:rPr>
        <w:t>：</w:t>
      </w:r>
      <w:r>
        <w:rPr>
          <w:rFonts w:ascii="??_GB2312" w:eastAsia="Times New Roman"/>
          <w:color w:val="000000"/>
          <w:sz w:val="30"/>
          <w:szCs w:val="30"/>
        </w:rPr>
        <w:t>支出决算为</w:t>
      </w:r>
      <w:r>
        <w:rPr>
          <w:rFonts w:hint="eastAsia" w:ascii="??_GB2312" w:cs="??_GB2312"/>
          <w:color w:val="000000"/>
          <w:sz w:val="30"/>
          <w:szCs w:val="30"/>
          <w:lang w:val="en-US" w:eastAsia="zh-CN"/>
        </w:rPr>
        <w:t>185.97</w:t>
      </w:r>
      <w:r>
        <w:rPr>
          <w:rFonts w:ascii="??_GB2312" w:eastAsia="Times New Roman"/>
          <w:color w:val="000000"/>
          <w:sz w:val="30"/>
          <w:szCs w:val="30"/>
        </w:rPr>
        <w:t>万元，完成</w:t>
      </w:r>
      <w:r>
        <w:rPr>
          <w:rFonts w:ascii="??_GB2312" w:eastAsia="Times New Roman"/>
          <w:sz w:val="30"/>
          <w:szCs w:val="30"/>
        </w:rPr>
        <w:t>预算</w:t>
      </w:r>
      <w:r>
        <w:rPr>
          <w:rFonts w:ascii="??_GB2312" w:eastAsia="Times New Roman" w:cs="??_GB2312"/>
          <w:sz w:val="30"/>
          <w:szCs w:val="30"/>
        </w:rPr>
        <w:t>100%</w:t>
      </w:r>
      <w:r>
        <w:rPr>
          <w:rFonts w:ascii="??_GB2312" w:eastAsia="Times New Roman"/>
          <w:color w:val="000000"/>
          <w:sz w:val="30"/>
          <w:szCs w:val="30"/>
        </w:rPr>
        <w:t>。</w:t>
      </w:r>
    </w:p>
    <w:p w14:paraId="6918BC5C">
      <w:pPr>
        <w:spacing w:line="600" w:lineRule="exact"/>
        <w:ind w:firstLine="602" w:firstLineChars="200"/>
        <w:rPr>
          <w:rFonts w:ascii="??_GB2312" w:eastAsia="Times New Roman"/>
          <w:color w:val="000000"/>
          <w:sz w:val="30"/>
          <w:szCs w:val="30"/>
        </w:rPr>
      </w:pPr>
      <w:r>
        <w:rPr>
          <w:rStyle w:val="18"/>
          <w:rFonts w:hint="eastAsia" w:ascii="??_GB2312" w:eastAsia="宋体" w:cs="??_GB2312"/>
          <w:color w:val="000000"/>
          <w:sz w:val="30"/>
          <w:szCs w:val="30"/>
          <w:lang w:val="en-US" w:eastAsia="zh-CN"/>
        </w:rPr>
        <w:t>1</w:t>
      </w:r>
      <w:r>
        <w:rPr>
          <w:rStyle w:val="18"/>
          <w:rFonts w:hint="eastAsia" w:ascii="??_GB2312" w:cs="??_GB2312"/>
          <w:color w:val="000000"/>
          <w:sz w:val="30"/>
          <w:szCs w:val="30"/>
          <w:lang w:val="en-US" w:eastAsia="zh-CN"/>
        </w:rPr>
        <w:t>5</w:t>
      </w:r>
      <w:r>
        <w:rPr>
          <w:rStyle w:val="18"/>
          <w:rFonts w:ascii="??_GB2312" w:eastAsia="Times New Roman" w:cs="??_GB2312"/>
          <w:color w:val="000000"/>
          <w:sz w:val="30"/>
          <w:szCs w:val="30"/>
        </w:rPr>
        <w:t xml:space="preserve">. </w:t>
      </w:r>
      <w:r>
        <w:rPr>
          <w:rStyle w:val="18"/>
          <w:rFonts w:ascii="??_GB2312" w:eastAsia="Times New Roman"/>
          <w:color w:val="000000"/>
          <w:sz w:val="30"/>
          <w:szCs w:val="30"/>
        </w:rPr>
        <w:t>住房保障支出（</w:t>
      </w:r>
      <w:r>
        <w:rPr>
          <w:rStyle w:val="18"/>
          <w:rFonts w:ascii="??_GB2312" w:eastAsia="Times New Roman" w:cs="??_GB2312"/>
          <w:color w:val="000000"/>
          <w:sz w:val="30"/>
          <w:szCs w:val="30"/>
        </w:rPr>
        <w:t>221</w:t>
      </w:r>
      <w:r>
        <w:rPr>
          <w:rStyle w:val="18"/>
          <w:rFonts w:ascii="??_GB2312" w:eastAsia="Times New Roman"/>
          <w:color w:val="000000"/>
          <w:sz w:val="30"/>
          <w:szCs w:val="30"/>
        </w:rPr>
        <w:t>）住房改革支出（</w:t>
      </w:r>
      <w:r>
        <w:rPr>
          <w:rStyle w:val="18"/>
          <w:rFonts w:ascii="??_GB2312" w:eastAsia="Times New Roman" w:cs="??_GB2312"/>
          <w:color w:val="000000"/>
          <w:sz w:val="30"/>
          <w:szCs w:val="30"/>
        </w:rPr>
        <w:t>02</w:t>
      </w:r>
      <w:r>
        <w:rPr>
          <w:rStyle w:val="18"/>
          <w:rFonts w:ascii="??_GB2312" w:eastAsia="Times New Roman"/>
          <w:color w:val="000000"/>
          <w:sz w:val="30"/>
          <w:szCs w:val="30"/>
        </w:rPr>
        <w:t>）</w:t>
      </w:r>
      <w:r>
        <w:rPr>
          <w:rStyle w:val="18"/>
          <w:rFonts w:hint="eastAsia" w:ascii="??_GB2312"/>
          <w:color w:val="000000"/>
          <w:sz w:val="30"/>
          <w:szCs w:val="30"/>
          <w:lang w:eastAsia="zh-CN"/>
        </w:rPr>
        <w:t>购房补贴</w:t>
      </w:r>
      <w:r>
        <w:rPr>
          <w:rStyle w:val="18"/>
          <w:rFonts w:ascii="??_GB2312" w:eastAsia="Times New Roman"/>
          <w:color w:val="000000"/>
          <w:sz w:val="30"/>
          <w:szCs w:val="30"/>
        </w:rPr>
        <w:t>（</w:t>
      </w:r>
      <w:r>
        <w:rPr>
          <w:rStyle w:val="18"/>
          <w:rFonts w:ascii="??_GB2312" w:eastAsia="Times New Roman" w:cs="??_GB2312"/>
          <w:color w:val="000000"/>
          <w:sz w:val="30"/>
          <w:szCs w:val="30"/>
        </w:rPr>
        <w:t>0</w:t>
      </w:r>
      <w:r>
        <w:rPr>
          <w:rStyle w:val="18"/>
          <w:rFonts w:hint="eastAsia" w:ascii="??_GB2312" w:cs="??_GB2312"/>
          <w:color w:val="000000"/>
          <w:sz w:val="30"/>
          <w:szCs w:val="30"/>
          <w:lang w:val="en-US" w:eastAsia="zh-CN"/>
        </w:rPr>
        <w:t>3</w:t>
      </w:r>
      <w:r>
        <w:rPr>
          <w:rStyle w:val="18"/>
          <w:rFonts w:ascii="??_GB2312" w:eastAsia="Times New Roman"/>
          <w:color w:val="000000"/>
          <w:sz w:val="30"/>
          <w:szCs w:val="30"/>
        </w:rPr>
        <w:t>）</w:t>
      </w:r>
      <w:r>
        <w:rPr>
          <w:rStyle w:val="18"/>
          <w:rFonts w:hint="eastAsia" w:ascii="??_GB2312" w:eastAsia="宋体"/>
          <w:color w:val="000000"/>
          <w:sz w:val="30"/>
          <w:szCs w:val="30"/>
          <w:lang w:eastAsia="zh-CN"/>
        </w:rPr>
        <w:t>：</w:t>
      </w:r>
      <w:r>
        <w:rPr>
          <w:rFonts w:ascii="??_GB2312" w:eastAsia="Times New Roman"/>
          <w:color w:val="000000"/>
          <w:sz w:val="30"/>
          <w:szCs w:val="30"/>
        </w:rPr>
        <w:t>支出决算为</w:t>
      </w:r>
      <w:r>
        <w:rPr>
          <w:rFonts w:hint="eastAsia" w:ascii="??_GB2312" w:cs="??_GB2312"/>
          <w:color w:val="000000"/>
          <w:sz w:val="30"/>
          <w:szCs w:val="30"/>
          <w:lang w:val="en-US" w:eastAsia="zh-CN"/>
        </w:rPr>
        <w:t>8</w:t>
      </w:r>
      <w:r>
        <w:rPr>
          <w:rFonts w:ascii="??_GB2312" w:eastAsia="Times New Roman"/>
          <w:color w:val="000000"/>
          <w:sz w:val="30"/>
          <w:szCs w:val="30"/>
        </w:rPr>
        <w:t>万元，完成</w:t>
      </w:r>
      <w:r>
        <w:rPr>
          <w:rFonts w:ascii="??_GB2312" w:eastAsia="Times New Roman"/>
          <w:sz w:val="30"/>
          <w:szCs w:val="30"/>
        </w:rPr>
        <w:t>预算</w:t>
      </w:r>
      <w:r>
        <w:rPr>
          <w:rFonts w:ascii="??_GB2312" w:eastAsia="Times New Roman" w:cs="??_GB2312"/>
          <w:sz w:val="30"/>
          <w:szCs w:val="30"/>
        </w:rPr>
        <w:t>100%</w:t>
      </w:r>
      <w:r>
        <w:rPr>
          <w:rFonts w:ascii="??_GB2312" w:eastAsia="Times New Roman"/>
          <w:color w:val="000000"/>
          <w:sz w:val="30"/>
          <w:szCs w:val="30"/>
        </w:rPr>
        <w:t>。</w:t>
      </w:r>
    </w:p>
    <w:p w14:paraId="5E7B04DE">
      <w:pPr>
        <w:tabs>
          <w:tab w:val="right" w:pos="8306"/>
        </w:tabs>
        <w:spacing w:line="600" w:lineRule="exact"/>
        <w:ind w:firstLine="640"/>
        <w:outlineLvl w:val="1"/>
        <w:rPr>
          <w:rStyle w:val="25"/>
        </w:rPr>
      </w:pPr>
      <w:bookmarkStart w:id="26" w:name="_Toc15377214"/>
      <w:bookmarkStart w:id="27" w:name="_Toc15396608"/>
      <w:r>
        <w:rPr>
          <w:rFonts w:hint="eastAsia" w:ascii="黑体" w:eastAsia="黑体" w:cs="黑体"/>
          <w:color w:val="000000"/>
          <w:sz w:val="32"/>
          <w:szCs w:val="32"/>
        </w:rPr>
        <w:t>六</w:t>
      </w:r>
      <w:r>
        <w:rPr>
          <w:rFonts w:hint="eastAsia" w:ascii="黑体" w:eastAsia="黑体" w:cs="黑体"/>
          <w:b/>
          <w:bCs/>
          <w:color w:val="000000"/>
          <w:sz w:val="32"/>
          <w:szCs w:val="32"/>
        </w:rPr>
        <w:t>、</w:t>
      </w:r>
      <w:r>
        <w:rPr>
          <w:rFonts w:hint="eastAsia" w:ascii="黑体" w:hAnsi="黑体" w:eastAsia="黑体" w:cs="黑体"/>
          <w:b/>
          <w:bCs/>
          <w:color w:val="000000"/>
          <w:sz w:val="32"/>
          <w:szCs w:val="32"/>
        </w:rPr>
        <w:t>一</w:t>
      </w:r>
      <w:r>
        <w:rPr>
          <w:rStyle w:val="25"/>
          <w:rFonts w:hint="eastAsia" w:ascii="黑体" w:hAnsi="黑体" w:eastAsia="黑体" w:cs="黑体"/>
          <w:b w:val="0"/>
          <w:bCs w:val="0"/>
        </w:rPr>
        <w:t>般公共预算财政拨款基本支出决算情况说明</w:t>
      </w:r>
      <w:bookmarkEnd w:id="26"/>
      <w:bookmarkEnd w:id="27"/>
      <w:r>
        <w:rPr>
          <w:rStyle w:val="25"/>
          <w:rFonts w:ascii="黑体" w:hAnsi="黑体" w:eastAsia="黑体" w:cs="Times New Roman"/>
          <w:b w:val="0"/>
          <w:bCs w:val="0"/>
        </w:rPr>
        <w:tab/>
      </w:r>
    </w:p>
    <w:p w14:paraId="408F6E5C">
      <w:pPr>
        <w:spacing w:line="600" w:lineRule="exact"/>
        <w:ind w:firstLine="645"/>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一般公共预算财政拨款基本支出</w:t>
      </w:r>
      <w:r>
        <w:rPr>
          <w:rFonts w:hint="eastAsia" w:ascii="仿宋" w:hAnsi="仿宋" w:eastAsia="仿宋" w:cs="仿宋"/>
          <w:color w:val="000000"/>
          <w:sz w:val="32"/>
          <w:szCs w:val="32"/>
          <w:lang w:val="en-US" w:eastAsia="zh-CN"/>
        </w:rPr>
        <w:t>3361.47万</w:t>
      </w:r>
      <w:r>
        <w:rPr>
          <w:rFonts w:hint="eastAsia" w:ascii="仿宋" w:hAnsi="仿宋" w:eastAsia="仿宋" w:cs="仿宋"/>
          <w:color w:val="000000"/>
          <w:sz w:val="32"/>
          <w:szCs w:val="32"/>
        </w:rPr>
        <w:t>元，其中：</w:t>
      </w:r>
    </w:p>
    <w:p w14:paraId="68F1B94E">
      <w:pPr>
        <w:spacing w:line="600" w:lineRule="exact"/>
        <w:ind w:firstLine="645"/>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人员经费</w:t>
      </w:r>
      <w:r>
        <w:rPr>
          <w:rFonts w:hint="eastAsia" w:ascii="仿宋" w:hAnsi="仿宋" w:eastAsia="仿宋" w:cs="仿宋"/>
          <w:color w:val="auto"/>
          <w:sz w:val="32"/>
          <w:szCs w:val="32"/>
          <w:lang w:val="en-US" w:eastAsia="zh-CN"/>
        </w:rPr>
        <w:t>2868.84</w:t>
      </w:r>
      <w:r>
        <w:rPr>
          <w:rFonts w:hint="eastAsia" w:ascii="仿宋" w:hAnsi="仿宋" w:eastAsia="仿宋" w:cs="仿宋"/>
          <w:color w:val="000000"/>
          <w:sz w:val="32"/>
          <w:szCs w:val="32"/>
        </w:rPr>
        <w:t>万元，主要包括：基本工资</w:t>
      </w:r>
      <w:r>
        <w:rPr>
          <w:rFonts w:hint="eastAsia" w:ascii="仿宋" w:hAnsi="仿宋" w:eastAsia="仿宋" w:cs="仿宋"/>
          <w:color w:val="000000"/>
          <w:sz w:val="32"/>
          <w:szCs w:val="32"/>
          <w:lang w:val="en-US" w:eastAsia="zh-CN"/>
        </w:rPr>
        <w:t>518.95</w:t>
      </w:r>
      <w:r>
        <w:rPr>
          <w:rFonts w:hint="eastAsia" w:ascii="仿宋" w:hAnsi="仿宋" w:eastAsia="仿宋" w:cs="仿宋"/>
          <w:color w:val="000000"/>
          <w:sz w:val="32"/>
          <w:szCs w:val="32"/>
        </w:rPr>
        <w:t>万元、津贴补贴</w:t>
      </w:r>
      <w:r>
        <w:rPr>
          <w:rFonts w:hint="eastAsia" w:ascii="仿宋" w:hAnsi="仿宋" w:eastAsia="仿宋" w:cs="仿宋"/>
          <w:color w:val="000000"/>
          <w:sz w:val="32"/>
          <w:szCs w:val="32"/>
          <w:lang w:val="en-US" w:eastAsia="zh-CN"/>
        </w:rPr>
        <w:t>519.53</w:t>
      </w:r>
      <w:r>
        <w:rPr>
          <w:rFonts w:hint="eastAsia" w:ascii="仿宋" w:hAnsi="仿宋" w:eastAsia="仿宋" w:cs="仿宋"/>
          <w:color w:val="000000"/>
          <w:sz w:val="32"/>
          <w:szCs w:val="32"/>
        </w:rPr>
        <w:t>万元、奖金</w:t>
      </w:r>
      <w:r>
        <w:rPr>
          <w:rFonts w:hint="eastAsia" w:ascii="仿宋" w:hAnsi="仿宋" w:eastAsia="仿宋" w:cs="仿宋"/>
          <w:color w:val="000000"/>
          <w:sz w:val="32"/>
          <w:szCs w:val="32"/>
          <w:lang w:val="en-US" w:eastAsia="zh-CN"/>
        </w:rPr>
        <w:t>636.1</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伙食补助费</w:t>
      </w:r>
      <w:r>
        <w:rPr>
          <w:rFonts w:hint="eastAsia" w:ascii="仿宋" w:hAnsi="仿宋" w:eastAsia="仿宋" w:cs="仿宋"/>
          <w:color w:val="000000"/>
          <w:sz w:val="32"/>
          <w:szCs w:val="32"/>
          <w:lang w:val="en-US" w:eastAsia="zh-CN"/>
        </w:rPr>
        <w:t>33.23万元、</w:t>
      </w:r>
      <w:r>
        <w:rPr>
          <w:rFonts w:hint="eastAsia" w:ascii="仿宋" w:hAnsi="仿宋" w:eastAsia="仿宋" w:cs="仿宋"/>
          <w:color w:val="000000"/>
          <w:sz w:val="32"/>
          <w:szCs w:val="32"/>
        </w:rPr>
        <w:t>机关事业单位基本养老保险缴费</w:t>
      </w:r>
      <w:r>
        <w:rPr>
          <w:rFonts w:hint="eastAsia" w:ascii="仿宋" w:hAnsi="仿宋" w:eastAsia="仿宋" w:cs="仿宋"/>
          <w:color w:val="000000"/>
          <w:sz w:val="32"/>
          <w:szCs w:val="32"/>
          <w:lang w:val="en-US" w:eastAsia="zh-CN"/>
        </w:rPr>
        <w:t>223.7</w:t>
      </w:r>
      <w:r>
        <w:rPr>
          <w:rFonts w:hint="eastAsia" w:ascii="仿宋" w:hAnsi="仿宋" w:eastAsia="仿宋" w:cs="仿宋"/>
          <w:color w:val="000000"/>
          <w:sz w:val="32"/>
          <w:szCs w:val="32"/>
        </w:rPr>
        <w:t>万元、职业年金缴费</w:t>
      </w:r>
      <w:r>
        <w:rPr>
          <w:rFonts w:hint="eastAsia" w:ascii="仿宋" w:hAnsi="仿宋" w:eastAsia="仿宋" w:cs="仿宋"/>
          <w:color w:val="000000"/>
          <w:sz w:val="32"/>
          <w:szCs w:val="32"/>
          <w:lang w:val="en-US" w:eastAsia="zh-CN"/>
        </w:rPr>
        <w:t>111.47</w:t>
      </w:r>
      <w:r>
        <w:rPr>
          <w:rFonts w:hint="eastAsia" w:ascii="仿宋" w:hAnsi="仿宋" w:eastAsia="仿宋" w:cs="仿宋"/>
          <w:color w:val="000000"/>
          <w:sz w:val="32"/>
          <w:szCs w:val="32"/>
        </w:rPr>
        <w:t>万元、职工基本医疗保险缴费</w:t>
      </w:r>
      <w:r>
        <w:rPr>
          <w:rFonts w:hint="eastAsia" w:ascii="仿宋" w:hAnsi="仿宋" w:eastAsia="仿宋" w:cs="仿宋"/>
          <w:color w:val="000000"/>
          <w:sz w:val="32"/>
          <w:szCs w:val="32"/>
          <w:lang w:val="en-US" w:eastAsia="zh-CN"/>
        </w:rPr>
        <w:t>107.26</w:t>
      </w:r>
      <w:r>
        <w:rPr>
          <w:rFonts w:hint="eastAsia" w:ascii="仿宋" w:hAnsi="仿宋" w:eastAsia="仿宋" w:cs="仿宋"/>
          <w:color w:val="000000"/>
          <w:sz w:val="32"/>
          <w:szCs w:val="32"/>
        </w:rPr>
        <w:t>万元、公务员医疗补助缴费</w:t>
      </w:r>
      <w:r>
        <w:rPr>
          <w:rFonts w:hint="eastAsia" w:ascii="仿宋" w:hAnsi="仿宋" w:eastAsia="仿宋" w:cs="仿宋"/>
          <w:color w:val="000000"/>
          <w:sz w:val="32"/>
          <w:szCs w:val="32"/>
          <w:lang w:val="en-US" w:eastAsia="zh-CN"/>
        </w:rPr>
        <w:t>36.62</w:t>
      </w:r>
      <w:r>
        <w:rPr>
          <w:rFonts w:hint="eastAsia" w:ascii="仿宋" w:hAnsi="仿宋" w:eastAsia="仿宋" w:cs="仿宋"/>
          <w:color w:val="000000"/>
          <w:sz w:val="32"/>
          <w:szCs w:val="32"/>
        </w:rPr>
        <w:t>万元、其他社会保障缴费</w:t>
      </w:r>
      <w:r>
        <w:rPr>
          <w:rFonts w:hint="eastAsia" w:ascii="仿宋" w:hAnsi="仿宋" w:eastAsia="仿宋" w:cs="仿宋"/>
          <w:color w:val="000000"/>
          <w:sz w:val="32"/>
          <w:szCs w:val="32"/>
          <w:lang w:val="en-US" w:eastAsia="zh-CN"/>
        </w:rPr>
        <w:t>3.42</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住房公积金</w:t>
      </w:r>
      <w:r>
        <w:rPr>
          <w:rFonts w:hint="eastAsia" w:ascii="仿宋" w:hAnsi="仿宋" w:eastAsia="仿宋" w:cs="仿宋"/>
          <w:color w:val="000000"/>
          <w:sz w:val="32"/>
          <w:szCs w:val="32"/>
          <w:lang w:val="en-US" w:eastAsia="zh-CN"/>
        </w:rPr>
        <w:t>185.97万元、</w:t>
      </w:r>
      <w:r>
        <w:rPr>
          <w:rFonts w:hint="eastAsia" w:ascii="仿宋" w:hAnsi="仿宋" w:eastAsia="仿宋" w:cs="仿宋"/>
          <w:color w:val="000000"/>
          <w:sz w:val="32"/>
          <w:szCs w:val="32"/>
        </w:rPr>
        <w:t>其他工资福利支出</w:t>
      </w:r>
      <w:r>
        <w:rPr>
          <w:rFonts w:hint="eastAsia" w:ascii="仿宋" w:hAnsi="仿宋" w:eastAsia="仿宋" w:cs="仿宋"/>
          <w:color w:val="000000"/>
          <w:sz w:val="32"/>
          <w:szCs w:val="32"/>
          <w:lang w:val="en-US" w:eastAsia="zh-CN"/>
        </w:rPr>
        <w:t>46.76</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抚恤金</w:t>
      </w:r>
      <w:r>
        <w:rPr>
          <w:rFonts w:hint="eastAsia" w:ascii="仿宋" w:hAnsi="仿宋" w:eastAsia="仿宋" w:cs="仿宋"/>
          <w:color w:val="000000"/>
          <w:sz w:val="32"/>
          <w:szCs w:val="32"/>
          <w:lang w:val="en-US" w:eastAsia="zh-CN"/>
        </w:rPr>
        <w:t>53.49万元、</w:t>
      </w:r>
      <w:r>
        <w:rPr>
          <w:rFonts w:hint="eastAsia" w:ascii="仿宋" w:hAnsi="仿宋" w:eastAsia="仿宋" w:cs="仿宋"/>
          <w:color w:val="000000"/>
          <w:sz w:val="32"/>
          <w:szCs w:val="32"/>
        </w:rPr>
        <w:t>生活补助</w:t>
      </w:r>
      <w:r>
        <w:rPr>
          <w:rFonts w:hint="eastAsia" w:ascii="仿宋" w:hAnsi="仿宋" w:eastAsia="仿宋" w:cs="仿宋"/>
          <w:color w:val="000000"/>
          <w:sz w:val="32"/>
          <w:szCs w:val="32"/>
          <w:lang w:val="en-US" w:eastAsia="zh-CN"/>
        </w:rPr>
        <w:t>392.28</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、奖励金</w:t>
      </w:r>
      <w:r>
        <w:rPr>
          <w:rFonts w:hint="eastAsia" w:ascii="仿宋" w:hAnsi="仿宋" w:eastAsia="仿宋" w:cs="仿宋"/>
          <w:color w:val="000000"/>
          <w:sz w:val="32"/>
          <w:szCs w:val="32"/>
          <w:lang w:val="en-US" w:eastAsia="zh-CN"/>
        </w:rPr>
        <w:t>0.06万元</w:t>
      </w:r>
      <w:r>
        <w:rPr>
          <w:rFonts w:hint="eastAsia" w:ascii="仿宋" w:hAnsi="仿宋" w:eastAsia="仿宋" w:cs="仿宋"/>
          <w:color w:val="000000"/>
          <w:sz w:val="32"/>
          <w:szCs w:val="32"/>
        </w:rPr>
        <w:t>等。</w:t>
      </w:r>
    </w:p>
    <w:p w14:paraId="579568F7">
      <w:pPr>
        <w:spacing w:line="600" w:lineRule="exact"/>
        <w:ind w:firstLine="645"/>
        <w:rPr>
          <w:rFonts w:hint="eastAsia" w:ascii="仿宋" w:hAnsi="仿宋" w:eastAsia="仿宋" w:cs="仿宋"/>
          <w:color w:val="000000"/>
          <w:sz w:val="32"/>
          <w:szCs w:val="32"/>
        </w:rPr>
      </w:pPr>
      <w:r>
        <w:rPr>
          <w:rFonts w:hint="eastAsia" w:ascii="仿宋" w:hAnsi="仿宋" w:eastAsia="仿宋" w:cs="仿宋"/>
          <w:color w:val="000000"/>
          <w:sz w:val="32"/>
          <w:szCs w:val="32"/>
        </w:rPr>
        <w:t>公用经费</w:t>
      </w:r>
      <w:r>
        <w:rPr>
          <w:rFonts w:hint="eastAsia" w:ascii="仿宋" w:hAnsi="仿宋" w:eastAsia="仿宋" w:cs="仿宋"/>
          <w:color w:val="000000"/>
          <w:sz w:val="32"/>
          <w:szCs w:val="32"/>
          <w:lang w:val="en-US" w:eastAsia="zh-CN"/>
        </w:rPr>
        <w:t>492.63</w:t>
      </w:r>
      <w:r>
        <w:rPr>
          <w:rFonts w:hint="eastAsia" w:ascii="仿宋" w:hAnsi="仿宋" w:eastAsia="仿宋" w:cs="仿宋"/>
          <w:color w:val="000000"/>
          <w:sz w:val="32"/>
          <w:szCs w:val="32"/>
        </w:rPr>
        <w:t>万元，主要包括：办公费</w:t>
      </w:r>
      <w:r>
        <w:rPr>
          <w:rFonts w:hint="eastAsia" w:ascii="仿宋" w:hAnsi="仿宋" w:eastAsia="仿宋" w:cs="仿宋"/>
          <w:color w:val="000000"/>
          <w:sz w:val="32"/>
          <w:szCs w:val="32"/>
          <w:lang w:val="en-US" w:eastAsia="zh-CN"/>
        </w:rPr>
        <w:t>30.9</w:t>
      </w:r>
      <w:r>
        <w:rPr>
          <w:rFonts w:hint="eastAsia" w:ascii="仿宋" w:hAnsi="仿宋" w:eastAsia="仿宋" w:cs="仿宋"/>
          <w:color w:val="000000"/>
          <w:sz w:val="32"/>
          <w:szCs w:val="32"/>
        </w:rPr>
        <w:t>万元、印刷费</w:t>
      </w:r>
      <w:r>
        <w:rPr>
          <w:rFonts w:hint="eastAsia" w:ascii="仿宋" w:hAnsi="仿宋" w:eastAsia="仿宋" w:cs="仿宋"/>
          <w:color w:val="000000"/>
          <w:sz w:val="32"/>
          <w:szCs w:val="32"/>
          <w:lang w:val="en-US" w:eastAsia="zh-CN"/>
        </w:rPr>
        <w:t>8.49</w:t>
      </w:r>
      <w:r>
        <w:rPr>
          <w:rFonts w:hint="eastAsia" w:ascii="仿宋" w:hAnsi="仿宋" w:eastAsia="仿宋" w:cs="仿宋"/>
          <w:color w:val="000000"/>
          <w:sz w:val="32"/>
          <w:szCs w:val="32"/>
        </w:rPr>
        <w:t>万元、水费</w:t>
      </w:r>
      <w:r>
        <w:rPr>
          <w:rFonts w:hint="eastAsia" w:ascii="仿宋" w:hAnsi="仿宋" w:eastAsia="仿宋" w:cs="仿宋"/>
          <w:color w:val="000000"/>
          <w:sz w:val="32"/>
          <w:szCs w:val="32"/>
          <w:lang w:val="en-US" w:eastAsia="zh-CN"/>
        </w:rPr>
        <w:t>4.1</w:t>
      </w:r>
      <w:r>
        <w:rPr>
          <w:rFonts w:hint="eastAsia" w:ascii="仿宋" w:hAnsi="仿宋" w:eastAsia="仿宋" w:cs="仿宋"/>
          <w:color w:val="000000"/>
          <w:sz w:val="32"/>
          <w:szCs w:val="32"/>
        </w:rPr>
        <w:t>万元、电费</w:t>
      </w:r>
      <w:r>
        <w:rPr>
          <w:rFonts w:hint="eastAsia" w:ascii="仿宋" w:hAnsi="仿宋" w:eastAsia="仿宋" w:cs="仿宋"/>
          <w:color w:val="000000"/>
          <w:sz w:val="32"/>
          <w:szCs w:val="32"/>
          <w:lang w:val="en-US" w:eastAsia="zh-CN"/>
        </w:rPr>
        <w:t>30.71</w:t>
      </w:r>
      <w:r>
        <w:rPr>
          <w:rFonts w:hint="eastAsia" w:ascii="仿宋" w:hAnsi="仿宋" w:eastAsia="仿宋" w:cs="仿宋"/>
          <w:color w:val="000000"/>
          <w:sz w:val="32"/>
          <w:szCs w:val="32"/>
        </w:rPr>
        <w:t>万元、邮电费</w:t>
      </w:r>
      <w:r>
        <w:rPr>
          <w:rFonts w:hint="eastAsia" w:ascii="仿宋" w:hAnsi="仿宋" w:eastAsia="仿宋" w:cs="仿宋"/>
          <w:color w:val="000000"/>
          <w:sz w:val="32"/>
          <w:szCs w:val="32"/>
          <w:lang w:val="en-US" w:eastAsia="zh-CN"/>
        </w:rPr>
        <w:t>32.21</w:t>
      </w:r>
      <w:r>
        <w:rPr>
          <w:rFonts w:hint="eastAsia" w:ascii="仿宋" w:hAnsi="仿宋" w:eastAsia="仿宋" w:cs="仿宋"/>
          <w:color w:val="000000"/>
          <w:sz w:val="32"/>
          <w:szCs w:val="32"/>
        </w:rPr>
        <w:t>万元、差旅费</w:t>
      </w:r>
      <w:r>
        <w:rPr>
          <w:rFonts w:hint="eastAsia" w:ascii="仿宋" w:hAnsi="仿宋" w:eastAsia="仿宋" w:cs="仿宋"/>
          <w:color w:val="000000"/>
          <w:sz w:val="32"/>
          <w:szCs w:val="32"/>
          <w:lang w:val="en-US" w:eastAsia="zh-CN"/>
        </w:rPr>
        <w:t>107.97</w:t>
      </w:r>
      <w:r>
        <w:rPr>
          <w:rFonts w:hint="eastAsia" w:ascii="仿宋" w:hAnsi="仿宋" w:eastAsia="仿宋" w:cs="仿宋"/>
          <w:color w:val="000000"/>
          <w:sz w:val="32"/>
          <w:szCs w:val="32"/>
        </w:rPr>
        <w:t>万元、维修（护）费</w:t>
      </w:r>
      <w:r>
        <w:rPr>
          <w:rFonts w:hint="eastAsia" w:ascii="仿宋" w:hAnsi="仿宋" w:eastAsia="仿宋" w:cs="仿宋"/>
          <w:color w:val="000000"/>
          <w:sz w:val="32"/>
          <w:szCs w:val="32"/>
          <w:lang w:val="en-US" w:eastAsia="zh-CN"/>
        </w:rPr>
        <w:t>15.5</w:t>
      </w:r>
      <w:r>
        <w:rPr>
          <w:rFonts w:hint="eastAsia" w:ascii="仿宋" w:hAnsi="仿宋" w:eastAsia="仿宋" w:cs="仿宋"/>
          <w:color w:val="000000"/>
          <w:sz w:val="32"/>
          <w:szCs w:val="32"/>
        </w:rPr>
        <w:t>万元、培训费</w:t>
      </w:r>
      <w:r>
        <w:rPr>
          <w:rFonts w:hint="eastAsia" w:ascii="仿宋" w:hAnsi="仿宋" w:eastAsia="仿宋" w:cs="仿宋"/>
          <w:color w:val="000000"/>
          <w:sz w:val="32"/>
          <w:szCs w:val="32"/>
          <w:lang w:val="en-US" w:eastAsia="zh-CN"/>
        </w:rPr>
        <w:t>3.33</w:t>
      </w:r>
      <w:r>
        <w:rPr>
          <w:rFonts w:hint="eastAsia" w:ascii="仿宋" w:hAnsi="仿宋" w:eastAsia="仿宋" w:cs="仿宋"/>
          <w:color w:val="000000"/>
          <w:sz w:val="32"/>
          <w:szCs w:val="32"/>
        </w:rPr>
        <w:t>万元、公务接待费</w:t>
      </w:r>
      <w:r>
        <w:rPr>
          <w:rFonts w:hint="eastAsia" w:ascii="仿宋" w:hAnsi="仿宋" w:eastAsia="仿宋" w:cs="仿宋"/>
          <w:color w:val="000000"/>
          <w:sz w:val="32"/>
          <w:szCs w:val="32"/>
          <w:lang w:val="en-US" w:eastAsia="zh-CN"/>
        </w:rPr>
        <w:t>0.54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专用材料费</w:t>
      </w:r>
      <w:r>
        <w:rPr>
          <w:rFonts w:hint="eastAsia" w:ascii="仿宋" w:hAnsi="仿宋" w:eastAsia="仿宋" w:cs="仿宋"/>
          <w:color w:val="000000"/>
          <w:sz w:val="32"/>
          <w:szCs w:val="32"/>
          <w:lang w:val="en-US" w:eastAsia="zh-CN"/>
        </w:rPr>
        <w:t>1.54万元、劳务费13.62万元、</w:t>
      </w:r>
      <w:r>
        <w:rPr>
          <w:rFonts w:hint="eastAsia" w:ascii="仿宋" w:hAnsi="仿宋" w:eastAsia="仿宋" w:cs="仿宋"/>
          <w:color w:val="000000"/>
          <w:sz w:val="32"/>
          <w:szCs w:val="32"/>
        </w:rPr>
        <w:t>委托业务费</w:t>
      </w:r>
      <w:r>
        <w:rPr>
          <w:rFonts w:hint="eastAsia" w:ascii="仿宋" w:hAnsi="仿宋" w:eastAsia="仿宋" w:cs="仿宋"/>
          <w:color w:val="000000"/>
          <w:sz w:val="32"/>
          <w:szCs w:val="32"/>
          <w:lang w:val="en-US" w:eastAsia="zh-CN"/>
        </w:rPr>
        <w:t>8.29</w:t>
      </w:r>
      <w:r>
        <w:rPr>
          <w:rFonts w:hint="eastAsia" w:ascii="仿宋" w:hAnsi="仿宋" w:eastAsia="仿宋" w:cs="仿宋"/>
          <w:color w:val="000000"/>
          <w:sz w:val="32"/>
          <w:szCs w:val="32"/>
        </w:rPr>
        <w:t>万元、福利费</w:t>
      </w:r>
      <w:r>
        <w:rPr>
          <w:rFonts w:hint="eastAsia" w:ascii="仿宋" w:hAnsi="仿宋" w:eastAsia="仿宋" w:cs="仿宋"/>
          <w:color w:val="000000"/>
          <w:sz w:val="32"/>
          <w:szCs w:val="32"/>
          <w:lang w:val="en-US" w:eastAsia="zh-CN"/>
        </w:rPr>
        <w:t>47.84</w:t>
      </w:r>
      <w:r>
        <w:rPr>
          <w:rFonts w:hint="eastAsia" w:ascii="仿宋" w:hAnsi="仿宋" w:eastAsia="仿宋" w:cs="仿宋"/>
          <w:color w:val="000000"/>
          <w:sz w:val="32"/>
          <w:szCs w:val="32"/>
        </w:rPr>
        <w:t>万元、公务用车运行维护费</w:t>
      </w:r>
      <w:r>
        <w:rPr>
          <w:rFonts w:hint="eastAsia" w:ascii="仿宋" w:hAnsi="仿宋" w:eastAsia="仿宋" w:cs="仿宋"/>
          <w:color w:val="000000"/>
          <w:sz w:val="32"/>
          <w:szCs w:val="32"/>
          <w:lang w:val="en-US" w:eastAsia="zh-CN"/>
        </w:rPr>
        <w:t>112.77</w:t>
      </w:r>
      <w:r>
        <w:rPr>
          <w:rFonts w:hint="eastAsia" w:ascii="仿宋" w:hAnsi="仿宋" w:eastAsia="仿宋" w:cs="仿宋"/>
          <w:color w:val="000000"/>
          <w:sz w:val="32"/>
          <w:szCs w:val="32"/>
        </w:rPr>
        <w:t>万元、其他商品和服务支出</w:t>
      </w:r>
      <w:r>
        <w:rPr>
          <w:rFonts w:hint="eastAsia" w:ascii="仿宋" w:hAnsi="仿宋" w:eastAsia="仿宋" w:cs="仿宋"/>
          <w:color w:val="000000"/>
          <w:sz w:val="32"/>
          <w:szCs w:val="32"/>
          <w:lang w:val="en-US" w:eastAsia="zh-CN"/>
        </w:rPr>
        <w:t>74.81</w:t>
      </w:r>
      <w:r>
        <w:rPr>
          <w:rFonts w:hint="eastAsia" w:ascii="仿宋" w:hAnsi="仿宋" w:eastAsia="仿宋" w:cs="仿宋"/>
          <w:color w:val="000000"/>
          <w:sz w:val="32"/>
          <w:szCs w:val="32"/>
        </w:rPr>
        <w:t>万元。</w:t>
      </w:r>
    </w:p>
    <w:p w14:paraId="4E420BC6">
      <w:pPr>
        <w:spacing w:line="600" w:lineRule="exact"/>
        <w:ind w:firstLine="640"/>
        <w:outlineLvl w:val="1"/>
        <w:rPr>
          <w:rStyle w:val="25"/>
          <w:rFonts w:ascii="黑体" w:hAnsi="黑体" w:eastAsia="黑体" w:cs="Times New Roman"/>
          <w:b w:val="0"/>
          <w:bCs w:val="0"/>
        </w:rPr>
      </w:pPr>
      <w:bookmarkStart w:id="28" w:name="_Toc15377215"/>
      <w:bookmarkStart w:id="29" w:name="_Toc15396609"/>
      <w:r>
        <w:rPr>
          <w:rFonts w:hint="eastAsia" w:ascii="黑体" w:eastAsia="黑体" w:cs="黑体"/>
          <w:color w:val="000000"/>
          <w:sz w:val="32"/>
          <w:szCs w:val="32"/>
        </w:rPr>
        <w:t>七、</w:t>
      </w:r>
      <w:r>
        <w:rPr>
          <w:rStyle w:val="25"/>
          <w:rFonts w:hint="eastAsia" w:ascii="黑体" w:hAnsi="黑体" w:eastAsia="黑体" w:cs="黑体"/>
        </w:rPr>
        <w:t>“</w:t>
      </w:r>
      <w:r>
        <w:rPr>
          <w:rStyle w:val="25"/>
          <w:rFonts w:hint="eastAsia" w:ascii="黑体" w:hAnsi="黑体" w:eastAsia="黑体" w:cs="黑体"/>
          <w:b w:val="0"/>
          <w:bCs w:val="0"/>
        </w:rPr>
        <w:t>三公”经费财政拨款支出决算情况说明</w:t>
      </w:r>
      <w:bookmarkEnd w:id="28"/>
      <w:bookmarkEnd w:id="29"/>
    </w:p>
    <w:p w14:paraId="1F7FFA9A">
      <w:pPr>
        <w:spacing w:line="600" w:lineRule="exact"/>
        <w:ind w:firstLine="640"/>
        <w:outlineLvl w:val="2"/>
        <w:rPr>
          <w:rFonts w:ascii="仿宋" w:hAnsi="仿宋" w:eastAsia="仿宋"/>
          <w:b/>
          <w:bCs/>
          <w:color w:val="000000"/>
          <w:sz w:val="32"/>
          <w:szCs w:val="32"/>
        </w:rPr>
      </w:pPr>
      <w:bookmarkStart w:id="30" w:name="_Toc15377216"/>
      <w:r>
        <w:rPr>
          <w:rFonts w:hint="eastAsia" w:ascii="仿宋" w:hAnsi="仿宋" w:eastAsia="仿宋" w:cs="仿宋"/>
          <w:b/>
          <w:bCs/>
          <w:color w:val="000000"/>
          <w:sz w:val="32"/>
          <w:szCs w:val="32"/>
        </w:rPr>
        <w:t>（一）“三公”经费财政拨款支出决算总体情况说明</w:t>
      </w:r>
      <w:bookmarkEnd w:id="30"/>
    </w:p>
    <w:p w14:paraId="2E8EEFCD">
      <w:pPr>
        <w:snapToGrid w:val="0"/>
        <w:spacing w:line="520" w:lineRule="exact"/>
        <w:ind w:firstLine="640" w:firstLineChars="20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“三公”经费财政拨款支出决算为</w:t>
      </w:r>
      <w:r>
        <w:rPr>
          <w:rFonts w:hint="eastAsia" w:ascii="仿宋" w:hAnsi="仿宋" w:eastAsia="仿宋" w:cs="仿宋"/>
          <w:color w:val="000000"/>
          <w:sz w:val="32"/>
          <w:szCs w:val="32"/>
          <w:lang w:val="en-US" w:eastAsia="zh-CN"/>
        </w:rPr>
        <w:t>113.31</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ascii="仿宋" w:hAnsi="仿宋" w:eastAsia="仿宋" w:cs="仿宋"/>
          <w:color w:val="000000"/>
          <w:sz w:val="32"/>
          <w:szCs w:val="32"/>
        </w:rPr>
        <w:t>%</w:t>
      </w:r>
      <w:r>
        <w:rPr>
          <w:rFonts w:hint="eastAsia" w:ascii="仿宋" w:hAnsi="仿宋" w:eastAsia="仿宋" w:cs="仿宋"/>
          <w:color w:val="000000"/>
          <w:sz w:val="32"/>
          <w:szCs w:val="32"/>
        </w:rPr>
        <w:t>，决算数</w:t>
      </w:r>
      <w:r>
        <w:rPr>
          <w:rFonts w:hint="eastAsia" w:ascii="仿宋" w:hAnsi="仿宋" w:eastAsia="仿宋" w:cs="仿宋"/>
          <w:color w:val="000000"/>
          <w:sz w:val="32"/>
          <w:szCs w:val="32"/>
          <w:lang w:eastAsia="zh-CN"/>
        </w:rPr>
        <w:t>小于</w:t>
      </w:r>
      <w:r>
        <w:rPr>
          <w:rFonts w:hint="eastAsia" w:ascii="仿宋" w:hAnsi="仿宋" w:eastAsia="仿宋" w:cs="仿宋"/>
          <w:color w:val="000000"/>
          <w:sz w:val="32"/>
          <w:szCs w:val="32"/>
          <w:lang w:val="en-US" w:eastAsia="zh-CN"/>
        </w:rPr>
        <w:t>2024年度决算数</w:t>
      </w:r>
      <w:r>
        <w:rPr>
          <w:rFonts w:hint="eastAsia" w:ascii="仿宋" w:hAnsi="仿宋" w:eastAsia="仿宋" w:cs="仿宋"/>
          <w:color w:val="000000"/>
          <w:sz w:val="32"/>
          <w:szCs w:val="32"/>
        </w:rPr>
        <w:t>的主要</w:t>
      </w:r>
      <w:r>
        <w:rPr>
          <w:rFonts w:hint="eastAsia" w:ascii="仿宋" w:hAnsi="仿宋" w:eastAsia="仿宋" w:cs="仿宋"/>
          <w:color w:val="000000"/>
          <w:sz w:val="32"/>
          <w:szCs w:val="32"/>
          <w:lang w:eastAsia="zh-CN"/>
        </w:rPr>
        <w:t>原因是</w:t>
      </w:r>
      <w:r>
        <w:rPr>
          <w:rFonts w:hint="eastAsia" w:ascii="仿宋" w:hAnsi="仿宋" w:eastAsia="仿宋" w:cs="仿宋"/>
          <w:color w:val="000000"/>
          <w:sz w:val="32"/>
          <w:szCs w:val="32"/>
          <w:lang w:val="en-US" w:eastAsia="zh-CN"/>
        </w:rPr>
        <w:t>2025年无公务用车购置费和厉行节约</w:t>
      </w:r>
      <w:r>
        <w:rPr>
          <w:rFonts w:hint="eastAsia" w:ascii="仿宋" w:hAnsi="仿宋" w:eastAsia="仿宋" w:cs="仿宋"/>
          <w:color w:val="000000"/>
          <w:sz w:val="32"/>
          <w:szCs w:val="32"/>
        </w:rPr>
        <w:t>。</w:t>
      </w:r>
    </w:p>
    <w:p w14:paraId="563BC090">
      <w:pPr>
        <w:spacing w:line="600" w:lineRule="exact"/>
        <w:ind w:firstLine="640"/>
        <w:outlineLvl w:val="2"/>
        <w:rPr>
          <w:rFonts w:ascii="仿宋" w:hAnsi="仿宋" w:eastAsia="仿宋"/>
          <w:b/>
          <w:bCs/>
          <w:color w:val="000000"/>
          <w:sz w:val="32"/>
          <w:szCs w:val="32"/>
        </w:rPr>
      </w:pPr>
      <w:bookmarkStart w:id="31" w:name="_Toc15377217"/>
      <w:r>
        <w:rPr>
          <w:rFonts w:hint="eastAsia" w:ascii="仿宋" w:hAnsi="仿宋" w:eastAsia="仿宋" w:cs="仿宋"/>
          <w:b/>
          <w:bCs/>
          <w:color w:val="000000"/>
          <w:sz w:val="32"/>
          <w:szCs w:val="32"/>
        </w:rPr>
        <w:t>（二）“三公”经费财政拨款支出决算具体情况说明</w:t>
      </w:r>
      <w:bookmarkEnd w:id="31"/>
    </w:p>
    <w:p w14:paraId="51E3AAF3">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“三公”经费财政拨款支出决算中，因公出国（境）费支出决算</w:t>
      </w:r>
      <w:r>
        <w:rPr>
          <w:rFonts w:ascii="仿宋" w:hAnsi="仿宋" w:eastAsia="仿宋" w:cs="仿宋"/>
          <w:color w:val="000000"/>
          <w:sz w:val="32"/>
          <w:szCs w:val="32"/>
        </w:rPr>
        <w:t>0</w:t>
      </w:r>
      <w:r>
        <w:rPr>
          <w:rFonts w:hint="eastAsia" w:ascii="仿宋" w:hAnsi="仿宋" w:eastAsia="仿宋" w:cs="仿宋"/>
          <w:color w:val="000000"/>
          <w:sz w:val="32"/>
          <w:szCs w:val="32"/>
        </w:rPr>
        <w:t>万元，占</w:t>
      </w:r>
      <w:r>
        <w:rPr>
          <w:rFonts w:ascii="仿宋" w:hAnsi="仿宋" w:eastAsia="仿宋" w:cs="仿宋"/>
          <w:color w:val="000000"/>
          <w:sz w:val="32"/>
          <w:szCs w:val="32"/>
        </w:rPr>
        <w:t>0%</w:t>
      </w:r>
      <w:r>
        <w:rPr>
          <w:rFonts w:hint="eastAsia" w:ascii="仿宋" w:hAnsi="仿宋" w:eastAsia="仿宋" w:cs="仿宋"/>
          <w:color w:val="000000"/>
          <w:sz w:val="32"/>
          <w:szCs w:val="32"/>
        </w:rPr>
        <w:t>；公务用车购置及运行维护费支出决算</w:t>
      </w:r>
      <w:r>
        <w:rPr>
          <w:rFonts w:hint="eastAsia" w:ascii="仿宋" w:hAnsi="仿宋" w:eastAsia="仿宋" w:cs="仿宋"/>
          <w:color w:val="000000"/>
          <w:sz w:val="32"/>
          <w:szCs w:val="32"/>
          <w:lang w:val="en-US" w:eastAsia="zh-CN"/>
        </w:rPr>
        <w:t>112.77</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99.52</w:t>
      </w:r>
      <w:r>
        <w:rPr>
          <w:rFonts w:ascii="仿宋" w:hAnsi="仿宋" w:eastAsia="仿宋" w:cs="仿宋"/>
          <w:color w:val="000000"/>
          <w:sz w:val="32"/>
          <w:szCs w:val="32"/>
        </w:rPr>
        <w:t>%</w:t>
      </w:r>
      <w:r>
        <w:rPr>
          <w:rFonts w:hint="eastAsia" w:ascii="仿宋" w:hAnsi="仿宋" w:eastAsia="仿宋" w:cs="仿宋"/>
          <w:color w:val="000000"/>
          <w:sz w:val="32"/>
          <w:szCs w:val="32"/>
        </w:rPr>
        <w:t>；公务接待费支出决算</w:t>
      </w:r>
      <w:r>
        <w:rPr>
          <w:rFonts w:hint="eastAsia" w:ascii="仿宋" w:hAnsi="仿宋" w:eastAsia="仿宋" w:cs="仿宋"/>
          <w:color w:val="000000"/>
          <w:sz w:val="32"/>
          <w:szCs w:val="32"/>
          <w:lang w:val="en-US" w:eastAsia="zh-CN"/>
        </w:rPr>
        <w:t>0.54</w:t>
      </w:r>
      <w:r>
        <w:rPr>
          <w:rFonts w:hint="eastAsia" w:ascii="仿宋" w:hAnsi="仿宋" w:eastAsia="仿宋" w:cs="仿宋"/>
          <w:color w:val="000000"/>
          <w:sz w:val="32"/>
          <w:szCs w:val="32"/>
        </w:rPr>
        <w:t>万元，占</w:t>
      </w:r>
      <w:r>
        <w:rPr>
          <w:rFonts w:hint="eastAsia" w:ascii="仿宋" w:hAnsi="仿宋" w:eastAsia="仿宋" w:cs="仿宋"/>
          <w:color w:val="000000"/>
          <w:sz w:val="32"/>
          <w:szCs w:val="32"/>
          <w:lang w:val="en-US" w:eastAsia="zh-CN"/>
        </w:rPr>
        <w:t>0.48</w:t>
      </w:r>
      <w:r>
        <w:rPr>
          <w:rFonts w:ascii="仿宋" w:hAnsi="仿宋" w:eastAsia="仿宋" w:cs="仿宋"/>
          <w:color w:val="000000"/>
          <w:sz w:val="32"/>
          <w:szCs w:val="32"/>
        </w:rPr>
        <w:t>%</w:t>
      </w:r>
      <w:r>
        <w:rPr>
          <w:rFonts w:hint="eastAsia" w:ascii="仿宋" w:hAnsi="仿宋" w:eastAsia="仿宋" w:cs="仿宋"/>
          <w:color w:val="000000"/>
          <w:sz w:val="32"/>
          <w:szCs w:val="32"/>
        </w:rPr>
        <w:t>。具体情况如下：</w:t>
      </w:r>
    </w:p>
    <w:p w14:paraId="26B94831">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（图</w:t>
      </w:r>
      <w:r>
        <w:rPr>
          <w:rFonts w:ascii="仿宋" w:hAnsi="仿宋" w:eastAsia="仿宋" w:cs="仿宋"/>
          <w:color w:val="000000"/>
          <w:sz w:val="32"/>
          <w:szCs w:val="32"/>
        </w:rPr>
        <w:t>8</w:t>
      </w:r>
      <w:r>
        <w:rPr>
          <w:rFonts w:hint="eastAsia" w:ascii="仿宋" w:hAnsi="仿宋" w:eastAsia="仿宋" w:cs="仿宋"/>
          <w:color w:val="000000"/>
          <w:sz w:val="32"/>
          <w:szCs w:val="32"/>
        </w:rPr>
        <w:t>：“三公”经费财政拨款支出结构）（饼状图）</w:t>
      </w:r>
    </w:p>
    <w:p w14:paraId="1FB14271">
      <w:pPr>
        <w:spacing w:line="600" w:lineRule="exact"/>
        <w:ind w:firstLine="640"/>
        <w:rPr>
          <w:rFonts w:hint="eastAsia" w:ascii="仿宋" w:hAnsi="仿宋" w:eastAsia="仿宋" w:cs="仿宋"/>
          <w:color w:val="000000"/>
          <w:sz w:val="32"/>
          <w:szCs w:val="32"/>
        </w:rPr>
      </w:pPr>
      <w:r>
        <w:pict>
          <v:shape id="_x0000_s1032" o:spid="_x0000_s1032" o:spt="75" type="#_x0000_t75" style="position:absolute;left:0pt;margin-left:-17.9pt;margin-top:13.05pt;height:234.1pt;width:447.1pt;z-index:251665408;mso-width-relative:page;mso-height-relative:page;" o:ole="t" filled="f" o:preferrelative="t" stroked="f" coordsize="21600,21600">
            <v:path/>
            <v:fill on="f" focussize="0,0"/>
            <v:stroke on="f"/>
            <v:imagedata r:id="rId23" o:title=""/>
            <o:lock v:ext="edit" aspectratio="t"/>
          </v:shape>
          <o:OLEObject Type="Embed" ProgID="Excel.Chart.8" ShapeID="_x0000_s1032" DrawAspect="Content" ObjectID="_1468075731" r:id="rId22">
            <o:LockedField>false</o:LockedField>
          </o:OLEObject>
        </w:pict>
      </w:r>
    </w:p>
    <w:p w14:paraId="18AE4B88">
      <w:pPr>
        <w:spacing w:line="600" w:lineRule="exact"/>
        <w:ind w:firstLine="640"/>
        <w:rPr>
          <w:rFonts w:hint="eastAsia" w:ascii="仿宋" w:hAnsi="仿宋" w:eastAsia="仿宋" w:cs="仿宋"/>
          <w:color w:val="000000"/>
          <w:sz w:val="32"/>
          <w:szCs w:val="32"/>
        </w:rPr>
      </w:pPr>
    </w:p>
    <w:p w14:paraId="70427E4B">
      <w:pPr>
        <w:spacing w:line="600" w:lineRule="exact"/>
        <w:ind w:firstLine="640"/>
        <w:rPr>
          <w:rFonts w:hint="eastAsia" w:ascii="仿宋" w:hAnsi="仿宋" w:eastAsia="仿宋" w:cs="仿宋"/>
          <w:color w:val="000000"/>
          <w:sz w:val="32"/>
          <w:szCs w:val="32"/>
        </w:rPr>
      </w:pPr>
    </w:p>
    <w:p w14:paraId="3B546939">
      <w:pPr>
        <w:spacing w:line="600" w:lineRule="exact"/>
        <w:ind w:firstLine="640"/>
        <w:rPr>
          <w:rFonts w:hint="eastAsia" w:ascii="仿宋" w:hAnsi="仿宋" w:eastAsia="仿宋" w:cs="仿宋"/>
          <w:color w:val="000000"/>
          <w:sz w:val="32"/>
          <w:szCs w:val="32"/>
        </w:rPr>
      </w:pPr>
    </w:p>
    <w:p w14:paraId="39A6B0BA">
      <w:pPr>
        <w:spacing w:line="600" w:lineRule="exact"/>
        <w:ind w:firstLine="640"/>
        <w:rPr>
          <w:rFonts w:hint="eastAsia" w:ascii="仿宋" w:hAnsi="仿宋" w:eastAsia="仿宋" w:cs="仿宋"/>
          <w:color w:val="000000"/>
          <w:sz w:val="32"/>
          <w:szCs w:val="32"/>
        </w:rPr>
      </w:pPr>
    </w:p>
    <w:p w14:paraId="4B8BF605">
      <w:pPr>
        <w:spacing w:line="600" w:lineRule="exact"/>
        <w:ind w:firstLine="640"/>
        <w:rPr>
          <w:rFonts w:hint="eastAsia" w:ascii="仿宋" w:hAnsi="仿宋" w:eastAsia="仿宋" w:cs="仿宋"/>
          <w:color w:val="000000"/>
          <w:sz w:val="32"/>
          <w:szCs w:val="32"/>
        </w:rPr>
      </w:pPr>
    </w:p>
    <w:p w14:paraId="35E85DBB">
      <w:pPr>
        <w:spacing w:line="600" w:lineRule="exact"/>
        <w:ind w:firstLine="640"/>
        <w:rPr>
          <w:rFonts w:hint="eastAsia" w:ascii="仿宋" w:hAnsi="仿宋" w:eastAsia="仿宋" w:cs="仿宋"/>
          <w:color w:val="000000"/>
          <w:sz w:val="32"/>
          <w:szCs w:val="32"/>
        </w:rPr>
      </w:pPr>
    </w:p>
    <w:p w14:paraId="1E859560">
      <w:pPr>
        <w:spacing w:line="600" w:lineRule="exact"/>
        <w:ind w:firstLine="640"/>
        <w:rPr>
          <w:rFonts w:hint="eastAsia" w:ascii="仿宋" w:hAnsi="仿宋" w:eastAsia="仿宋" w:cs="仿宋"/>
          <w:color w:val="000000"/>
          <w:sz w:val="32"/>
          <w:szCs w:val="32"/>
          <w:lang w:eastAsia="zh-CN"/>
        </w:rPr>
      </w:pPr>
    </w:p>
    <w:p w14:paraId="7D033325">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1.</w:t>
      </w:r>
      <w:r>
        <w:rPr>
          <w:rFonts w:hint="eastAsia" w:ascii="仿宋" w:hAnsi="仿宋" w:eastAsia="仿宋" w:cs="仿宋"/>
          <w:color w:val="000000"/>
          <w:sz w:val="32"/>
          <w:szCs w:val="32"/>
        </w:rPr>
        <w:t>因公出国（境）经费支出</w:t>
      </w:r>
      <w:r>
        <w:rPr>
          <w:rFonts w:ascii="仿宋" w:hAnsi="仿宋" w:eastAsia="仿宋" w:cs="仿宋"/>
          <w:color w:val="000000"/>
          <w:sz w:val="32"/>
          <w:szCs w:val="32"/>
        </w:rPr>
        <w:t>0</w:t>
      </w:r>
      <w:r>
        <w:rPr>
          <w:rFonts w:hint="eastAsia" w:ascii="仿宋" w:hAnsi="仿宋" w:eastAsia="仿宋" w:cs="仿宋"/>
          <w:color w:val="000000"/>
          <w:sz w:val="32"/>
          <w:szCs w:val="32"/>
        </w:rPr>
        <w:t>万元，完成预算0%。</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年无因公出国（境）计划，因此无此项预算。</w:t>
      </w:r>
    </w:p>
    <w:p w14:paraId="3F36ABA9">
      <w:pPr>
        <w:spacing w:line="600" w:lineRule="exact"/>
        <w:ind w:firstLine="640"/>
        <w:rPr>
          <w:rFonts w:ascii="仿宋" w:hAnsi="仿宋" w:eastAsia="仿宋"/>
          <w:color w:val="000000"/>
          <w:sz w:val="32"/>
          <w:szCs w:val="32"/>
        </w:rPr>
      </w:pPr>
      <w:r>
        <w:rPr>
          <w:rFonts w:hint="eastAsia" w:ascii="仿宋" w:hAnsi="仿宋" w:eastAsia="仿宋" w:cs="仿宋"/>
          <w:color w:val="000000"/>
          <w:sz w:val="32"/>
          <w:szCs w:val="32"/>
        </w:rPr>
        <w:t>因公出国（境）支出决算比</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年减</w:t>
      </w:r>
      <w:r>
        <w:rPr>
          <w:rFonts w:hint="eastAsia" w:ascii="仿宋" w:hAnsi="仿宋" w:eastAsia="仿宋" w:cs="仿宋"/>
          <w:color w:val="000000"/>
          <w:sz w:val="32"/>
          <w:szCs w:val="32"/>
          <w:lang w:eastAsia="zh-CN"/>
        </w:rPr>
        <w:t>少</w:t>
      </w:r>
      <w:r>
        <w:rPr>
          <w:rFonts w:hint="eastAsia" w:ascii="仿宋" w:hAnsi="仿宋" w:eastAsia="仿宋" w:cs="仿宋"/>
          <w:color w:val="000000"/>
          <w:sz w:val="32"/>
          <w:szCs w:val="32"/>
          <w:lang w:val="en-US" w:eastAsia="zh-CN"/>
        </w:rPr>
        <w:t>0万元</w:t>
      </w:r>
      <w:r>
        <w:rPr>
          <w:rFonts w:hint="eastAsia" w:ascii="仿宋" w:hAnsi="仿宋" w:eastAsia="仿宋" w:cs="仿宋"/>
          <w:color w:val="000000"/>
          <w:sz w:val="32"/>
          <w:szCs w:val="32"/>
        </w:rPr>
        <w:t>。</w:t>
      </w:r>
    </w:p>
    <w:p w14:paraId="39C38714">
      <w:pPr>
        <w:spacing w:line="600" w:lineRule="exact"/>
        <w:ind w:firstLine="640"/>
        <w:rPr>
          <w:rFonts w:ascii="仿宋" w:hAnsi="仿宋" w:eastAsia="仿宋"/>
          <w:color w:val="000000"/>
          <w:sz w:val="32"/>
          <w:szCs w:val="32"/>
        </w:rPr>
      </w:pPr>
      <w:r>
        <w:rPr>
          <w:rFonts w:ascii="仿宋" w:hAnsi="仿宋" w:eastAsia="仿宋" w:cs="仿宋"/>
          <w:color w:val="000000"/>
          <w:sz w:val="32"/>
          <w:szCs w:val="32"/>
        </w:rPr>
        <w:t>2.</w:t>
      </w:r>
      <w:r>
        <w:rPr>
          <w:rFonts w:hint="eastAsia" w:ascii="仿宋" w:hAnsi="仿宋" w:eastAsia="仿宋" w:cs="仿宋"/>
          <w:color w:val="000000"/>
          <w:sz w:val="32"/>
          <w:szCs w:val="32"/>
        </w:rPr>
        <w:t>公务用车购置及运行维护费支出</w:t>
      </w:r>
      <w:r>
        <w:rPr>
          <w:rFonts w:hint="eastAsia" w:ascii="仿宋" w:hAnsi="仿宋" w:eastAsia="仿宋" w:cs="仿宋"/>
          <w:color w:val="000000"/>
          <w:sz w:val="32"/>
          <w:szCs w:val="32"/>
          <w:lang w:val="en-US" w:eastAsia="zh-CN"/>
        </w:rPr>
        <w:t>112.77</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rPr>
        <w:t>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%。公务用车购置及运行维护费支出决算比20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114.43万</w:t>
      </w:r>
      <w:r>
        <w:rPr>
          <w:rFonts w:hint="eastAsia" w:ascii="仿宋" w:hAnsi="仿宋" w:eastAsia="仿宋" w:cs="仿宋"/>
          <w:color w:val="000000"/>
          <w:sz w:val="32"/>
          <w:szCs w:val="32"/>
        </w:rPr>
        <w:t>元，</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50.37</w:t>
      </w:r>
      <w:r>
        <w:rPr>
          <w:rFonts w:ascii="仿宋" w:hAnsi="仿宋" w:eastAsia="仿宋" w:cs="仿宋"/>
          <w:color w:val="000000"/>
          <w:sz w:val="32"/>
          <w:szCs w:val="32"/>
        </w:rPr>
        <w:t>%</w:t>
      </w:r>
      <w:r>
        <w:rPr>
          <w:rFonts w:hint="eastAsia" w:ascii="仿宋" w:hAnsi="仿宋" w:eastAsia="仿宋" w:cs="仿宋"/>
          <w:color w:val="000000"/>
          <w:sz w:val="32"/>
          <w:szCs w:val="32"/>
        </w:rPr>
        <w:t>。主要原因是</w:t>
      </w:r>
      <w:r>
        <w:rPr>
          <w:rFonts w:hint="eastAsia" w:ascii="仿宋" w:hAnsi="仿宋" w:eastAsia="仿宋" w:cs="仿宋"/>
          <w:color w:val="000000"/>
          <w:sz w:val="32"/>
          <w:szCs w:val="32"/>
          <w:lang w:val="en-US" w:eastAsia="zh-CN"/>
        </w:rPr>
        <w:t>2025年未</w:t>
      </w:r>
      <w:r>
        <w:rPr>
          <w:rFonts w:hint="eastAsia" w:ascii="仿宋" w:hAnsi="仿宋" w:eastAsia="仿宋" w:cs="仿宋"/>
          <w:color w:val="000000"/>
          <w:sz w:val="32"/>
          <w:szCs w:val="32"/>
          <w:lang w:eastAsia="zh-CN"/>
        </w:rPr>
        <w:t>购置公务用车和执法用车</w:t>
      </w:r>
      <w:r>
        <w:rPr>
          <w:rFonts w:hint="eastAsia" w:ascii="仿宋" w:hAnsi="仿宋" w:eastAsia="仿宋" w:cs="仿宋"/>
          <w:color w:val="000000"/>
          <w:sz w:val="32"/>
          <w:szCs w:val="32"/>
        </w:rPr>
        <w:t>。</w:t>
      </w:r>
    </w:p>
    <w:p w14:paraId="7F1EC322">
      <w:pPr>
        <w:spacing w:line="600" w:lineRule="exact"/>
        <w:ind w:firstLine="640" w:firstLineChars="200"/>
        <w:rPr>
          <w:rFonts w:ascii="仿宋" w:hAnsi="仿宋" w:eastAsia="仿宋"/>
          <w:color w:val="auto"/>
          <w:sz w:val="32"/>
          <w:szCs w:val="32"/>
        </w:rPr>
      </w:pPr>
      <w:r>
        <w:rPr>
          <w:rFonts w:hint="eastAsia" w:ascii="仿宋" w:hAnsi="仿宋" w:eastAsia="仿宋" w:cs="仿宋"/>
          <w:color w:val="auto"/>
          <w:sz w:val="32"/>
          <w:szCs w:val="32"/>
        </w:rPr>
        <w:t>其中：公务用车购置支出</w:t>
      </w:r>
      <w:r>
        <w:rPr>
          <w:rFonts w:hint="eastAsia" w:ascii="仿宋" w:hAnsi="仿宋" w:eastAsia="仿宋" w:cs="仿宋"/>
          <w:color w:val="auto"/>
          <w:sz w:val="32"/>
          <w:szCs w:val="32"/>
          <w:lang w:val="en-US" w:eastAsia="zh-CN"/>
        </w:rPr>
        <w:t>0万元</w:t>
      </w:r>
      <w:r>
        <w:rPr>
          <w:rFonts w:hint="eastAsia" w:ascii="仿宋" w:hAnsi="仿宋" w:eastAsia="仿宋" w:cs="仿宋"/>
          <w:color w:val="auto"/>
          <w:sz w:val="32"/>
          <w:szCs w:val="32"/>
        </w:rPr>
        <w:t>。全年购置公务用车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lang w:eastAsia="zh-CN"/>
        </w:rPr>
        <w:t>辆</w:t>
      </w:r>
      <w:r>
        <w:rPr>
          <w:rFonts w:hint="eastAsia" w:ascii="仿宋" w:hAnsi="仿宋" w:eastAsia="仿宋" w:cs="仿宋"/>
          <w:color w:val="auto"/>
          <w:sz w:val="32"/>
          <w:szCs w:val="32"/>
        </w:rPr>
        <w:t>。截至</w:t>
      </w:r>
      <w:r>
        <w:rPr>
          <w:rFonts w:ascii="仿宋" w:hAnsi="仿宋" w:eastAsia="仿宋" w:cs="仿宋"/>
          <w:color w:val="auto"/>
          <w:sz w:val="32"/>
          <w:szCs w:val="32"/>
        </w:rPr>
        <w:t>20</w:t>
      </w:r>
      <w:r>
        <w:rPr>
          <w:rFonts w:hint="eastAsia" w:ascii="仿宋" w:hAnsi="仿宋" w:eastAsia="仿宋" w:cs="仿宋"/>
          <w:color w:val="auto"/>
          <w:sz w:val="32"/>
          <w:szCs w:val="32"/>
          <w:lang w:val="en-US" w:eastAsia="zh-CN"/>
        </w:rPr>
        <w:t>25</w:t>
      </w:r>
      <w:r>
        <w:rPr>
          <w:rFonts w:hint="eastAsia" w:ascii="仿宋" w:hAnsi="仿宋" w:eastAsia="仿宋" w:cs="仿宋"/>
          <w:color w:val="auto"/>
          <w:sz w:val="32"/>
          <w:szCs w:val="32"/>
        </w:rPr>
        <w:t>年</w:t>
      </w:r>
      <w:r>
        <w:rPr>
          <w:rFonts w:ascii="仿宋" w:hAnsi="仿宋" w:eastAsia="仿宋" w:cs="仿宋"/>
          <w:color w:val="auto"/>
          <w:sz w:val="32"/>
          <w:szCs w:val="32"/>
        </w:rPr>
        <w:t>12</w:t>
      </w:r>
      <w:r>
        <w:rPr>
          <w:rFonts w:hint="eastAsia" w:ascii="仿宋" w:hAnsi="仿宋" w:eastAsia="仿宋" w:cs="仿宋"/>
          <w:color w:val="auto"/>
          <w:sz w:val="32"/>
          <w:szCs w:val="32"/>
        </w:rPr>
        <w:t>月底，单位共</w:t>
      </w:r>
      <w:r>
        <w:rPr>
          <w:rFonts w:hint="eastAsia" w:ascii="仿宋" w:hAnsi="仿宋" w:eastAsia="仿宋" w:cs="仿宋"/>
          <w:color w:val="auto"/>
          <w:sz w:val="32"/>
          <w:szCs w:val="32"/>
          <w:lang w:eastAsia="zh-CN"/>
        </w:rPr>
        <w:t>执法执勤用车</w:t>
      </w:r>
      <w:r>
        <w:rPr>
          <w:rFonts w:hint="eastAsia" w:ascii="仿宋" w:hAnsi="仿宋" w:eastAsia="仿宋" w:cs="仿宋"/>
          <w:color w:val="auto"/>
          <w:sz w:val="32"/>
          <w:szCs w:val="32"/>
          <w:lang w:val="en-US" w:eastAsia="zh-CN"/>
        </w:rPr>
        <w:t>14辆，公务用车7辆（全部为应急保障用车）</w:t>
      </w:r>
      <w:r>
        <w:rPr>
          <w:rFonts w:hint="eastAsia" w:ascii="仿宋" w:hAnsi="仿宋" w:eastAsia="仿宋" w:cs="仿宋"/>
          <w:color w:val="auto"/>
          <w:sz w:val="32"/>
          <w:szCs w:val="32"/>
        </w:rPr>
        <w:t>，其中：轿车</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辆、越野车</w:t>
      </w:r>
      <w:r>
        <w:rPr>
          <w:rFonts w:hint="eastAsia" w:ascii="仿宋" w:hAnsi="仿宋" w:eastAsia="仿宋" w:cs="仿宋"/>
          <w:color w:val="auto"/>
          <w:sz w:val="32"/>
          <w:szCs w:val="32"/>
          <w:lang w:val="en-US" w:eastAsia="zh-CN"/>
        </w:rPr>
        <w:t>19</w:t>
      </w:r>
      <w:r>
        <w:rPr>
          <w:rFonts w:hint="eastAsia" w:ascii="仿宋" w:hAnsi="仿宋" w:eastAsia="仿宋" w:cs="仿宋"/>
          <w:color w:val="auto"/>
          <w:sz w:val="32"/>
          <w:szCs w:val="32"/>
        </w:rPr>
        <w:t>辆。</w:t>
      </w:r>
    </w:p>
    <w:p w14:paraId="60B31F8C">
      <w:pPr>
        <w:spacing w:line="600" w:lineRule="exact"/>
        <w:ind w:firstLine="640"/>
        <w:rPr>
          <w:rFonts w:ascii="仿宋" w:hAnsi="仿宋" w:eastAsia="仿宋"/>
          <w:color w:val="000000"/>
          <w:sz w:val="32"/>
          <w:szCs w:val="32"/>
        </w:rPr>
      </w:pPr>
      <w:r>
        <w:rPr>
          <w:rFonts w:hint="eastAsia" w:ascii="仿宋" w:hAnsi="仿宋" w:eastAsia="仿宋" w:cs="仿宋"/>
          <w:color w:val="000000"/>
          <w:sz w:val="32"/>
          <w:szCs w:val="32"/>
        </w:rPr>
        <w:t>公务用车运行维护费支出</w:t>
      </w:r>
      <w:r>
        <w:rPr>
          <w:rFonts w:hint="eastAsia" w:ascii="仿宋" w:hAnsi="仿宋" w:eastAsia="仿宋" w:cs="仿宋"/>
          <w:color w:val="000000"/>
          <w:sz w:val="32"/>
          <w:szCs w:val="32"/>
          <w:lang w:val="en-US" w:eastAsia="zh-CN"/>
        </w:rPr>
        <w:t>112.77</w:t>
      </w:r>
      <w:r>
        <w:rPr>
          <w:rFonts w:hint="eastAsia" w:ascii="仿宋" w:hAnsi="仿宋" w:eastAsia="仿宋" w:cs="仿宋"/>
          <w:color w:val="000000"/>
          <w:sz w:val="32"/>
          <w:szCs w:val="32"/>
        </w:rPr>
        <w:t>万元。主要用于全州开展</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安全</w:t>
      </w:r>
      <w:r>
        <w:rPr>
          <w:rFonts w:hint="eastAsia" w:ascii="仿宋" w:hAnsi="仿宋" w:eastAsia="仿宋" w:cs="仿宋"/>
          <w:color w:val="000000"/>
          <w:sz w:val="32"/>
          <w:szCs w:val="32"/>
          <w:lang w:eastAsia="zh-CN"/>
        </w:rPr>
        <w:t>监管</w:t>
      </w:r>
      <w:r>
        <w:rPr>
          <w:rFonts w:hint="eastAsia" w:ascii="仿宋" w:hAnsi="仿宋" w:eastAsia="仿宋" w:cs="仿宋"/>
          <w:color w:val="000000"/>
          <w:sz w:val="32"/>
          <w:szCs w:val="32"/>
        </w:rPr>
        <w:t>各类专项整治，</w:t>
      </w:r>
      <w:r>
        <w:rPr>
          <w:rFonts w:hint="eastAsia" w:ascii="仿宋" w:hAnsi="仿宋" w:eastAsia="仿宋" w:cs="仿宋"/>
          <w:color w:val="000000"/>
          <w:sz w:val="32"/>
          <w:szCs w:val="32"/>
          <w:lang w:eastAsia="zh-CN"/>
        </w:rPr>
        <w:t>市场安全监管</w:t>
      </w:r>
      <w:r>
        <w:rPr>
          <w:rFonts w:hint="eastAsia" w:ascii="仿宋" w:hAnsi="仿宋" w:eastAsia="仿宋" w:cs="仿宋"/>
          <w:color w:val="000000"/>
          <w:sz w:val="32"/>
          <w:szCs w:val="32"/>
        </w:rPr>
        <w:t>日常监督检查、抽检工作，保障重大活动和各类公务活动等所需的公务用车燃料费、维修费、过路过桥费、保险费等支出。</w:t>
      </w:r>
    </w:p>
    <w:p w14:paraId="6E7CE60F">
      <w:pPr>
        <w:spacing w:line="600" w:lineRule="exact"/>
        <w:ind w:firstLine="640"/>
        <w:rPr>
          <w:rFonts w:hint="eastAsia" w:ascii="仿宋" w:hAnsi="仿宋" w:eastAsia="仿宋"/>
          <w:color w:val="000000"/>
          <w:sz w:val="32"/>
          <w:szCs w:val="32"/>
          <w:lang w:eastAsia="zh-CN"/>
        </w:rPr>
      </w:pPr>
      <w:r>
        <w:rPr>
          <w:rFonts w:ascii="仿宋" w:hAnsi="仿宋" w:eastAsia="仿宋" w:cs="仿宋"/>
          <w:color w:val="000000"/>
          <w:sz w:val="32"/>
          <w:szCs w:val="32"/>
        </w:rPr>
        <w:t>3.</w:t>
      </w:r>
      <w:r>
        <w:rPr>
          <w:rFonts w:hint="eastAsia" w:ascii="仿宋" w:hAnsi="仿宋" w:eastAsia="仿宋" w:cs="仿宋"/>
          <w:color w:val="000000"/>
          <w:sz w:val="32"/>
          <w:szCs w:val="32"/>
        </w:rPr>
        <w:t>公务接待费支出</w:t>
      </w:r>
      <w:r>
        <w:rPr>
          <w:rFonts w:hint="eastAsia" w:ascii="仿宋" w:hAnsi="仿宋" w:eastAsia="仿宋" w:cs="仿宋"/>
          <w:color w:val="000000"/>
          <w:sz w:val="32"/>
          <w:szCs w:val="32"/>
          <w:lang w:val="en-US" w:eastAsia="zh-CN"/>
        </w:rPr>
        <w:t>0.54</w:t>
      </w:r>
      <w:r>
        <w:rPr>
          <w:rFonts w:hint="eastAsia" w:ascii="仿宋" w:hAnsi="仿宋" w:eastAsia="仿宋" w:cs="仿宋"/>
          <w:color w:val="000000"/>
          <w:sz w:val="32"/>
          <w:szCs w:val="32"/>
        </w:rPr>
        <w:t>万元，完成预算</w:t>
      </w:r>
      <w:r>
        <w:rPr>
          <w:rFonts w:hint="eastAsia" w:ascii="仿宋" w:hAnsi="仿宋" w:eastAsia="仿宋" w:cs="仿宋"/>
          <w:color w:val="000000"/>
          <w:sz w:val="32"/>
          <w:szCs w:val="32"/>
          <w:lang w:val="en-US" w:eastAsia="zh-CN"/>
        </w:rPr>
        <w:t>100</w:t>
      </w:r>
      <w:r>
        <w:rPr>
          <w:rFonts w:hint="eastAsia" w:ascii="仿宋" w:hAnsi="仿宋" w:eastAsia="仿宋" w:cs="仿宋"/>
          <w:color w:val="000000"/>
          <w:sz w:val="32"/>
          <w:szCs w:val="32"/>
        </w:rPr>
        <w:t>%。公务接待费支出决算比</w:t>
      </w: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减少</w:t>
      </w:r>
      <w:r>
        <w:rPr>
          <w:rFonts w:hint="eastAsia" w:ascii="仿宋" w:hAnsi="仿宋" w:eastAsia="仿宋" w:cs="仿宋"/>
          <w:color w:val="000000"/>
          <w:sz w:val="32"/>
          <w:szCs w:val="32"/>
          <w:lang w:val="en-US" w:eastAsia="zh-CN"/>
        </w:rPr>
        <w:t>0.87万</w:t>
      </w:r>
      <w:r>
        <w:rPr>
          <w:rFonts w:hint="eastAsia" w:ascii="仿宋" w:hAnsi="仿宋" w:eastAsia="仿宋" w:cs="仿宋"/>
          <w:color w:val="000000"/>
          <w:sz w:val="32"/>
          <w:szCs w:val="32"/>
        </w:rPr>
        <w:t>元，</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61.7</w:t>
      </w:r>
      <w:r>
        <w:rPr>
          <w:rFonts w:ascii="仿宋" w:hAnsi="仿宋" w:eastAsia="仿宋" w:cs="仿宋"/>
          <w:color w:val="000000"/>
          <w:sz w:val="32"/>
          <w:szCs w:val="32"/>
        </w:rPr>
        <w:t>%</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主要原因是厉行节约，减少开支。</w:t>
      </w:r>
    </w:p>
    <w:p w14:paraId="14AAC630">
      <w:pPr>
        <w:spacing w:line="600" w:lineRule="exact"/>
        <w:ind w:firstLine="640"/>
        <w:outlineLvl w:val="1"/>
        <w:rPr>
          <w:rFonts w:hint="default" w:eastAsia="仿宋"/>
          <w:lang w:val="en-US" w:eastAsia="zh-CN"/>
        </w:rPr>
      </w:pPr>
      <w:r>
        <w:rPr>
          <w:rFonts w:hint="eastAsia" w:ascii="仿宋" w:hAnsi="仿宋" w:eastAsia="仿宋" w:cs="仿宋"/>
          <w:color w:val="000000"/>
          <w:sz w:val="32"/>
          <w:szCs w:val="32"/>
          <w:lang w:eastAsia="zh-CN"/>
        </w:rPr>
        <w:t>国内公务接待支出</w:t>
      </w:r>
      <w:r>
        <w:rPr>
          <w:rFonts w:hint="eastAsia" w:ascii="仿宋" w:hAnsi="仿宋" w:eastAsia="仿宋" w:cs="仿宋"/>
          <w:color w:val="000000"/>
          <w:sz w:val="32"/>
          <w:szCs w:val="32"/>
          <w:lang w:val="en-US" w:eastAsia="zh-CN"/>
        </w:rPr>
        <w:t>0.54万元，</w:t>
      </w:r>
      <w:r>
        <w:rPr>
          <w:rFonts w:hint="eastAsia" w:ascii="仿宋" w:hAnsi="仿宋" w:eastAsia="仿宋" w:cs="仿宋"/>
          <w:color w:val="000000"/>
          <w:sz w:val="32"/>
          <w:szCs w:val="32"/>
        </w:rPr>
        <w:t>主要用于执行公务、开展业务活动开支的交通费、住宿费、用餐费等。国内公务接待</w:t>
      </w: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批次，</w:t>
      </w:r>
      <w:r>
        <w:rPr>
          <w:rFonts w:hint="eastAsia" w:ascii="仿宋" w:hAnsi="仿宋" w:eastAsia="仿宋" w:cs="仿宋"/>
          <w:color w:val="000000"/>
          <w:sz w:val="32"/>
          <w:szCs w:val="32"/>
          <w:lang w:val="en-US" w:eastAsia="zh-CN"/>
        </w:rPr>
        <w:t>39</w:t>
      </w:r>
      <w:r>
        <w:rPr>
          <w:rFonts w:hint="eastAsia" w:ascii="仿宋" w:hAnsi="仿宋" w:eastAsia="仿宋" w:cs="仿宋"/>
          <w:color w:val="000000"/>
          <w:sz w:val="32"/>
          <w:szCs w:val="32"/>
        </w:rPr>
        <w:t>人次（不包括陪同人员），共计支出</w:t>
      </w:r>
      <w:r>
        <w:rPr>
          <w:rFonts w:hint="eastAsia" w:ascii="仿宋" w:hAnsi="仿宋" w:eastAsia="仿宋" w:cs="仿宋"/>
          <w:color w:val="000000"/>
          <w:sz w:val="32"/>
          <w:szCs w:val="32"/>
          <w:lang w:val="en-US" w:eastAsia="zh-CN"/>
        </w:rPr>
        <w:t>0.54</w:t>
      </w:r>
      <w:r>
        <w:rPr>
          <w:rFonts w:hint="eastAsia" w:ascii="仿宋" w:hAnsi="仿宋" w:eastAsia="仿宋" w:cs="仿宋"/>
          <w:color w:val="000000"/>
          <w:sz w:val="32"/>
          <w:szCs w:val="32"/>
        </w:rPr>
        <w:t>万元，</w:t>
      </w:r>
      <w:r>
        <w:rPr>
          <w:rFonts w:hint="eastAsia" w:ascii="仿宋" w:hAnsi="仿宋" w:eastAsia="仿宋" w:cs="仿宋"/>
          <w:color w:val="auto"/>
          <w:sz w:val="32"/>
          <w:szCs w:val="32"/>
        </w:rPr>
        <w:t>具体内容包括：接待药品监管评价组和省计量监督检查组</w:t>
      </w:r>
      <w:r>
        <w:rPr>
          <w:rFonts w:hint="eastAsia" w:ascii="仿宋" w:hAnsi="仿宋" w:eastAsia="仿宋" w:cs="仿宋"/>
          <w:color w:val="auto"/>
          <w:sz w:val="32"/>
          <w:szCs w:val="32"/>
          <w:lang w:eastAsia="zh-CN"/>
        </w:rPr>
        <w:t>、省局稽查局工作调研、凉山市场监管局、青海省果洛州市场监管局</w:t>
      </w:r>
      <w:r>
        <w:rPr>
          <w:rFonts w:hint="eastAsia" w:ascii="仿宋" w:hAnsi="仿宋" w:eastAsia="仿宋" w:cs="仿宋"/>
          <w:color w:val="auto"/>
          <w:sz w:val="32"/>
          <w:szCs w:val="32"/>
          <w:lang w:val="en-US" w:eastAsia="zh-CN"/>
        </w:rPr>
        <w:t>等</w:t>
      </w:r>
      <w:bookmarkStart w:id="32" w:name="_Toc15377218"/>
      <w:bookmarkStart w:id="33" w:name="_Toc15396610"/>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lang w:eastAsia="zh-CN"/>
        </w:rPr>
        <w:t>外事接待支出</w:t>
      </w:r>
      <w:r>
        <w:rPr>
          <w:rFonts w:hint="eastAsia" w:ascii="仿宋" w:hAnsi="仿宋" w:eastAsia="仿宋" w:cs="仿宋"/>
          <w:color w:val="auto"/>
          <w:sz w:val="32"/>
          <w:szCs w:val="32"/>
          <w:lang w:val="en-US" w:eastAsia="zh-CN"/>
        </w:rPr>
        <w:t>0万元。</w:t>
      </w:r>
    </w:p>
    <w:p w14:paraId="52D9B9D6">
      <w:pPr>
        <w:spacing w:line="600" w:lineRule="exact"/>
        <w:ind w:firstLine="640"/>
        <w:outlineLvl w:val="1"/>
        <w:rPr>
          <w:rStyle w:val="25"/>
          <w:rFonts w:ascii="黑体" w:hAnsi="黑体" w:eastAsia="黑体" w:cs="Times New Roman"/>
        </w:rPr>
      </w:pPr>
      <w:r>
        <w:rPr>
          <w:rFonts w:hint="eastAsia" w:ascii="黑体" w:eastAsia="黑体" w:cs="黑体"/>
          <w:color w:val="000000"/>
          <w:sz w:val="32"/>
          <w:szCs w:val="32"/>
        </w:rPr>
        <w:t>八、</w:t>
      </w:r>
      <w:r>
        <w:rPr>
          <w:rStyle w:val="25"/>
          <w:rFonts w:hint="eastAsia" w:ascii="黑体" w:hAnsi="黑体" w:eastAsia="黑体" w:cs="黑体"/>
          <w:b w:val="0"/>
          <w:bCs w:val="0"/>
        </w:rPr>
        <w:t>政府性基金预算支出决算情况说明</w:t>
      </w:r>
      <w:bookmarkEnd w:id="32"/>
      <w:bookmarkEnd w:id="33"/>
    </w:p>
    <w:p w14:paraId="6157D043">
      <w:pPr>
        <w:spacing w:line="600" w:lineRule="exact"/>
        <w:ind w:firstLine="640"/>
        <w:rPr>
          <w:rFonts w:ascii="仿宋" w:hAnsi="仿宋" w:eastAsia="仿宋"/>
          <w:color w:val="000000"/>
          <w:sz w:val="32"/>
          <w:szCs w:val="32"/>
        </w:rPr>
      </w:pPr>
      <w:r>
        <w:rPr>
          <w:rFonts w:ascii="??_GB2312" w:eastAsia="Times New Roman" w:cs="??_GB2312"/>
          <w:color w:val="000000"/>
          <w:sz w:val="32"/>
          <w:szCs w:val="32"/>
        </w:rPr>
        <w:t>2</w:t>
      </w:r>
      <w:r>
        <w:rPr>
          <w:rFonts w:ascii="仿宋" w:hAnsi="仿宋" w:eastAsia="仿宋" w:cs="仿宋"/>
          <w:color w:val="000000"/>
          <w:sz w:val="32"/>
          <w:szCs w:val="32"/>
        </w:rPr>
        <w:t>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政府性基金预算拨款支出无。</w:t>
      </w:r>
    </w:p>
    <w:p w14:paraId="1D1E8A98">
      <w:pPr>
        <w:numPr>
          <w:ilvl w:val="0"/>
          <w:numId w:val="2"/>
        </w:numPr>
        <w:spacing w:line="600" w:lineRule="exact"/>
        <w:ind w:firstLine="640"/>
        <w:outlineLvl w:val="1"/>
        <w:rPr>
          <w:rStyle w:val="25"/>
          <w:rFonts w:ascii="黑体" w:hAnsi="黑体" w:eastAsia="黑体" w:cs="Times New Roman"/>
          <w:b w:val="0"/>
          <w:bCs w:val="0"/>
        </w:rPr>
      </w:pPr>
      <w:bookmarkStart w:id="34" w:name="_Toc15396611"/>
      <w:bookmarkStart w:id="35" w:name="_Toc15377219"/>
      <w:r>
        <w:rPr>
          <w:rStyle w:val="25"/>
          <w:rFonts w:hint="eastAsia" w:ascii="黑体" w:hAnsi="黑体" w:eastAsia="黑体" w:cs="黑体"/>
          <w:b w:val="0"/>
          <w:bCs w:val="0"/>
        </w:rPr>
        <w:t>国有资本经营预算支出决算情况说明</w:t>
      </w:r>
      <w:bookmarkEnd w:id="34"/>
      <w:bookmarkEnd w:id="35"/>
    </w:p>
    <w:p w14:paraId="5F0FD682">
      <w:pPr>
        <w:spacing w:line="600" w:lineRule="exact"/>
        <w:ind w:firstLine="640"/>
        <w:rPr>
          <w:rFonts w:hint="eastAsia" w:ascii="仿宋" w:hAnsi="仿宋" w:eastAsia="仿宋" w:cs="仿宋"/>
          <w:color w:val="000000"/>
          <w:sz w:val="32"/>
          <w:szCs w:val="32"/>
        </w:rPr>
      </w:pPr>
      <w:r>
        <w:rPr>
          <w:rFonts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国有资本经营预算拨款支出无。</w:t>
      </w:r>
    </w:p>
    <w:p w14:paraId="58F714A7">
      <w:pPr>
        <w:spacing w:line="600" w:lineRule="exact"/>
        <w:outlineLvl w:val="1"/>
        <w:rPr>
          <w:rStyle w:val="25"/>
          <w:rFonts w:ascii="黑体" w:hAnsi="黑体" w:eastAsia="黑体" w:cs="Times New Roman"/>
        </w:rPr>
      </w:pPr>
      <w:bookmarkStart w:id="36" w:name="_Toc15396612"/>
      <w:bookmarkStart w:id="37" w:name="_Toc15377221"/>
      <w:r>
        <w:rPr>
          <w:rFonts w:hint="eastAsia" w:ascii="黑体" w:hAnsi="黑体" w:eastAsia="黑体" w:cs="黑体"/>
          <w:color w:val="000000"/>
          <w:sz w:val="32"/>
          <w:szCs w:val="32"/>
          <w:lang w:eastAsia="zh-CN"/>
        </w:rPr>
        <w:t>　　</w:t>
      </w:r>
      <w:r>
        <w:rPr>
          <w:rFonts w:hint="eastAsia" w:ascii="黑体" w:hAnsi="黑体" w:eastAsia="黑体" w:cs="黑体"/>
          <w:color w:val="000000"/>
          <w:sz w:val="32"/>
          <w:szCs w:val="32"/>
        </w:rPr>
        <w:t>十</w:t>
      </w:r>
      <w:r>
        <w:rPr>
          <w:rStyle w:val="25"/>
          <w:rFonts w:hint="eastAsia" w:ascii="黑体" w:hAnsi="黑体" w:eastAsia="黑体" w:cs="黑体"/>
        </w:rPr>
        <w:t>、</w:t>
      </w:r>
      <w:r>
        <w:rPr>
          <w:rStyle w:val="25"/>
          <w:rFonts w:hint="eastAsia" w:ascii="黑体" w:hAnsi="黑体" w:eastAsia="黑体" w:cs="黑体"/>
          <w:b w:val="0"/>
          <w:bCs w:val="0"/>
        </w:rPr>
        <w:t>其他重要事项的情况说明</w:t>
      </w:r>
      <w:bookmarkEnd w:id="36"/>
      <w:bookmarkEnd w:id="37"/>
    </w:p>
    <w:p w14:paraId="74BD3DF4">
      <w:pPr>
        <w:spacing w:line="600" w:lineRule="exact"/>
        <w:ind w:firstLine="643" w:firstLineChars="200"/>
        <w:outlineLvl w:val="2"/>
        <w:rPr>
          <w:rFonts w:ascii="仿宋" w:hAnsi="仿宋" w:eastAsia="仿宋"/>
          <w:color w:val="000000"/>
          <w:sz w:val="32"/>
          <w:szCs w:val="32"/>
        </w:rPr>
      </w:pPr>
      <w:bookmarkStart w:id="38" w:name="_Toc15377222"/>
      <w:r>
        <w:rPr>
          <w:rFonts w:hint="eastAsia" w:ascii="仿宋" w:hAnsi="仿宋" w:eastAsia="仿宋" w:cs="仿宋"/>
          <w:b/>
          <w:bCs/>
          <w:color w:val="000000"/>
          <w:sz w:val="32"/>
          <w:szCs w:val="32"/>
        </w:rPr>
        <w:t>（一）机关运行经费支出情况</w:t>
      </w:r>
      <w:bookmarkEnd w:id="38"/>
    </w:p>
    <w:p w14:paraId="78B9F766">
      <w:pPr>
        <w:spacing w:line="600" w:lineRule="exact"/>
        <w:ind w:firstLine="640" w:firstLineChars="200"/>
        <w:rPr>
          <w:rFonts w:ascii="仿宋" w:hAnsi="仿宋" w:eastAsia="仿宋"/>
          <w:color w:val="000000"/>
          <w:sz w:val="32"/>
          <w:szCs w:val="32"/>
        </w:rPr>
      </w:pP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，阿坝州</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监督管理局机关运行经费支出</w:t>
      </w:r>
      <w:r>
        <w:rPr>
          <w:rFonts w:hint="eastAsia" w:ascii="仿宋" w:hAnsi="仿宋" w:eastAsia="仿宋" w:cs="仿宋"/>
          <w:color w:val="000000"/>
          <w:sz w:val="32"/>
          <w:szCs w:val="32"/>
          <w:lang w:val="en-US" w:eastAsia="zh-CN"/>
        </w:rPr>
        <w:t>538.48</w:t>
      </w:r>
      <w:r>
        <w:rPr>
          <w:rFonts w:hint="eastAsia" w:ascii="仿宋" w:hAnsi="仿宋" w:eastAsia="仿宋" w:cs="仿宋"/>
          <w:color w:val="000000"/>
          <w:sz w:val="32"/>
          <w:szCs w:val="32"/>
        </w:rPr>
        <w:t>万元，比20</w:t>
      </w:r>
      <w:r>
        <w:rPr>
          <w:rFonts w:hint="eastAsia" w:ascii="仿宋" w:hAnsi="仿宋" w:eastAsia="仿宋" w:cs="仿宋"/>
          <w:color w:val="000000"/>
          <w:sz w:val="32"/>
          <w:szCs w:val="32"/>
          <w:lang w:val="en-US" w:eastAsia="zh-CN"/>
        </w:rPr>
        <w:t>24</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45.85</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下降</w:t>
      </w:r>
      <w:r>
        <w:rPr>
          <w:rFonts w:hint="eastAsia" w:ascii="仿宋" w:hAnsi="仿宋" w:eastAsia="仿宋" w:cs="仿宋"/>
          <w:color w:val="000000"/>
          <w:sz w:val="32"/>
          <w:szCs w:val="32"/>
          <w:lang w:val="en-US" w:eastAsia="zh-CN"/>
        </w:rPr>
        <w:t>8.51</w:t>
      </w:r>
      <w:r>
        <w:rPr>
          <w:rFonts w:hint="eastAsia" w:ascii="仿宋" w:hAnsi="仿宋" w:eastAsia="仿宋" w:cs="仿宋"/>
          <w:color w:val="000000"/>
          <w:sz w:val="32"/>
          <w:szCs w:val="32"/>
        </w:rPr>
        <w:t>%。主要原因</w:t>
      </w:r>
      <w:r>
        <w:rPr>
          <w:rFonts w:hint="eastAsia" w:ascii="仿宋" w:hAnsi="仿宋" w:eastAsia="仿宋" w:cs="仿宋"/>
          <w:color w:val="000000"/>
          <w:sz w:val="32"/>
          <w:szCs w:val="32"/>
          <w:lang w:eastAsia="zh-CN"/>
        </w:rPr>
        <w:t>是厉行节约，减少支出</w:t>
      </w:r>
      <w:r>
        <w:rPr>
          <w:rFonts w:hint="eastAsia" w:ascii="仿宋" w:hAnsi="仿宋" w:eastAsia="仿宋" w:cs="仿宋"/>
          <w:color w:val="000000"/>
          <w:sz w:val="32"/>
          <w:szCs w:val="32"/>
        </w:rPr>
        <w:t>。</w:t>
      </w:r>
    </w:p>
    <w:p w14:paraId="54B5A2F2">
      <w:pPr>
        <w:autoSpaceDE w:val="0"/>
        <w:autoSpaceDN w:val="0"/>
        <w:adjustRightInd w:val="0"/>
        <w:spacing w:line="600" w:lineRule="exact"/>
        <w:ind w:firstLine="643" w:firstLineChars="200"/>
        <w:jc w:val="left"/>
        <w:outlineLvl w:val="2"/>
        <w:rPr>
          <w:rFonts w:ascii="仿宋" w:hAnsi="仿宋" w:eastAsia="仿宋"/>
          <w:b/>
          <w:bCs/>
          <w:color w:val="000000"/>
          <w:sz w:val="32"/>
          <w:szCs w:val="32"/>
        </w:rPr>
      </w:pPr>
      <w:bookmarkStart w:id="39" w:name="_Toc15377223"/>
      <w:r>
        <w:rPr>
          <w:rFonts w:hint="eastAsia" w:ascii="仿宋" w:hAnsi="仿宋" w:eastAsia="仿宋" w:cs="仿宋"/>
          <w:b/>
          <w:bCs/>
          <w:color w:val="000000"/>
          <w:sz w:val="32"/>
          <w:szCs w:val="32"/>
        </w:rPr>
        <w:t>（二）政府采购支出情况</w:t>
      </w:r>
      <w:bookmarkEnd w:id="39"/>
    </w:p>
    <w:p w14:paraId="71CFDF33">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，阿坝州</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监督管理局政府采购支出总额</w:t>
      </w:r>
      <w:r>
        <w:rPr>
          <w:rFonts w:hint="eastAsia" w:ascii="仿宋" w:hAnsi="仿宋" w:eastAsia="仿宋" w:cs="仿宋"/>
          <w:color w:val="000000"/>
          <w:sz w:val="32"/>
          <w:szCs w:val="32"/>
          <w:lang w:val="en-US" w:eastAsia="zh-CN"/>
        </w:rPr>
        <w:t>273.79</w:t>
      </w:r>
      <w:r>
        <w:rPr>
          <w:rFonts w:hint="eastAsia" w:ascii="仿宋" w:hAnsi="仿宋" w:eastAsia="仿宋" w:cs="仿宋"/>
          <w:color w:val="000000"/>
          <w:sz w:val="32"/>
          <w:szCs w:val="32"/>
        </w:rPr>
        <w:t>万元，其中：政府采购货物支出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万元、政府采购工程支出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万元、政府采购服务支出</w:t>
      </w:r>
      <w:r>
        <w:rPr>
          <w:rFonts w:hint="eastAsia" w:ascii="仿宋" w:hAnsi="仿宋" w:eastAsia="仿宋" w:cs="仿宋"/>
          <w:color w:val="000000"/>
          <w:sz w:val="32"/>
          <w:szCs w:val="32"/>
          <w:lang w:val="en-US" w:eastAsia="zh-CN"/>
        </w:rPr>
        <w:t>273.79</w:t>
      </w:r>
      <w:r>
        <w:rPr>
          <w:rFonts w:hint="eastAsia" w:ascii="仿宋" w:hAnsi="仿宋" w:eastAsia="仿宋" w:cs="仿宋"/>
          <w:color w:val="000000"/>
          <w:sz w:val="32"/>
          <w:szCs w:val="32"/>
        </w:rPr>
        <w:t>万元。主要用于</w:t>
      </w:r>
      <w:r>
        <w:rPr>
          <w:rFonts w:hint="eastAsia" w:ascii="仿宋" w:hAnsi="仿宋" w:eastAsia="仿宋" w:cs="仿宋"/>
          <w:color w:val="000000"/>
          <w:sz w:val="32"/>
          <w:szCs w:val="32"/>
          <w:lang w:eastAsia="zh-CN"/>
        </w:rPr>
        <w:t>会议室维修、商品质量和</w:t>
      </w:r>
      <w:r>
        <w:rPr>
          <w:rFonts w:hint="eastAsia" w:ascii="仿宋" w:hAnsi="仿宋" w:eastAsia="仿宋" w:cs="仿宋"/>
          <w:color w:val="000000"/>
          <w:sz w:val="32"/>
          <w:szCs w:val="32"/>
        </w:rPr>
        <w:t>食品</w:t>
      </w:r>
      <w:r>
        <w:rPr>
          <w:rFonts w:hint="eastAsia" w:ascii="仿宋" w:hAnsi="仿宋" w:eastAsia="仿宋" w:cs="仿宋"/>
          <w:color w:val="000000"/>
          <w:sz w:val="32"/>
          <w:szCs w:val="32"/>
          <w:lang w:eastAsia="zh-CN"/>
        </w:rPr>
        <w:t>安全</w:t>
      </w:r>
      <w:r>
        <w:rPr>
          <w:rFonts w:hint="eastAsia" w:ascii="仿宋" w:hAnsi="仿宋" w:eastAsia="仿宋" w:cs="仿宋"/>
          <w:color w:val="000000"/>
          <w:sz w:val="32"/>
          <w:szCs w:val="32"/>
        </w:rPr>
        <w:t>风险监测</w:t>
      </w:r>
      <w:r>
        <w:rPr>
          <w:rFonts w:hint="eastAsia" w:ascii="仿宋" w:hAnsi="仿宋" w:eastAsia="仿宋" w:cs="仿宋"/>
          <w:color w:val="000000"/>
          <w:sz w:val="32"/>
          <w:szCs w:val="32"/>
          <w:lang w:eastAsia="zh-CN"/>
        </w:rPr>
        <w:t>抽检、“双随机、一公开”检查工作</w:t>
      </w:r>
      <w:r>
        <w:rPr>
          <w:rFonts w:hint="eastAsia" w:ascii="仿宋" w:hAnsi="仿宋" w:eastAsia="仿宋" w:cs="仿宋"/>
          <w:color w:val="000000"/>
          <w:sz w:val="32"/>
          <w:szCs w:val="32"/>
        </w:rPr>
        <w:t>。</w:t>
      </w:r>
      <w:r>
        <w:rPr>
          <w:rFonts w:hint="eastAsia" w:ascii="仿宋" w:hAnsi="仿宋" w:eastAsia="仿宋" w:cs="仿宋"/>
          <w:color w:val="000000"/>
          <w:sz w:val="32"/>
          <w:szCs w:val="32"/>
          <w:lang w:eastAsia="zh-CN"/>
        </w:rPr>
        <w:t>授予小微企业合同金额</w:t>
      </w:r>
      <w:r>
        <w:rPr>
          <w:rFonts w:hint="eastAsia" w:ascii="仿宋" w:hAnsi="仿宋" w:eastAsia="仿宋" w:cs="仿宋"/>
          <w:color w:val="000000"/>
          <w:sz w:val="32"/>
          <w:szCs w:val="32"/>
          <w:lang w:val="en-US" w:eastAsia="zh-CN"/>
        </w:rPr>
        <w:t>6.45万元，占政府采购支出总额的2.36%</w:t>
      </w:r>
      <w:r>
        <w:rPr>
          <w:rFonts w:hint="eastAsia" w:ascii="仿宋" w:hAnsi="仿宋" w:eastAsia="仿宋" w:cs="仿宋"/>
          <w:color w:val="000000"/>
          <w:sz w:val="32"/>
          <w:szCs w:val="32"/>
        </w:rPr>
        <w:t>。</w:t>
      </w:r>
    </w:p>
    <w:p w14:paraId="5A4ADAAF">
      <w:pPr>
        <w:autoSpaceDE w:val="0"/>
        <w:autoSpaceDN w:val="0"/>
        <w:adjustRightInd w:val="0"/>
        <w:spacing w:line="600" w:lineRule="exact"/>
        <w:ind w:firstLine="643" w:firstLineChars="200"/>
        <w:jc w:val="left"/>
        <w:outlineLvl w:val="2"/>
        <w:rPr>
          <w:rFonts w:ascii="仿宋" w:hAnsi="仿宋" w:eastAsia="仿宋"/>
          <w:b/>
          <w:bCs/>
          <w:color w:val="000000"/>
          <w:sz w:val="32"/>
          <w:szCs w:val="32"/>
        </w:rPr>
      </w:pPr>
      <w:bookmarkStart w:id="40" w:name="_Toc15377224"/>
      <w:r>
        <w:rPr>
          <w:rFonts w:hint="eastAsia" w:ascii="仿宋" w:hAnsi="仿宋" w:eastAsia="仿宋" w:cs="仿宋"/>
          <w:b/>
          <w:bCs/>
          <w:color w:val="000000"/>
          <w:sz w:val="32"/>
          <w:szCs w:val="32"/>
        </w:rPr>
        <w:t>（三）国有资产占有使用情况</w:t>
      </w:r>
      <w:bookmarkEnd w:id="40"/>
    </w:p>
    <w:p w14:paraId="1A9F9B1F">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截至20</w:t>
      </w:r>
      <w:r>
        <w:rPr>
          <w:rFonts w:hint="eastAsia" w:ascii="仿宋" w:hAnsi="仿宋" w:eastAsia="仿宋" w:cs="仿宋"/>
          <w:color w:val="000000"/>
          <w:sz w:val="32"/>
          <w:szCs w:val="32"/>
          <w:lang w:val="en-US" w:eastAsia="zh-CN"/>
        </w:rPr>
        <w:t>25</w:t>
      </w:r>
      <w:r>
        <w:rPr>
          <w:rFonts w:hint="eastAsia" w:ascii="仿宋" w:hAnsi="仿宋" w:eastAsia="仿宋" w:cs="仿宋"/>
          <w:color w:val="000000"/>
          <w:sz w:val="32"/>
          <w:szCs w:val="32"/>
        </w:rPr>
        <w:t>年12月31日，阿坝州</w:t>
      </w:r>
      <w:r>
        <w:rPr>
          <w:rFonts w:hint="eastAsia" w:ascii="仿宋" w:hAnsi="仿宋" w:eastAsia="仿宋" w:cs="仿宋"/>
          <w:color w:val="000000"/>
          <w:sz w:val="32"/>
          <w:szCs w:val="32"/>
          <w:lang w:eastAsia="zh-CN"/>
        </w:rPr>
        <w:t>市场</w:t>
      </w:r>
      <w:r>
        <w:rPr>
          <w:rFonts w:hint="eastAsia" w:ascii="仿宋" w:hAnsi="仿宋" w:eastAsia="仿宋" w:cs="仿宋"/>
          <w:color w:val="000000"/>
          <w:sz w:val="32"/>
          <w:szCs w:val="32"/>
        </w:rPr>
        <w:t>监督管理局共有车辆</w:t>
      </w:r>
      <w:r>
        <w:rPr>
          <w:rFonts w:hint="eastAsia" w:ascii="仿宋" w:hAnsi="仿宋" w:eastAsia="仿宋" w:cs="仿宋"/>
          <w:color w:val="000000"/>
          <w:sz w:val="32"/>
          <w:szCs w:val="32"/>
          <w:lang w:val="en-US" w:eastAsia="zh-CN"/>
        </w:rPr>
        <w:t>21</w:t>
      </w:r>
      <w:r>
        <w:rPr>
          <w:rFonts w:hint="eastAsia" w:ascii="仿宋" w:hAnsi="仿宋" w:eastAsia="仿宋" w:cs="仿宋"/>
          <w:color w:val="000000"/>
          <w:sz w:val="32"/>
          <w:szCs w:val="32"/>
        </w:rPr>
        <w:t>辆，其中：部级领导干部用车0辆、主要领导干部用车0辆、机要通信用车0辆、应急保障用车</w:t>
      </w:r>
      <w:r>
        <w:rPr>
          <w:rFonts w:hint="eastAsia" w:ascii="仿宋" w:hAnsi="仿宋" w:eastAsia="仿宋" w:cs="仿宋"/>
          <w:color w:val="000000"/>
          <w:sz w:val="32"/>
          <w:szCs w:val="32"/>
          <w:lang w:val="en-US" w:eastAsia="zh-CN"/>
        </w:rPr>
        <w:t>7</w:t>
      </w:r>
      <w:r>
        <w:rPr>
          <w:rFonts w:hint="eastAsia" w:ascii="仿宋" w:hAnsi="仿宋" w:eastAsia="仿宋" w:cs="仿宋"/>
          <w:color w:val="000000"/>
          <w:sz w:val="32"/>
          <w:szCs w:val="32"/>
        </w:rPr>
        <w:t>辆、执法执勤用车</w:t>
      </w:r>
      <w:r>
        <w:rPr>
          <w:rFonts w:hint="eastAsia" w:ascii="仿宋" w:hAnsi="仿宋" w:eastAsia="仿宋" w:cs="仿宋"/>
          <w:color w:val="000000"/>
          <w:sz w:val="32"/>
          <w:szCs w:val="32"/>
          <w:lang w:val="en-US" w:eastAsia="zh-CN"/>
        </w:rPr>
        <w:t>14</w:t>
      </w:r>
      <w:r>
        <w:rPr>
          <w:rFonts w:hint="eastAsia" w:ascii="仿宋" w:hAnsi="仿宋" w:eastAsia="仿宋" w:cs="仿宋"/>
          <w:color w:val="000000"/>
          <w:sz w:val="32"/>
          <w:szCs w:val="32"/>
        </w:rPr>
        <w:t>辆、特种专业技术用车</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辆、离退休干部用车0辆、其他用车0辆；单价50万元以上通用设备</w:t>
      </w:r>
      <w:r>
        <w:rPr>
          <w:rFonts w:hint="eastAsia" w:ascii="仿宋" w:hAnsi="仿宋" w:eastAsia="仿宋" w:cs="仿宋"/>
          <w:color w:val="000000"/>
          <w:sz w:val="32"/>
          <w:szCs w:val="32"/>
          <w:lang w:val="en-US" w:eastAsia="zh-CN"/>
        </w:rPr>
        <w:t>14</w:t>
      </w:r>
      <w:r>
        <w:rPr>
          <w:rFonts w:hint="eastAsia" w:ascii="仿宋" w:hAnsi="仿宋" w:eastAsia="仿宋" w:cs="仿宋"/>
          <w:color w:val="000000"/>
          <w:sz w:val="32"/>
          <w:szCs w:val="32"/>
        </w:rPr>
        <w:t>套，单价100万元以上</w:t>
      </w:r>
      <w:r>
        <w:rPr>
          <w:rFonts w:hint="eastAsia" w:ascii="仿宋" w:hAnsi="仿宋" w:eastAsia="仿宋" w:cs="仿宋"/>
          <w:color w:val="000000"/>
          <w:sz w:val="32"/>
          <w:szCs w:val="32"/>
          <w:lang w:eastAsia="zh-CN"/>
        </w:rPr>
        <w:t>通用</w:t>
      </w:r>
      <w:r>
        <w:rPr>
          <w:rFonts w:hint="eastAsia" w:ascii="仿宋" w:hAnsi="仿宋" w:eastAsia="仿宋" w:cs="仿宋"/>
          <w:color w:val="000000"/>
          <w:sz w:val="32"/>
          <w:szCs w:val="32"/>
        </w:rPr>
        <w:t>设备无。</w:t>
      </w:r>
    </w:p>
    <w:p w14:paraId="08411E03">
      <w:pPr>
        <w:numPr>
          <w:ilvl w:val="0"/>
          <w:numId w:val="0"/>
        </w:numPr>
        <w:spacing w:line="580" w:lineRule="exact"/>
        <w:rPr>
          <w:rFonts w:ascii="仿宋" w:hAnsi="仿宋" w:eastAsia="仿宋"/>
          <w:b/>
          <w:bCs/>
          <w:sz w:val="32"/>
          <w:szCs w:val="32"/>
        </w:rPr>
      </w:pPr>
      <w:r>
        <w:rPr>
          <w:rFonts w:hint="eastAsia" w:ascii="仿宋" w:hAnsi="仿宋" w:eastAsia="仿宋" w:cs="仿宋"/>
          <w:b/>
          <w:bCs/>
          <w:sz w:val="32"/>
          <w:szCs w:val="32"/>
          <w:lang w:eastAsia="zh-CN"/>
        </w:rPr>
        <w:t>　　</w:t>
      </w:r>
      <w:r>
        <w:rPr>
          <w:rFonts w:hint="eastAsia" w:ascii="仿宋" w:hAnsi="仿宋" w:eastAsia="仿宋" w:cs="仿宋"/>
          <w:b/>
          <w:bCs/>
          <w:color w:val="000000"/>
          <w:sz w:val="32"/>
          <w:szCs w:val="32"/>
        </w:rPr>
        <w:t>（</w:t>
      </w:r>
      <w:r>
        <w:rPr>
          <w:rFonts w:hint="eastAsia" w:ascii="仿宋" w:hAnsi="仿宋" w:eastAsia="仿宋" w:cs="仿宋"/>
          <w:b/>
          <w:bCs/>
          <w:color w:val="000000"/>
          <w:sz w:val="32"/>
          <w:szCs w:val="32"/>
          <w:lang w:eastAsia="zh-CN"/>
        </w:rPr>
        <w:t>四</w:t>
      </w:r>
      <w:r>
        <w:rPr>
          <w:rFonts w:hint="eastAsia" w:ascii="仿宋" w:hAnsi="仿宋" w:eastAsia="仿宋" w:cs="仿宋"/>
          <w:b/>
          <w:bCs/>
          <w:color w:val="000000"/>
          <w:sz w:val="32"/>
          <w:szCs w:val="32"/>
        </w:rPr>
        <w:t>）</w:t>
      </w:r>
      <w:r>
        <w:rPr>
          <w:rFonts w:hint="eastAsia" w:ascii="仿宋" w:hAnsi="仿宋" w:eastAsia="仿宋" w:cs="仿宋"/>
          <w:b/>
          <w:bCs/>
          <w:sz w:val="32"/>
          <w:szCs w:val="32"/>
        </w:rPr>
        <w:t>预算绩效管理情况。</w:t>
      </w:r>
    </w:p>
    <w:p w14:paraId="6A04BB4A">
      <w:pPr>
        <w:spacing w:line="60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rPr>
        <w:t>根据预算绩效管理要求，本单位在</w:t>
      </w:r>
      <w:r>
        <w:rPr>
          <w:rFonts w:hint="eastAsia" w:ascii="仿宋" w:hAnsi="仿宋" w:eastAsia="仿宋" w:cs="仿宋"/>
          <w:color w:val="000000"/>
          <w:sz w:val="32"/>
          <w:szCs w:val="32"/>
          <w:lang w:val="en-US" w:eastAsia="zh-CN"/>
        </w:rPr>
        <w:t>2025</w:t>
      </w:r>
      <w:r>
        <w:rPr>
          <w:rFonts w:hint="eastAsia" w:ascii="仿宋" w:hAnsi="仿宋" w:eastAsia="仿宋" w:cs="仿宋"/>
          <w:color w:val="000000"/>
          <w:sz w:val="32"/>
          <w:szCs w:val="32"/>
        </w:rPr>
        <w:t>年</w:t>
      </w:r>
      <w:r>
        <w:rPr>
          <w:rFonts w:hint="eastAsia" w:ascii="仿宋" w:hAnsi="仿宋" w:eastAsia="仿宋" w:cs="仿宋"/>
          <w:color w:val="000000"/>
          <w:sz w:val="32"/>
          <w:szCs w:val="32"/>
          <w:lang w:eastAsia="zh-CN"/>
        </w:rPr>
        <w:t>度</w:t>
      </w:r>
      <w:r>
        <w:rPr>
          <w:rFonts w:hint="eastAsia" w:ascii="仿宋" w:hAnsi="仿宋" w:eastAsia="仿宋" w:cs="仿宋"/>
          <w:color w:val="000000"/>
          <w:sz w:val="32"/>
          <w:szCs w:val="32"/>
        </w:rPr>
        <w:t>初预算编制阶段，组织对</w:t>
      </w:r>
      <w:r>
        <w:rPr>
          <w:rFonts w:hint="eastAsia" w:ascii="仿宋" w:hAnsi="仿宋" w:eastAsia="仿宋" w:cs="仿宋"/>
          <w:color w:val="000000"/>
          <w:sz w:val="32"/>
          <w:szCs w:val="32"/>
          <w:lang w:eastAsia="zh-CN"/>
        </w:rPr>
        <w:t>市场秩序维护与监管经费等</w:t>
      </w:r>
      <w:r>
        <w:rPr>
          <w:rFonts w:hint="eastAsia" w:ascii="仿宋" w:hAnsi="仿宋" w:eastAsia="仿宋" w:cs="仿宋"/>
          <w:color w:val="000000"/>
          <w:sz w:val="32"/>
          <w:szCs w:val="32"/>
          <w:lang w:val="en-US" w:eastAsia="zh-CN"/>
        </w:rPr>
        <w:t>18个</w:t>
      </w:r>
      <w:r>
        <w:rPr>
          <w:rFonts w:hint="eastAsia" w:ascii="仿宋" w:hAnsi="仿宋" w:eastAsia="仿宋" w:cs="仿宋"/>
          <w:color w:val="000000"/>
          <w:sz w:val="32"/>
          <w:szCs w:val="32"/>
        </w:rPr>
        <w:t>项目开展了预算事前绩效评估，对</w:t>
      </w:r>
      <w:r>
        <w:rPr>
          <w:rFonts w:hint="eastAsia" w:ascii="仿宋" w:hAnsi="仿宋" w:eastAsia="仿宋" w:cs="仿宋"/>
          <w:color w:val="000000"/>
          <w:sz w:val="32"/>
          <w:szCs w:val="32"/>
          <w:lang w:val="en-US" w:eastAsia="zh-CN"/>
        </w:rPr>
        <w:t>18</w:t>
      </w:r>
      <w:r>
        <w:rPr>
          <w:rFonts w:hint="eastAsia" w:ascii="仿宋" w:hAnsi="仿宋" w:eastAsia="仿宋" w:cs="仿宋"/>
          <w:color w:val="000000"/>
          <w:sz w:val="32"/>
          <w:szCs w:val="32"/>
        </w:rPr>
        <w:t>个项目编制了绩效目标</w:t>
      </w:r>
      <w:r>
        <w:rPr>
          <w:rFonts w:hint="eastAsia" w:ascii="仿宋" w:hAnsi="仿宋" w:eastAsia="仿宋" w:cs="仿宋"/>
          <w:color w:val="000000"/>
          <w:sz w:val="32"/>
          <w:szCs w:val="32"/>
          <w:lang w:eastAsia="zh-CN"/>
        </w:rPr>
        <w:t>，在</w:t>
      </w:r>
      <w:r>
        <w:rPr>
          <w:rFonts w:hint="eastAsia" w:ascii="仿宋" w:hAnsi="仿宋" w:eastAsia="仿宋" w:cs="仿宋"/>
          <w:color w:val="000000"/>
          <w:sz w:val="32"/>
          <w:szCs w:val="32"/>
        </w:rPr>
        <w:t>预算执行过程中，选取</w:t>
      </w:r>
      <w:r>
        <w:rPr>
          <w:rFonts w:hint="eastAsia" w:ascii="仿宋" w:hAnsi="仿宋" w:eastAsia="仿宋" w:cs="仿宋"/>
          <w:color w:val="000000"/>
          <w:sz w:val="32"/>
          <w:szCs w:val="32"/>
          <w:lang w:val="en-US" w:eastAsia="zh-CN"/>
        </w:rPr>
        <w:t>18</w:t>
      </w:r>
      <w:r>
        <w:rPr>
          <w:rFonts w:hint="eastAsia" w:ascii="仿宋" w:hAnsi="仿宋" w:eastAsia="仿宋" w:cs="仿宋"/>
          <w:color w:val="000000"/>
          <w:sz w:val="32"/>
          <w:szCs w:val="32"/>
        </w:rPr>
        <w:t>个项目开展绩效监控，年终执行完毕后，对</w:t>
      </w:r>
      <w:r>
        <w:rPr>
          <w:rFonts w:hint="eastAsia" w:ascii="仿宋" w:hAnsi="仿宋" w:eastAsia="仿宋" w:cs="仿宋"/>
          <w:color w:val="000000"/>
          <w:sz w:val="32"/>
          <w:szCs w:val="32"/>
          <w:lang w:val="en-US" w:eastAsia="zh-CN"/>
        </w:rPr>
        <w:t>18</w:t>
      </w:r>
      <w:r>
        <w:rPr>
          <w:rFonts w:hint="eastAsia" w:ascii="仿宋" w:hAnsi="仿宋" w:eastAsia="仿宋" w:cs="仿宋"/>
          <w:color w:val="000000"/>
          <w:sz w:val="32"/>
          <w:szCs w:val="32"/>
        </w:rPr>
        <w:t>个项目开展了绩效</w:t>
      </w:r>
      <w:r>
        <w:rPr>
          <w:rFonts w:hint="eastAsia" w:ascii="仿宋" w:hAnsi="仿宋" w:eastAsia="仿宋" w:cs="仿宋"/>
          <w:color w:val="000000"/>
          <w:sz w:val="32"/>
          <w:szCs w:val="32"/>
          <w:lang w:eastAsia="zh-CN"/>
        </w:rPr>
        <w:t>自评，</w:t>
      </w:r>
      <w:r>
        <w:rPr>
          <w:rFonts w:hint="eastAsia" w:ascii="仿宋" w:hAnsi="仿宋" w:eastAsia="仿宋" w:cs="仿宋"/>
          <w:color w:val="000000"/>
          <w:sz w:val="32"/>
          <w:szCs w:val="32"/>
          <w:lang w:val="en-US" w:eastAsia="zh-CN"/>
        </w:rPr>
        <w:t>绩效目标自评表见第四部分附件</w:t>
      </w:r>
      <w:r>
        <w:rPr>
          <w:rFonts w:hint="eastAsia" w:ascii="仿宋" w:hAnsi="仿宋" w:eastAsia="仿宋" w:cs="仿宋"/>
          <w:color w:val="000000"/>
          <w:sz w:val="32"/>
          <w:szCs w:val="32"/>
        </w:rPr>
        <w:t>。</w:t>
      </w:r>
    </w:p>
    <w:p w14:paraId="0C72673A">
      <w:pPr>
        <w:pStyle w:val="8"/>
        <w:rPr>
          <w:rFonts w:hint="eastAsia" w:ascii="仿宋" w:hAnsi="仿宋" w:eastAsia="仿宋" w:cs="仿宋"/>
          <w:color w:val="000000"/>
          <w:sz w:val="32"/>
          <w:szCs w:val="32"/>
        </w:rPr>
      </w:pPr>
    </w:p>
    <w:p w14:paraId="46E94487">
      <w:pPr>
        <w:pStyle w:val="5"/>
        <w:rPr>
          <w:rFonts w:hint="eastAsia" w:ascii="仿宋" w:hAnsi="仿宋" w:eastAsia="仿宋" w:cs="仿宋"/>
          <w:color w:val="000000"/>
          <w:sz w:val="32"/>
          <w:szCs w:val="32"/>
        </w:rPr>
      </w:pPr>
    </w:p>
    <w:p w14:paraId="5B1A7A43">
      <w:pPr>
        <w:rPr>
          <w:rFonts w:hint="eastAsia"/>
        </w:rPr>
      </w:pPr>
    </w:p>
    <w:p w14:paraId="0702A9CE">
      <w:pPr>
        <w:pStyle w:val="8"/>
      </w:pPr>
    </w:p>
    <w:p w14:paraId="564B3D96">
      <w:pPr>
        <w:pStyle w:val="5"/>
      </w:pPr>
    </w:p>
    <w:p w14:paraId="6504108B"/>
    <w:p w14:paraId="635AAC6A"/>
    <w:p w14:paraId="79820BA4"/>
    <w:p w14:paraId="64A357F8">
      <w:pPr>
        <w:ind w:left="0" w:leftChars="0" w:firstLine="0" w:firstLineChars="0"/>
      </w:pPr>
    </w:p>
    <w:p w14:paraId="784F1A11">
      <w:pPr>
        <w:ind w:left="0" w:leftChars="0" w:firstLine="0" w:firstLineChars="0"/>
      </w:pPr>
    </w:p>
    <w:p w14:paraId="7021D51D"/>
    <w:p w14:paraId="6F1F9B7C">
      <w:pPr>
        <w:numPr>
          <w:ilvl w:val="0"/>
          <w:numId w:val="0"/>
        </w:numPr>
        <w:spacing w:line="600" w:lineRule="exact"/>
        <w:ind w:firstLine="660" w:firstLineChars="150"/>
        <w:jc w:val="center"/>
        <w:outlineLvl w:val="0"/>
        <w:rPr>
          <w:rStyle w:val="22"/>
          <w:rFonts w:ascii="黑体" w:hAnsi="黑体" w:eastAsia="黑体"/>
          <w:b w:val="0"/>
          <w:bCs w:val="0"/>
        </w:rPr>
      </w:pPr>
      <w:bookmarkStart w:id="41" w:name="_Toc15396613"/>
      <w:bookmarkStart w:id="42" w:name="_Toc15377225"/>
      <w:r>
        <w:rPr>
          <w:rFonts w:hint="eastAsia" w:ascii="黑体" w:hAnsi="黑体" w:eastAsia="黑体" w:cs="Times New Roman"/>
          <w:b w:val="0"/>
          <w:bCs w:val="0"/>
          <w:kern w:val="44"/>
          <w:sz w:val="44"/>
          <w:szCs w:val="44"/>
          <w:lang w:val="en-US" w:eastAsia="zh-CN" w:bidi="ar-SA"/>
        </w:rPr>
        <w:t>第三部分</w:t>
      </w:r>
      <w:r>
        <w:rPr>
          <w:rFonts w:hint="eastAsia" w:ascii="黑体" w:hAnsi="黑体" w:eastAsia="黑体" w:cs="黑体"/>
          <w:b/>
          <w:bCs/>
          <w:color w:val="000000"/>
          <w:sz w:val="44"/>
          <w:szCs w:val="44"/>
        </w:rPr>
        <w:t>名</w:t>
      </w:r>
      <w:r>
        <w:rPr>
          <w:rStyle w:val="22"/>
          <w:rFonts w:hint="eastAsia" w:ascii="黑体" w:hAnsi="黑体" w:eastAsia="黑体" w:cs="黑体"/>
          <w:b w:val="0"/>
          <w:bCs w:val="0"/>
        </w:rPr>
        <w:t>词解释</w:t>
      </w:r>
      <w:bookmarkEnd w:id="41"/>
      <w:bookmarkEnd w:id="42"/>
    </w:p>
    <w:p w14:paraId="68B42A51">
      <w:pPr>
        <w:spacing w:line="600" w:lineRule="exact"/>
        <w:jc w:val="left"/>
        <w:rPr>
          <w:rFonts w:ascii="宋体"/>
          <w:b/>
          <w:bCs/>
          <w:color w:val="000000"/>
          <w:sz w:val="44"/>
          <w:szCs w:val="44"/>
        </w:rPr>
      </w:pPr>
    </w:p>
    <w:p w14:paraId="5BC05FBB">
      <w:pPr>
        <w:pStyle w:val="26"/>
        <w:spacing w:before="93" w:line="560" w:lineRule="exact"/>
        <w:ind w:firstLine="600" w:firstLineChars="200"/>
        <w:rPr>
          <w:rFonts w:ascii="??_GB2312" w:eastAsia="Times New Roman" w:cs="Times New Roman"/>
          <w:sz w:val="30"/>
          <w:szCs w:val="30"/>
        </w:rPr>
      </w:pPr>
      <w:r>
        <w:rPr>
          <w:rFonts w:ascii="??_GB2312" w:eastAsia="Times New Roman" w:cs="??_GB2312"/>
          <w:sz w:val="30"/>
          <w:szCs w:val="30"/>
        </w:rPr>
        <w:t>1.</w:t>
      </w:r>
      <w:r>
        <w:rPr>
          <w:rFonts w:ascii="??_GB2312" w:eastAsia="Times New Roman" w:cs="Times New Roman"/>
          <w:sz w:val="30"/>
          <w:szCs w:val="30"/>
        </w:rPr>
        <w:t>财政拨款收入：指单位从同级财政部门取得的财政预算资金。</w:t>
      </w:r>
    </w:p>
    <w:p w14:paraId="17A4BCDC">
      <w:pPr>
        <w:pStyle w:val="26"/>
        <w:spacing w:line="560" w:lineRule="exact"/>
        <w:ind w:firstLine="600" w:firstLineChars="200"/>
        <w:rPr>
          <w:rFonts w:ascii="??_GB2312" w:eastAsia="Times New Roman" w:cs="Times New Roman"/>
          <w:sz w:val="30"/>
          <w:szCs w:val="30"/>
        </w:rPr>
      </w:pPr>
      <w:r>
        <w:rPr>
          <w:rFonts w:ascii="??_GB2312" w:eastAsia="Times New Roman" w:cs="??_GB2312"/>
          <w:sz w:val="30"/>
          <w:szCs w:val="30"/>
        </w:rPr>
        <w:t>2.</w:t>
      </w:r>
      <w:r>
        <w:rPr>
          <w:rFonts w:ascii="??_GB2312" w:eastAsia="Times New Roman" w:cs="Times New Roman"/>
          <w:sz w:val="30"/>
          <w:szCs w:val="30"/>
        </w:rPr>
        <w:t>其他收入：指除上述</w:t>
      </w:r>
      <w:r>
        <w:rPr>
          <w:rFonts w:ascii="??_GB2312" w:eastAsia="Times New Roman" w:cs="Calibri"/>
          <w:sz w:val="30"/>
          <w:szCs w:val="30"/>
        </w:rPr>
        <w:t>“</w:t>
      </w:r>
      <w:r>
        <w:rPr>
          <w:rFonts w:ascii="??_GB2312" w:eastAsia="Times New Roman" w:cs="Times New Roman"/>
          <w:sz w:val="30"/>
          <w:szCs w:val="30"/>
        </w:rPr>
        <w:t>财政拨款收入</w:t>
      </w:r>
      <w:r>
        <w:rPr>
          <w:rFonts w:hint="eastAsia" w:ascii="??_GB2312" w:eastAsia="宋体" w:cs="Times New Roman"/>
          <w:sz w:val="30"/>
          <w:szCs w:val="30"/>
          <w:lang w:eastAsia="zh-CN"/>
        </w:rPr>
        <w:t>”“</w:t>
      </w:r>
      <w:r>
        <w:rPr>
          <w:rFonts w:ascii="??_GB2312" w:eastAsia="Times New Roman" w:cs="Times New Roman"/>
          <w:sz w:val="30"/>
          <w:szCs w:val="30"/>
        </w:rPr>
        <w:t>事业收入</w:t>
      </w:r>
      <w:r>
        <w:rPr>
          <w:rFonts w:hint="eastAsia" w:ascii="??_GB2312" w:eastAsia="宋体" w:cs="Times New Roman"/>
          <w:sz w:val="30"/>
          <w:szCs w:val="30"/>
          <w:lang w:eastAsia="zh-CN"/>
        </w:rPr>
        <w:t>”“</w:t>
      </w:r>
      <w:r>
        <w:rPr>
          <w:rFonts w:ascii="??_GB2312" w:eastAsia="Times New Roman" w:cs="Times New Roman"/>
          <w:sz w:val="30"/>
          <w:szCs w:val="30"/>
        </w:rPr>
        <w:t>经营收入</w:t>
      </w:r>
      <w:r>
        <w:rPr>
          <w:rFonts w:ascii="??_GB2312" w:eastAsia="Times New Roman" w:cs="Calibri"/>
          <w:sz w:val="30"/>
          <w:szCs w:val="30"/>
        </w:rPr>
        <w:t>”</w:t>
      </w:r>
      <w:r>
        <w:rPr>
          <w:rFonts w:ascii="??_GB2312" w:eastAsia="Times New Roman" w:cs="Times New Roman"/>
          <w:sz w:val="30"/>
          <w:szCs w:val="30"/>
        </w:rPr>
        <w:t>等以外的收入。主要是从非同级财政部门、上级主管部门等取得的用于完成项目或专项任务的资金、库存现金溢余等。</w:t>
      </w:r>
    </w:p>
    <w:p w14:paraId="359C9D17">
      <w:pPr>
        <w:pStyle w:val="26"/>
        <w:spacing w:line="560" w:lineRule="exact"/>
        <w:ind w:firstLine="600" w:firstLineChars="200"/>
        <w:rPr>
          <w:rFonts w:ascii="??_GB2312" w:eastAsia="Times New Roman" w:cs="Times New Roman"/>
          <w:sz w:val="30"/>
          <w:szCs w:val="30"/>
        </w:rPr>
      </w:pPr>
      <w:r>
        <w:rPr>
          <w:rFonts w:ascii="??_GB2312" w:eastAsia="Times New Roman" w:cs="??_GB2312"/>
          <w:sz w:val="30"/>
          <w:szCs w:val="30"/>
        </w:rPr>
        <w:t>3.</w:t>
      </w:r>
      <w:r>
        <w:rPr>
          <w:rFonts w:ascii="??_GB2312" w:eastAsia="Times New Roman" w:cs="Times New Roman"/>
          <w:sz w:val="30"/>
          <w:szCs w:val="30"/>
        </w:rPr>
        <w:t>年初结转和结余：指以前年度尚未完成、结转到本年按有关规定继续使用的资金。</w:t>
      </w:r>
    </w:p>
    <w:p w14:paraId="4576E038">
      <w:pPr>
        <w:ind w:firstLine="600" w:firstLineChars="200"/>
        <w:rPr>
          <w:rFonts w:ascii="??_GB2312" w:eastAsia="Times New Roman"/>
          <w:color w:val="000000"/>
          <w:sz w:val="30"/>
          <w:szCs w:val="30"/>
        </w:rPr>
      </w:pPr>
      <w:r>
        <w:rPr>
          <w:rFonts w:ascii="??_GB2312" w:eastAsia="Times New Roman" w:cs="??_GB2312"/>
          <w:color w:val="000000"/>
          <w:sz w:val="30"/>
          <w:szCs w:val="30"/>
        </w:rPr>
        <w:t>4.</w:t>
      </w:r>
      <w:r>
        <w:rPr>
          <w:rFonts w:ascii="??_GB2312" w:eastAsia="Times New Roman"/>
          <w:color w:val="000000"/>
          <w:sz w:val="30"/>
          <w:szCs w:val="30"/>
        </w:rPr>
        <w:t>年末结转和结余：指本年度或以前年度预算安排、因客观条件发生变化无法按原计划实施，需延迟到以后年度按有关规定继续使用的资金。</w:t>
      </w:r>
    </w:p>
    <w:p w14:paraId="27023CFA">
      <w:pPr>
        <w:ind w:firstLine="600" w:firstLineChars="200"/>
        <w:rPr>
          <w:rFonts w:ascii="??_GB2312" w:eastAsia="Times New Roman"/>
          <w:color w:val="000000"/>
          <w:sz w:val="30"/>
          <w:szCs w:val="30"/>
        </w:rPr>
      </w:pPr>
      <w:r>
        <w:rPr>
          <w:rFonts w:ascii="??_GB2312" w:eastAsia="Times New Roman" w:cs="??_GB2312"/>
          <w:sz w:val="30"/>
          <w:szCs w:val="30"/>
        </w:rPr>
        <w:t>5.</w:t>
      </w:r>
      <w:r>
        <w:rPr>
          <w:rFonts w:ascii="??_GB2312" w:eastAsia="Times New Roman"/>
          <w:color w:val="000000"/>
          <w:sz w:val="30"/>
          <w:szCs w:val="30"/>
        </w:rPr>
        <w:t>社会保障和就业支出（</w:t>
      </w:r>
      <w:r>
        <w:rPr>
          <w:rFonts w:ascii="??_GB2312" w:eastAsia="Times New Roman" w:cs="??_GB2312"/>
          <w:color w:val="000000"/>
          <w:sz w:val="30"/>
          <w:szCs w:val="30"/>
        </w:rPr>
        <w:t>208</w:t>
      </w:r>
      <w:r>
        <w:rPr>
          <w:rFonts w:ascii="??_GB2312" w:eastAsia="Times New Roman"/>
          <w:color w:val="000000"/>
          <w:sz w:val="30"/>
          <w:szCs w:val="30"/>
        </w:rPr>
        <w:t>）行政事业单位离退休（</w:t>
      </w:r>
      <w:r>
        <w:rPr>
          <w:rFonts w:ascii="??_GB2312" w:eastAsia="Times New Roman" w:cs="??_GB2312"/>
          <w:color w:val="000000"/>
          <w:sz w:val="30"/>
          <w:szCs w:val="30"/>
        </w:rPr>
        <w:t>05</w:t>
      </w:r>
      <w:r>
        <w:rPr>
          <w:rFonts w:ascii="??_GB2312" w:eastAsia="Times New Roman"/>
          <w:color w:val="000000"/>
          <w:sz w:val="30"/>
          <w:szCs w:val="30"/>
        </w:rPr>
        <w:t>）机关事业单位基本养老保险缴费支出（</w:t>
      </w:r>
      <w:r>
        <w:rPr>
          <w:rFonts w:ascii="??_GB2312" w:eastAsia="Times New Roman" w:cs="??_GB2312"/>
          <w:color w:val="000000"/>
          <w:sz w:val="30"/>
          <w:szCs w:val="30"/>
        </w:rPr>
        <w:t>05</w:t>
      </w:r>
      <w:r>
        <w:rPr>
          <w:rFonts w:ascii="??_GB2312" w:eastAsia="Times New Roman"/>
          <w:color w:val="000000"/>
          <w:sz w:val="30"/>
          <w:szCs w:val="30"/>
        </w:rPr>
        <w:t>）：指机关事业单位实施养老保险制度由单位缴纳的基本养老保险费支出。</w:t>
      </w:r>
    </w:p>
    <w:p w14:paraId="28078321">
      <w:pPr>
        <w:ind w:firstLine="600" w:firstLineChars="200"/>
        <w:rPr>
          <w:rFonts w:ascii="??_GB2312"/>
          <w:color w:val="000000"/>
          <w:sz w:val="30"/>
          <w:szCs w:val="30"/>
        </w:rPr>
      </w:pPr>
      <w:r>
        <w:rPr>
          <w:rFonts w:ascii="??_GB2312" w:eastAsia="Times New Roman" w:cs="??_GB2312"/>
          <w:sz w:val="30"/>
          <w:szCs w:val="30"/>
        </w:rPr>
        <w:t>6.</w:t>
      </w:r>
      <w:r>
        <w:rPr>
          <w:rFonts w:ascii="??_GB2312" w:eastAsia="Times New Roman"/>
          <w:color w:val="000000"/>
          <w:sz w:val="30"/>
          <w:szCs w:val="30"/>
        </w:rPr>
        <w:t>社会保障和就业支出（</w:t>
      </w:r>
      <w:r>
        <w:rPr>
          <w:rFonts w:ascii="??_GB2312" w:eastAsia="Times New Roman" w:cs="??_GB2312"/>
          <w:color w:val="000000"/>
          <w:sz w:val="30"/>
          <w:szCs w:val="30"/>
        </w:rPr>
        <w:t>208</w:t>
      </w:r>
      <w:r>
        <w:rPr>
          <w:rFonts w:ascii="??_GB2312" w:eastAsia="Times New Roman"/>
          <w:color w:val="000000"/>
          <w:sz w:val="30"/>
          <w:szCs w:val="30"/>
        </w:rPr>
        <w:t>）行政事业单位离退休（</w:t>
      </w:r>
      <w:r>
        <w:rPr>
          <w:rFonts w:ascii="??_GB2312" w:eastAsia="Times New Roman" w:cs="??_GB2312"/>
          <w:color w:val="000000"/>
          <w:sz w:val="30"/>
          <w:szCs w:val="30"/>
        </w:rPr>
        <w:t>05</w:t>
      </w:r>
      <w:r>
        <w:rPr>
          <w:rFonts w:ascii="??_GB2312" w:eastAsia="Times New Roman"/>
          <w:color w:val="000000"/>
          <w:sz w:val="30"/>
          <w:szCs w:val="30"/>
        </w:rPr>
        <w:t>）机关事业单位职业年金缴费支出（</w:t>
      </w:r>
      <w:r>
        <w:rPr>
          <w:rFonts w:ascii="??_GB2312" w:eastAsia="Times New Roman" w:cs="??_GB2312"/>
          <w:color w:val="000000"/>
          <w:sz w:val="30"/>
          <w:szCs w:val="30"/>
        </w:rPr>
        <w:t>06</w:t>
      </w:r>
      <w:r>
        <w:rPr>
          <w:rFonts w:ascii="??_GB2312" w:eastAsia="Times New Roman"/>
          <w:color w:val="000000"/>
          <w:sz w:val="30"/>
          <w:szCs w:val="30"/>
        </w:rPr>
        <w:t>）：指机关事业单位实施养老保险制度由单位实际缴纳的职业年金支出。</w:t>
      </w:r>
    </w:p>
    <w:p w14:paraId="5B437ED4">
      <w:pPr>
        <w:ind w:firstLine="600" w:firstLineChars="200"/>
        <w:rPr>
          <w:rFonts w:ascii="??_GB2312" w:eastAsia="Times New Roman"/>
          <w:color w:val="000000"/>
          <w:sz w:val="30"/>
          <w:szCs w:val="30"/>
        </w:rPr>
      </w:pPr>
      <w:r>
        <w:rPr>
          <w:rFonts w:ascii="??_GB2312" w:eastAsia="Times New Roman" w:cs="??_GB2312"/>
          <w:color w:val="000000"/>
          <w:sz w:val="30"/>
          <w:szCs w:val="30"/>
        </w:rPr>
        <w:t>7</w:t>
      </w:r>
      <w:r>
        <w:rPr>
          <w:rFonts w:ascii="??_GB2312" w:eastAsia="Times New Roman" w:cs="??_GB2312"/>
          <w:sz w:val="30"/>
          <w:szCs w:val="30"/>
        </w:rPr>
        <w:t>.</w:t>
      </w:r>
      <w:r>
        <w:rPr>
          <w:rFonts w:ascii="??_GB2312" w:eastAsia="Times New Roman" w:cs="??_GB2312"/>
          <w:color w:val="000000"/>
          <w:sz w:val="30"/>
          <w:szCs w:val="30"/>
        </w:rPr>
        <w:t xml:space="preserve"> 医疗卫生与计划生育支出（210）行政事业单位医疗（11）行政单位医疗（01）：</w:t>
      </w:r>
      <w:r>
        <w:rPr>
          <w:rFonts w:hint="eastAsia" w:ascii="??_GB2312" w:eastAsia="Times New Roman"/>
          <w:color w:val="000000"/>
          <w:sz w:val="30"/>
          <w:szCs w:val="30"/>
          <w:lang w:eastAsia="zh-CN"/>
        </w:rPr>
        <w:t>指财政部门安排的行政单位基本医疗保险缴费时，未参加医疗保险的行政单位的公费医疗经费，按国家规定享受离休人员、红军老战士待遇人员的医疗经费</w:t>
      </w:r>
      <w:r>
        <w:rPr>
          <w:rFonts w:ascii="??_GB2312" w:eastAsia="Times New Roman"/>
          <w:color w:val="000000"/>
          <w:sz w:val="30"/>
          <w:szCs w:val="30"/>
        </w:rPr>
        <w:t>。</w:t>
      </w:r>
    </w:p>
    <w:p w14:paraId="07FCAF4B">
      <w:pPr>
        <w:ind w:firstLine="600" w:firstLineChars="200"/>
        <w:rPr>
          <w:rFonts w:ascii="??_GB2312" w:eastAsia="Times New Roman" w:cs="??_GB2312"/>
          <w:color w:val="000000"/>
          <w:sz w:val="30"/>
          <w:szCs w:val="30"/>
        </w:rPr>
      </w:pPr>
      <w:r>
        <w:rPr>
          <w:rFonts w:hint="eastAsia" w:ascii="??_GB2312" w:cs="??_GB2312"/>
          <w:color w:val="000000"/>
          <w:sz w:val="30"/>
          <w:szCs w:val="30"/>
          <w:lang w:val="en-US" w:eastAsia="zh-CN"/>
        </w:rPr>
        <w:t>8</w:t>
      </w:r>
      <w:r>
        <w:rPr>
          <w:rFonts w:ascii="??_GB2312" w:eastAsia="Times New Roman" w:cs="??_GB2312"/>
          <w:color w:val="000000"/>
          <w:sz w:val="30"/>
          <w:szCs w:val="30"/>
        </w:rPr>
        <w:t>.医疗卫生与计划生育支出（210）行政事业单位医疗（11）</w:t>
      </w:r>
      <w:r>
        <w:rPr>
          <w:rFonts w:hint="eastAsia" w:ascii="??_GB2312" w:eastAsia="Times New Roman" w:cs="??_GB2312"/>
          <w:color w:val="000000"/>
          <w:sz w:val="30"/>
          <w:szCs w:val="30"/>
          <w:lang w:eastAsia="zh-CN"/>
        </w:rPr>
        <w:t>公务员医疗补助</w:t>
      </w:r>
      <w:r>
        <w:rPr>
          <w:rFonts w:ascii="??_GB2312" w:eastAsia="Times New Roman" w:cs="??_GB2312"/>
          <w:color w:val="000000"/>
          <w:sz w:val="30"/>
          <w:szCs w:val="30"/>
        </w:rPr>
        <w:t>（0</w:t>
      </w:r>
      <w:r>
        <w:rPr>
          <w:rFonts w:hint="eastAsia" w:ascii="??_GB2312" w:eastAsia="Times New Roman" w:cs="??_GB2312"/>
          <w:color w:val="000000"/>
          <w:sz w:val="30"/>
          <w:szCs w:val="30"/>
          <w:lang w:val="en-US" w:eastAsia="zh-CN"/>
        </w:rPr>
        <w:t>3</w:t>
      </w:r>
      <w:r>
        <w:rPr>
          <w:rFonts w:ascii="??_GB2312" w:eastAsia="Times New Roman" w:cs="??_GB2312"/>
          <w:color w:val="000000"/>
          <w:sz w:val="30"/>
          <w:szCs w:val="30"/>
        </w:rPr>
        <w:t>）：</w:t>
      </w:r>
      <w:r>
        <w:rPr>
          <w:rFonts w:hint="eastAsia" w:ascii="??_GB2312" w:cs="??_GB2312"/>
          <w:color w:val="000000"/>
          <w:sz w:val="30"/>
          <w:szCs w:val="30"/>
          <w:lang w:eastAsia="zh-CN"/>
        </w:rPr>
        <w:t>指财政部门安排的公务员医疗补助经费</w:t>
      </w:r>
      <w:r>
        <w:rPr>
          <w:rFonts w:ascii="??_GB2312" w:eastAsia="Times New Roman" w:cs="??_GB2312"/>
          <w:color w:val="000000"/>
          <w:sz w:val="30"/>
          <w:szCs w:val="30"/>
        </w:rPr>
        <w:t>。</w:t>
      </w:r>
    </w:p>
    <w:p w14:paraId="30576300">
      <w:pPr>
        <w:ind w:firstLine="600" w:firstLineChars="200"/>
        <w:rPr>
          <w:rFonts w:ascii="??_GB2312" w:eastAsia="Times New Roman" w:cs="??_GB2312"/>
          <w:color w:val="000000"/>
          <w:sz w:val="30"/>
          <w:szCs w:val="30"/>
        </w:rPr>
      </w:pPr>
      <w:r>
        <w:rPr>
          <w:rFonts w:hint="eastAsia" w:ascii="??_GB2312" w:cs="??_GB2312"/>
          <w:color w:val="000000"/>
          <w:sz w:val="30"/>
          <w:szCs w:val="30"/>
          <w:lang w:val="en-US" w:eastAsia="zh-CN"/>
        </w:rPr>
        <w:t>9</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行政运行</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01</w:t>
      </w:r>
      <w:r>
        <w:rPr>
          <w:rFonts w:ascii="??_GB2312" w:eastAsia="Times New Roman" w:cs="??_GB2312"/>
          <w:color w:val="000000"/>
          <w:sz w:val="30"/>
          <w:szCs w:val="30"/>
        </w:rPr>
        <w:t>）：</w:t>
      </w:r>
      <w:r>
        <w:rPr>
          <w:rFonts w:hint="eastAsia" w:ascii="??_GB2312" w:cs="??_GB2312"/>
          <w:color w:val="000000"/>
          <w:sz w:val="30"/>
          <w:szCs w:val="30"/>
          <w:lang w:eastAsia="zh-CN"/>
        </w:rPr>
        <w:t>指行政单位的基本支出</w:t>
      </w:r>
      <w:r>
        <w:rPr>
          <w:rFonts w:ascii="??_GB2312" w:eastAsia="Times New Roman" w:cs="??_GB2312"/>
          <w:color w:val="000000"/>
          <w:sz w:val="30"/>
          <w:szCs w:val="30"/>
        </w:rPr>
        <w:t>。</w:t>
      </w:r>
    </w:p>
    <w:p w14:paraId="21571100">
      <w:pPr>
        <w:ind w:firstLine="600" w:firstLineChars="200"/>
        <w:rPr>
          <w:rFonts w:ascii="??_GB2312" w:eastAsia="Times New Roman" w:cs="??_GB2312"/>
          <w:color w:val="000000"/>
          <w:sz w:val="30"/>
          <w:szCs w:val="30"/>
        </w:rPr>
      </w:pPr>
      <w:r>
        <w:rPr>
          <w:rFonts w:hint="eastAsia" w:ascii="??_GB2312" w:eastAsia="Times New Roman" w:cs="??_GB2312"/>
          <w:color w:val="000000"/>
          <w:sz w:val="30"/>
          <w:szCs w:val="30"/>
          <w:lang w:val="en-US" w:eastAsia="zh-CN"/>
        </w:rPr>
        <w:t>10</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一般行政管理事务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02</w:t>
      </w:r>
      <w:r>
        <w:rPr>
          <w:rFonts w:ascii="??_GB2312" w:eastAsia="Times New Roman" w:cs="??_GB2312"/>
          <w:color w:val="000000"/>
          <w:sz w:val="30"/>
          <w:szCs w:val="30"/>
        </w:rPr>
        <w:t>）：</w:t>
      </w:r>
      <w:r>
        <w:rPr>
          <w:rFonts w:hint="eastAsia" w:ascii="??_GB2312" w:cs="??_GB2312"/>
          <w:color w:val="000000"/>
          <w:sz w:val="30"/>
          <w:szCs w:val="30"/>
          <w:lang w:eastAsia="zh-CN"/>
        </w:rPr>
        <w:t>指行政单位未单独设置项级科目的其他项目支出</w:t>
      </w:r>
      <w:r>
        <w:rPr>
          <w:rFonts w:ascii="??_GB2312" w:eastAsia="Times New Roman" w:cs="??_GB2312"/>
          <w:color w:val="000000"/>
          <w:sz w:val="30"/>
          <w:szCs w:val="30"/>
        </w:rPr>
        <w:t>。</w:t>
      </w:r>
    </w:p>
    <w:p w14:paraId="68270104">
      <w:pPr>
        <w:ind w:firstLine="600" w:firstLineChars="200"/>
        <w:rPr>
          <w:rFonts w:ascii="??_GB2312" w:eastAsia="Times New Roman" w:cs="??_GB2312"/>
          <w:color w:val="000000"/>
          <w:sz w:val="30"/>
          <w:szCs w:val="30"/>
        </w:rPr>
      </w:pPr>
      <w:r>
        <w:rPr>
          <w:rFonts w:hint="eastAsia" w:ascii="??_GB2312" w:eastAsia="Times New Roman" w:cs="??_GB2312"/>
          <w:color w:val="000000"/>
          <w:sz w:val="30"/>
          <w:szCs w:val="30"/>
          <w:lang w:val="en-US" w:eastAsia="zh-CN"/>
        </w:rPr>
        <w:t>11</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市场监督管理专项</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04</w:t>
      </w:r>
      <w:r>
        <w:rPr>
          <w:rFonts w:ascii="??_GB2312" w:eastAsia="Times New Roman" w:cs="??_GB2312"/>
          <w:color w:val="000000"/>
          <w:sz w:val="30"/>
          <w:szCs w:val="30"/>
        </w:rPr>
        <w:t>）：</w:t>
      </w:r>
      <w:r>
        <w:rPr>
          <w:rFonts w:hint="eastAsia" w:ascii="??_GB2312" w:cs="??_GB2312"/>
          <w:color w:val="000000"/>
          <w:sz w:val="30"/>
          <w:szCs w:val="30"/>
          <w:lang w:eastAsia="zh-CN"/>
        </w:rPr>
        <w:t>指从事市场监督管理部门专项业务方面的支出，单设科目的业务除外</w:t>
      </w:r>
      <w:r>
        <w:rPr>
          <w:rFonts w:ascii="??_GB2312" w:eastAsia="Times New Roman" w:cs="??_GB2312"/>
          <w:color w:val="000000"/>
          <w:sz w:val="30"/>
          <w:szCs w:val="30"/>
        </w:rPr>
        <w:t>。</w:t>
      </w:r>
    </w:p>
    <w:p w14:paraId="0C8A51AF">
      <w:pPr>
        <w:ind w:firstLine="600" w:firstLineChars="200"/>
        <w:rPr>
          <w:rFonts w:hint="eastAsia" w:ascii="??_GB2312" w:eastAsia="Times New Roman" w:cs="??_GB2312"/>
          <w:color w:val="000000"/>
          <w:sz w:val="30"/>
          <w:szCs w:val="30"/>
          <w:lang w:eastAsia="zh-CN"/>
        </w:rPr>
      </w:pPr>
      <w:r>
        <w:rPr>
          <w:rFonts w:hint="eastAsia" w:ascii="??_GB2312" w:eastAsia="Times New Roman" w:cs="??_GB2312"/>
          <w:color w:val="000000"/>
          <w:sz w:val="30"/>
          <w:szCs w:val="30"/>
          <w:lang w:val="en-US" w:eastAsia="zh-CN"/>
        </w:rPr>
        <w:t>12</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市场监管执法</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05</w:t>
      </w:r>
      <w:r>
        <w:rPr>
          <w:rFonts w:ascii="??_GB2312" w:eastAsia="Times New Roman" w:cs="??_GB2312"/>
          <w:color w:val="000000"/>
          <w:sz w:val="30"/>
          <w:szCs w:val="30"/>
        </w:rPr>
        <w:t>）：</w:t>
      </w:r>
      <w:r>
        <w:rPr>
          <w:rFonts w:hint="eastAsia" w:ascii="??_GB2312" w:eastAsia="Times New Roman" w:cs="??_GB2312"/>
          <w:color w:val="000000"/>
          <w:sz w:val="30"/>
          <w:szCs w:val="30"/>
          <w:lang w:eastAsia="zh-CN"/>
        </w:rPr>
        <w:t>指敲击监督管理部门依法开展各类执法（含食品、药品物价等）活动、查处各类经济违法案件的专项工作支出。</w:t>
      </w:r>
    </w:p>
    <w:p w14:paraId="1D9CB3DB">
      <w:pPr>
        <w:ind w:firstLine="600" w:firstLineChars="200"/>
        <w:rPr>
          <w:rFonts w:ascii="??_GB2312" w:eastAsia="Times New Roman" w:cs="??_GB2312"/>
          <w:color w:val="000000"/>
          <w:sz w:val="30"/>
          <w:szCs w:val="30"/>
        </w:rPr>
      </w:pPr>
      <w:r>
        <w:rPr>
          <w:rFonts w:hint="eastAsia" w:ascii="??_GB2312" w:eastAsia="Times New Roman" w:cs="??_GB2312"/>
          <w:color w:val="000000"/>
          <w:sz w:val="30"/>
          <w:szCs w:val="30"/>
          <w:lang w:val="en-US" w:eastAsia="zh-CN"/>
        </w:rPr>
        <w:t>13</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信息化建设</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08</w:t>
      </w:r>
      <w:r>
        <w:rPr>
          <w:rFonts w:ascii="??_GB2312" w:eastAsia="Times New Roman" w:cs="??_GB2312"/>
          <w:color w:val="000000"/>
          <w:sz w:val="30"/>
          <w:szCs w:val="30"/>
        </w:rPr>
        <w:t>）：</w:t>
      </w:r>
      <w:r>
        <w:rPr>
          <w:rFonts w:hint="eastAsia" w:ascii="??_GB2312" w:cs="??_GB2312"/>
          <w:color w:val="000000"/>
          <w:sz w:val="30"/>
          <w:szCs w:val="30"/>
          <w:lang w:eastAsia="zh-CN"/>
        </w:rPr>
        <w:t>指市场监督管理、药品监督管理部门用于信息化建设及运行维护方面的支出</w:t>
      </w:r>
      <w:r>
        <w:rPr>
          <w:rFonts w:ascii="??_GB2312" w:eastAsia="Times New Roman" w:cs="??_GB2312"/>
          <w:color w:val="000000"/>
          <w:sz w:val="30"/>
          <w:szCs w:val="30"/>
        </w:rPr>
        <w:t>。</w:t>
      </w:r>
    </w:p>
    <w:p w14:paraId="66332725">
      <w:pPr>
        <w:ind w:firstLine="600" w:firstLineChars="200"/>
        <w:rPr>
          <w:rFonts w:ascii="??_GB2312" w:eastAsia="Times New Roman" w:cs="??_GB2312"/>
          <w:color w:val="000000"/>
          <w:sz w:val="30"/>
          <w:szCs w:val="30"/>
        </w:rPr>
      </w:pPr>
      <w:r>
        <w:rPr>
          <w:rFonts w:hint="eastAsia" w:ascii="??_GB2312" w:eastAsia="Times New Roman" w:cs="??_GB2312"/>
          <w:color w:val="000000"/>
          <w:sz w:val="30"/>
          <w:szCs w:val="30"/>
          <w:lang w:val="en-US" w:eastAsia="zh-CN"/>
        </w:rPr>
        <w:t>14</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药品事务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12</w:t>
      </w:r>
      <w:r>
        <w:rPr>
          <w:rFonts w:ascii="??_GB2312" w:eastAsia="Times New Roman" w:cs="??_GB2312"/>
          <w:color w:val="000000"/>
          <w:sz w:val="30"/>
          <w:szCs w:val="30"/>
        </w:rPr>
        <w:t>）：</w:t>
      </w:r>
      <w:r>
        <w:rPr>
          <w:rFonts w:hint="eastAsia" w:ascii="??_GB2312" w:cs="??_GB2312"/>
          <w:color w:val="000000"/>
          <w:sz w:val="30"/>
          <w:szCs w:val="30"/>
          <w:lang w:eastAsia="zh-CN"/>
        </w:rPr>
        <w:t>指用于药品（含中药、民族药）监督管理方面的支出</w:t>
      </w:r>
      <w:r>
        <w:rPr>
          <w:rFonts w:ascii="??_GB2312" w:eastAsia="Times New Roman" w:cs="??_GB2312"/>
          <w:color w:val="000000"/>
          <w:sz w:val="30"/>
          <w:szCs w:val="30"/>
        </w:rPr>
        <w:t>。</w:t>
      </w:r>
    </w:p>
    <w:p w14:paraId="65795915">
      <w:pPr>
        <w:ind w:firstLine="600" w:firstLineChars="200"/>
        <w:rPr>
          <w:rFonts w:ascii="??_GB2312" w:eastAsia="Times New Roman" w:cs="??_GB2312"/>
          <w:color w:val="000000"/>
          <w:sz w:val="30"/>
          <w:szCs w:val="30"/>
        </w:rPr>
      </w:pPr>
      <w:r>
        <w:rPr>
          <w:rFonts w:hint="eastAsia" w:ascii="??_GB2312" w:eastAsia="Times New Roman" w:cs="??_GB2312"/>
          <w:color w:val="000000"/>
          <w:sz w:val="30"/>
          <w:szCs w:val="30"/>
          <w:lang w:val="en-US" w:eastAsia="zh-CN"/>
        </w:rPr>
        <w:t>15</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质量安全监管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15</w:t>
      </w:r>
      <w:r>
        <w:rPr>
          <w:rFonts w:ascii="??_GB2312" w:eastAsia="Times New Roman" w:cs="??_GB2312"/>
          <w:color w:val="000000"/>
          <w:sz w:val="30"/>
          <w:szCs w:val="30"/>
        </w:rPr>
        <w:t>）：</w:t>
      </w:r>
      <w:r>
        <w:rPr>
          <w:rFonts w:hint="eastAsia" w:ascii="??_GB2312" w:cs="??_GB2312"/>
          <w:color w:val="000000"/>
          <w:sz w:val="30"/>
          <w:szCs w:val="30"/>
          <w:lang w:eastAsia="zh-CN"/>
        </w:rPr>
        <w:t>指产品质量安全监管、特种设备安全监管等质量监管专项工作支出</w:t>
      </w:r>
      <w:r>
        <w:rPr>
          <w:rFonts w:ascii="??_GB2312" w:eastAsia="Times New Roman" w:cs="??_GB2312"/>
          <w:color w:val="000000"/>
          <w:sz w:val="30"/>
          <w:szCs w:val="30"/>
        </w:rPr>
        <w:t>。</w:t>
      </w:r>
    </w:p>
    <w:p w14:paraId="59B20EF3">
      <w:pPr>
        <w:ind w:firstLine="600" w:firstLineChars="200"/>
      </w:pPr>
      <w:r>
        <w:rPr>
          <w:rFonts w:hint="eastAsia" w:ascii="??_GB2312" w:eastAsia="Times New Roman" w:cs="??_GB2312"/>
          <w:color w:val="000000"/>
          <w:sz w:val="30"/>
          <w:szCs w:val="30"/>
          <w:lang w:val="en-US" w:eastAsia="zh-CN"/>
        </w:rPr>
        <w:t>16</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食品安全监管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16</w:t>
      </w:r>
      <w:r>
        <w:rPr>
          <w:rFonts w:ascii="??_GB2312" w:eastAsia="Times New Roman" w:cs="??_GB2312"/>
          <w:color w:val="000000"/>
          <w:sz w:val="30"/>
          <w:szCs w:val="30"/>
        </w:rPr>
        <w:t>）：</w:t>
      </w:r>
      <w:r>
        <w:rPr>
          <w:rFonts w:hint="eastAsia" w:ascii="??_GB2312" w:cs="??_GB2312"/>
          <w:color w:val="000000"/>
          <w:sz w:val="30"/>
          <w:szCs w:val="30"/>
          <w:lang w:eastAsia="zh-CN"/>
        </w:rPr>
        <w:t>反映食品安全监管专项工作支出</w:t>
      </w:r>
      <w:r>
        <w:rPr>
          <w:rFonts w:ascii="??_GB2312" w:eastAsia="Times New Roman" w:cs="??_GB2312"/>
          <w:color w:val="000000"/>
          <w:sz w:val="30"/>
          <w:szCs w:val="30"/>
        </w:rPr>
        <w:t>。</w:t>
      </w:r>
    </w:p>
    <w:p w14:paraId="7C71E6D8">
      <w:pPr>
        <w:ind w:firstLine="600" w:firstLineChars="200"/>
        <w:rPr>
          <w:rFonts w:ascii="??_GB2312" w:eastAsia="Times New Roman" w:cs="??_GB2312"/>
          <w:color w:val="000000"/>
          <w:sz w:val="30"/>
          <w:szCs w:val="30"/>
        </w:rPr>
      </w:pPr>
      <w:r>
        <w:rPr>
          <w:rFonts w:hint="eastAsia" w:ascii="??_GB2312" w:eastAsia="Times New Roman" w:cs="??_GB2312"/>
          <w:color w:val="000000"/>
          <w:sz w:val="30"/>
          <w:szCs w:val="30"/>
          <w:lang w:val="en-US" w:eastAsia="zh-CN"/>
        </w:rPr>
        <w:t>17</w:t>
      </w:r>
      <w:r>
        <w:rPr>
          <w:rFonts w:ascii="??_GB2312" w:eastAsia="Times New Roman" w:cs="??_GB2312"/>
          <w:color w:val="000000"/>
          <w:sz w:val="30"/>
          <w:szCs w:val="30"/>
        </w:rPr>
        <w:t>.</w:t>
      </w:r>
      <w:r>
        <w:rPr>
          <w:rFonts w:hint="eastAsia" w:ascii="??_GB2312" w:eastAsia="Times New Roman" w:cs="??_GB2312"/>
          <w:color w:val="000000"/>
          <w:sz w:val="30"/>
          <w:szCs w:val="30"/>
          <w:lang w:eastAsia="zh-CN"/>
        </w:rPr>
        <w:t>一般公共服务支出</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201</w:t>
      </w:r>
      <w:r>
        <w:rPr>
          <w:rFonts w:ascii="??_GB2312" w:eastAsia="Times New Roman" w:cs="??_GB2312"/>
          <w:color w:val="000000"/>
          <w:sz w:val="30"/>
          <w:szCs w:val="30"/>
        </w:rPr>
        <w:t>）</w:t>
      </w:r>
      <w:r>
        <w:rPr>
          <w:rFonts w:hint="eastAsia" w:ascii="??_GB2312" w:eastAsia="Times New Roman" w:cs="??_GB2312"/>
          <w:color w:val="000000"/>
          <w:sz w:val="30"/>
          <w:szCs w:val="30"/>
          <w:lang w:eastAsia="zh-CN"/>
        </w:rPr>
        <w:t>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38</w:t>
      </w:r>
      <w:r>
        <w:rPr>
          <w:rFonts w:ascii="??_GB2312" w:eastAsia="Times New Roman" w:cs="??_GB2312"/>
          <w:color w:val="000000"/>
          <w:sz w:val="30"/>
          <w:szCs w:val="30"/>
        </w:rPr>
        <w:t>）</w:t>
      </w:r>
      <w:r>
        <w:rPr>
          <w:rFonts w:hint="eastAsia" w:ascii="??_GB2312" w:eastAsia="Times New Roman" w:cs="??_GB2312"/>
          <w:color w:val="000000"/>
          <w:sz w:val="30"/>
          <w:szCs w:val="30"/>
          <w:lang w:eastAsia="zh-CN"/>
        </w:rPr>
        <w:t>其他市场监督管理事务</w:t>
      </w:r>
      <w:r>
        <w:rPr>
          <w:rFonts w:ascii="??_GB2312" w:eastAsia="Times New Roman" w:cs="??_GB2312"/>
          <w:color w:val="000000"/>
          <w:sz w:val="30"/>
          <w:szCs w:val="30"/>
        </w:rPr>
        <w:t>（</w:t>
      </w:r>
      <w:r>
        <w:rPr>
          <w:rFonts w:hint="eastAsia" w:ascii="??_GB2312" w:eastAsia="Times New Roman" w:cs="??_GB2312"/>
          <w:color w:val="000000"/>
          <w:sz w:val="30"/>
          <w:szCs w:val="30"/>
          <w:lang w:val="en-US" w:eastAsia="zh-CN"/>
        </w:rPr>
        <w:t>99</w:t>
      </w:r>
      <w:r>
        <w:rPr>
          <w:rFonts w:ascii="??_GB2312" w:eastAsia="Times New Roman" w:cs="??_GB2312"/>
          <w:color w:val="000000"/>
          <w:sz w:val="30"/>
          <w:szCs w:val="30"/>
        </w:rPr>
        <w:t>）：</w:t>
      </w:r>
      <w:r>
        <w:rPr>
          <w:rFonts w:hint="eastAsia" w:ascii="??_GB2312" w:cs="??_GB2312"/>
          <w:color w:val="000000"/>
          <w:sz w:val="30"/>
          <w:szCs w:val="30"/>
          <w:lang w:eastAsia="zh-CN"/>
        </w:rPr>
        <w:t>指用于除上述项目以外其他市场监督管理事务的支出</w:t>
      </w:r>
      <w:r>
        <w:rPr>
          <w:rFonts w:ascii="??_GB2312" w:eastAsia="Times New Roman" w:cs="??_GB2312"/>
          <w:color w:val="000000"/>
          <w:sz w:val="30"/>
          <w:szCs w:val="30"/>
        </w:rPr>
        <w:t>。</w:t>
      </w:r>
    </w:p>
    <w:p w14:paraId="6F84E1A9">
      <w:pPr>
        <w:ind w:firstLine="600" w:firstLineChars="200"/>
        <w:rPr>
          <w:rFonts w:hint="eastAsia" w:ascii="??_GB2312" w:cs="??_GB2312"/>
          <w:color w:val="000000"/>
          <w:sz w:val="30"/>
          <w:szCs w:val="30"/>
          <w:lang w:eastAsia="zh-CN"/>
        </w:rPr>
      </w:pPr>
      <w:r>
        <w:rPr>
          <w:rFonts w:hint="eastAsia" w:ascii="??_GB2312" w:eastAsia="Times New Roman" w:cs="??_GB2312"/>
          <w:color w:val="000000"/>
          <w:sz w:val="30"/>
          <w:szCs w:val="30"/>
          <w:lang w:val="en-US" w:eastAsia="zh-CN"/>
        </w:rPr>
        <w:t>18</w:t>
      </w:r>
      <w:r>
        <w:rPr>
          <w:rFonts w:ascii="??_GB2312" w:eastAsia="Times New Roman" w:cs="??_GB2312"/>
          <w:color w:val="000000"/>
          <w:sz w:val="30"/>
          <w:szCs w:val="30"/>
        </w:rPr>
        <w:t>.住房保障支出（221）住房改革支出（02）住房公积金（01）</w:t>
      </w:r>
      <w:r>
        <w:rPr>
          <w:rFonts w:hint="eastAsia" w:ascii="??_GB2312" w:eastAsia="宋体" w:cs="??_GB2312"/>
          <w:color w:val="000000"/>
          <w:sz w:val="30"/>
          <w:szCs w:val="30"/>
          <w:lang w:eastAsia="zh-CN"/>
        </w:rPr>
        <w:t>：</w:t>
      </w:r>
      <w:r>
        <w:rPr>
          <w:rFonts w:hint="eastAsia" w:ascii="??_GB2312" w:cs="??_GB2312"/>
          <w:color w:val="000000"/>
          <w:sz w:val="30"/>
          <w:szCs w:val="30"/>
          <w:lang w:eastAsia="zh-CN"/>
        </w:rPr>
        <w:t>指行政事业单位按人力资源和社会保障部、财政部规定的基本工资和津贴补贴以及规定比例为职工缴纳的住房公积金。</w:t>
      </w:r>
    </w:p>
    <w:p w14:paraId="09ADCFF2">
      <w:pPr>
        <w:ind w:firstLine="600" w:firstLineChars="200"/>
        <w:rPr>
          <w:rStyle w:val="18"/>
          <w:rFonts w:ascii="??_GB2312" w:eastAsia="Times New Roman" w:cs="??_GB2312"/>
          <w:color w:val="000000"/>
          <w:sz w:val="30"/>
          <w:szCs w:val="30"/>
        </w:rPr>
      </w:pPr>
      <w:r>
        <w:rPr>
          <w:rFonts w:hint="eastAsia" w:ascii="??_GB2312" w:cs="??_GB2312"/>
          <w:color w:val="000000"/>
          <w:sz w:val="30"/>
          <w:szCs w:val="30"/>
          <w:lang w:val="en-US" w:eastAsia="zh-CN"/>
        </w:rPr>
        <w:t>19</w:t>
      </w:r>
      <w:r>
        <w:rPr>
          <w:rFonts w:ascii="??_GB2312" w:eastAsia="Times New Roman" w:cs="??_GB2312"/>
          <w:color w:val="000000"/>
          <w:sz w:val="30"/>
          <w:szCs w:val="30"/>
        </w:rPr>
        <w:t>.住房保障支出（221）住房改革支出（02）</w:t>
      </w:r>
      <w:r>
        <w:rPr>
          <w:rFonts w:hint="eastAsia" w:ascii="??_GB2312" w:eastAsia="Times New Roman" w:cs="??_GB2312"/>
          <w:color w:val="000000"/>
          <w:sz w:val="30"/>
          <w:szCs w:val="30"/>
          <w:lang w:eastAsia="zh-CN"/>
        </w:rPr>
        <w:t>购房补贴</w:t>
      </w:r>
      <w:r>
        <w:rPr>
          <w:rFonts w:ascii="??_GB2312" w:eastAsia="Times New Roman" w:cs="??_GB2312"/>
          <w:color w:val="000000"/>
          <w:sz w:val="30"/>
          <w:szCs w:val="30"/>
        </w:rPr>
        <w:t>（0</w:t>
      </w:r>
      <w:r>
        <w:rPr>
          <w:rFonts w:hint="eastAsia" w:ascii="??_GB2312" w:eastAsia="Times New Roman" w:cs="??_GB2312"/>
          <w:color w:val="000000"/>
          <w:sz w:val="30"/>
          <w:szCs w:val="30"/>
          <w:lang w:val="en-US" w:eastAsia="zh-CN"/>
        </w:rPr>
        <w:t>3</w:t>
      </w:r>
      <w:r>
        <w:rPr>
          <w:rFonts w:ascii="??_GB2312" w:eastAsia="Times New Roman" w:cs="??_GB2312"/>
          <w:color w:val="000000"/>
          <w:sz w:val="30"/>
          <w:szCs w:val="30"/>
        </w:rPr>
        <w:t>）</w:t>
      </w:r>
      <w:r>
        <w:rPr>
          <w:rFonts w:hint="eastAsia" w:ascii="??_GB2312" w:eastAsia="宋体" w:cs="??_GB2312"/>
          <w:color w:val="000000"/>
          <w:sz w:val="30"/>
          <w:szCs w:val="30"/>
          <w:lang w:eastAsia="zh-CN"/>
        </w:rPr>
        <w:t>：</w:t>
      </w:r>
      <w:r>
        <w:rPr>
          <w:rFonts w:hint="eastAsia" w:ascii="??_GB2312" w:cs="??_GB2312"/>
          <w:color w:val="000000"/>
          <w:sz w:val="30"/>
          <w:szCs w:val="30"/>
          <w:lang w:eastAsia="zh-CN"/>
        </w:rPr>
        <w:t>指按房改政策规定，行政事业单位向符合条件的职工（含离退休人员）、军队（含武警）转役复员离退休人员发放的用于购买住房的补贴。</w:t>
      </w:r>
      <w:r>
        <w:rPr>
          <w:rStyle w:val="18"/>
          <w:rFonts w:ascii="??_GB2312" w:eastAsia="Times New Roman" w:cs="??_GB2312"/>
          <w:color w:val="000000"/>
          <w:sz w:val="30"/>
          <w:szCs w:val="30"/>
        </w:rPr>
        <w:t xml:space="preserve"> </w:t>
      </w:r>
    </w:p>
    <w:p w14:paraId="341646EB">
      <w:pPr>
        <w:ind w:firstLine="600" w:firstLineChars="200"/>
        <w:rPr>
          <w:rFonts w:ascii="??_GB2312" w:eastAsia="Times New Roman"/>
          <w:color w:val="000000"/>
          <w:sz w:val="30"/>
          <w:szCs w:val="30"/>
        </w:rPr>
      </w:pPr>
      <w:r>
        <w:rPr>
          <w:rStyle w:val="18"/>
          <w:rFonts w:hint="eastAsia" w:ascii="??_GB2312" w:eastAsia="宋体" w:cs="??_GB2312"/>
          <w:b w:val="0"/>
          <w:bCs w:val="0"/>
          <w:color w:val="000000"/>
          <w:sz w:val="30"/>
          <w:szCs w:val="30"/>
          <w:lang w:val="en-US" w:eastAsia="zh-CN"/>
        </w:rPr>
        <w:t>20</w:t>
      </w:r>
      <w:r>
        <w:rPr>
          <w:rFonts w:ascii="??_GB2312" w:eastAsia="Times New Roman"/>
          <w:color w:val="000000"/>
          <w:sz w:val="30"/>
          <w:szCs w:val="30"/>
        </w:rPr>
        <w:t>基本支出：指为保障机构正常运转、完成日常工作任务而发生的人员支出和公用支出。</w:t>
      </w:r>
    </w:p>
    <w:p w14:paraId="7C311F27">
      <w:pPr>
        <w:ind w:firstLine="600" w:firstLineChars="200"/>
        <w:rPr>
          <w:rFonts w:ascii="??_GB2312" w:eastAsia="Times New Roman"/>
          <w:color w:val="000000"/>
          <w:sz w:val="30"/>
          <w:szCs w:val="30"/>
        </w:rPr>
      </w:pPr>
      <w:r>
        <w:rPr>
          <w:rFonts w:hint="eastAsia" w:ascii="??_GB2312" w:cs="??_GB2312"/>
          <w:color w:val="000000"/>
          <w:sz w:val="30"/>
          <w:szCs w:val="30"/>
          <w:lang w:val="en-US" w:eastAsia="zh-CN"/>
        </w:rPr>
        <w:t>21</w:t>
      </w:r>
      <w:r>
        <w:rPr>
          <w:rFonts w:ascii="??_GB2312" w:eastAsia="Times New Roman" w:cs="??_GB2312"/>
          <w:color w:val="000000"/>
          <w:sz w:val="30"/>
          <w:szCs w:val="30"/>
        </w:rPr>
        <w:t>.</w:t>
      </w:r>
      <w:r>
        <w:rPr>
          <w:rFonts w:ascii="??_GB2312" w:eastAsia="Times New Roman"/>
          <w:color w:val="000000"/>
          <w:sz w:val="30"/>
          <w:szCs w:val="30"/>
        </w:rPr>
        <w:t>项目支出：指在基本支出之外为完成特定行政任务和事业发展目标所发生的支出。</w:t>
      </w:r>
    </w:p>
    <w:p w14:paraId="0227DC1C">
      <w:pPr>
        <w:pStyle w:val="26"/>
        <w:spacing w:line="560" w:lineRule="exact"/>
        <w:ind w:firstLine="600" w:firstLineChars="200"/>
        <w:rPr>
          <w:rFonts w:ascii="??_GB2312" w:eastAsia="Times New Roman" w:cs="Times New Roman"/>
          <w:sz w:val="30"/>
          <w:szCs w:val="30"/>
        </w:rPr>
      </w:pPr>
      <w:r>
        <w:rPr>
          <w:rFonts w:hint="eastAsia" w:ascii="??_GB2312" w:eastAsia="宋体" w:cs="??_GB2312"/>
          <w:sz w:val="30"/>
          <w:szCs w:val="30"/>
          <w:lang w:val="en-US" w:eastAsia="zh-CN"/>
        </w:rPr>
        <w:t>22</w:t>
      </w:r>
      <w:r>
        <w:rPr>
          <w:rFonts w:ascii="??_GB2312" w:eastAsia="Times New Roman" w:cs="??_GB2312"/>
          <w:sz w:val="30"/>
          <w:szCs w:val="30"/>
        </w:rPr>
        <w:t>.</w:t>
      </w:r>
      <w:r>
        <w:rPr>
          <w:rFonts w:ascii="??_GB2312" w:eastAsia="Times New Roman" w:cs="Calibri"/>
          <w:sz w:val="30"/>
          <w:szCs w:val="30"/>
        </w:rPr>
        <w:t>“</w:t>
      </w:r>
      <w:r>
        <w:rPr>
          <w:rFonts w:ascii="??_GB2312" w:eastAsia="Times New Roman" w:cs="Times New Roman"/>
          <w:sz w:val="30"/>
          <w:szCs w:val="30"/>
        </w:rPr>
        <w:t>三公</w:t>
      </w:r>
      <w:r>
        <w:rPr>
          <w:rFonts w:ascii="??_GB2312" w:eastAsia="Times New Roman" w:cs="Calibri"/>
          <w:sz w:val="30"/>
          <w:szCs w:val="30"/>
        </w:rPr>
        <w:t>”</w:t>
      </w:r>
      <w:r>
        <w:rPr>
          <w:rFonts w:ascii="??_GB2312" w:eastAsia="Times New Roman" w:cs="Times New Roman"/>
          <w:sz w:val="30"/>
          <w:szCs w:val="30"/>
        </w:rPr>
        <w:t>经费：纳入州级财政预决算管理的</w:t>
      </w:r>
      <w:r>
        <w:rPr>
          <w:rFonts w:ascii="??_GB2312" w:eastAsia="Times New Roman" w:cs="Calibri"/>
          <w:sz w:val="30"/>
          <w:szCs w:val="30"/>
        </w:rPr>
        <w:t>“</w:t>
      </w:r>
      <w:r>
        <w:rPr>
          <w:rFonts w:ascii="??_GB2312" w:eastAsia="Times New Roman" w:cs="Times New Roman"/>
          <w:sz w:val="30"/>
          <w:szCs w:val="30"/>
        </w:rPr>
        <w:t>三公</w:t>
      </w:r>
      <w:r>
        <w:rPr>
          <w:rFonts w:ascii="??_GB2312" w:eastAsia="Times New Roman" w:cs="Calibri"/>
          <w:sz w:val="30"/>
          <w:szCs w:val="30"/>
        </w:rPr>
        <w:t>”</w:t>
      </w:r>
      <w:r>
        <w:rPr>
          <w:rFonts w:ascii="??_GB2312" w:eastAsia="Times New Roman" w:cs="Times New Roman"/>
          <w:sz w:val="30"/>
          <w:szCs w:val="30"/>
        </w:rPr>
        <w:t>经费，是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1527452">
      <w:pPr>
        <w:pStyle w:val="26"/>
        <w:spacing w:before="93" w:line="560" w:lineRule="exact"/>
        <w:ind w:firstLine="600" w:firstLineChars="200"/>
        <w:rPr>
          <w:rFonts w:ascii="??_GB2312" w:eastAsia="Times New Roman" w:cs="Times New Roman"/>
          <w:sz w:val="30"/>
          <w:szCs w:val="30"/>
        </w:rPr>
      </w:pPr>
      <w:r>
        <w:rPr>
          <w:rFonts w:hint="eastAsia" w:ascii="??_GB2312" w:eastAsia="宋体" w:cs="??_GB2312"/>
          <w:sz w:val="30"/>
          <w:szCs w:val="30"/>
          <w:lang w:val="en-US" w:eastAsia="zh-CN"/>
        </w:rPr>
        <w:t>23</w:t>
      </w:r>
      <w:r>
        <w:rPr>
          <w:rFonts w:ascii="??_GB2312" w:eastAsia="Times New Roman" w:cs="??_GB2312"/>
          <w:sz w:val="30"/>
          <w:szCs w:val="30"/>
        </w:rPr>
        <w:t>.</w:t>
      </w:r>
      <w:r>
        <w:rPr>
          <w:rFonts w:ascii="??_GB2312" w:eastAsia="Times New Roman" w:cs="Times New Roman"/>
          <w:sz w:val="30"/>
          <w:szCs w:val="30"/>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F29D2E1">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65FCA978">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3B32B2F3">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32BEC04B">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657A0BB0">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7964979F">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385D8BF8">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63A48CAC">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093FDD24">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4119CE2C">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358BE75B">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6205C931">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07F17C38">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0B4A0795">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p>
    <w:p w14:paraId="28FB77C3">
      <w:pPr>
        <w:spacing w:line="600" w:lineRule="exact"/>
        <w:jc w:val="center"/>
        <w:outlineLvl w:val="0"/>
        <w:rPr>
          <w:rStyle w:val="22"/>
          <w:rFonts w:ascii="黑体" w:hAnsi="黑体" w:eastAsia="黑体"/>
          <w:b w:val="0"/>
          <w:bCs w:val="0"/>
        </w:rPr>
      </w:pPr>
      <w:r>
        <w:rPr>
          <w:rFonts w:hint="eastAsia" w:ascii="黑体" w:hAnsi="黑体" w:eastAsia="黑体" w:cs="黑体"/>
          <w:color w:val="000000"/>
          <w:sz w:val="44"/>
          <w:szCs w:val="44"/>
        </w:rPr>
        <w:t>第</w:t>
      </w:r>
      <w:r>
        <w:rPr>
          <w:rStyle w:val="22"/>
          <w:rFonts w:hint="eastAsia" w:ascii="黑体" w:hAnsi="黑体" w:eastAsia="黑体" w:cs="黑体"/>
          <w:b w:val="0"/>
          <w:bCs w:val="0"/>
        </w:rPr>
        <w:t>四部分附件</w:t>
      </w:r>
    </w:p>
    <w:p w14:paraId="2EE8EB55">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both"/>
        <w:textAlignment w:val="auto"/>
        <w:outlineLvl w:val="9"/>
        <w:rPr>
          <w:rStyle w:val="22"/>
          <w:rFonts w:ascii="仿宋" w:hAnsi="仿宋" w:eastAsia="仿宋" w:cs="仿宋"/>
          <w:b w:val="0"/>
          <w:bCs w:val="0"/>
          <w:sz w:val="32"/>
          <w:szCs w:val="32"/>
        </w:rPr>
      </w:pPr>
      <w:bookmarkStart w:id="43" w:name="_Toc15396615"/>
      <w:r>
        <w:rPr>
          <w:rStyle w:val="22"/>
          <w:rFonts w:hint="eastAsia" w:ascii="仿宋" w:hAnsi="仿宋" w:eastAsia="仿宋" w:cs="仿宋"/>
          <w:b w:val="0"/>
          <w:bCs w:val="0"/>
          <w:sz w:val="32"/>
          <w:szCs w:val="32"/>
        </w:rPr>
        <w:t>附件</w:t>
      </w:r>
      <w:r>
        <w:rPr>
          <w:rStyle w:val="22"/>
          <w:rFonts w:ascii="仿宋" w:hAnsi="仿宋" w:eastAsia="仿宋" w:cs="仿宋"/>
          <w:b w:val="0"/>
          <w:bCs w:val="0"/>
          <w:sz w:val="32"/>
          <w:szCs w:val="32"/>
        </w:rPr>
        <w:t>1</w:t>
      </w:r>
      <w:bookmarkEnd w:id="43"/>
    </w:p>
    <w:p w14:paraId="3CBD3CDA">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lang w:val="en-US" w:eastAsia="zh-CN"/>
        </w:rPr>
      </w:pPr>
      <w:r>
        <w:rPr>
          <w:rFonts w:hint="default" w:ascii="Times New Roman" w:hAnsi="Times New Roman" w:eastAsia="方正小标宋简体" w:cs="Times New Roman"/>
          <w:b w:val="0"/>
          <w:bCs/>
          <w:sz w:val="44"/>
          <w:szCs w:val="44"/>
          <w:highlight w:val="none"/>
          <w:shd w:val="clear" w:color="auto" w:fill="FFFFFF"/>
          <w:lang w:val="en-US" w:eastAsia="zh-CN"/>
        </w:rPr>
        <w:t>阿坝藏族羌族自治州市场监督管理局</w:t>
      </w:r>
    </w:p>
    <w:p w14:paraId="5F3D57BF">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lang w:eastAsia="zh-CN"/>
        </w:rPr>
        <w:t>部</w:t>
      </w:r>
      <w:r>
        <w:rPr>
          <w:rFonts w:hint="default" w:ascii="Times New Roman" w:hAnsi="Times New Roman" w:eastAsia="方正小标宋简体" w:cs="Times New Roman"/>
          <w:b w:val="0"/>
          <w:bCs/>
          <w:sz w:val="44"/>
          <w:szCs w:val="44"/>
          <w:highlight w:val="none"/>
          <w:shd w:val="clear" w:color="auto" w:fill="FFFFFF"/>
        </w:rPr>
        <w:t>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BE752FB">
      <w:pPr>
        <w:keepNext w:val="0"/>
        <w:keepLines w:val="0"/>
        <w:pageBreakBefore w:val="0"/>
        <w:widowControl/>
        <w:kinsoku/>
        <w:wordWrap/>
        <w:overflowPunct/>
        <w:topLinePunct w:val="0"/>
        <w:autoSpaceDE/>
        <w:autoSpaceDN/>
        <w:bidi w:val="0"/>
        <w:spacing w:line="600" w:lineRule="exact"/>
        <w:contextualSpacing/>
        <w:jc w:val="center"/>
        <w:textAlignment w:val="auto"/>
        <w:outlineLvl w:val="9"/>
        <w:rPr>
          <w:rFonts w:hint="default" w:ascii="Times New Roman" w:hAnsi="Times New Roman" w:cs="Times New Roman"/>
          <w:szCs w:val="32"/>
          <w:highlight w:val="none"/>
          <w:shd w:val="clear" w:color="auto" w:fill="FFFFFF"/>
        </w:rPr>
      </w:pPr>
    </w:p>
    <w:p w14:paraId="25ED173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cs="Times New Roman"/>
          <w:szCs w:val="32"/>
          <w:highlight w:val="none"/>
        </w:rPr>
      </w:pPr>
      <w:r>
        <w:rPr>
          <w:rFonts w:hint="eastAsia" w:ascii="Times New Roman" w:hAnsi="Times New Roman" w:eastAsia="黑体" w:cs="Times New Roman"/>
          <w:color w:val="000000"/>
          <w:kern w:val="0"/>
          <w:szCs w:val="32"/>
          <w:highlight w:val="none"/>
          <w:shd w:val="clear" w:color="auto" w:fill="FFFFFF"/>
          <w:lang w:val="zh-CN"/>
        </w:rPr>
        <w:t>一、</w:t>
      </w:r>
      <w:r>
        <w:rPr>
          <w:rFonts w:hint="default" w:ascii="Times New Roman" w:hAnsi="Times New Roman" w:eastAsia="黑体" w:cs="Times New Roman"/>
          <w:color w:val="000000"/>
          <w:kern w:val="0"/>
          <w:szCs w:val="32"/>
          <w:highlight w:val="none"/>
          <w:shd w:val="clear" w:color="auto" w:fill="FFFFFF"/>
          <w:lang w:val="zh-CN"/>
        </w:rPr>
        <w:t>部门（单位）基本情况</w:t>
      </w:r>
    </w:p>
    <w:p w14:paraId="5506136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zh-CN"/>
        </w:rPr>
        <w:t>（一）</w:t>
      </w:r>
      <w:r>
        <w:rPr>
          <w:rFonts w:hint="default" w:ascii="Times New Roman" w:hAnsi="Times New Roman" w:eastAsia="楷体_GB2312" w:cs="Times New Roman"/>
          <w:b/>
          <w:bCs/>
          <w:color w:val="000000"/>
          <w:kern w:val="0"/>
          <w:szCs w:val="32"/>
          <w:highlight w:val="none"/>
          <w:shd w:val="clear" w:color="auto" w:fill="FFFFFF"/>
          <w:lang w:val="zh-CN"/>
        </w:rPr>
        <w:t>机构组成</w:t>
      </w:r>
    </w:p>
    <w:p w14:paraId="52AD9CB6">
      <w:pPr>
        <w:pageBreakBefore w:val="0"/>
        <w:kinsoku/>
        <w:wordWrap/>
        <w:overflowPunct/>
        <w:topLinePunct w:val="0"/>
        <w:autoSpaceDE/>
        <w:bidi w:val="0"/>
        <w:spacing w:line="600" w:lineRule="exact"/>
        <w:ind w:firstLine="640" w:firstLineChars="200"/>
        <w:rPr>
          <w:rFonts w:hint="default" w:ascii="Times New Roman" w:hAnsi="Times New Roman" w:cs="Times New Roman"/>
          <w:color w:val="000000"/>
          <w:sz w:val="32"/>
          <w:szCs w:val="32"/>
          <w:highlight w:val="none"/>
          <w:lang w:val="en-US" w:eastAsia="zh-CN" w:bidi="ar-SA"/>
        </w:rPr>
      </w:pPr>
      <w:r>
        <w:rPr>
          <w:rFonts w:hint="default" w:ascii="Times New Roman" w:hAnsi="Times New Roman" w:cs="Times New Roman"/>
          <w:color w:val="000000"/>
          <w:sz w:val="32"/>
          <w:szCs w:val="32"/>
          <w:highlight w:val="none"/>
          <w:lang w:val="en-US" w:eastAsia="zh-CN" w:bidi="ar-SA"/>
        </w:rPr>
        <w:t>阿坝藏族羌族自治州市场监督管理局（后文简称“</w:t>
      </w:r>
      <w:r>
        <w:rPr>
          <w:rFonts w:hint="eastAsia" w:cs="Times New Roman"/>
          <w:color w:val="000000"/>
          <w:sz w:val="32"/>
          <w:szCs w:val="32"/>
          <w:highlight w:val="none"/>
          <w:lang w:val="en-US" w:eastAsia="zh-CN" w:bidi="ar-SA"/>
        </w:rPr>
        <w:t>我单位</w:t>
      </w:r>
      <w:r>
        <w:rPr>
          <w:rFonts w:hint="default" w:ascii="Times New Roman" w:hAnsi="Times New Roman" w:cs="Times New Roman"/>
          <w:color w:val="000000"/>
          <w:sz w:val="32"/>
          <w:szCs w:val="32"/>
          <w:highlight w:val="none"/>
          <w:lang w:val="en-US" w:eastAsia="zh-CN" w:bidi="ar-SA"/>
        </w:rPr>
        <w:t>”）设下列内设机构：</w:t>
      </w:r>
    </w:p>
    <w:p w14:paraId="0B32500D">
      <w:pPr>
        <w:pageBreakBefore w:val="0"/>
        <w:kinsoku/>
        <w:wordWrap/>
        <w:overflowPunct/>
        <w:topLinePunct w:val="0"/>
        <w:autoSpaceDE/>
        <w:bidi w:val="0"/>
        <w:spacing w:line="600" w:lineRule="exact"/>
        <w:ind w:firstLine="640" w:firstLineChars="200"/>
        <w:rPr>
          <w:rFonts w:hint="default" w:ascii="Times New Roman" w:hAnsi="Times New Roman" w:cs="Times New Roman"/>
          <w:color w:val="000000"/>
          <w:sz w:val="32"/>
          <w:szCs w:val="32"/>
          <w:highlight w:val="none"/>
          <w:lang w:val="en-US" w:eastAsia="zh-CN" w:bidi="ar-SA"/>
        </w:rPr>
      </w:pPr>
      <w:r>
        <w:rPr>
          <w:rFonts w:hint="eastAsia" w:cs="Times New Roman"/>
          <w:color w:val="000000"/>
          <w:sz w:val="32"/>
          <w:szCs w:val="32"/>
          <w:highlight w:val="none"/>
          <w:lang w:val="en-US" w:eastAsia="zh-CN" w:bidi="ar-SA"/>
        </w:rPr>
        <w:t>办公室、综合规划科、法规科、登记注册与行政审批科、市场信用监督管理科、价格监督检查科、消费者权益保护科、网络交易与广告监督管理科、质量发展科、产品质量安全监督管理科、食品安全协调科、食品生产安全监督管理科。</w:t>
      </w:r>
    </w:p>
    <w:p w14:paraId="4704D8D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both"/>
        <w:textAlignment w:val="auto"/>
        <w:outlineLvl w:val="1"/>
        <w:rPr>
          <w:rFonts w:hint="eastAsia" w:ascii="Times New Roman" w:hAnsi="Times New Roman" w:eastAsia="楷体_GB2312" w:cs="Times New Roman"/>
          <w:b/>
          <w:bCs/>
          <w:color w:val="000000"/>
          <w:kern w:val="0"/>
          <w:szCs w:val="32"/>
          <w:highlight w:val="none"/>
          <w:shd w:val="clear" w:color="auto" w:fill="FFFFFF"/>
          <w:lang w:val="zh-CN"/>
        </w:rPr>
      </w:pPr>
      <w:r>
        <w:rPr>
          <w:rFonts w:hint="eastAsia"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en-US" w:eastAsia="zh-CN"/>
        </w:rPr>
        <w:t>二）</w:t>
      </w:r>
      <w:r>
        <w:rPr>
          <w:rFonts w:hint="default" w:ascii="Times New Roman" w:hAnsi="Times New Roman" w:eastAsia="楷体_GB2312" w:cs="Times New Roman"/>
          <w:b/>
          <w:bCs/>
          <w:color w:val="000000"/>
          <w:kern w:val="0"/>
          <w:szCs w:val="32"/>
          <w:highlight w:val="none"/>
          <w:shd w:val="clear" w:color="auto" w:fill="FFFFFF"/>
          <w:lang w:val="zh-CN"/>
        </w:rPr>
        <w:t>机构职能</w:t>
      </w:r>
    </w:p>
    <w:p w14:paraId="5F2A795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我单位主要承担以下职责和功能：</w:t>
      </w:r>
    </w:p>
    <w:p w14:paraId="4756B8F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1.负责全州市场综合监督管理工作。起草市场监督管理有关自治法规、规章和规范性文件草案。组织实施质量强州、食品安全、标准化和知识产权战略</w:t>
      </w:r>
      <w:r>
        <w:rPr>
          <w:rFonts w:hint="eastAsia"/>
          <w:lang w:eastAsia="zh-CN"/>
        </w:rPr>
        <w:t>，</w:t>
      </w:r>
      <w:r>
        <w:rPr>
          <w:rFonts w:hint="eastAsia" w:ascii="Times New Roman" w:hAnsi="Times New Roman"/>
        </w:rPr>
        <w:t>拟订并组织实施全州食品安全等规划</w:t>
      </w:r>
      <w:r>
        <w:rPr>
          <w:rFonts w:hint="eastAsia"/>
          <w:lang w:eastAsia="zh-CN"/>
        </w:rPr>
        <w:t>，</w:t>
      </w:r>
      <w:r>
        <w:rPr>
          <w:rFonts w:hint="eastAsia" w:ascii="Times New Roman" w:hAnsi="Times New Roman"/>
        </w:rPr>
        <w:t>规范和维护市场秩序</w:t>
      </w:r>
      <w:r>
        <w:rPr>
          <w:rFonts w:hint="eastAsia"/>
          <w:lang w:eastAsia="zh-CN"/>
        </w:rPr>
        <w:t>，</w:t>
      </w:r>
      <w:r>
        <w:rPr>
          <w:rFonts w:hint="eastAsia" w:ascii="Times New Roman" w:hAnsi="Times New Roman"/>
        </w:rPr>
        <w:t>营造诚实守信、公平竞争的市场环境。</w:t>
      </w:r>
    </w:p>
    <w:p w14:paraId="0CACDF9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2.负责全州市场主体统一登记注册。负责全州各类企业、农民专业合作社和从事经营活动的单位、个体工商户以及外国</w:t>
      </w:r>
      <w:r>
        <w:rPr>
          <w:rFonts w:hint="eastAsia"/>
          <w:lang w:eastAsia="zh-CN"/>
        </w:rPr>
        <w:t>（</w:t>
      </w:r>
      <w:r>
        <w:rPr>
          <w:rFonts w:hint="eastAsia" w:ascii="Times New Roman" w:hAnsi="Times New Roman"/>
        </w:rPr>
        <w:t>地区</w:t>
      </w:r>
      <w:r>
        <w:rPr>
          <w:rFonts w:hint="eastAsia"/>
          <w:lang w:eastAsia="zh-CN"/>
        </w:rPr>
        <w:t>）</w:t>
      </w:r>
      <w:r>
        <w:rPr>
          <w:rFonts w:hint="eastAsia" w:ascii="Times New Roman" w:hAnsi="Times New Roman"/>
        </w:rPr>
        <w:t>企业、常驻代表机构等市场主体的登记注册和监督管理工作。建立市场主体信息公示和共享机制</w:t>
      </w:r>
      <w:r>
        <w:rPr>
          <w:rFonts w:hint="eastAsia"/>
          <w:lang w:eastAsia="zh-CN"/>
        </w:rPr>
        <w:t>，</w:t>
      </w:r>
      <w:r>
        <w:rPr>
          <w:rFonts w:hint="eastAsia" w:ascii="Times New Roman" w:hAnsi="Times New Roman"/>
        </w:rPr>
        <w:t>依法公示和共享有关信息</w:t>
      </w:r>
      <w:r>
        <w:rPr>
          <w:rFonts w:hint="eastAsia"/>
          <w:lang w:eastAsia="zh-CN"/>
        </w:rPr>
        <w:t>，</w:t>
      </w:r>
      <w:r>
        <w:rPr>
          <w:rFonts w:hint="eastAsia" w:ascii="Times New Roman" w:hAnsi="Times New Roman"/>
        </w:rPr>
        <w:t>加强信用监管</w:t>
      </w:r>
      <w:r>
        <w:rPr>
          <w:rFonts w:hint="eastAsia"/>
          <w:lang w:eastAsia="zh-CN"/>
        </w:rPr>
        <w:t>，</w:t>
      </w:r>
      <w:r>
        <w:rPr>
          <w:rFonts w:hint="eastAsia" w:ascii="Times New Roman" w:hAnsi="Times New Roman"/>
        </w:rPr>
        <w:t>推动市场主体信用体系建设。</w:t>
      </w:r>
    </w:p>
    <w:p w14:paraId="147D39A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3.负责组织和指导全州市场监督管理综合执法工作。指导全州市场监管综合执法队伍整合和建设</w:t>
      </w:r>
      <w:r>
        <w:rPr>
          <w:rFonts w:hint="eastAsia"/>
          <w:lang w:eastAsia="zh-CN"/>
        </w:rPr>
        <w:t>，</w:t>
      </w:r>
      <w:r>
        <w:rPr>
          <w:rFonts w:hint="eastAsia" w:ascii="Times New Roman" w:hAnsi="Times New Roman"/>
        </w:rPr>
        <w:t>推动实行统一的市场监管。组织查处和督办大案要案、疑难案件、跨区域案件。规范市场监督管理行政执法行为。</w:t>
      </w:r>
    </w:p>
    <w:p w14:paraId="6B01183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4.负责全州反垄断统一执法。统筹推进竞争政策实施，按照权限指导实施公平竞争审查制度。依法依授权对经营者集中行为进行反垄断审查</w:t>
      </w:r>
      <w:r>
        <w:rPr>
          <w:rFonts w:hint="eastAsia"/>
          <w:lang w:eastAsia="zh-CN"/>
        </w:rPr>
        <w:t>，</w:t>
      </w:r>
      <w:r>
        <w:rPr>
          <w:rFonts w:hint="eastAsia" w:ascii="Times New Roman" w:hAnsi="Times New Roman"/>
        </w:rPr>
        <w:t>负责垄断协议、滥用市场支配地位和滥用行政权力排除、限制竞争等反垄断执法工作。指导在州企业在国外的反垄断应诉工作。</w:t>
      </w:r>
    </w:p>
    <w:p w14:paraId="7F024F7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5.负责监督管理全州市场秩序。依法监督管理市场交易、网络商品交易及有关服务的行为。组织指导查处价格收费违法违规、不正当竞争、违法直销、传销、侵犯商标专利知识产权和制售假冒伪劣行为。指导广告业发展</w:t>
      </w:r>
      <w:r>
        <w:rPr>
          <w:rFonts w:hint="eastAsia"/>
          <w:lang w:eastAsia="zh-CN"/>
        </w:rPr>
        <w:t>，</w:t>
      </w:r>
      <w:r>
        <w:rPr>
          <w:rFonts w:hint="eastAsia" w:ascii="Times New Roman" w:hAnsi="Times New Roman"/>
        </w:rPr>
        <w:t>监督管理广告活动。依法查处无照生产经营和相关无证生产经营行为。依法开展消费者权益保护工作。指导州保护消费者权益委员会开展工作。</w:t>
      </w:r>
    </w:p>
    <w:p w14:paraId="414A6EE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6.负责全州宏观质量管理。组织实施质量发展的制度措施。统筹全州质量基础设施建设与应用。会同有关部门组织实施重大工程设备质量监理制度</w:t>
      </w:r>
      <w:r>
        <w:rPr>
          <w:rFonts w:hint="eastAsia"/>
          <w:lang w:eastAsia="zh-CN"/>
        </w:rPr>
        <w:t>，</w:t>
      </w:r>
      <w:r>
        <w:rPr>
          <w:rFonts w:hint="eastAsia" w:ascii="Times New Roman" w:hAnsi="Times New Roman"/>
        </w:rPr>
        <w:t>组织产品质量事故调查</w:t>
      </w:r>
      <w:r>
        <w:rPr>
          <w:rFonts w:hint="eastAsia"/>
          <w:lang w:eastAsia="zh-CN"/>
        </w:rPr>
        <w:t>，</w:t>
      </w:r>
      <w:r>
        <w:rPr>
          <w:rFonts w:hint="eastAsia" w:ascii="Times New Roman" w:hAnsi="Times New Roman"/>
        </w:rPr>
        <w:t>贯彻实施缺陷产品召回制度</w:t>
      </w:r>
      <w:r>
        <w:rPr>
          <w:rFonts w:hint="eastAsia"/>
          <w:lang w:eastAsia="zh-CN"/>
        </w:rPr>
        <w:t>，</w:t>
      </w:r>
      <w:r>
        <w:rPr>
          <w:rFonts w:hint="eastAsia" w:ascii="Times New Roman" w:hAnsi="Times New Roman"/>
        </w:rPr>
        <w:t>监督管理产品防伪工作。</w:t>
      </w:r>
    </w:p>
    <w:p w14:paraId="7518FE9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7.负责全州产品质量安全监督管理。负责产品质量监督抽查和风险监控工作</w:t>
      </w:r>
      <w:r>
        <w:rPr>
          <w:rFonts w:hint="eastAsia"/>
          <w:lang w:eastAsia="zh-CN"/>
        </w:rPr>
        <w:t>，</w:t>
      </w:r>
      <w:r>
        <w:rPr>
          <w:rFonts w:hint="eastAsia" w:ascii="Times New Roman" w:hAnsi="Times New Roman"/>
        </w:rPr>
        <w:t>组织实施质量分级制度、质量安全追溯制度。负责工业产品生产许可管理。负责纤维质量监督工作。</w:t>
      </w:r>
    </w:p>
    <w:p w14:paraId="6154B16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8.负责全州特种设备安全监督管理。综合管理特种设备安全监察、监督工作</w:t>
      </w:r>
      <w:r>
        <w:rPr>
          <w:rFonts w:hint="eastAsia"/>
          <w:lang w:eastAsia="zh-CN"/>
        </w:rPr>
        <w:t>，</w:t>
      </w:r>
      <w:r>
        <w:rPr>
          <w:rFonts w:hint="eastAsia" w:ascii="Times New Roman" w:hAnsi="Times New Roman"/>
        </w:rPr>
        <w:t>监督检查高耗能特种设备节能标准和锅炉产品环境保护标准的执行情况。</w:t>
      </w:r>
    </w:p>
    <w:p w14:paraId="6260E4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9.负责全州食品安全监督管理综合协调。统筹指导全州食品安全工作。负责食品安全应急体系建设</w:t>
      </w:r>
      <w:r>
        <w:rPr>
          <w:rFonts w:hint="eastAsia"/>
          <w:lang w:eastAsia="zh-CN"/>
        </w:rPr>
        <w:t>，</w:t>
      </w:r>
      <w:r>
        <w:rPr>
          <w:rFonts w:hint="eastAsia" w:ascii="Times New Roman" w:hAnsi="Times New Roman"/>
        </w:rPr>
        <w:t>组织指导食品安全事件应急处置和调查处理工作。建立健全食品安全重要信息直报制度。承担州食品安全委员会日常工作。</w:t>
      </w:r>
    </w:p>
    <w:p w14:paraId="022C205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10.负责全州食品安全监督管理。建立覆盖食品生产、流通、消费全过程的监督检查制度和隐患排查治理机制并组织实施</w:t>
      </w:r>
      <w:r>
        <w:rPr>
          <w:rFonts w:hint="eastAsia"/>
          <w:lang w:eastAsia="zh-CN"/>
        </w:rPr>
        <w:t>，</w:t>
      </w:r>
      <w:r>
        <w:rPr>
          <w:rFonts w:hint="eastAsia" w:ascii="Times New Roman" w:hAnsi="Times New Roman"/>
        </w:rPr>
        <w:t>防范区域性、系统性食品安全风险。推动建立食品生产经营者落实主体责任机制</w:t>
      </w:r>
      <w:r>
        <w:rPr>
          <w:rFonts w:hint="eastAsia"/>
          <w:lang w:eastAsia="zh-CN"/>
        </w:rPr>
        <w:t>，</w:t>
      </w:r>
      <w:r>
        <w:rPr>
          <w:rFonts w:hint="eastAsia" w:ascii="Times New Roman" w:hAnsi="Times New Roman"/>
        </w:rPr>
        <w:t>健全食品安全追溯体系。指导督促食品生产经营企业的安全生产工作</w:t>
      </w:r>
      <w:r>
        <w:rPr>
          <w:rFonts w:hint="eastAsia"/>
          <w:lang w:eastAsia="zh-CN"/>
        </w:rPr>
        <w:t>，</w:t>
      </w:r>
      <w:r>
        <w:rPr>
          <w:rFonts w:hint="eastAsia" w:ascii="Times New Roman" w:hAnsi="Times New Roman"/>
        </w:rPr>
        <w:t>组织开展食品安全监督抽检、风险监测、核查处置和风险预警、风险交流工作。组织实施特殊食品生产、流通、使用的监督管理。</w:t>
      </w:r>
    </w:p>
    <w:p w14:paraId="10BF00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11.负责全州药品</w:t>
      </w:r>
      <w:r>
        <w:rPr>
          <w:rFonts w:hint="eastAsia"/>
          <w:lang w:eastAsia="zh-CN"/>
        </w:rPr>
        <w:t>（</w:t>
      </w:r>
      <w:r>
        <w:rPr>
          <w:rFonts w:hint="eastAsia" w:ascii="Times New Roman" w:hAnsi="Times New Roman"/>
        </w:rPr>
        <w:t>含中药、民族药</w:t>
      </w:r>
      <w:r>
        <w:rPr>
          <w:rFonts w:hint="eastAsia"/>
          <w:lang w:eastAsia="zh-CN"/>
        </w:rPr>
        <w:t>，</w:t>
      </w:r>
      <w:r>
        <w:rPr>
          <w:rFonts w:hint="eastAsia" w:ascii="Times New Roman" w:hAnsi="Times New Roman"/>
        </w:rPr>
        <w:t>下同</w:t>
      </w:r>
      <w:r>
        <w:rPr>
          <w:rFonts w:hint="eastAsia"/>
          <w:lang w:eastAsia="zh-CN"/>
        </w:rPr>
        <w:t>）</w:t>
      </w:r>
      <w:r>
        <w:rPr>
          <w:rFonts w:hint="eastAsia" w:ascii="Times New Roman" w:hAnsi="Times New Roman"/>
        </w:rPr>
        <w:t>、医疗器械和化妆品安全监督管理。贯彻执行国家有关药品、医疗器械和化妆品监督管理的方针政策和法律法规。贯彻落实国家鼓励药品、医疗器械和化妆品新技术新产品的管理与服务政策。</w:t>
      </w:r>
    </w:p>
    <w:p w14:paraId="71B4F0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12.负责监督全州药品、医疗器械和化妆品标准执行和分类管理。组织拟订并监督实施中药材</w:t>
      </w:r>
      <w:r>
        <w:rPr>
          <w:rFonts w:hint="eastAsia"/>
          <w:lang w:eastAsia="zh-CN"/>
        </w:rPr>
        <w:t>（</w:t>
      </w:r>
      <w:r>
        <w:rPr>
          <w:rFonts w:hint="eastAsia" w:ascii="Times New Roman" w:hAnsi="Times New Roman"/>
        </w:rPr>
        <w:t>含民族药材</w:t>
      </w:r>
      <w:r>
        <w:rPr>
          <w:rFonts w:hint="eastAsia"/>
          <w:lang w:eastAsia="zh-CN"/>
        </w:rPr>
        <w:t>）</w:t>
      </w:r>
      <w:r>
        <w:rPr>
          <w:rFonts w:hint="eastAsia" w:ascii="Times New Roman" w:hAnsi="Times New Roman"/>
        </w:rPr>
        <w:t>地方标准。监督实施中药饮片</w:t>
      </w:r>
      <w:r>
        <w:rPr>
          <w:rFonts w:hint="eastAsia"/>
          <w:lang w:eastAsia="zh-CN"/>
        </w:rPr>
        <w:t>（</w:t>
      </w:r>
      <w:r>
        <w:rPr>
          <w:rFonts w:hint="eastAsia" w:ascii="Times New Roman" w:hAnsi="Times New Roman"/>
        </w:rPr>
        <w:t>含民族药饮片</w:t>
      </w:r>
      <w:r>
        <w:rPr>
          <w:rFonts w:hint="eastAsia"/>
          <w:lang w:eastAsia="zh-CN"/>
        </w:rPr>
        <w:t>）</w:t>
      </w:r>
      <w:r>
        <w:rPr>
          <w:rFonts w:hint="eastAsia" w:ascii="Times New Roman" w:hAnsi="Times New Roman"/>
        </w:rPr>
        <w:t>地方炮制规范。配合实施国家基本药物制度。</w:t>
      </w:r>
    </w:p>
    <w:p w14:paraId="46FE38C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13.负责全州药品、医疗器械和化妆品质量管理。依法依授权监督实施药品、医疗器械生产、经营、使用质量管理规范</w:t>
      </w:r>
      <w:r>
        <w:rPr>
          <w:rFonts w:hint="eastAsia"/>
          <w:lang w:eastAsia="zh-CN"/>
        </w:rPr>
        <w:t>，</w:t>
      </w:r>
      <w:r>
        <w:rPr>
          <w:rFonts w:hint="eastAsia" w:ascii="Times New Roman" w:hAnsi="Times New Roman"/>
        </w:rPr>
        <w:t>依法依授权监督实施化妆品生产卫生标准和技术规范。</w:t>
      </w:r>
    </w:p>
    <w:p w14:paraId="2BCF93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14.负责全州药品、医疗器械和化妆品监督管理。负责药品、医疗器械、化妆品日常监督检查。依法依授权查处药品、医疗器械和化妆品生产、销售、使用的违法行为。指导县</w:t>
      </w:r>
      <w:r>
        <w:rPr>
          <w:rFonts w:hint="eastAsia"/>
          <w:lang w:eastAsia="zh-CN"/>
        </w:rPr>
        <w:t>（</w:t>
      </w:r>
      <w:r>
        <w:rPr>
          <w:rFonts w:hint="eastAsia" w:ascii="Times New Roman" w:hAnsi="Times New Roman"/>
        </w:rPr>
        <w:t>市</w:t>
      </w:r>
      <w:r>
        <w:rPr>
          <w:rFonts w:hint="eastAsia"/>
          <w:lang w:eastAsia="zh-CN"/>
        </w:rPr>
        <w:t>）</w:t>
      </w:r>
      <w:r>
        <w:rPr>
          <w:rFonts w:hint="eastAsia" w:ascii="Times New Roman" w:hAnsi="Times New Roman"/>
        </w:rPr>
        <w:t>药品、医疗器械和化妆品监督管理工作。</w:t>
      </w:r>
    </w:p>
    <w:p w14:paraId="331E40B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15.负责全州药品、医疗器械和化妆品风险管理。组织开展药品不良反应、医疗器械不良事件和化妆品不良反应的监测、评价和处置工作。依法承担药品、医疗器械和化妆品安全应急管理和投诉举报处置工作。</w:t>
      </w:r>
    </w:p>
    <w:p w14:paraId="0232142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16.依法依授权承担我州执业药师注册管理工作</w:t>
      </w:r>
      <w:r>
        <w:rPr>
          <w:rFonts w:hint="eastAsia"/>
          <w:lang w:eastAsia="zh-CN"/>
        </w:rPr>
        <w:t>，</w:t>
      </w:r>
      <w:r>
        <w:rPr>
          <w:rFonts w:hint="eastAsia" w:ascii="Times New Roman" w:hAnsi="Times New Roman"/>
        </w:rPr>
        <w:t>贯彻执行执业药师其他相关管理制度。</w:t>
      </w:r>
    </w:p>
    <w:p w14:paraId="4F411F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17.负责统一管理全州计量工作。推行法定计量单位，执行国家计量制度</w:t>
      </w:r>
      <w:r>
        <w:rPr>
          <w:rFonts w:hint="eastAsia"/>
          <w:lang w:eastAsia="zh-CN"/>
        </w:rPr>
        <w:t>，</w:t>
      </w:r>
      <w:r>
        <w:rPr>
          <w:rFonts w:hint="eastAsia" w:ascii="Times New Roman" w:hAnsi="Times New Roman"/>
        </w:rPr>
        <w:t>管理计量器具及量值传递和比对工作。规范、监督商品量和计量行为。</w:t>
      </w:r>
    </w:p>
    <w:p w14:paraId="1EAE87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18.负责统一管理全州标准化工作。依法承担地方标准立项、编号和发布等工作</w:t>
      </w:r>
      <w:r>
        <w:rPr>
          <w:rFonts w:hint="eastAsia"/>
          <w:lang w:eastAsia="zh-CN"/>
        </w:rPr>
        <w:t>，</w:t>
      </w:r>
      <w:r>
        <w:rPr>
          <w:rFonts w:hint="eastAsia" w:ascii="Times New Roman" w:hAnsi="Times New Roman"/>
        </w:rPr>
        <w:t>协调指导地方标准、团体标准制定工作，依法对标准制定和实施情况开展监督。</w:t>
      </w:r>
    </w:p>
    <w:p w14:paraId="4E9EF3C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19.负责统一管理全州检验检测工作。规范检验检测市场</w:t>
      </w:r>
      <w:r>
        <w:rPr>
          <w:rFonts w:hint="eastAsia"/>
          <w:lang w:eastAsia="zh-CN"/>
        </w:rPr>
        <w:t>，</w:t>
      </w:r>
      <w:r>
        <w:rPr>
          <w:rFonts w:hint="eastAsia" w:ascii="Times New Roman" w:hAnsi="Times New Roman"/>
        </w:rPr>
        <w:t>完善检验检测体系</w:t>
      </w:r>
      <w:r>
        <w:rPr>
          <w:rFonts w:hint="eastAsia"/>
          <w:lang w:eastAsia="zh-CN"/>
        </w:rPr>
        <w:t>，</w:t>
      </w:r>
      <w:r>
        <w:rPr>
          <w:rFonts w:hint="eastAsia" w:ascii="Times New Roman" w:hAnsi="Times New Roman"/>
        </w:rPr>
        <w:t>指导协调检验检测行业发展。</w:t>
      </w:r>
    </w:p>
    <w:p w14:paraId="0F2D122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20.负责统一管理全州认证认可工作。监督管理认证认可和合格评定工作。</w:t>
      </w:r>
    </w:p>
    <w:p w14:paraId="16C9C4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21.负责市场监督管理科技和信息化建设、新闻宣传。</w:t>
      </w:r>
    </w:p>
    <w:p w14:paraId="5D8ED5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22.负责全州知识产权监督管理。贯彻落实国家、省知识产权战略、法规</w:t>
      </w:r>
      <w:r>
        <w:rPr>
          <w:rFonts w:hint="eastAsia"/>
          <w:lang w:eastAsia="zh-CN"/>
        </w:rPr>
        <w:t>，</w:t>
      </w:r>
      <w:r>
        <w:rPr>
          <w:rFonts w:hint="eastAsia" w:ascii="Times New Roman" w:hAnsi="Times New Roman"/>
        </w:rPr>
        <w:t>拟订全州知识产权规划</w:t>
      </w:r>
      <w:r>
        <w:rPr>
          <w:rFonts w:hint="eastAsia"/>
          <w:lang w:eastAsia="zh-CN"/>
        </w:rPr>
        <w:t>，</w:t>
      </w:r>
      <w:r>
        <w:rPr>
          <w:rFonts w:hint="eastAsia" w:ascii="Times New Roman" w:hAnsi="Times New Roman"/>
        </w:rPr>
        <w:t>负责知识产权的保护，负责组织实施商标、专利执法工作。</w:t>
      </w:r>
    </w:p>
    <w:p w14:paraId="37245C8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23.负责促进全州民营经济发展。负责全州民营经济发展工作的任务制定、调查研究、统筹协调、督促落实及民营企业合法权益维护。在州委组织部指导下</w:t>
      </w:r>
      <w:r>
        <w:rPr>
          <w:rFonts w:hint="eastAsia"/>
          <w:lang w:eastAsia="zh-CN"/>
        </w:rPr>
        <w:t>，</w:t>
      </w:r>
      <w:r>
        <w:rPr>
          <w:rFonts w:hint="eastAsia" w:ascii="Times New Roman" w:hAnsi="Times New Roman"/>
        </w:rPr>
        <w:t>指导全州市场监督管理部门配合党委组织部门开展小微企业、个体工商户、专业市场的党建工作。</w:t>
      </w:r>
    </w:p>
    <w:p w14:paraId="21F20A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24.负责职责范围内的安全生产和职业健康、生态环境保护、应急联动、审批服务便民化等工作。</w:t>
      </w:r>
    </w:p>
    <w:p w14:paraId="61FFC9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25.完成州委、州政府交办的其他任务。</w:t>
      </w:r>
    </w:p>
    <w:p w14:paraId="33D7C2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rPr>
      </w:pPr>
      <w:r>
        <w:rPr>
          <w:rFonts w:hint="eastAsia" w:ascii="Times New Roman" w:hAnsi="Times New Roman"/>
        </w:rPr>
        <w:t>26.职能转变。</w:t>
      </w:r>
    </w:p>
    <w:p w14:paraId="4A162F12">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1"/>
        <w:rPr>
          <w:rFonts w:hint="eastAsia"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）人员概况</w:t>
      </w:r>
    </w:p>
    <w:p w14:paraId="00847CE1">
      <w:pPr>
        <w:pStyle w:val="15"/>
        <w:keepNext w:val="0"/>
        <w:keepLines w:val="0"/>
        <w:widowControl/>
        <w:suppressLineNumbers w:val="0"/>
        <w:spacing w:before="60" w:beforeAutospacing="0" w:after="60" w:afterAutospacing="0"/>
        <w:ind w:left="0" w:right="0"/>
        <w:jc w:val="both"/>
        <w:rPr>
          <w:rFonts w:hint="default" w:ascii="Times New Roman" w:hAnsi="Times New Roman" w:eastAsia="仿宋_GB2312" w:cs="Times New Roman"/>
          <w:kern w:val="2"/>
          <w:sz w:val="32"/>
          <w:szCs w:val="24"/>
          <w:highlight w:val="none"/>
          <w:lang w:val="en-US" w:eastAsia="zh-CN" w:bidi="ar-SA"/>
        </w:rPr>
      </w:pPr>
      <w:r>
        <w:rPr>
          <w:rFonts w:hint="default" w:ascii="Times New Roman" w:hAnsi="Times New Roman" w:eastAsia="仿宋_GB2312" w:cs="Times New Roman"/>
          <w:kern w:val="2"/>
          <w:sz w:val="32"/>
          <w:szCs w:val="24"/>
          <w:highlight w:val="none"/>
          <w:lang w:val="en-US" w:eastAsia="zh-CN" w:bidi="ar-SA"/>
        </w:rPr>
        <w:t>截至</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cs="Times New Roman"/>
          <w:kern w:val="2"/>
          <w:sz w:val="32"/>
          <w:szCs w:val="24"/>
          <w:highlight w:val="none"/>
          <w:lang w:val="en-US" w:eastAsia="zh-CN" w:bidi="ar-SA"/>
        </w:rPr>
        <w:t>年末</w:t>
      </w:r>
      <w:r>
        <w:rPr>
          <w:rFonts w:hint="default" w:ascii="Times New Roman" w:hAnsi="Times New Roman" w:eastAsia="仿宋_GB2312" w:cs="Times New Roman"/>
          <w:kern w:val="2"/>
          <w:sz w:val="32"/>
          <w:szCs w:val="24"/>
          <w:highlight w:val="none"/>
          <w:lang w:val="en-US" w:eastAsia="zh-CN" w:bidi="ar-SA"/>
        </w:rPr>
        <w:t>，</w:t>
      </w:r>
      <w:r>
        <w:rPr>
          <w:rFonts w:hint="eastAsia" w:cs="Times New Roman"/>
          <w:kern w:val="2"/>
          <w:sz w:val="32"/>
          <w:szCs w:val="24"/>
          <w:highlight w:val="none"/>
          <w:lang w:val="en-US" w:eastAsia="zh-CN" w:bidi="ar-SA"/>
        </w:rPr>
        <w:t>我单位</w:t>
      </w:r>
      <w:r>
        <w:rPr>
          <w:rFonts w:hint="eastAsia" w:ascii="Times New Roman" w:hAnsi="Times New Roman" w:eastAsia="仿宋_GB2312"/>
          <w:sz w:val="32"/>
          <w:szCs w:val="32"/>
          <w:highlight w:val="none"/>
        </w:rPr>
        <w:t>全部</w:t>
      </w:r>
      <w:r>
        <w:rPr>
          <w:rFonts w:hint="eastAsia" w:ascii="Times New Roman" w:hAnsi="Times New Roman"/>
          <w:sz w:val="32"/>
          <w:szCs w:val="32"/>
          <w:highlight w:val="none"/>
          <w:lang w:val="en-US" w:eastAsia="zh-CN"/>
        </w:rPr>
        <w:t>在职</w:t>
      </w:r>
      <w:r>
        <w:rPr>
          <w:rFonts w:hint="eastAsia" w:ascii="Times New Roman" w:hAnsi="Times New Roman" w:eastAsia="仿宋_GB2312"/>
          <w:sz w:val="32"/>
          <w:szCs w:val="32"/>
          <w:highlight w:val="none"/>
        </w:rPr>
        <w:t>职工</w:t>
      </w:r>
      <w:r>
        <w:rPr>
          <w:rFonts w:hint="eastAsia" w:cs="Times New Roman"/>
          <w:kern w:val="2"/>
          <w:sz w:val="32"/>
          <w:szCs w:val="24"/>
          <w:highlight w:val="none"/>
          <w:lang w:val="en-US" w:eastAsia="zh-CN" w:bidi="ar-SA"/>
        </w:rPr>
        <w:t>82</w:t>
      </w:r>
      <w:r>
        <w:rPr>
          <w:rFonts w:hint="eastAsia" w:ascii="Times New Roman" w:hAnsi="Times New Roman" w:eastAsia="仿宋_GB2312" w:cs="Times New Roman"/>
          <w:kern w:val="2"/>
          <w:sz w:val="32"/>
          <w:szCs w:val="24"/>
          <w:highlight w:val="none"/>
          <w:lang w:val="en-US" w:eastAsia="zh-CN" w:bidi="ar-SA"/>
        </w:rPr>
        <w:t>人，其中：</w:t>
      </w:r>
      <w:r>
        <w:rPr>
          <w:rFonts w:hint="eastAsia" w:cs="Times New Roman"/>
          <w:kern w:val="2"/>
          <w:sz w:val="32"/>
          <w:szCs w:val="24"/>
          <w:highlight w:val="none"/>
          <w:lang w:val="en-US" w:eastAsia="zh-CN" w:bidi="ar-SA"/>
        </w:rPr>
        <w:t>公务员</w:t>
      </w:r>
      <w:r>
        <w:rPr>
          <w:rFonts w:hint="eastAsia" w:ascii="Times New Roman" w:hAnsi="Times New Roman" w:eastAsia="仿宋_GB2312" w:cs="Times New Roman"/>
          <w:kern w:val="2"/>
          <w:sz w:val="32"/>
          <w:szCs w:val="24"/>
          <w:highlight w:val="none"/>
          <w:lang w:val="en-US" w:eastAsia="zh-CN" w:bidi="ar-SA"/>
        </w:rPr>
        <w:t>75</w:t>
      </w:r>
      <w:r>
        <w:rPr>
          <w:rFonts w:hint="eastAsia" w:ascii="Times New Roman" w:hAnsi="Times New Roman" w:cs="Times New Roman"/>
          <w:kern w:val="2"/>
          <w:sz w:val="32"/>
          <w:szCs w:val="24"/>
          <w:highlight w:val="none"/>
          <w:lang w:val="en-US" w:eastAsia="zh-CN" w:bidi="ar-SA"/>
        </w:rPr>
        <w:t>人，机关和事业工人</w:t>
      </w:r>
      <w:r>
        <w:rPr>
          <w:rFonts w:hint="eastAsia" w:cs="Times New Roman"/>
          <w:kern w:val="2"/>
          <w:sz w:val="32"/>
          <w:szCs w:val="24"/>
          <w:highlight w:val="none"/>
          <w:lang w:val="en-US" w:eastAsia="zh-CN" w:bidi="ar-SA"/>
        </w:rPr>
        <w:t>7</w:t>
      </w:r>
      <w:r>
        <w:rPr>
          <w:rFonts w:hint="eastAsia" w:ascii="Times New Roman" w:hAnsi="Times New Roman" w:cs="Times New Roman"/>
          <w:kern w:val="2"/>
          <w:sz w:val="32"/>
          <w:szCs w:val="24"/>
          <w:highlight w:val="none"/>
          <w:lang w:val="en-US" w:eastAsia="zh-CN" w:bidi="ar-SA"/>
        </w:rPr>
        <w:t>人</w:t>
      </w:r>
      <w:r>
        <w:rPr>
          <w:rFonts w:hint="eastAsia" w:ascii="Times New Roman" w:hAnsi="Times New Roman" w:eastAsia="仿宋_GB2312" w:cs="Times New Roman"/>
          <w:kern w:val="2"/>
          <w:sz w:val="32"/>
          <w:szCs w:val="24"/>
          <w:highlight w:val="none"/>
          <w:lang w:val="en-US" w:eastAsia="zh-CN" w:bidi="ar-SA"/>
        </w:rPr>
        <w:t>。</w:t>
      </w:r>
    </w:p>
    <w:p w14:paraId="191907A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rPr>
        <w:t>二、</w:t>
      </w:r>
      <w:r>
        <w:rPr>
          <w:rFonts w:hint="default" w:ascii="Times New Roman" w:hAnsi="Times New Roman" w:eastAsia="黑体" w:cs="Times New Roman"/>
          <w:color w:val="000000"/>
          <w:kern w:val="0"/>
          <w:szCs w:val="32"/>
          <w:highlight w:val="none"/>
          <w:shd w:val="clear" w:color="auto" w:fill="FFFFFF"/>
          <w:lang w:eastAsia="zh-CN"/>
        </w:rPr>
        <w:t>部门</w:t>
      </w:r>
      <w:r>
        <w:rPr>
          <w:rFonts w:hint="default" w:ascii="Times New Roman" w:hAnsi="Times New Roman" w:eastAsia="黑体" w:cs="Times New Roman"/>
          <w:color w:val="000000"/>
          <w:kern w:val="0"/>
          <w:szCs w:val="32"/>
          <w:highlight w:val="none"/>
          <w:shd w:val="clear" w:color="auto" w:fill="FFFFFF"/>
        </w:rPr>
        <w:t>资金收支情况</w:t>
      </w:r>
    </w:p>
    <w:p w14:paraId="00FCF4E3">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ascii="Times New Roman" w:hAnsi="Times New Roman" w:eastAsia="楷体_GB2312" w:cs="Times New Roman"/>
          <w:b/>
          <w:bCs/>
          <w:color w:val="000000"/>
          <w:kern w:val="0"/>
          <w:szCs w:val="32"/>
          <w:highlight w:val="none"/>
          <w:shd w:val="clear" w:color="auto" w:fill="FFFFFF"/>
          <w:lang w:val="zh-CN"/>
        </w:rPr>
        <w:t>收入情况</w:t>
      </w:r>
    </w:p>
    <w:p w14:paraId="5A333F87">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cs="Times New Roman"/>
          <w:kern w:val="2"/>
          <w:sz w:val="32"/>
          <w:szCs w:val="24"/>
          <w:highlight w:val="none"/>
          <w:lang w:val="en-US" w:eastAsia="zh-CN" w:bidi="ar-SA"/>
        </w:rPr>
        <w:t>我单位</w:t>
      </w:r>
      <w:r>
        <w:rPr>
          <w:rFonts w:hint="eastAsia" w:ascii="Times New Roman" w:hAnsi="Times New Roman" w:eastAsia="仿宋_GB2312" w:cs="Times New Roman"/>
          <w:kern w:val="2"/>
          <w:sz w:val="32"/>
          <w:szCs w:val="24"/>
          <w:highlight w:val="none"/>
          <w:lang w:val="en-US" w:eastAsia="zh-CN" w:bidi="ar-SA"/>
        </w:rPr>
        <w:t>2025</w:t>
      </w:r>
      <w:r>
        <w:rPr>
          <w:rFonts w:hint="default" w:ascii="Times New Roman" w:hAnsi="Times New Roman" w:eastAsia="仿宋_GB2312" w:cs="Times New Roman"/>
          <w:sz w:val="32"/>
          <w:highlight w:val="none"/>
          <w:lang w:val="en-US"/>
        </w:rPr>
        <w:t>年年初收入预算数为</w:t>
      </w:r>
      <w:r>
        <w:rPr>
          <w:rFonts w:hint="eastAsia" w:cs="Times New Roman"/>
          <w:kern w:val="2"/>
          <w:sz w:val="32"/>
          <w:szCs w:val="24"/>
          <w:highlight w:val="none"/>
          <w:lang w:val="en-US" w:eastAsia="zh-CN" w:bidi="ar-SA"/>
        </w:rPr>
        <w:t>3,391.60</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cs="Times New Roman"/>
          <w:kern w:val="2"/>
          <w:sz w:val="32"/>
          <w:szCs w:val="24"/>
          <w:highlight w:val="none"/>
          <w:lang w:val="en-US" w:eastAsia="zh-CN" w:bidi="ar-SA"/>
        </w:rPr>
        <w:t>3,391.60</w:t>
      </w:r>
      <w:r>
        <w:rPr>
          <w:rFonts w:hint="eastAsia" w:ascii="Times New Roman" w:hAnsi="Times New Roman" w:eastAsia="仿宋_GB2312" w:cs="Times New Roman"/>
          <w:sz w:val="32"/>
          <w:highlight w:val="none"/>
          <w:lang w:val="en-US" w:eastAsia="zh-CN"/>
        </w:rPr>
        <w:t>万元，占总预算的</w:t>
      </w:r>
      <w:r>
        <w:rPr>
          <w:rFonts w:hint="eastAsia" w:ascii="Times New Roman" w:hAnsi="Times New Roman" w:eastAsia="仿宋_GB2312" w:cs="Times New Roman"/>
          <w:kern w:val="2"/>
          <w:sz w:val="32"/>
          <w:szCs w:val="24"/>
          <w:highlight w:val="none"/>
          <w:lang w:val="en-US" w:eastAsia="zh-CN" w:bidi="ar-SA"/>
        </w:rPr>
        <w:t>100</w:t>
      </w:r>
      <w:r>
        <w:rPr>
          <w:rFonts w:hint="eastAsia" w:ascii="Times New Roman" w:hAnsi="Times New Roman" w:eastAsia="仿宋_GB2312" w:cs="Times New Roman"/>
          <w:sz w:val="32"/>
          <w:highlight w:val="none"/>
          <w:lang w:val="en-US" w:eastAsia="zh-CN"/>
        </w:rPr>
        <w:t>%</w:t>
      </w:r>
      <w:r>
        <w:rPr>
          <w:rFonts w:hint="eastAsia" w:ascii="Times New Roman" w:hAnsi="Times New Roman" w:cs="Times New Roman"/>
          <w:color w:val="auto"/>
          <w:kern w:val="2"/>
          <w:sz w:val="32"/>
          <w:szCs w:val="24"/>
          <w:highlight w:val="none"/>
          <w:lang w:val="en-US" w:eastAsia="zh-CN" w:bidi="ar-SA"/>
        </w:rPr>
        <w:t>。</w:t>
      </w:r>
    </w:p>
    <w:p w14:paraId="08DF08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highlight w:val="none"/>
        </w:rPr>
      </w:pPr>
      <w:r>
        <w:rPr>
          <w:rFonts w:hint="eastAsia" w:cs="Times New Roman"/>
          <w:sz w:val="32"/>
          <w:highlight w:val="none"/>
          <w:lang w:val="en-US" w:eastAsia="zh-CN"/>
        </w:rPr>
        <w:t>我单位</w:t>
      </w:r>
      <w:r>
        <w:rPr>
          <w:rFonts w:hint="eastAsia" w:ascii="Times New Roman" w:hAnsi="Times New Roman" w:eastAsia="仿宋_GB2312" w:cs="Times New Roman"/>
          <w:kern w:val="2"/>
          <w:sz w:val="32"/>
          <w:szCs w:val="24"/>
          <w:highlight w:val="none"/>
          <w:lang w:val="en-US" w:eastAsia="zh-CN" w:bidi="ar-SA"/>
        </w:rPr>
        <w:t>2025</w:t>
      </w:r>
      <w:r>
        <w:rPr>
          <w:rFonts w:hint="default" w:ascii="Times New Roman" w:hAnsi="Times New Roman" w:eastAsia="仿宋_GB2312" w:cs="Times New Roman"/>
          <w:sz w:val="32"/>
          <w:highlight w:val="none"/>
          <w:lang w:val="en-US"/>
        </w:rPr>
        <w:t>年收入决算数为</w:t>
      </w:r>
      <w:r>
        <w:rPr>
          <w:rFonts w:hint="eastAsia" w:cs="Times New Roman"/>
          <w:kern w:val="2"/>
          <w:sz w:val="32"/>
          <w:szCs w:val="24"/>
          <w:highlight w:val="none"/>
          <w:lang w:val="en-US" w:eastAsia="zh-CN" w:bidi="ar-SA"/>
        </w:rPr>
        <w:t>3,837.23</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cs="Times New Roman"/>
          <w:kern w:val="2"/>
          <w:sz w:val="32"/>
          <w:szCs w:val="24"/>
          <w:highlight w:val="none"/>
          <w:lang w:val="en-US" w:eastAsia="zh-CN" w:bidi="ar-SA"/>
        </w:rPr>
        <w:t>3,837.23</w:t>
      </w:r>
      <w:r>
        <w:rPr>
          <w:rFonts w:hint="eastAsia" w:ascii="Times New Roman" w:hAnsi="Times New Roman" w:eastAsia="仿宋_GB2312" w:cs="Times New Roman"/>
          <w:sz w:val="32"/>
          <w:highlight w:val="none"/>
          <w:lang w:val="en-US" w:eastAsia="zh-CN"/>
        </w:rPr>
        <w:t>万元，占总决算的</w:t>
      </w:r>
      <w:r>
        <w:rPr>
          <w:rFonts w:hint="eastAsia" w:cs="Times New Roman"/>
          <w:kern w:val="2"/>
          <w:sz w:val="32"/>
          <w:szCs w:val="24"/>
          <w:highlight w:val="none"/>
          <w:lang w:val="en-US" w:eastAsia="zh-CN" w:bidi="ar-SA"/>
        </w:rPr>
        <w:t>100</w:t>
      </w:r>
      <w:r>
        <w:rPr>
          <w:rFonts w:hint="eastAsia" w:ascii="Times New Roman" w:hAnsi="Times New Roman" w:eastAsia="仿宋_GB2312" w:cs="Times New Roman"/>
          <w:sz w:val="32"/>
          <w:highlight w:val="none"/>
          <w:lang w:val="en-US" w:eastAsia="zh-CN"/>
        </w:rPr>
        <w:t>%</w:t>
      </w:r>
      <w:r>
        <w:rPr>
          <w:rFonts w:hint="eastAsia" w:ascii="Times New Roman" w:hAnsi="Times New Roman" w:cs="Times New Roman"/>
          <w:sz w:val="32"/>
          <w:highlight w:val="none"/>
          <w:lang w:val="en-US" w:eastAsia="zh-CN"/>
        </w:rPr>
        <w:t>。</w:t>
      </w:r>
    </w:p>
    <w:p w14:paraId="1AC0952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2AD899A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cs="Times New Roman"/>
          <w:kern w:val="2"/>
          <w:sz w:val="32"/>
          <w:szCs w:val="24"/>
          <w:highlight w:val="none"/>
          <w:lang w:val="en-US" w:eastAsia="zh-CN" w:bidi="ar-SA"/>
        </w:rPr>
        <w:t>我单位</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eastAsia="仿宋_GB2312" w:cs="Times New Roman"/>
          <w:sz w:val="32"/>
          <w:szCs w:val="32"/>
          <w:highlight w:val="none"/>
          <w:lang w:val="en-US" w:eastAsia="zh-CN"/>
        </w:rPr>
        <w:t>年年初支出预算数为</w:t>
      </w:r>
      <w:r>
        <w:rPr>
          <w:rFonts w:hint="eastAsia" w:cs="Times New Roman"/>
          <w:kern w:val="2"/>
          <w:sz w:val="32"/>
          <w:szCs w:val="24"/>
          <w:highlight w:val="none"/>
          <w:lang w:val="en-US" w:eastAsia="zh-CN" w:bidi="ar-SA"/>
        </w:rPr>
        <w:t>3,391.60</w:t>
      </w:r>
      <w:r>
        <w:rPr>
          <w:rFonts w:hint="eastAsia" w:ascii="Times New Roman" w:hAnsi="Times New Roman" w:eastAsia="仿宋_GB2312" w:cs="Times New Roman"/>
          <w:sz w:val="32"/>
          <w:szCs w:val="32"/>
          <w:highlight w:val="none"/>
          <w:lang w:val="en-US" w:eastAsia="zh-CN"/>
        </w:rPr>
        <w:t>万元，其中：基本支出</w:t>
      </w:r>
      <w:r>
        <w:rPr>
          <w:rFonts w:hint="eastAsia" w:cs="Times New Roman"/>
          <w:kern w:val="2"/>
          <w:sz w:val="32"/>
          <w:szCs w:val="24"/>
          <w:highlight w:val="none"/>
          <w:lang w:val="en-US" w:eastAsia="zh-CN" w:bidi="ar-SA"/>
        </w:rPr>
        <w:t>3,067.6</w:t>
      </w:r>
      <w:r>
        <w:rPr>
          <w:rFonts w:hint="eastAsia" w:ascii="Times New Roman" w:hAnsi="Times New Roman" w:eastAsia="仿宋_GB2312" w:cs="Times New Roman"/>
          <w:kern w:val="2"/>
          <w:sz w:val="32"/>
          <w:szCs w:val="24"/>
          <w:highlight w:val="none"/>
          <w:lang w:val="en-US" w:eastAsia="zh-CN" w:bidi="ar-SA"/>
        </w:rPr>
        <w:t>0</w:t>
      </w:r>
      <w:r>
        <w:rPr>
          <w:rFonts w:hint="eastAsia" w:ascii="Times New Roman" w:hAnsi="Times New Roman" w:eastAsia="仿宋_GB2312" w:cs="Times New Roman"/>
          <w:sz w:val="32"/>
          <w:szCs w:val="32"/>
          <w:highlight w:val="none"/>
          <w:lang w:val="en-US" w:eastAsia="zh-CN"/>
        </w:rPr>
        <w:t>万元，占支出总额的</w:t>
      </w:r>
      <w:r>
        <w:rPr>
          <w:rFonts w:hint="eastAsia" w:cs="Times New Roman"/>
          <w:kern w:val="2"/>
          <w:sz w:val="32"/>
          <w:szCs w:val="24"/>
          <w:highlight w:val="none"/>
          <w:lang w:val="en-US" w:eastAsia="zh-CN" w:bidi="ar-SA"/>
        </w:rPr>
        <w:t>90.45</w:t>
      </w:r>
      <w:r>
        <w:rPr>
          <w:rFonts w:hint="eastAsia" w:ascii="Times New Roman" w:hAnsi="Times New Roman" w:eastAsia="仿宋_GB2312" w:cs="Times New Roman"/>
          <w:sz w:val="32"/>
          <w:szCs w:val="32"/>
          <w:highlight w:val="none"/>
          <w:lang w:val="en-US" w:eastAsia="zh-CN"/>
        </w:rPr>
        <w:t>%；项目支出</w:t>
      </w:r>
      <w:r>
        <w:rPr>
          <w:rFonts w:hint="eastAsia" w:cs="Times New Roman"/>
          <w:kern w:val="2"/>
          <w:sz w:val="32"/>
          <w:szCs w:val="24"/>
          <w:highlight w:val="none"/>
          <w:lang w:val="en-US" w:eastAsia="zh-CN" w:bidi="ar-SA"/>
        </w:rPr>
        <w:t>324</w:t>
      </w:r>
      <w:r>
        <w:rPr>
          <w:rFonts w:hint="eastAsia" w:ascii="Times New Roman" w:hAnsi="Times New Roman" w:eastAsia="仿宋_GB2312" w:cs="Times New Roman"/>
          <w:sz w:val="32"/>
          <w:szCs w:val="32"/>
          <w:highlight w:val="none"/>
          <w:lang w:val="en-US" w:eastAsia="zh-CN"/>
        </w:rPr>
        <w:t>万元，占支出总额的</w:t>
      </w:r>
      <w:r>
        <w:rPr>
          <w:rFonts w:hint="eastAsia" w:cs="Times New Roman"/>
          <w:kern w:val="2"/>
          <w:sz w:val="32"/>
          <w:szCs w:val="24"/>
          <w:highlight w:val="none"/>
          <w:lang w:val="en-US" w:eastAsia="zh-CN" w:bidi="ar-SA"/>
        </w:rPr>
        <w:t>9.55</w:t>
      </w:r>
      <w:r>
        <w:rPr>
          <w:rFonts w:hint="eastAsia" w:ascii="Times New Roman" w:hAnsi="Times New Roman" w:eastAsia="仿宋_GB2312" w:cs="Times New Roman"/>
          <w:sz w:val="32"/>
          <w:szCs w:val="32"/>
          <w:highlight w:val="none"/>
          <w:lang w:val="en-US" w:eastAsia="zh-CN"/>
        </w:rPr>
        <w:t>%。</w:t>
      </w:r>
    </w:p>
    <w:p w14:paraId="6054BE18">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lang w:val="en-US" w:eastAsia="zh-CN"/>
        </w:rPr>
      </w:pPr>
      <w:r>
        <w:rPr>
          <w:rFonts w:hint="eastAsia" w:cs="Times New Roman"/>
          <w:kern w:val="2"/>
          <w:sz w:val="32"/>
          <w:szCs w:val="24"/>
          <w:highlight w:val="none"/>
          <w:lang w:val="en-US" w:eastAsia="zh-CN" w:bidi="ar-SA"/>
        </w:rPr>
        <w:t>我单位</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eastAsia="仿宋_GB2312" w:cs="Times New Roman"/>
          <w:sz w:val="32"/>
          <w:szCs w:val="32"/>
          <w:highlight w:val="none"/>
          <w:lang w:val="en-US" w:eastAsia="zh-CN"/>
        </w:rPr>
        <w:t>年支出决算数为</w:t>
      </w:r>
      <w:r>
        <w:rPr>
          <w:rFonts w:hint="eastAsia" w:cs="Times New Roman"/>
          <w:kern w:val="2"/>
          <w:sz w:val="32"/>
          <w:szCs w:val="24"/>
          <w:highlight w:val="none"/>
          <w:lang w:val="en-US" w:eastAsia="zh-CN" w:bidi="ar-SA"/>
        </w:rPr>
        <w:t>3,837.23</w:t>
      </w:r>
      <w:r>
        <w:rPr>
          <w:rFonts w:hint="eastAsia" w:ascii="Times New Roman" w:hAnsi="Times New Roman" w:eastAsia="仿宋_GB2312" w:cs="Times New Roman"/>
          <w:sz w:val="32"/>
          <w:szCs w:val="32"/>
          <w:highlight w:val="none"/>
          <w:lang w:val="en-US" w:eastAsia="zh-CN"/>
        </w:rPr>
        <w:t>万元，其中：基本支出</w:t>
      </w:r>
      <w:r>
        <w:rPr>
          <w:rFonts w:hint="eastAsia" w:cs="Times New Roman"/>
          <w:kern w:val="2"/>
          <w:sz w:val="32"/>
          <w:szCs w:val="24"/>
          <w:highlight w:val="none"/>
          <w:lang w:val="en-US" w:eastAsia="zh-CN" w:bidi="ar-SA"/>
        </w:rPr>
        <w:t>3,361.47</w:t>
      </w:r>
      <w:r>
        <w:rPr>
          <w:rFonts w:hint="eastAsia" w:ascii="Times New Roman" w:hAnsi="Times New Roman" w:eastAsia="仿宋_GB2312" w:cs="Times New Roman"/>
          <w:sz w:val="32"/>
          <w:szCs w:val="32"/>
          <w:highlight w:val="none"/>
          <w:lang w:val="en-US" w:eastAsia="zh-CN"/>
        </w:rPr>
        <w:t>万元，占支出总额的</w:t>
      </w:r>
      <w:r>
        <w:rPr>
          <w:rFonts w:hint="eastAsia" w:cs="Times New Roman"/>
          <w:kern w:val="2"/>
          <w:sz w:val="32"/>
          <w:szCs w:val="24"/>
          <w:highlight w:val="none"/>
          <w:lang w:val="en-US" w:eastAsia="zh-CN" w:bidi="ar-SA"/>
        </w:rPr>
        <w:t>87.6</w:t>
      </w:r>
      <w:r>
        <w:rPr>
          <w:rFonts w:hint="eastAsia" w:ascii="Times New Roman" w:hAnsi="Times New Roman" w:eastAsia="仿宋_GB2312" w:cs="Times New Roman"/>
          <w:sz w:val="32"/>
          <w:szCs w:val="32"/>
          <w:highlight w:val="none"/>
          <w:lang w:val="en-US" w:eastAsia="zh-CN"/>
        </w:rPr>
        <w:t>%；项目支出</w:t>
      </w:r>
      <w:r>
        <w:rPr>
          <w:rFonts w:hint="eastAsia" w:cs="Times New Roman"/>
          <w:kern w:val="2"/>
          <w:sz w:val="32"/>
          <w:szCs w:val="24"/>
          <w:highlight w:val="none"/>
          <w:lang w:val="en-US" w:eastAsia="zh-CN" w:bidi="ar-SA"/>
        </w:rPr>
        <w:t>475.76</w:t>
      </w:r>
      <w:r>
        <w:rPr>
          <w:rFonts w:hint="eastAsia" w:ascii="Times New Roman" w:hAnsi="Times New Roman" w:eastAsia="仿宋_GB2312" w:cs="Times New Roman"/>
          <w:sz w:val="32"/>
          <w:szCs w:val="32"/>
          <w:highlight w:val="none"/>
          <w:lang w:val="en-US" w:eastAsia="zh-CN"/>
        </w:rPr>
        <w:t>万元，占支出总额的</w:t>
      </w:r>
      <w:r>
        <w:rPr>
          <w:rFonts w:hint="eastAsia" w:cs="Times New Roman"/>
          <w:kern w:val="2"/>
          <w:sz w:val="32"/>
          <w:szCs w:val="24"/>
          <w:highlight w:val="none"/>
          <w:lang w:val="en-US" w:eastAsia="zh-CN" w:bidi="ar-SA"/>
        </w:rPr>
        <w:t>12.40</w:t>
      </w:r>
      <w:r>
        <w:rPr>
          <w:rFonts w:hint="eastAsia" w:ascii="Times New Roman" w:hAnsi="Times New Roman" w:eastAsia="仿宋_GB2312" w:cs="Times New Roman"/>
          <w:sz w:val="32"/>
          <w:szCs w:val="32"/>
          <w:highlight w:val="none"/>
          <w:lang w:val="en-US" w:eastAsia="zh-CN"/>
        </w:rPr>
        <w:t>%。</w:t>
      </w:r>
    </w:p>
    <w:p w14:paraId="210F7C0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1"/>
        <w:rPr>
          <w:rFonts w:hint="eastAsia" w:ascii="Times New Roman" w:hAnsi="Times New Roman" w:eastAsia="楷体_GB2312" w:cs="Times New Roman"/>
          <w:b/>
          <w:sz w:val="32"/>
          <w:szCs w:val="32"/>
          <w:highlight w:val="none"/>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sz w:val="32"/>
          <w:szCs w:val="32"/>
          <w:highlight w:val="none"/>
        </w:rPr>
        <w:t>结余分配和结转结余情况</w:t>
      </w:r>
    </w:p>
    <w:p w14:paraId="2799FC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w:hAnsi="Times New Roman" w:cs="Times New Roman"/>
          <w:kern w:val="2"/>
          <w:sz w:val="32"/>
          <w:szCs w:val="24"/>
          <w:highlight w:val="none"/>
          <w:lang w:val="zh-CN" w:eastAsia="zh-CN" w:bidi="ar-SA"/>
        </w:rPr>
      </w:pPr>
      <w:r>
        <w:rPr>
          <w:rFonts w:hint="eastAsia" w:cs="Times New Roman"/>
          <w:kern w:val="2"/>
          <w:sz w:val="32"/>
          <w:szCs w:val="24"/>
          <w:highlight w:val="none"/>
          <w:lang w:val="en-US" w:eastAsia="zh-CN" w:bidi="ar-SA"/>
        </w:rPr>
        <w:t>我单位</w:t>
      </w:r>
      <w:r>
        <w:rPr>
          <w:rFonts w:hint="eastAsia" w:ascii="Times New Roman" w:hAnsi="Times New Roman" w:eastAsia="仿宋_GB2312" w:cs="Times New Roman"/>
          <w:kern w:val="2"/>
          <w:sz w:val="32"/>
          <w:szCs w:val="24"/>
          <w:highlight w:val="none"/>
          <w:lang w:val="en-US" w:eastAsia="zh-CN" w:bidi="ar-SA"/>
        </w:rPr>
        <w:t>2025年决算报表</w:t>
      </w:r>
      <w:r>
        <w:rPr>
          <w:rFonts w:hint="eastAsia" w:ascii="Times New Roman" w:hAnsi="Times New Roman" w:eastAsia="仿宋_GB2312" w:cs="Times New Roman"/>
          <w:color w:val="auto"/>
          <w:sz w:val="32"/>
          <w:szCs w:val="32"/>
          <w:highlight w:val="none"/>
          <w:lang w:val="en-US" w:eastAsia="zh-CN"/>
        </w:rPr>
        <w:t>无结转结余。</w:t>
      </w:r>
    </w:p>
    <w:p w14:paraId="04FE1C0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themeColor="text1"/>
          <w:kern w:val="0"/>
          <w:szCs w:val="32"/>
          <w:highlight w:val="none"/>
          <w:shd w:val="clear" w:color="auto" w:fill="FFFFFF"/>
          <w14:textFill>
            <w14:solidFill>
              <w14:schemeClr w14:val="tx1"/>
            </w14:solidFill>
          </w14:textFill>
        </w:rPr>
      </w:pPr>
      <w:r>
        <w:rPr>
          <w:rFonts w:hint="default" w:ascii="Times New Roman" w:hAnsi="Times New Roman" w:eastAsia="黑体" w:cs="Times New Roman"/>
          <w:color w:val="000000"/>
          <w:kern w:val="0"/>
          <w:szCs w:val="32"/>
          <w:highlight w:val="none"/>
          <w:shd w:val="clear" w:color="auto" w:fill="FFFFFF"/>
        </w:rPr>
        <w:t>三、</w:t>
      </w:r>
      <w:r>
        <w:rPr>
          <w:rFonts w:hint="default" w:ascii="Times New Roman" w:hAnsi="Times New Roman" w:eastAsia="黑体" w:cs="Times New Roman"/>
          <w:color w:val="000000"/>
          <w:kern w:val="0"/>
          <w:szCs w:val="32"/>
          <w:highlight w:val="none"/>
          <w:u w:val="none"/>
          <w:shd w:val="clear" w:color="auto" w:fill="FFFFFF"/>
        </w:rPr>
        <w:t>部门</w:t>
      </w:r>
      <w:r>
        <w:rPr>
          <w:rFonts w:hint="default" w:ascii="Times New Roman" w:hAnsi="Times New Roman" w:eastAsia="黑体" w:cs="Times New Roman"/>
          <w:color w:val="000000"/>
          <w:kern w:val="0"/>
          <w:szCs w:val="32"/>
          <w:highlight w:val="none"/>
          <w:u w:val="none"/>
          <w:shd w:val="clear" w:color="auto" w:fill="FFFFFF"/>
          <w:lang w:eastAsia="zh-CN"/>
        </w:rPr>
        <w:t>预算</w:t>
      </w:r>
      <w:r>
        <w:rPr>
          <w:rFonts w:hint="default" w:ascii="Times New Roman" w:hAnsi="Times New Roman" w:eastAsia="黑体" w:cs="Times New Roman"/>
          <w:color w:val="000000"/>
          <w:kern w:val="0"/>
          <w:szCs w:val="32"/>
          <w:highlight w:val="none"/>
          <w:u w:val="none"/>
          <w:shd w:val="clear" w:color="auto" w:fill="FFFFFF"/>
        </w:rPr>
        <w:t>绩效</w:t>
      </w:r>
      <w:r>
        <w:rPr>
          <w:rFonts w:hint="default" w:ascii="Times New Roman" w:hAnsi="Times New Roman" w:eastAsia="黑体" w:cs="Times New Roman"/>
          <w:color w:val="000000"/>
          <w:kern w:val="0"/>
          <w:szCs w:val="32"/>
          <w:highlight w:val="none"/>
          <w:u w:val="none"/>
          <w:shd w:val="clear" w:color="auto" w:fill="FFFFFF"/>
          <w:lang w:eastAsia="zh-CN"/>
        </w:rPr>
        <w:t>分析</w:t>
      </w:r>
    </w:p>
    <w:p w14:paraId="44F9C29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cs="Times New Roman"/>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w:t>
      </w:r>
      <w:r>
        <w:rPr>
          <w:rFonts w:hint="eastAsia" w:ascii="Times New Roman" w:hAnsi="Times New Roman" w:eastAsia="楷体_GB2312" w:cs="Times New Roman"/>
          <w:b/>
          <w:bCs/>
          <w:color w:val="000000"/>
          <w:kern w:val="0"/>
          <w:szCs w:val="32"/>
          <w:highlight w:val="none"/>
          <w:shd w:val="clear" w:color="auto" w:fill="FFFFFF"/>
          <w:lang w:val="zh-CN"/>
        </w:rPr>
        <w:t>部门预算</w:t>
      </w:r>
      <w:r>
        <w:rPr>
          <w:rFonts w:hint="default" w:ascii="Times New Roman" w:hAnsi="Times New Roman" w:eastAsia="楷体_GB2312" w:cs="Times New Roman"/>
          <w:b/>
          <w:bCs/>
          <w:color w:val="000000"/>
          <w:kern w:val="0"/>
          <w:szCs w:val="32"/>
          <w:highlight w:val="none"/>
          <w:shd w:val="clear" w:color="auto" w:fill="FFFFFF"/>
          <w:lang w:val="zh-CN"/>
        </w:rPr>
        <w:t>总体绩效分析</w:t>
      </w:r>
    </w:p>
    <w:p w14:paraId="6D3EF58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1</w:t>
      </w:r>
      <w:r>
        <w:rPr>
          <w:rFonts w:hint="eastAsia" w:ascii="Times New Roman" w:hAnsi="Times New Roman" w:eastAsia="楷体_GB2312" w:cs="楷体_GB2312"/>
          <w:color w:val="000000"/>
          <w:kern w:val="0"/>
          <w:szCs w:val="32"/>
          <w:highlight w:val="none"/>
          <w:shd w:val="clear" w:color="auto" w:fill="FFFFFF"/>
          <w:lang w:val="en-US" w:eastAsia="zh-CN"/>
        </w:rPr>
        <w:t>.</w:t>
      </w:r>
      <w:r>
        <w:rPr>
          <w:rFonts w:hint="eastAsia" w:ascii="Times New Roman" w:hAnsi="Times New Roman" w:eastAsia="楷体_GB2312" w:cs="楷体_GB2312"/>
          <w:color w:val="000000"/>
          <w:kern w:val="0"/>
          <w:szCs w:val="32"/>
          <w:highlight w:val="none"/>
          <w:shd w:val="clear" w:color="auto" w:fill="FFFFFF"/>
          <w:lang w:val="zh-CN"/>
        </w:rPr>
        <w:t>履职效能</w:t>
      </w:r>
    </w:p>
    <w:p w14:paraId="6CC12823">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为充分反映</w:t>
      </w:r>
      <w:r>
        <w:rPr>
          <w:rFonts w:hint="eastAsia" w:cs="Times New Roman"/>
          <w:color w:val="000000"/>
          <w:kern w:val="0"/>
          <w:szCs w:val="32"/>
          <w:highlight w:val="none"/>
          <w:shd w:val="clear" w:color="auto" w:fill="FFFFFF"/>
          <w:lang w:val="en-US" w:eastAsia="zh-CN"/>
        </w:rPr>
        <w:t>我单位</w:t>
      </w:r>
      <w:r>
        <w:rPr>
          <w:rFonts w:hint="eastAsia" w:ascii="Times New Roman" w:hAnsi="Times New Roman" w:cs="Times New Roman"/>
          <w:color w:val="000000"/>
          <w:kern w:val="0"/>
          <w:szCs w:val="32"/>
          <w:highlight w:val="none"/>
          <w:shd w:val="clear" w:color="auto" w:fill="FFFFFF"/>
          <w:lang w:val="en-US" w:eastAsia="zh-CN"/>
        </w:rPr>
        <w:t>2025年度部门职能履行成效，本次绩效自评根据《阿坝州财政局关于开展2026年州级部门预算绩效自评工作的通知》（阿州财监绩〔2026〕3号）要求，结合部门职能职责和2025年度重点工作任务，选取了“食品抽检批次、每季度开展系统巡检工作、开展旅游市场专项执法检查数（次）”3个绩效指标作为核心职能目标，各职能目标具体完成情况如下：</w:t>
      </w:r>
    </w:p>
    <w:p w14:paraId="27BA2E6A">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（1）食品抽检批次</w:t>
      </w:r>
    </w:p>
    <w:p w14:paraId="508CDD1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食品抽检批次达到</w:t>
      </w:r>
      <w:r>
        <w:rPr>
          <w:rFonts w:hint="eastAsia" w:cs="Times New Roman"/>
          <w:color w:val="000000"/>
          <w:kern w:val="0"/>
          <w:szCs w:val="32"/>
          <w:highlight w:val="none"/>
          <w:shd w:val="clear" w:color="auto" w:fill="FFFFFF"/>
          <w:lang w:val="en-US" w:eastAsia="zh-CN"/>
        </w:rPr>
        <w:t>400批次</w:t>
      </w:r>
      <w:r>
        <w:rPr>
          <w:rFonts w:hint="eastAsia" w:ascii="Times New Roman" w:hAnsi="Times New Roman" w:cs="Times New Roman"/>
          <w:color w:val="000000"/>
          <w:kern w:val="0"/>
          <w:szCs w:val="32"/>
          <w:highlight w:val="none"/>
          <w:shd w:val="clear" w:color="auto" w:fill="FFFFFF"/>
          <w:lang w:val="en-US" w:eastAsia="zh-CN"/>
        </w:rPr>
        <w:t>，达到预期目标值，该项指标得满分。</w:t>
      </w:r>
    </w:p>
    <w:p w14:paraId="66439F3A">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根据评分标准，该项指标不扣分，得5分。</w:t>
      </w:r>
    </w:p>
    <w:p w14:paraId="5B961C56">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color w:val="000000"/>
          <w:kern w:val="0"/>
          <w:szCs w:val="32"/>
          <w:highlight w:val="none"/>
          <w:shd w:val="clear" w:color="auto" w:fill="FFFFFF"/>
          <w:lang w:val="en-US" w:eastAsia="zh-CN"/>
        </w:rPr>
        <w:t>（2）每季度开展系统巡检工作</w:t>
      </w:r>
    </w:p>
    <w:p w14:paraId="27F6E5C9">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cs="Times New Roman"/>
          <w:color w:val="000000"/>
          <w:kern w:val="0"/>
          <w:szCs w:val="32"/>
          <w:highlight w:val="none"/>
          <w:shd w:val="clear" w:color="auto" w:fill="FFFFFF"/>
          <w:lang w:val="en-US" w:eastAsia="zh-CN"/>
        </w:rPr>
        <w:t>开展</w:t>
      </w:r>
      <w:r>
        <w:rPr>
          <w:rFonts w:hint="eastAsia" w:ascii="Times New Roman" w:hAnsi="Times New Roman" w:cs="Times New Roman"/>
          <w:color w:val="000000"/>
          <w:kern w:val="0"/>
          <w:szCs w:val="32"/>
          <w:highlight w:val="none"/>
          <w:shd w:val="clear" w:color="auto" w:fill="FFFFFF"/>
          <w:lang w:val="en-US" w:eastAsia="zh-CN"/>
        </w:rPr>
        <w:t>每季度开展系统巡检工作</w:t>
      </w:r>
      <w:r>
        <w:rPr>
          <w:rFonts w:hint="eastAsia" w:cs="Times New Roman"/>
          <w:color w:val="000000"/>
          <w:kern w:val="0"/>
          <w:szCs w:val="32"/>
          <w:highlight w:val="none"/>
          <w:shd w:val="clear" w:color="auto" w:fill="FFFFFF"/>
          <w:lang w:val="en-US" w:eastAsia="zh-CN"/>
        </w:rPr>
        <w:t>1</w:t>
      </w:r>
      <w:r>
        <w:rPr>
          <w:rFonts w:hint="eastAsia" w:ascii="Times New Roman" w:hAnsi="Times New Roman" w:cs="Times New Roman"/>
          <w:color w:val="000000"/>
          <w:kern w:val="0"/>
          <w:szCs w:val="32"/>
          <w:highlight w:val="none"/>
          <w:shd w:val="clear" w:color="auto" w:fill="FFFFFF"/>
          <w:lang w:val="en-US" w:eastAsia="zh-CN"/>
        </w:rPr>
        <w:t>次，达到预期目标值，该项指标得满分。</w:t>
      </w:r>
    </w:p>
    <w:p w14:paraId="1485187A">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根据评分标准，该项指标不扣分，得5分。</w:t>
      </w:r>
    </w:p>
    <w:p w14:paraId="2526F438">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color w:val="000000"/>
          <w:kern w:val="0"/>
          <w:szCs w:val="32"/>
          <w:highlight w:val="none"/>
          <w:shd w:val="clear" w:color="auto" w:fill="FFFFFF"/>
          <w:lang w:val="en-US" w:eastAsia="zh-CN"/>
        </w:rPr>
        <w:t>（3）开展旅游市场专项执法检查数（次）</w:t>
      </w:r>
    </w:p>
    <w:p w14:paraId="166C5AF0">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开展旅游市场专项执法检查数（次）达到</w:t>
      </w:r>
      <w:r>
        <w:rPr>
          <w:rFonts w:hint="eastAsia" w:cs="Times New Roman"/>
          <w:color w:val="000000"/>
          <w:kern w:val="0"/>
          <w:szCs w:val="32"/>
          <w:highlight w:val="none"/>
          <w:shd w:val="clear" w:color="auto" w:fill="FFFFFF"/>
          <w:lang w:val="en-US" w:eastAsia="zh-CN"/>
        </w:rPr>
        <w:t>5</w:t>
      </w:r>
      <w:r>
        <w:rPr>
          <w:rFonts w:hint="eastAsia" w:ascii="Times New Roman" w:hAnsi="Times New Roman" w:cs="Times New Roman"/>
          <w:color w:val="000000"/>
          <w:kern w:val="0"/>
          <w:szCs w:val="32"/>
          <w:highlight w:val="none"/>
          <w:shd w:val="clear" w:color="auto" w:fill="FFFFFF"/>
          <w:lang w:val="en-US" w:eastAsia="zh-CN"/>
        </w:rPr>
        <w:t>次，达到预期目标值，该项指标得满分。</w:t>
      </w:r>
    </w:p>
    <w:p w14:paraId="1B8C300E">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000000"/>
          <w:kern w:val="0"/>
          <w:szCs w:val="32"/>
          <w:highlight w:val="none"/>
          <w:shd w:val="clear" w:color="auto" w:fill="FFFFFF"/>
          <w:lang w:val="en-US" w:eastAsia="zh-CN"/>
        </w:rPr>
      </w:pPr>
      <w:r>
        <w:rPr>
          <w:rFonts w:hint="eastAsia" w:ascii="Times New Roman" w:hAnsi="Times New Roman" w:cs="Times New Roman"/>
          <w:color w:val="000000"/>
          <w:kern w:val="0"/>
          <w:szCs w:val="32"/>
          <w:highlight w:val="none"/>
          <w:shd w:val="clear" w:color="auto" w:fill="FFFFFF"/>
          <w:lang w:val="en-US" w:eastAsia="zh-CN"/>
        </w:rPr>
        <w:t>根据评分标准，该项指标不扣分，得5分。</w:t>
      </w:r>
    </w:p>
    <w:p w14:paraId="0539191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color w:val="000000"/>
          <w:kern w:val="0"/>
          <w:szCs w:val="32"/>
          <w:highlight w:val="none"/>
          <w:shd w:val="clear" w:color="auto" w:fill="FFFFFF"/>
          <w:lang w:val="en-US" w:eastAsia="zh-CN"/>
        </w:rPr>
        <w:t>综上，根据评分标准，</w:t>
      </w:r>
      <w:r>
        <w:rPr>
          <w:rFonts w:hint="eastAsia" w:cs="Times New Roman"/>
          <w:color w:val="000000"/>
          <w:kern w:val="0"/>
          <w:szCs w:val="32"/>
          <w:highlight w:val="none"/>
          <w:shd w:val="clear" w:color="auto" w:fill="FFFFFF"/>
          <w:lang w:val="en-US" w:eastAsia="zh-CN"/>
        </w:rPr>
        <w:t>我单位</w:t>
      </w:r>
      <w:r>
        <w:rPr>
          <w:rFonts w:hint="eastAsia" w:ascii="Times New Roman" w:hAnsi="Times New Roman" w:cs="Times New Roman"/>
          <w:color w:val="000000"/>
          <w:kern w:val="0"/>
          <w:szCs w:val="32"/>
          <w:highlight w:val="none"/>
          <w:shd w:val="clear" w:color="auto" w:fill="FFFFFF"/>
          <w:lang w:val="en-US" w:eastAsia="zh-CN"/>
        </w:rPr>
        <w:t>履职效能指标</w:t>
      </w:r>
      <w:r>
        <w:rPr>
          <w:rFonts w:hint="eastAsia" w:cs="Times New Roman"/>
          <w:color w:val="000000"/>
          <w:kern w:val="0"/>
          <w:szCs w:val="32"/>
          <w:highlight w:val="none"/>
          <w:shd w:val="clear" w:color="auto" w:fill="FFFFFF"/>
          <w:lang w:val="en-US" w:eastAsia="zh-CN"/>
        </w:rPr>
        <w:t>不扣分</w:t>
      </w:r>
      <w:r>
        <w:rPr>
          <w:rFonts w:hint="eastAsia" w:ascii="Times New Roman" w:hAnsi="Times New Roman" w:cs="Times New Roman"/>
          <w:color w:val="000000"/>
          <w:kern w:val="0"/>
          <w:szCs w:val="32"/>
          <w:highlight w:val="none"/>
          <w:shd w:val="clear" w:color="auto" w:fill="FFFFFF"/>
          <w:lang w:val="en-US" w:eastAsia="zh-CN"/>
        </w:rPr>
        <w:t>，得</w:t>
      </w:r>
      <w:r>
        <w:rPr>
          <w:rFonts w:hint="eastAsia" w:cs="Times New Roman"/>
          <w:color w:val="000000"/>
          <w:kern w:val="0"/>
          <w:szCs w:val="32"/>
          <w:highlight w:val="none"/>
          <w:shd w:val="clear" w:color="auto" w:fill="FFFFFF"/>
          <w:lang w:val="en-US" w:eastAsia="zh-CN"/>
        </w:rPr>
        <w:t>15</w:t>
      </w:r>
      <w:r>
        <w:rPr>
          <w:rFonts w:hint="eastAsia" w:ascii="Times New Roman" w:hAnsi="Times New Roman" w:cs="Times New Roman"/>
          <w:color w:val="000000"/>
          <w:kern w:val="0"/>
          <w:szCs w:val="32"/>
          <w:highlight w:val="none"/>
          <w:shd w:val="clear" w:color="auto" w:fill="FFFFFF"/>
          <w:lang w:val="en-US" w:eastAsia="zh-CN"/>
        </w:rPr>
        <w:t>分</w:t>
      </w:r>
      <w:r>
        <w:rPr>
          <w:rFonts w:hint="eastAsia" w:ascii="Times New Roman" w:hAnsi="Times New Roman"/>
          <w:highlight w:val="none"/>
          <w:lang w:val="en-US" w:eastAsia="zh-CN"/>
        </w:rPr>
        <w:t>。</w:t>
      </w:r>
    </w:p>
    <w:p w14:paraId="1B9A4854">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2</w:t>
      </w:r>
      <w:r>
        <w:rPr>
          <w:rFonts w:hint="eastAsia" w:ascii="Times New Roman" w:hAnsi="Times New Roman" w:eastAsia="楷体_GB2312" w:cs="楷体_GB2312"/>
          <w:color w:val="000000"/>
          <w:kern w:val="0"/>
          <w:szCs w:val="32"/>
          <w:highlight w:val="none"/>
          <w:shd w:val="clear" w:color="auto" w:fill="FFFFFF"/>
          <w:lang w:val="en-US" w:eastAsia="zh-CN"/>
        </w:rPr>
        <w:t>.</w:t>
      </w:r>
      <w:r>
        <w:rPr>
          <w:rFonts w:hint="default" w:ascii="Times New Roman" w:hAnsi="Times New Roman" w:eastAsia="楷体_GB2312" w:cs="楷体_GB2312"/>
          <w:color w:val="000000"/>
          <w:kern w:val="0"/>
          <w:szCs w:val="32"/>
          <w:highlight w:val="none"/>
          <w:shd w:val="clear" w:color="auto" w:fill="FFFFFF"/>
          <w:lang w:val="zh-CN"/>
        </w:rPr>
        <w:t>预算管理</w:t>
      </w:r>
    </w:p>
    <w:p w14:paraId="27A8B246">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1</w:t>
      </w:r>
      <w:r>
        <w:rPr>
          <w:rFonts w:hint="eastAsia" w:ascii="Times New Roman" w:hAnsi="Times New Roman"/>
          <w:highlight w:val="none"/>
          <w:lang w:val="zh-CN"/>
        </w:rPr>
        <w:t>）预算编制质量</w:t>
      </w:r>
    </w:p>
    <w:p w14:paraId="1DFDD2B4">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highlight w:val="none"/>
          <w:lang w:val="en-US" w:eastAsia="zh-CN"/>
        </w:rPr>
        <w:t>年</w:t>
      </w:r>
      <w:r>
        <w:rPr>
          <w:rFonts w:hint="eastAsia"/>
          <w:highlight w:val="none"/>
          <w:lang w:val="en-US" w:eastAsia="zh-CN"/>
        </w:rPr>
        <w:t>我单位</w:t>
      </w:r>
      <w:r>
        <w:rPr>
          <w:rFonts w:hint="eastAsia" w:ascii="Times New Roman" w:hAnsi="Times New Roman"/>
          <w:highlight w:val="none"/>
          <w:lang w:val="en-US" w:eastAsia="zh-CN"/>
        </w:rPr>
        <w:t>严格按照相关要求编制年初部门预算，根据</w:t>
      </w: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highlight w:val="none"/>
          <w:lang w:val="en-US" w:eastAsia="zh-CN"/>
        </w:rPr>
        <w:t>年度预算执行情况，部门预算偏离程度如下：</w:t>
      </w:r>
    </w:p>
    <w:p w14:paraId="4104091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default" w:ascii="Times New Roman" w:hAnsi="Times New Roman" w:cs="Times New Roman"/>
          <w:highlight w:val="none"/>
          <w:lang w:val="en-US" w:eastAsia="zh-CN"/>
        </w:rPr>
        <w:t>①</w:t>
      </w:r>
      <w:r>
        <w:rPr>
          <w:rFonts w:hint="eastAsia" w:ascii="Times New Roman" w:hAnsi="Times New Roman"/>
          <w:highlight w:val="none"/>
          <w:lang w:val="en-US" w:eastAsia="zh-CN"/>
        </w:rPr>
        <w:t>财政拨款预算偏离度=|预算执行数-年初预算数|÷年初预算数=|</w:t>
      </w:r>
      <w:r>
        <w:rPr>
          <w:rFonts w:hint="eastAsia"/>
          <w:highlight w:val="none"/>
          <w:lang w:val="en-US" w:eastAsia="zh-CN"/>
        </w:rPr>
        <w:t>3,837.23</w:t>
      </w:r>
      <w:r>
        <w:rPr>
          <w:rFonts w:hint="eastAsia" w:ascii="Times New Roman" w:hAnsi="Times New Roman"/>
          <w:highlight w:val="none"/>
          <w:lang w:val="en-US" w:eastAsia="zh-CN"/>
        </w:rPr>
        <w:t>-</w:t>
      </w:r>
      <w:r>
        <w:rPr>
          <w:rFonts w:hint="eastAsia"/>
          <w:highlight w:val="none"/>
          <w:lang w:val="en-US" w:eastAsia="zh-CN"/>
        </w:rPr>
        <w:t>3,391.60</w:t>
      </w:r>
      <w:r>
        <w:rPr>
          <w:rFonts w:hint="eastAsia" w:ascii="Times New Roman" w:hAnsi="Times New Roman"/>
          <w:highlight w:val="none"/>
          <w:lang w:val="en-US" w:eastAsia="zh-CN"/>
        </w:rPr>
        <w:t>|÷</w:t>
      </w:r>
      <w:r>
        <w:rPr>
          <w:rFonts w:hint="eastAsia"/>
          <w:highlight w:val="none"/>
          <w:lang w:val="en-US" w:eastAsia="zh-CN"/>
        </w:rPr>
        <w:t>3,391.60</w:t>
      </w:r>
      <w:r>
        <w:rPr>
          <w:rFonts w:hint="eastAsia" w:ascii="Times New Roman" w:hAnsi="Times New Roman"/>
          <w:highlight w:val="none"/>
          <w:lang w:val="en-US" w:eastAsia="zh-CN"/>
        </w:rPr>
        <w:t>×</w:t>
      </w:r>
      <w:r>
        <w:rPr>
          <w:rFonts w:hint="eastAsia" w:ascii="Times New Roman" w:hAnsi="Times New Roman" w:cs="Times New Roman"/>
          <w:color w:val="auto"/>
          <w:highlight w:val="none"/>
          <w:lang w:val="en-US" w:eastAsia="zh-CN"/>
        </w:rPr>
        <w:t>100%=1</w:t>
      </w:r>
      <w:r>
        <w:rPr>
          <w:rFonts w:hint="eastAsia" w:cs="Times New Roman"/>
          <w:color w:val="auto"/>
          <w:highlight w:val="none"/>
          <w:lang w:val="en-US" w:eastAsia="zh-CN"/>
        </w:rPr>
        <w:t>3.14</w:t>
      </w:r>
      <w:r>
        <w:rPr>
          <w:rFonts w:hint="eastAsia" w:ascii="Times New Roman" w:hAnsi="Times New Roman" w:cs="Times New Roman"/>
          <w:highlight w:val="none"/>
          <w:lang w:val="en-US" w:eastAsia="zh-CN"/>
        </w:rPr>
        <w:t>%</w:t>
      </w:r>
      <w:r>
        <w:rPr>
          <w:rFonts w:hint="eastAsia" w:ascii="Times New Roman" w:hAnsi="Times New Roman"/>
          <w:highlight w:val="none"/>
          <w:lang w:val="en-US" w:eastAsia="zh-CN"/>
        </w:rPr>
        <w:t>。</w:t>
      </w:r>
    </w:p>
    <w:p w14:paraId="65F83ADB">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highlight w:val="none"/>
          <w:lang w:val="en-US" w:eastAsia="zh-CN"/>
        </w:rPr>
        <w:t>②</w:t>
      </w:r>
      <w:r>
        <w:rPr>
          <w:rFonts w:hint="eastAsia" w:ascii="Times New Roman" w:hAnsi="Times New Roman" w:cs="Times New Roman"/>
          <w:highlight w:val="none"/>
          <w:lang w:val="en-US" w:eastAsia="zh-CN"/>
        </w:rPr>
        <w:t>资</w:t>
      </w:r>
      <w:r>
        <w:rPr>
          <w:rFonts w:hint="eastAsia" w:ascii="Times New Roman" w:hAnsi="Times New Roman"/>
          <w:highlight w:val="none"/>
          <w:lang w:val="en-US" w:eastAsia="zh-CN"/>
        </w:rPr>
        <w:t>产配置预算偏离度=|预算执行数-年初预算数|÷年初预算数=|4.69-0.00|÷0.00×</w:t>
      </w:r>
      <w:r>
        <w:rPr>
          <w:rFonts w:hint="eastAsia" w:ascii="Times New Roman" w:hAnsi="Times New Roman" w:cs="Times New Roman"/>
          <w:color w:val="auto"/>
          <w:highlight w:val="none"/>
          <w:lang w:val="en-US" w:eastAsia="zh-CN"/>
        </w:rPr>
        <w:t>100%=100%。</w:t>
      </w:r>
      <w:r>
        <w:rPr>
          <w:rFonts w:hint="eastAsia" w:cs="Times New Roman"/>
          <w:color w:val="auto"/>
          <w:highlight w:val="none"/>
          <w:lang w:val="en-US" w:eastAsia="zh-CN"/>
        </w:rPr>
        <w:t xml:space="preserve">年初预算数为0无偏离。                                                                                                                                                                                                                                                                                                                                                                                                                                                                                                                                                                                                                        </w:t>
      </w:r>
    </w:p>
    <w:p w14:paraId="0CBE40EC">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s="Times New Roman"/>
          <w:color w:val="auto"/>
          <w:highlight w:val="none"/>
          <w:lang w:val="en-US" w:eastAsia="zh-CN"/>
        </w:rPr>
      </w:pPr>
      <w:r>
        <w:rPr>
          <w:rFonts w:hint="default" w:ascii="Times New Roman" w:hAnsi="Times New Roman"/>
          <w:highlight w:val="none"/>
          <w:lang w:val="en-US" w:eastAsia="zh-CN"/>
        </w:rPr>
        <w:t>③</w:t>
      </w:r>
      <w:r>
        <w:rPr>
          <w:rFonts w:hint="eastAsia" w:ascii="Times New Roman" w:hAnsi="Times New Roman"/>
          <w:highlight w:val="none"/>
          <w:lang w:val="en-US" w:eastAsia="zh-CN"/>
        </w:rPr>
        <w:t>政府采购预算偏离度=|预算执行数-年初预算数|÷年初预算数=|273.78-</w:t>
      </w:r>
      <w:r>
        <w:rPr>
          <w:rFonts w:hint="eastAsia"/>
          <w:highlight w:val="none"/>
          <w:lang w:val="en-US" w:eastAsia="zh-CN"/>
        </w:rPr>
        <w:t>205.00</w:t>
      </w:r>
      <w:r>
        <w:rPr>
          <w:rFonts w:hint="eastAsia" w:ascii="Times New Roman" w:hAnsi="Times New Roman"/>
          <w:highlight w:val="none"/>
          <w:lang w:val="en-US" w:eastAsia="zh-CN"/>
        </w:rPr>
        <w:t>|÷</w:t>
      </w:r>
      <w:r>
        <w:rPr>
          <w:rFonts w:hint="eastAsia"/>
          <w:highlight w:val="none"/>
          <w:lang w:val="en-US" w:eastAsia="zh-CN"/>
        </w:rPr>
        <w:t>205.00</w:t>
      </w:r>
      <w:r>
        <w:rPr>
          <w:rFonts w:hint="eastAsia" w:ascii="Times New Roman" w:hAnsi="Times New Roman"/>
          <w:highlight w:val="none"/>
          <w:lang w:val="en-US" w:eastAsia="zh-CN"/>
        </w:rPr>
        <w:t>×</w:t>
      </w:r>
      <w:r>
        <w:rPr>
          <w:rFonts w:hint="eastAsia" w:ascii="Times New Roman" w:hAnsi="Times New Roman" w:cs="Times New Roman"/>
          <w:color w:val="auto"/>
          <w:highlight w:val="none"/>
          <w:lang w:val="en-US" w:eastAsia="zh-CN"/>
        </w:rPr>
        <w:t>100%=</w:t>
      </w:r>
      <w:r>
        <w:rPr>
          <w:rFonts w:hint="eastAsia" w:cs="Times New Roman"/>
          <w:color w:val="auto"/>
          <w:highlight w:val="none"/>
          <w:lang w:val="en-US" w:eastAsia="zh-CN"/>
        </w:rPr>
        <w:t>33.55</w:t>
      </w:r>
      <w:r>
        <w:rPr>
          <w:rFonts w:hint="eastAsia" w:ascii="Times New Roman" w:hAnsi="Times New Roman" w:cs="Times New Roman"/>
          <w:color w:val="auto"/>
          <w:highlight w:val="none"/>
          <w:lang w:val="en-US" w:eastAsia="zh-CN"/>
        </w:rPr>
        <w:t>%。</w:t>
      </w:r>
    </w:p>
    <w:p w14:paraId="4DF0DBAE">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eastAsia" w:ascii="Times New Roman" w:hAnsi="Times New Roman"/>
          <w:highlight w:val="none"/>
          <w:lang w:val="en-US" w:eastAsia="zh-CN"/>
        </w:rPr>
        <w:t>综上，该项指标得分=（1-财政拨款预算偏离度）×100%×4+（1-资产配置预算偏离度）×100%×2+（1-政府采购预算偏离度）×100%×2=（1-</w:t>
      </w:r>
      <w:r>
        <w:rPr>
          <w:rFonts w:hint="eastAsia"/>
          <w:highlight w:val="none"/>
          <w:lang w:val="en-US" w:eastAsia="zh-CN"/>
        </w:rPr>
        <w:t>13.14%</w:t>
      </w:r>
      <w:r>
        <w:rPr>
          <w:rFonts w:hint="eastAsia" w:ascii="Times New Roman" w:hAnsi="Times New Roman"/>
          <w:highlight w:val="none"/>
          <w:lang w:val="en-US" w:eastAsia="zh-CN"/>
        </w:rPr>
        <w:t>）×100%×4+（1-</w:t>
      </w:r>
      <w:r>
        <w:rPr>
          <w:rFonts w:hint="eastAsia"/>
          <w:highlight w:val="none"/>
          <w:lang w:val="en-US" w:eastAsia="zh-CN"/>
        </w:rPr>
        <w:t>100%</w:t>
      </w:r>
      <w:r>
        <w:rPr>
          <w:rFonts w:hint="eastAsia" w:ascii="Times New Roman" w:hAnsi="Times New Roman"/>
          <w:highlight w:val="none"/>
          <w:lang w:val="en-US" w:eastAsia="zh-CN"/>
        </w:rPr>
        <w:t>）×100%×2+（1-</w:t>
      </w:r>
      <w:r>
        <w:rPr>
          <w:rFonts w:hint="eastAsia"/>
          <w:highlight w:val="none"/>
          <w:lang w:val="en-US" w:eastAsia="zh-CN"/>
        </w:rPr>
        <w:t>33.55%</w:t>
      </w:r>
      <w:r>
        <w:rPr>
          <w:rFonts w:hint="eastAsia" w:ascii="Times New Roman" w:hAnsi="Times New Roman"/>
          <w:highlight w:val="none"/>
          <w:lang w:val="en-US" w:eastAsia="zh-CN"/>
        </w:rPr>
        <w:t>）×100%×2</w:t>
      </w:r>
      <w:r>
        <w:rPr>
          <w:rFonts w:hint="eastAsia"/>
          <w:highlight w:val="none"/>
          <w:lang w:val="en-US" w:eastAsia="zh-CN"/>
        </w:rPr>
        <w:t>=4.80</w:t>
      </w:r>
    </w:p>
    <w:p w14:paraId="62002850">
      <w:pPr>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根据评分标准，该项指标扣3.</w:t>
      </w:r>
      <w:r>
        <w:rPr>
          <w:rFonts w:hint="eastAsia"/>
          <w:highlight w:val="none"/>
          <w:lang w:val="en-US" w:eastAsia="zh-CN"/>
        </w:rPr>
        <w:t>20</w:t>
      </w:r>
      <w:r>
        <w:rPr>
          <w:rFonts w:hint="default" w:ascii="Times New Roman" w:hAnsi="Times New Roman"/>
          <w:highlight w:val="none"/>
          <w:lang w:val="en-US" w:eastAsia="zh-CN"/>
        </w:rPr>
        <w:t>分，得4.8</w:t>
      </w:r>
      <w:r>
        <w:rPr>
          <w:rFonts w:hint="eastAsia"/>
          <w:highlight w:val="none"/>
          <w:lang w:val="en-US" w:eastAsia="zh-CN"/>
        </w:rPr>
        <w:t>0</w:t>
      </w:r>
      <w:r>
        <w:rPr>
          <w:rFonts w:hint="default" w:ascii="Times New Roman" w:hAnsi="Times New Roman"/>
          <w:highlight w:val="none"/>
          <w:lang w:val="en-US" w:eastAsia="zh-CN"/>
        </w:rPr>
        <w:t>分。</w:t>
      </w:r>
    </w:p>
    <w:p w14:paraId="716EE25E">
      <w:pPr>
        <w:pageBreakBefore w:val="0"/>
        <w:widowControl w:val="0"/>
        <w:kinsoku/>
        <w:wordWrap/>
        <w:overflowPunct/>
        <w:topLinePunct w:val="0"/>
        <w:autoSpaceDE/>
        <w:autoSpaceDN/>
        <w:bidi w:val="0"/>
        <w:adjustRightInd/>
        <w:snapToGrid/>
        <w:spacing w:line="600" w:lineRule="exact"/>
        <w:textAlignment w:val="auto"/>
        <w:outlineLvl w:val="3"/>
        <w:rPr>
          <w:rFonts w:hint="default"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2</w:t>
      </w:r>
      <w:r>
        <w:rPr>
          <w:rFonts w:hint="eastAsia" w:ascii="Times New Roman" w:hAnsi="Times New Roman"/>
          <w:highlight w:val="none"/>
          <w:lang w:val="en-US" w:eastAsia="zh-CN"/>
        </w:rPr>
        <w:t>）单位收入统筹</w:t>
      </w:r>
    </w:p>
    <w:p w14:paraId="64E353E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highlight w:val="none"/>
          <w:lang w:val="en-US" w:eastAsia="zh-CN"/>
        </w:rPr>
        <w:t>我单位</w:t>
      </w:r>
      <w:r>
        <w:rPr>
          <w:rFonts w:hint="eastAsia" w:ascii="Times New Roman" w:hAnsi="Times New Roman"/>
          <w:highlight w:val="none"/>
          <w:lang w:val="en-US" w:eastAsia="zh-CN"/>
        </w:rPr>
        <w:t>属于财政全额拨款单位，无自有收入，故不涉及此项考核。</w:t>
      </w:r>
    </w:p>
    <w:p w14:paraId="6AF06724">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s="Times New Roman"/>
          <w:kern w:val="2"/>
          <w:sz w:val="32"/>
          <w:szCs w:val="24"/>
          <w:highlight w:val="none"/>
          <w:lang w:val="en-US" w:eastAsia="zh-CN" w:bidi="ar-SA"/>
        </w:rPr>
      </w:pPr>
      <w:r>
        <w:rPr>
          <w:rFonts w:hint="default" w:ascii="Times New Roman" w:hAnsi="Times New Roman"/>
          <w:highlight w:val="none"/>
          <w:lang w:val="en-US" w:eastAsia="zh-CN"/>
        </w:rPr>
        <w:t>根据评分标准，该项指标</w:t>
      </w:r>
      <w:r>
        <w:rPr>
          <w:rFonts w:hint="eastAsia" w:ascii="Times New Roman" w:hAnsi="Times New Roman" w:cs="Times New Roman"/>
          <w:kern w:val="2"/>
          <w:sz w:val="32"/>
          <w:szCs w:val="24"/>
          <w:highlight w:val="none"/>
          <w:lang w:val="en-US" w:eastAsia="zh-CN" w:bidi="ar-SA"/>
        </w:rPr>
        <w:t>不扣分，得4分。</w:t>
      </w:r>
    </w:p>
    <w:p w14:paraId="6F8F5B81">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）支出执行进度</w:t>
      </w:r>
    </w:p>
    <w:p w14:paraId="67BAF0AA">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eastAsia="仿宋_GB2312" w:cs="Times New Roman"/>
          <w:kern w:val="2"/>
          <w:sz w:val="32"/>
          <w:szCs w:val="24"/>
          <w:highlight w:val="none"/>
          <w:lang w:val="en-US" w:eastAsia="zh-CN" w:bidi="ar-SA"/>
        </w:rPr>
        <w:t>2025</w:t>
      </w:r>
      <w:r>
        <w:rPr>
          <w:rFonts w:hint="eastAsia" w:ascii="Times New Roman" w:hAnsi="Times New Roman"/>
          <w:highlight w:val="none"/>
          <w:lang w:val="en-US" w:eastAsia="zh-CN"/>
        </w:rPr>
        <w:t>年</w:t>
      </w:r>
      <w:r>
        <w:rPr>
          <w:rFonts w:hint="eastAsia"/>
          <w:highlight w:val="none"/>
          <w:lang w:val="en-US" w:eastAsia="zh-CN"/>
        </w:rPr>
        <w:t>我单位</w:t>
      </w:r>
      <w:r>
        <w:rPr>
          <w:rFonts w:hint="eastAsia" w:ascii="Times New Roman" w:hAnsi="Times New Roman"/>
          <w:highlight w:val="none"/>
          <w:lang w:val="en-US" w:eastAsia="zh-CN"/>
        </w:rPr>
        <w:t>全年预算数为</w:t>
      </w:r>
      <w:r>
        <w:rPr>
          <w:rFonts w:hint="eastAsia" w:cs="Times New Roman"/>
          <w:highlight w:val="none"/>
          <w:lang w:val="en-US" w:eastAsia="zh-CN"/>
        </w:rPr>
        <w:t>3,837.23</w:t>
      </w:r>
      <w:r>
        <w:rPr>
          <w:rFonts w:hint="eastAsia" w:ascii="Times New Roman" w:hAnsi="Times New Roman"/>
          <w:highlight w:val="none"/>
          <w:lang w:val="en-US" w:eastAsia="zh-CN"/>
        </w:rPr>
        <w:t>万元，</w:t>
      </w:r>
      <w:r>
        <w:rPr>
          <w:rFonts w:hint="default" w:ascii="Times New Roman" w:hAnsi="Times New Roman" w:cs="Times New Roman"/>
          <w:highlight w:val="none"/>
          <w:lang w:val="en-US" w:eastAsia="zh-CN"/>
        </w:rPr>
        <w:t>1</w:t>
      </w:r>
      <w:r>
        <w:rPr>
          <w:rFonts w:hint="eastAsia" w:ascii="Times New Roman" w:hAnsi="Times New Roman"/>
          <w:highlight w:val="none"/>
          <w:lang w:val="en-US" w:eastAsia="zh-CN"/>
        </w:rPr>
        <w:t>至</w:t>
      </w:r>
      <w:r>
        <w:rPr>
          <w:rFonts w:hint="default" w:ascii="Times New Roman" w:hAnsi="Times New Roman" w:cs="Times New Roman"/>
          <w:highlight w:val="none"/>
          <w:lang w:val="en-US" w:eastAsia="zh-CN"/>
        </w:rPr>
        <w:t>6</w:t>
      </w:r>
      <w:r>
        <w:rPr>
          <w:rFonts w:hint="eastAsia" w:ascii="Times New Roman" w:hAnsi="Times New Roman"/>
          <w:highlight w:val="none"/>
          <w:lang w:val="en-US" w:eastAsia="zh-CN"/>
        </w:rPr>
        <w:t>月预算执行数为</w:t>
      </w:r>
      <w:r>
        <w:rPr>
          <w:rFonts w:hint="eastAsia" w:ascii="Times New Roman" w:hAnsi="Times New Roman" w:cs="Times New Roman"/>
          <w:highlight w:val="none"/>
          <w:lang w:val="en-US" w:eastAsia="zh-CN"/>
        </w:rPr>
        <w:t>3</w:t>
      </w:r>
      <w:r>
        <w:rPr>
          <w:rFonts w:hint="eastAsia" w:cs="Times New Roman"/>
          <w:highlight w:val="none"/>
          <w:lang w:val="en-US" w:eastAsia="zh-CN"/>
        </w:rPr>
        <w:t>,</w:t>
      </w:r>
      <w:r>
        <w:rPr>
          <w:rFonts w:hint="eastAsia" w:ascii="Times New Roman" w:hAnsi="Times New Roman" w:cs="Times New Roman"/>
          <w:highlight w:val="none"/>
          <w:lang w:val="en-US" w:eastAsia="zh-CN"/>
        </w:rPr>
        <w:t>453.88</w:t>
      </w:r>
      <w:r>
        <w:rPr>
          <w:rFonts w:hint="eastAsia" w:ascii="Times New Roman" w:hAnsi="Times New Roman"/>
          <w:highlight w:val="none"/>
          <w:lang w:val="en-US" w:eastAsia="zh-CN"/>
        </w:rPr>
        <w:t>万元，支出预警金额</w:t>
      </w:r>
      <w:r>
        <w:rPr>
          <w:rFonts w:hint="eastAsia" w:ascii="Times New Roman" w:hAnsi="Times New Roman"/>
          <w:color w:val="auto"/>
          <w:highlight w:val="none"/>
          <w:lang w:val="en-US" w:eastAsia="zh-CN"/>
        </w:rPr>
        <w:t>为</w:t>
      </w:r>
      <w:r>
        <w:rPr>
          <w:rFonts w:hint="eastAsia" w:ascii="Times New Roman" w:hAnsi="Times New Roman" w:cs="Times New Roman"/>
          <w:color w:val="auto"/>
          <w:highlight w:val="none"/>
          <w:lang w:val="en-US" w:eastAsia="zh-CN"/>
        </w:rPr>
        <w:t>0</w:t>
      </w:r>
      <w:r>
        <w:rPr>
          <w:rFonts w:hint="eastAsia" w:ascii="Times New Roman" w:hAnsi="Times New Roman"/>
          <w:color w:val="auto"/>
          <w:highlight w:val="none"/>
          <w:lang w:val="en-US" w:eastAsia="zh-CN"/>
        </w:rPr>
        <w:t>万元</w:t>
      </w:r>
      <w:r>
        <w:rPr>
          <w:rFonts w:hint="eastAsia" w:ascii="Times New Roman" w:hAnsi="Times New Roman"/>
          <w:highlight w:val="none"/>
          <w:lang w:val="en-US" w:eastAsia="zh-CN"/>
        </w:rPr>
        <w:t>，支出预警金额占比为</w:t>
      </w:r>
      <w:r>
        <w:rPr>
          <w:rFonts w:hint="eastAsia" w:ascii="Times New Roman" w:hAnsi="Times New Roman" w:cs="Times New Roman"/>
          <w:highlight w:val="none"/>
          <w:lang w:val="en-US" w:eastAsia="zh-CN"/>
        </w:rPr>
        <w:t>0</w:t>
      </w:r>
      <w:r>
        <w:rPr>
          <w:rFonts w:hint="eastAsia" w:ascii="Times New Roman" w:hAnsi="Times New Roman"/>
          <w:highlight w:val="none"/>
          <w:lang w:val="en-US" w:eastAsia="zh-CN"/>
        </w:rPr>
        <w:t>%，支出违规金额</w:t>
      </w:r>
      <w:r>
        <w:rPr>
          <w:rFonts w:hint="eastAsia" w:ascii="Times New Roman" w:hAnsi="Times New Roman"/>
          <w:color w:val="auto"/>
          <w:highlight w:val="none"/>
          <w:lang w:val="en-US" w:eastAsia="zh-CN"/>
        </w:rPr>
        <w:t>为</w:t>
      </w:r>
      <w:r>
        <w:rPr>
          <w:rFonts w:hint="eastAsia" w:ascii="Times New Roman" w:hAnsi="Times New Roman" w:cs="Times New Roman"/>
          <w:color w:val="auto"/>
          <w:highlight w:val="none"/>
          <w:lang w:val="en-US" w:eastAsia="zh-CN"/>
        </w:rPr>
        <w:t>0</w:t>
      </w:r>
      <w:r>
        <w:rPr>
          <w:rFonts w:hint="eastAsia" w:ascii="Times New Roman" w:hAnsi="Times New Roman"/>
          <w:color w:val="auto"/>
          <w:highlight w:val="none"/>
          <w:lang w:val="en-US" w:eastAsia="zh-CN"/>
        </w:rPr>
        <w:t>万元，支出违规金额占</w:t>
      </w:r>
      <w:r>
        <w:rPr>
          <w:rFonts w:hint="eastAsia" w:ascii="Times New Roman" w:hAnsi="Times New Roman"/>
          <w:highlight w:val="none"/>
          <w:lang w:val="en-US" w:eastAsia="zh-CN"/>
        </w:rPr>
        <w:t>比为</w:t>
      </w:r>
      <w:r>
        <w:rPr>
          <w:rFonts w:hint="eastAsia" w:ascii="Times New Roman" w:hAnsi="Times New Roman" w:cs="Times New Roman"/>
          <w:highlight w:val="none"/>
          <w:lang w:val="en-US" w:eastAsia="zh-CN"/>
        </w:rPr>
        <w:t>0</w:t>
      </w:r>
      <w:r>
        <w:rPr>
          <w:rFonts w:hint="eastAsia" w:ascii="Times New Roman" w:hAnsi="Times New Roman"/>
          <w:highlight w:val="none"/>
          <w:lang w:val="en-US" w:eastAsia="zh-CN"/>
        </w:rPr>
        <w:t>%。</w:t>
      </w:r>
    </w:p>
    <w:p w14:paraId="32853957">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default" w:ascii="Times New Roman" w:hAnsi="Times New Roman" w:cs="Times New Roman"/>
          <w:highlight w:val="none"/>
          <w:lang w:val="en-US" w:eastAsia="zh-CN"/>
        </w:rPr>
        <w:t>1</w:t>
      </w:r>
      <w:r>
        <w:rPr>
          <w:rFonts w:hint="eastAsia" w:ascii="Times New Roman" w:hAnsi="Times New Roman"/>
          <w:highlight w:val="none"/>
          <w:lang w:val="en-US" w:eastAsia="zh-CN"/>
        </w:rPr>
        <w:t>至</w:t>
      </w:r>
      <w:r>
        <w:rPr>
          <w:rFonts w:hint="default" w:ascii="Times New Roman" w:hAnsi="Times New Roman" w:cs="Times New Roman"/>
          <w:highlight w:val="none"/>
          <w:lang w:val="en-US" w:eastAsia="zh-CN"/>
        </w:rPr>
        <w:t>10</w:t>
      </w:r>
      <w:r>
        <w:rPr>
          <w:rFonts w:hint="eastAsia" w:ascii="Times New Roman" w:hAnsi="Times New Roman"/>
          <w:highlight w:val="none"/>
          <w:lang w:val="en-US" w:eastAsia="zh-CN"/>
        </w:rPr>
        <w:t>月预算执行数为</w:t>
      </w:r>
      <w:r>
        <w:rPr>
          <w:rFonts w:hint="eastAsia" w:ascii="Times New Roman" w:hAnsi="Times New Roman" w:cs="Times New Roman"/>
          <w:highlight w:val="none"/>
          <w:lang w:val="en-US" w:eastAsia="zh-CN"/>
        </w:rPr>
        <w:t>3</w:t>
      </w:r>
      <w:r>
        <w:rPr>
          <w:rFonts w:hint="eastAsia" w:cs="Times New Roman"/>
          <w:highlight w:val="none"/>
          <w:lang w:val="en-US" w:eastAsia="zh-CN"/>
        </w:rPr>
        <w:t>,</w:t>
      </w:r>
      <w:r>
        <w:rPr>
          <w:rFonts w:hint="eastAsia" w:ascii="Times New Roman" w:hAnsi="Times New Roman" w:cs="Times New Roman"/>
          <w:highlight w:val="none"/>
          <w:lang w:val="en-US" w:eastAsia="zh-CN"/>
        </w:rPr>
        <w:t>569.32</w:t>
      </w:r>
      <w:r>
        <w:rPr>
          <w:rFonts w:hint="eastAsia" w:ascii="Times New Roman" w:hAnsi="Times New Roman"/>
          <w:highlight w:val="none"/>
          <w:lang w:val="en-US" w:eastAsia="zh-CN"/>
        </w:rPr>
        <w:t>万元，支出预警金额</w:t>
      </w:r>
      <w:r>
        <w:rPr>
          <w:rFonts w:hint="eastAsia" w:ascii="Times New Roman" w:hAnsi="Times New Roman"/>
          <w:color w:val="auto"/>
          <w:highlight w:val="none"/>
          <w:lang w:val="en-US" w:eastAsia="zh-CN"/>
        </w:rPr>
        <w:t>为</w:t>
      </w:r>
      <w:r>
        <w:rPr>
          <w:rFonts w:hint="eastAsia" w:cs="Times New Roman"/>
          <w:color w:val="auto"/>
          <w:highlight w:val="none"/>
          <w:lang w:val="en-US" w:eastAsia="zh-CN"/>
        </w:rPr>
        <w:t>324.00</w:t>
      </w:r>
      <w:r>
        <w:rPr>
          <w:rFonts w:hint="eastAsia" w:ascii="Times New Roman" w:hAnsi="Times New Roman"/>
          <w:color w:val="auto"/>
          <w:highlight w:val="none"/>
          <w:lang w:val="en-US" w:eastAsia="zh-CN"/>
        </w:rPr>
        <w:t>万元</w:t>
      </w:r>
      <w:r>
        <w:rPr>
          <w:rFonts w:hint="eastAsia" w:ascii="Times New Roman" w:hAnsi="Times New Roman"/>
          <w:highlight w:val="none"/>
          <w:lang w:val="en-US" w:eastAsia="zh-CN"/>
        </w:rPr>
        <w:t>，支出预警金额占比为</w:t>
      </w:r>
      <w:r>
        <w:rPr>
          <w:rFonts w:hint="eastAsia"/>
          <w:highlight w:val="none"/>
          <w:lang w:val="en-US" w:eastAsia="zh-CN"/>
        </w:rPr>
        <w:t>9.08</w:t>
      </w:r>
      <w:r>
        <w:rPr>
          <w:rFonts w:hint="eastAsia" w:ascii="Times New Roman" w:hAnsi="Times New Roman"/>
          <w:highlight w:val="none"/>
          <w:lang w:val="en-US" w:eastAsia="zh-CN"/>
        </w:rPr>
        <w:t>%，支出违规金额</w:t>
      </w:r>
      <w:r>
        <w:rPr>
          <w:rFonts w:hint="eastAsia" w:ascii="Times New Roman" w:hAnsi="Times New Roman"/>
          <w:color w:val="auto"/>
          <w:highlight w:val="none"/>
          <w:lang w:val="en-US" w:eastAsia="zh-CN"/>
        </w:rPr>
        <w:t>为</w:t>
      </w:r>
      <w:r>
        <w:rPr>
          <w:rFonts w:hint="eastAsia" w:ascii="Times New Roman" w:hAnsi="Times New Roman" w:cs="Times New Roman"/>
          <w:color w:val="auto"/>
          <w:highlight w:val="none"/>
          <w:lang w:val="en-US" w:eastAsia="zh-CN"/>
        </w:rPr>
        <w:t>0</w:t>
      </w:r>
      <w:r>
        <w:rPr>
          <w:rFonts w:hint="eastAsia" w:ascii="Times New Roman" w:hAnsi="Times New Roman"/>
          <w:color w:val="auto"/>
          <w:highlight w:val="none"/>
          <w:lang w:val="en-US" w:eastAsia="zh-CN"/>
        </w:rPr>
        <w:t>万元，支出违规金额占</w:t>
      </w:r>
      <w:r>
        <w:rPr>
          <w:rFonts w:hint="eastAsia" w:ascii="Times New Roman" w:hAnsi="Times New Roman"/>
          <w:highlight w:val="none"/>
          <w:lang w:val="en-US" w:eastAsia="zh-CN"/>
        </w:rPr>
        <w:t>比为</w:t>
      </w:r>
      <w:r>
        <w:rPr>
          <w:rFonts w:hint="eastAsia" w:ascii="Times New Roman" w:hAnsi="Times New Roman" w:cs="Times New Roman"/>
          <w:highlight w:val="none"/>
          <w:lang w:val="en-US" w:eastAsia="zh-CN"/>
        </w:rPr>
        <w:t>0</w:t>
      </w:r>
      <w:r>
        <w:rPr>
          <w:rFonts w:hint="eastAsia" w:ascii="Times New Roman" w:hAnsi="Times New Roman"/>
          <w:highlight w:val="none"/>
          <w:lang w:val="en-US" w:eastAsia="zh-CN"/>
        </w:rPr>
        <w:t>%。</w:t>
      </w:r>
    </w:p>
    <w:p w14:paraId="6B0580C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highlight w:val="none"/>
          <w:lang w:val="en-US" w:eastAsia="zh-CN"/>
        </w:rPr>
        <w:t>该项指标得分=（1至6月预算执行数÷（部门预算数×50%）×4）+（1-1至6月支出预警金额占比×0.8-1至6月支出违规金额占比×0.2）+（1至10月预算执行数÷（部门预算数×83.33%）×2）+（1-1至10月支出预警金额占比×0.8-1至10月支出违规金额占比×0.2）=(</w:t>
      </w:r>
      <w:r>
        <w:rPr>
          <w:rFonts w:hint="eastAsia" w:ascii="Times New Roman" w:hAnsi="Times New Roman" w:cs="Times New Roman"/>
          <w:highlight w:val="none"/>
          <w:lang w:val="en-US" w:eastAsia="zh-CN"/>
        </w:rPr>
        <w:t>3</w:t>
      </w:r>
      <w:r>
        <w:rPr>
          <w:rFonts w:hint="eastAsia" w:cs="Times New Roman"/>
          <w:highlight w:val="none"/>
          <w:lang w:val="en-US" w:eastAsia="zh-CN"/>
        </w:rPr>
        <w:t>,</w:t>
      </w:r>
      <w:r>
        <w:rPr>
          <w:rFonts w:hint="eastAsia" w:ascii="Times New Roman" w:hAnsi="Times New Roman" w:cs="Times New Roman"/>
          <w:highlight w:val="none"/>
          <w:lang w:val="en-US" w:eastAsia="zh-CN"/>
        </w:rPr>
        <w:t>453.88</w:t>
      </w:r>
      <w:r>
        <w:rPr>
          <w:rFonts w:hint="eastAsia" w:ascii="Times New Roman" w:hAnsi="Times New Roman"/>
          <w:highlight w:val="none"/>
          <w:lang w:val="en-US" w:eastAsia="zh-CN"/>
        </w:rPr>
        <w:t>÷</w:t>
      </w:r>
      <w:r>
        <w:rPr>
          <w:rFonts w:hint="eastAsia" w:cs="Times New Roman"/>
          <w:highlight w:val="none"/>
          <w:lang w:val="en-US" w:eastAsia="zh-CN"/>
        </w:rPr>
        <w:t>3,837.23</w:t>
      </w:r>
      <w:r>
        <w:rPr>
          <w:rFonts w:hint="eastAsia" w:ascii="Times New Roman" w:hAnsi="Times New Roman"/>
          <w:highlight w:val="none"/>
          <w:lang w:val="en-US" w:eastAsia="zh-CN"/>
        </w:rPr>
        <w:t>×</w:t>
      </w:r>
      <w:r>
        <w:rPr>
          <w:rFonts w:hint="eastAsia" w:ascii="Times New Roman" w:hAnsi="Times New Roman" w:cs="Times New Roman"/>
          <w:color w:val="auto"/>
          <w:highlight w:val="none"/>
          <w:lang w:val="en-US" w:eastAsia="zh-CN"/>
        </w:rPr>
        <w:t>50%</w:t>
      </w:r>
      <w:r>
        <w:rPr>
          <w:rFonts w:hint="eastAsia" w:ascii="Times New Roman" w:hAnsi="Times New Roman"/>
          <w:highlight w:val="none"/>
          <w:lang w:val="en-US" w:eastAsia="zh-CN"/>
        </w:rPr>
        <w:t>×4)+(1-0×</w:t>
      </w:r>
      <w:r>
        <w:rPr>
          <w:rFonts w:hint="eastAsia" w:ascii="Times New Roman" w:hAnsi="Times New Roman" w:cs="Times New Roman"/>
          <w:color w:val="auto"/>
          <w:highlight w:val="none"/>
          <w:lang w:val="en-US" w:eastAsia="zh-CN"/>
        </w:rPr>
        <w:t>0.8</w:t>
      </w:r>
      <w:r>
        <w:rPr>
          <w:rFonts w:hint="eastAsia" w:ascii="Times New Roman" w:hAnsi="Times New Roman"/>
          <w:highlight w:val="none"/>
          <w:lang w:val="en-US" w:eastAsia="zh-CN"/>
        </w:rPr>
        <w:t>-0×</w:t>
      </w:r>
      <w:r>
        <w:rPr>
          <w:rFonts w:hint="eastAsia" w:ascii="Times New Roman" w:hAnsi="Times New Roman" w:cs="Times New Roman"/>
          <w:color w:val="auto"/>
          <w:highlight w:val="none"/>
          <w:lang w:val="en-US" w:eastAsia="zh-CN"/>
        </w:rPr>
        <w:t>0.2</w:t>
      </w:r>
      <w:r>
        <w:rPr>
          <w:rFonts w:hint="eastAsia" w:ascii="Times New Roman" w:hAnsi="Times New Roman"/>
          <w:highlight w:val="none"/>
          <w:lang w:val="en-US" w:eastAsia="zh-CN"/>
        </w:rPr>
        <w:t>)+(</w:t>
      </w:r>
      <w:r>
        <w:rPr>
          <w:rFonts w:hint="eastAsia" w:ascii="Times New Roman" w:hAnsi="Times New Roman" w:cs="Times New Roman"/>
          <w:highlight w:val="none"/>
          <w:lang w:val="en-US" w:eastAsia="zh-CN"/>
        </w:rPr>
        <w:t>3</w:t>
      </w:r>
      <w:r>
        <w:rPr>
          <w:rFonts w:hint="eastAsia" w:cs="Times New Roman"/>
          <w:highlight w:val="none"/>
          <w:lang w:val="en-US" w:eastAsia="zh-CN"/>
        </w:rPr>
        <w:t>,</w:t>
      </w:r>
      <w:r>
        <w:rPr>
          <w:rFonts w:hint="eastAsia" w:ascii="Times New Roman" w:hAnsi="Times New Roman" w:cs="Times New Roman"/>
          <w:highlight w:val="none"/>
          <w:lang w:val="en-US" w:eastAsia="zh-CN"/>
        </w:rPr>
        <w:t>569.32</w:t>
      </w:r>
      <w:r>
        <w:rPr>
          <w:rFonts w:hint="eastAsia" w:ascii="Times New Roman" w:hAnsi="Times New Roman"/>
          <w:highlight w:val="none"/>
          <w:lang w:val="en-US" w:eastAsia="zh-CN"/>
        </w:rPr>
        <w:t>÷</w:t>
      </w:r>
      <w:r>
        <w:rPr>
          <w:rFonts w:hint="eastAsia" w:cs="Times New Roman"/>
          <w:highlight w:val="none"/>
          <w:lang w:val="en-US" w:eastAsia="zh-CN"/>
        </w:rPr>
        <w:t>3,837.23</w:t>
      </w:r>
      <w:r>
        <w:rPr>
          <w:rFonts w:hint="eastAsia" w:ascii="Times New Roman" w:hAnsi="Times New Roman"/>
          <w:highlight w:val="none"/>
          <w:lang w:val="en-US" w:eastAsia="zh-CN"/>
        </w:rPr>
        <w:t>×83.33%×2)+(1-</w:t>
      </w:r>
      <w:r>
        <w:rPr>
          <w:rFonts w:hint="eastAsia"/>
          <w:highlight w:val="none"/>
          <w:lang w:val="en-US" w:eastAsia="zh-CN"/>
        </w:rPr>
        <w:t>9.08%</w:t>
      </w:r>
      <w:r>
        <w:rPr>
          <w:rFonts w:hint="eastAsia" w:ascii="Times New Roman" w:hAnsi="Times New Roman"/>
          <w:highlight w:val="none"/>
          <w:lang w:val="en-US" w:eastAsia="zh-CN"/>
        </w:rPr>
        <w:t>×0.8-0×0.2)=</w:t>
      </w:r>
      <w:r>
        <w:rPr>
          <w:rFonts w:hint="eastAsia"/>
          <w:highlight w:val="none"/>
          <w:lang w:val="en-US" w:eastAsia="zh-CN"/>
        </w:rPr>
        <w:t>5.28</w:t>
      </w:r>
      <w:r>
        <w:rPr>
          <w:rFonts w:hint="eastAsia" w:ascii="Times New Roman" w:hAnsi="Times New Roman"/>
          <w:highlight w:val="none"/>
          <w:lang w:val="en-US" w:eastAsia="zh-CN"/>
        </w:rPr>
        <w:t>。</w:t>
      </w:r>
    </w:p>
    <w:p w14:paraId="053F98D8">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default" w:ascii="Times New Roman" w:hAnsi="Times New Roman"/>
          <w:highlight w:val="none"/>
          <w:lang w:val="en-US" w:eastAsia="zh-CN"/>
        </w:rPr>
        <w:t>根据评分标准，该项指标</w:t>
      </w:r>
      <w:r>
        <w:rPr>
          <w:rFonts w:hint="eastAsia"/>
          <w:highlight w:val="none"/>
          <w:lang w:val="en-US" w:eastAsia="zh-CN"/>
        </w:rPr>
        <w:t>扣0.72</w:t>
      </w:r>
      <w:r>
        <w:rPr>
          <w:rFonts w:hint="eastAsia" w:ascii="Times New Roman" w:hAnsi="Times New Roman" w:cs="Times New Roman"/>
          <w:kern w:val="2"/>
          <w:sz w:val="32"/>
          <w:szCs w:val="24"/>
          <w:highlight w:val="none"/>
          <w:lang w:val="en-US" w:eastAsia="zh-CN" w:bidi="ar-SA"/>
        </w:rPr>
        <w:t>分，得</w:t>
      </w:r>
      <w:r>
        <w:rPr>
          <w:rFonts w:hint="eastAsia" w:cs="Times New Roman"/>
          <w:kern w:val="2"/>
          <w:sz w:val="32"/>
          <w:szCs w:val="24"/>
          <w:highlight w:val="none"/>
          <w:lang w:val="en-US" w:eastAsia="zh-CN" w:bidi="ar-SA"/>
        </w:rPr>
        <w:t>5.28</w:t>
      </w:r>
      <w:r>
        <w:rPr>
          <w:rFonts w:hint="eastAsia" w:ascii="Times New Roman" w:hAnsi="Times New Roman" w:cs="Times New Roman"/>
          <w:kern w:val="2"/>
          <w:sz w:val="32"/>
          <w:szCs w:val="24"/>
          <w:highlight w:val="none"/>
          <w:lang w:val="en-US" w:eastAsia="zh-CN" w:bidi="ar-SA"/>
        </w:rPr>
        <w:t>分。</w:t>
      </w:r>
    </w:p>
    <w:p w14:paraId="46830352">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highlight w:val="none"/>
          <w:lang w:val="en-US" w:eastAsia="zh-CN"/>
        </w:rPr>
        <w:t>4</w:t>
      </w:r>
      <w:r>
        <w:rPr>
          <w:rFonts w:hint="eastAsia" w:ascii="Times New Roman" w:hAnsi="Times New Roman"/>
          <w:highlight w:val="none"/>
          <w:lang w:val="en-US" w:eastAsia="zh-CN"/>
        </w:rPr>
        <w:t>）预算年终结余</w:t>
      </w:r>
    </w:p>
    <w:p w14:paraId="093CE153">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highlight w:val="none"/>
          <w:lang w:val="en-US" w:eastAsia="zh-CN"/>
        </w:rPr>
        <w:t>2025年</w:t>
      </w:r>
      <w:r>
        <w:rPr>
          <w:rFonts w:hint="eastAsia"/>
          <w:highlight w:val="none"/>
          <w:lang w:val="en-US" w:eastAsia="zh-CN"/>
        </w:rPr>
        <w:t>我单位</w:t>
      </w:r>
      <w:r>
        <w:rPr>
          <w:rFonts w:hint="eastAsia" w:ascii="Times New Roman" w:hAnsi="Times New Roman"/>
          <w:highlight w:val="none"/>
          <w:lang w:val="en-US" w:eastAsia="zh-CN"/>
        </w:rPr>
        <w:t>全年预算数为</w:t>
      </w:r>
      <w:r>
        <w:rPr>
          <w:rFonts w:hint="eastAsia" w:cs="Times New Roman"/>
          <w:highlight w:val="none"/>
          <w:lang w:val="en-US" w:eastAsia="zh-CN"/>
        </w:rPr>
        <w:t>3,837.23</w:t>
      </w:r>
      <w:r>
        <w:rPr>
          <w:rFonts w:hint="eastAsia" w:ascii="Times New Roman" w:hAnsi="Times New Roman"/>
          <w:highlight w:val="none"/>
          <w:lang w:val="en-US" w:eastAsia="zh-CN"/>
        </w:rPr>
        <w:t>万元，预算执行数为</w:t>
      </w:r>
      <w:r>
        <w:rPr>
          <w:rFonts w:hint="eastAsia" w:cs="Times New Roman"/>
          <w:highlight w:val="none"/>
          <w:lang w:val="en-US" w:eastAsia="zh-CN"/>
        </w:rPr>
        <w:t>3,837.23</w:t>
      </w:r>
      <w:r>
        <w:rPr>
          <w:rFonts w:hint="eastAsia" w:ascii="Times New Roman" w:hAnsi="Times New Roman"/>
          <w:highlight w:val="none"/>
          <w:lang w:val="en-US" w:eastAsia="zh-CN"/>
        </w:rPr>
        <w:t>万元，注销金额为0万元。结转结余金额为0万元</w:t>
      </w:r>
    </w:p>
    <w:p w14:paraId="2DADEC49">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default" w:ascii="Times New Roman" w:hAnsi="Times New Roman"/>
          <w:highlight w:val="none"/>
          <w:lang w:val="en-US" w:eastAsia="zh-CN"/>
        </w:rPr>
        <w:t>该项指标得分=（1-部门整体预算结余率）×100%×2</w:t>
      </w:r>
      <w:r>
        <w:rPr>
          <w:rFonts w:hint="eastAsia" w:ascii="Times New Roman" w:hAnsi="Times New Roman"/>
          <w:highlight w:val="none"/>
          <w:lang w:val="en-US" w:eastAsia="zh-CN"/>
        </w:rPr>
        <w:t>=</w:t>
      </w:r>
      <w:r>
        <w:rPr>
          <w:rFonts w:hint="default" w:ascii="Times New Roman" w:hAnsi="Times New Roman"/>
          <w:highlight w:val="none"/>
          <w:lang w:val="en-US" w:eastAsia="zh-CN"/>
        </w:rPr>
        <w:t>(1-0.00</w:t>
      </w:r>
      <w:r>
        <w:rPr>
          <w:rFonts w:hint="eastAsia" w:ascii="Times New Roman" w:hAnsi="Times New Roman"/>
          <w:highlight w:val="none"/>
          <w:lang w:val="en-US" w:eastAsia="zh-CN"/>
        </w:rPr>
        <w:t>)*100%*2</w:t>
      </w:r>
      <w:r>
        <w:rPr>
          <w:rFonts w:hint="default" w:ascii="Times New Roman" w:hAnsi="Times New Roman"/>
          <w:highlight w:val="none"/>
          <w:lang w:val="en-US" w:eastAsia="zh-CN"/>
        </w:rPr>
        <w:t>=</w:t>
      </w:r>
      <w:r>
        <w:rPr>
          <w:rFonts w:hint="eastAsia" w:ascii="Times New Roman" w:hAnsi="Times New Roman"/>
          <w:highlight w:val="none"/>
          <w:lang w:val="en-US" w:eastAsia="zh-CN"/>
        </w:rPr>
        <w:t>2</w:t>
      </w:r>
    </w:p>
    <w:p w14:paraId="57699628">
      <w:pPr>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w:t>
      </w:r>
      <w:r>
        <w:rPr>
          <w:rFonts w:hint="eastAsia" w:ascii="Times New Roman" w:hAnsi="Times New Roman" w:cs="Times New Roman"/>
          <w:kern w:val="2"/>
          <w:sz w:val="32"/>
          <w:szCs w:val="24"/>
          <w:highlight w:val="none"/>
          <w:lang w:val="en-US" w:eastAsia="zh-CN" w:bidi="ar-SA"/>
        </w:rPr>
        <w:t>不扣分，得2分。</w:t>
      </w:r>
    </w:p>
    <w:p w14:paraId="3637A9B8">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5</w:t>
      </w:r>
      <w:r>
        <w:rPr>
          <w:rFonts w:hint="eastAsia" w:ascii="Times New Roman" w:hAnsi="Times New Roman"/>
          <w:highlight w:val="none"/>
          <w:lang w:val="en-US" w:eastAsia="zh-CN"/>
        </w:rPr>
        <w:t>）严控一般性支出</w:t>
      </w:r>
    </w:p>
    <w:p w14:paraId="11C613B1">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highlight w:val="none"/>
          <w:lang w:val="en-US" w:eastAsia="zh-CN"/>
        </w:rPr>
        <w:t>我单位</w:t>
      </w:r>
      <w:r>
        <w:rPr>
          <w:rFonts w:hint="eastAsia" w:ascii="Times New Roman" w:hAnsi="Times New Roman" w:cs="Times New Roman"/>
          <w:highlight w:val="none"/>
          <w:lang w:val="en-US" w:eastAsia="zh-CN"/>
        </w:rPr>
        <w:t>2025年</w:t>
      </w:r>
      <w:r>
        <w:rPr>
          <w:rFonts w:hint="eastAsia" w:ascii="Times New Roman" w:hAnsi="Times New Roman"/>
          <w:highlight w:val="none"/>
          <w:lang w:val="en-US" w:eastAsia="zh-CN"/>
        </w:rPr>
        <w:t>度“三公”经费、会议、培训、差旅、办节办展、办公设备购置、信息网络及软件购置更新、课题经费等</w:t>
      </w:r>
      <w:r>
        <w:rPr>
          <w:rFonts w:hint="default" w:ascii="Times New Roman" w:hAnsi="Times New Roman" w:cs="Times New Roman"/>
          <w:highlight w:val="none"/>
          <w:lang w:val="en-US" w:eastAsia="zh-CN"/>
        </w:rPr>
        <w:t>8</w:t>
      </w:r>
      <w:r>
        <w:rPr>
          <w:rFonts w:hint="eastAsia" w:ascii="Times New Roman" w:hAnsi="Times New Roman"/>
          <w:highlight w:val="none"/>
          <w:lang w:val="en-US" w:eastAsia="zh-CN"/>
        </w:rPr>
        <w:t>项一般性支出情况详见下表</w:t>
      </w: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1</w:t>
      </w:r>
      <w:r>
        <w:rPr>
          <w:rFonts w:hint="eastAsia" w:ascii="Times New Roman" w:hAnsi="Times New Roman"/>
          <w:highlight w:val="none"/>
          <w:lang w:val="en-US" w:eastAsia="zh-CN"/>
        </w:rPr>
        <w:t>。</w:t>
      </w:r>
    </w:p>
    <w:p w14:paraId="198BBBB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p>
    <w:p w14:paraId="2AA158EF">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p>
    <w:p w14:paraId="4306C08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b/>
          <w:bCs/>
          <w:highlight w:val="none"/>
          <w:lang w:val="en-US" w:eastAsia="zh-CN"/>
        </w:rPr>
      </w:pPr>
      <w:r>
        <w:rPr>
          <w:rFonts w:hint="eastAsia" w:ascii="Times New Roman" w:hAnsi="Times New Roman"/>
          <w:b/>
          <w:bCs/>
          <w:highlight w:val="none"/>
          <w:lang w:val="en-US" w:eastAsia="zh-CN"/>
        </w:rPr>
        <w:t>表</w:t>
      </w:r>
      <w:r>
        <w:rPr>
          <w:rFonts w:hint="default" w:ascii="Times New Roman" w:hAnsi="Times New Roman" w:cs="Times New Roman"/>
          <w:b/>
          <w:bCs/>
          <w:highlight w:val="none"/>
          <w:lang w:val="en-US" w:eastAsia="zh-CN"/>
        </w:rPr>
        <w:t>3</w:t>
      </w:r>
      <w:r>
        <w:rPr>
          <w:rFonts w:hint="eastAsia" w:ascii="Times New Roman" w:hAnsi="Times New Roman"/>
          <w:b/>
          <w:bCs/>
          <w:highlight w:val="none"/>
          <w:lang w:val="en-US" w:eastAsia="zh-CN"/>
        </w:rPr>
        <w:t>-</w:t>
      </w:r>
      <w:r>
        <w:rPr>
          <w:rFonts w:hint="default" w:ascii="Times New Roman" w:hAnsi="Times New Roman" w:cs="Times New Roman"/>
          <w:b/>
          <w:bCs/>
          <w:highlight w:val="none"/>
          <w:lang w:val="en-US" w:eastAsia="zh-CN"/>
        </w:rPr>
        <w:t>1</w:t>
      </w:r>
      <w:r>
        <w:rPr>
          <w:rFonts w:hint="eastAsia" w:cs="Times New Roman"/>
          <w:b/>
          <w:bCs/>
          <w:highlight w:val="none"/>
          <w:lang w:val="en-US" w:eastAsia="zh-CN"/>
        </w:rPr>
        <w:t xml:space="preserve"> </w:t>
      </w:r>
      <w:r>
        <w:rPr>
          <w:rFonts w:hint="eastAsia" w:ascii="Times New Roman" w:hAnsi="Times New Roman" w:cs="Times New Roman"/>
          <w:b/>
          <w:bCs/>
          <w:highlight w:val="none"/>
          <w:lang w:val="en-US" w:eastAsia="zh-CN"/>
        </w:rPr>
        <w:t>2025年</w:t>
      </w:r>
      <w:r>
        <w:rPr>
          <w:rFonts w:hint="eastAsia" w:ascii="Times New Roman" w:hAnsi="Times New Roman"/>
          <w:b/>
          <w:bCs/>
          <w:highlight w:val="none"/>
          <w:lang w:val="en-US" w:eastAsia="zh-CN"/>
        </w:rPr>
        <w:t>度一般性支出情况表</w:t>
      </w:r>
    </w:p>
    <w:p w14:paraId="68A4E482">
      <w:pPr>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highlight w:val="none"/>
          <w:lang w:val="en-US" w:eastAsia="zh-CN"/>
        </w:rPr>
      </w:pPr>
      <w:r>
        <w:rPr>
          <w:rFonts w:hint="eastAsia" w:ascii="Times New Roman" w:hAnsi="Times New Roman"/>
          <w:highlight w:val="none"/>
          <w:lang w:val="en-US" w:eastAsia="zh-CN"/>
        </w:rPr>
        <w:t>单位：万元</w:t>
      </w:r>
    </w:p>
    <w:tbl>
      <w:tblPr>
        <w:tblStyle w:val="16"/>
        <w:tblW w:w="490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4"/>
        <w:gridCol w:w="1537"/>
        <w:gridCol w:w="1855"/>
        <w:gridCol w:w="1745"/>
        <w:gridCol w:w="1533"/>
        <w:gridCol w:w="1547"/>
      </w:tblGrid>
      <w:tr w14:paraId="1B6D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A548F1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序号</w:t>
            </w:r>
          </w:p>
        </w:tc>
        <w:tc>
          <w:tcPr>
            <w:tcW w:w="86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127A3AF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项目名称</w:t>
            </w:r>
          </w:p>
        </w:tc>
        <w:tc>
          <w:tcPr>
            <w:tcW w:w="1043"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FB8CCC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年年初预算数</w:t>
            </w:r>
          </w:p>
        </w:tc>
        <w:tc>
          <w:tcPr>
            <w:tcW w:w="98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DB3784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年初预算数</w:t>
            </w:r>
          </w:p>
        </w:tc>
        <w:tc>
          <w:tcPr>
            <w:tcW w:w="86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21E54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年预算执行数</w:t>
            </w:r>
          </w:p>
        </w:tc>
        <w:tc>
          <w:tcPr>
            <w:tcW w:w="86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56FA2A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预算执行数</w:t>
            </w:r>
          </w:p>
        </w:tc>
      </w:tr>
      <w:tr w14:paraId="6F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CF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738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ascii="Times New Roman" w:hAnsi="Times New Roman"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三公</w:t>
            </w:r>
            <w:r>
              <w:rPr>
                <w:rFonts w:hint="eastAsia" w:ascii="Times New Roman" w:hAnsi="Times New Roman"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9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238.70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A9A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188.30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4EF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205.11</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688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113.31</w:t>
            </w:r>
          </w:p>
        </w:tc>
      </w:tr>
      <w:tr w14:paraId="3025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5B0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2</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E04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会议费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C8F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E5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055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06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r>
      <w:tr w14:paraId="5ED8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0E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3</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2C7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培训费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06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sz w:val="24"/>
                <w:szCs w:val="24"/>
                <w:highlight w:val="none"/>
                <w:u w:val="none"/>
                <w:lang w:val="en-US" w:eastAsia="zh-CN"/>
              </w:rPr>
              <w:t>36.33</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23D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sz w:val="24"/>
                <w:szCs w:val="24"/>
                <w:highlight w:val="none"/>
                <w:u w:val="none"/>
                <w:lang w:val="en-US" w:eastAsia="zh-CN"/>
              </w:rPr>
              <w:t>19.46</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A69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3.22</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7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3.33</w:t>
            </w:r>
          </w:p>
        </w:tc>
      </w:tr>
      <w:tr w14:paraId="064D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76D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4</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EB2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差旅费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EF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sz w:val="24"/>
                <w:szCs w:val="24"/>
                <w:highlight w:val="none"/>
                <w:u w:val="none"/>
                <w:lang w:val="en-US" w:eastAsia="zh-CN"/>
              </w:rPr>
              <w:t>138.49</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0B6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default" w:ascii="Times New Roman" w:hAnsi="Times New Roman" w:eastAsia="仿宋_GB2312" w:cs="Times New Roman"/>
                <w:i w:val="0"/>
                <w:iCs w:val="0"/>
                <w:color w:val="000000"/>
                <w:sz w:val="24"/>
                <w:szCs w:val="24"/>
                <w:highlight w:val="none"/>
                <w:u w:val="none"/>
                <w:lang w:val="en-US" w:eastAsia="zh-CN"/>
              </w:rPr>
              <w:t>89.11</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971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94.48</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0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107.97</w:t>
            </w:r>
          </w:p>
        </w:tc>
      </w:tr>
      <w:tr w14:paraId="46CB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171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5</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5C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办节办展</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3ED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4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5E8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E7F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sz w:val="24"/>
                <w:szCs w:val="24"/>
                <w:highlight w:val="none"/>
                <w:u w:val="none"/>
                <w:lang w:val="en-US" w:eastAsia="zh-CN"/>
              </w:rPr>
              <w:t>0.00</w:t>
            </w:r>
          </w:p>
        </w:tc>
      </w:tr>
      <w:tr w14:paraId="062A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282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6</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2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办公设备购置</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930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sz w:val="24"/>
                <w:szCs w:val="24"/>
                <w:highlight w:val="none"/>
                <w:u w:val="none"/>
                <w:lang w:val="en-US" w:eastAsia="zh-CN"/>
              </w:rPr>
              <w:t>0.00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0BC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0.00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DC7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431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0.00</w:t>
            </w:r>
          </w:p>
        </w:tc>
      </w:tr>
      <w:tr w14:paraId="7008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6B5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7</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788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信息网络及软件购置更新经费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1C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sz w:val="24"/>
                <w:szCs w:val="24"/>
                <w:highlight w:val="none"/>
                <w:u w:val="none"/>
                <w:lang w:val="en-US" w:eastAsia="zh-CN"/>
              </w:rPr>
              <w:t>0.00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646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0.00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1E8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C13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0.00</w:t>
            </w:r>
          </w:p>
        </w:tc>
      </w:tr>
      <w:tr w14:paraId="1EE8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F6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168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课题经费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358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000000"/>
                <w:sz w:val="24"/>
                <w:szCs w:val="24"/>
                <w:highlight w:val="none"/>
                <w:u w:val="none"/>
                <w:lang w:val="en-US" w:eastAsia="zh-CN"/>
              </w:rPr>
              <w:t>0.00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47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0.00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3AB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506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0.00</w:t>
            </w:r>
          </w:p>
        </w:tc>
      </w:tr>
      <w:tr w14:paraId="519C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3F2A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合计</w:t>
            </w:r>
          </w:p>
        </w:tc>
        <w:tc>
          <w:tcPr>
            <w:tcW w:w="1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58F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b/>
                <w:bCs/>
                <w:i w:val="0"/>
                <w:iCs w:val="0"/>
                <w:color w:val="000000"/>
                <w:kern w:val="0"/>
                <w:sz w:val="24"/>
                <w:szCs w:val="24"/>
                <w:highlight w:val="none"/>
                <w:u w:val="none"/>
                <w:lang w:val="en-US" w:eastAsia="zh-CN" w:bidi="ar"/>
              </w:rPr>
            </w:pPr>
            <w:r>
              <w:rPr>
                <w:rFonts w:hint="eastAsia" w:cs="Times New Roman"/>
                <w:b/>
                <w:bCs/>
                <w:i w:val="0"/>
                <w:iCs w:val="0"/>
                <w:color w:val="000000"/>
                <w:kern w:val="0"/>
                <w:sz w:val="24"/>
                <w:szCs w:val="24"/>
                <w:highlight w:val="none"/>
                <w:u w:val="none"/>
                <w:lang w:val="en-US" w:eastAsia="zh-CN" w:bidi="ar"/>
              </w:rPr>
              <w:t>413.52</w:t>
            </w:r>
          </w:p>
        </w:tc>
        <w:tc>
          <w:tcPr>
            <w:tcW w:w="17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EC45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b/>
                <w:bCs/>
                <w:i w:val="0"/>
                <w:iCs w:val="0"/>
                <w:color w:val="000000"/>
                <w:kern w:val="0"/>
                <w:sz w:val="24"/>
                <w:szCs w:val="24"/>
                <w:highlight w:val="none"/>
                <w:u w:val="none"/>
                <w:lang w:val="en-US" w:eastAsia="zh-CN" w:bidi="ar"/>
              </w:rPr>
            </w:pPr>
            <w:r>
              <w:rPr>
                <w:rFonts w:hint="eastAsia" w:cs="Times New Roman"/>
                <w:b/>
                <w:bCs/>
                <w:i w:val="0"/>
                <w:iCs w:val="0"/>
                <w:color w:val="000000"/>
                <w:kern w:val="0"/>
                <w:sz w:val="24"/>
                <w:szCs w:val="24"/>
                <w:highlight w:val="none"/>
                <w:u w:val="none"/>
                <w:lang w:val="en-US" w:eastAsia="zh-CN" w:bidi="ar"/>
              </w:rPr>
              <w:t>296.87</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0D3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cs="Times New Roman"/>
                <w:b/>
                <w:bCs/>
                <w:i w:val="0"/>
                <w:iCs w:val="0"/>
                <w:color w:val="000000"/>
                <w:kern w:val="0"/>
                <w:sz w:val="24"/>
                <w:szCs w:val="24"/>
                <w:highlight w:val="none"/>
                <w:u w:val="none"/>
                <w:lang w:val="en-US" w:eastAsia="zh-CN" w:bidi="ar"/>
              </w:rPr>
            </w:pPr>
            <w:r>
              <w:rPr>
                <w:rFonts w:hint="default" w:cs="Times New Roman"/>
                <w:b/>
                <w:bCs/>
                <w:i w:val="0"/>
                <w:iCs w:val="0"/>
                <w:color w:val="000000"/>
                <w:kern w:val="0"/>
                <w:sz w:val="24"/>
                <w:szCs w:val="24"/>
                <w:highlight w:val="none"/>
                <w:u w:val="none"/>
                <w:lang w:val="en-US" w:eastAsia="zh-CN" w:bidi="ar"/>
              </w:rPr>
              <w:t>302.81</w:t>
            </w: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2E3D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cs="Times New Roman"/>
                <w:b/>
                <w:bCs/>
                <w:i w:val="0"/>
                <w:iCs w:val="0"/>
                <w:color w:val="000000"/>
                <w:kern w:val="0"/>
                <w:sz w:val="24"/>
                <w:szCs w:val="24"/>
                <w:highlight w:val="none"/>
                <w:u w:val="none"/>
                <w:lang w:val="en-US" w:eastAsia="zh-CN" w:bidi="ar"/>
              </w:rPr>
            </w:pPr>
            <w:r>
              <w:rPr>
                <w:rFonts w:hint="eastAsia" w:cs="Times New Roman"/>
                <w:b/>
                <w:bCs/>
                <w:i w:val="0"/>
                <w:iCs w:val="0"/>
                <w:color w:val="000000"/>
                <w:kern w:val="0"/>
                <w:sz w:val="24"/>
                <w:szCs w:val="24"/>
                <w:highlight w:val="none"/>
                <w:u w:val="none"/>
                <w:lang w:val="en-US" w:eastAsia="zh-CN" w:bidi="ar"/>
              </w:rPr>
              <w:t>224.61</w:t>
            </w:r>
          </w:p>
        </w:tc>
      </w:tr>
    </w:tbl>
    <w:p w14:paraId="1C633088">
      <w:pPr>
        <w:rPr>
          <w:rFonts w:hint="eastAsia" w:ascii="Times New Roman" w:hAnsi="Times New Roman"/>
          <w:highlight w:val="none"/>
          <w:lang w:val="en-US" w:eastAsia="zh-CN"/>
        </w:rPr>
      </w:pPr>
      <w:r>
        <w:rPr>
          <w:rFonts w:hint="eastAsia" w:ascii="Times New Roman" w:hAnsi="Times New Roman"/>
          <w:highlight w:val="none"/>
          <w:lang w:val="en-US" w:eastAsia="zh-CN"/>
        </w:rPr>
        <w:t>一般性支出财政拨款年初预算较上年减少，一般性支出财政拨款预算执行数较上年减少。</w:t>
      </w:r>
    </w:p>
    <w:p w14:paraId="2D86C155">
      <w:pPr>
        <w:rPr>
          <w:rFonts w:hint="default" w:ascii="Times New Roman" w:hAnsi="Times New Roman"/>
          <w:highlight w:val="none"/>
          <w:lang w:val="en-US" w:eastAsia="zh-CN"/>
        </w:rPr>
      </w:pPr>
      <w:r>
        <w:rPr>
          <w:rFonts w:hint="default" w:ascii="Times New Roman" w:hAnsi="Times New Roman"/>
          <w:highlight w:val="none"/>
          <w:lang w:val="en-US" w:eastAsia="zh-CN"/>
        </w:rPr>
        <w:t>根据评分标准，该项指标</w:t>
      </w:r>
      <w:r>
        <w:rPr>
          <w:rFonts w:hint="eastAsia"/>
          <w:highlight w:val="none"/>
          <w:lang w:val="en-US" w:eastAsia="zh-CN"/>
        </w:rPr>
        <w:t>不扣</w:t>
      </w:r>
      <w:r>
        <w:rPr>
          <w:rFonts w:hint="default" w:ascii="Times New Roman" w:hAnsi="Times New Roman"/>
          <w:highlight w:val="none"/>
          <w:lang w:val="en-US" w:eastAsia="zh-CN"/>
        </w:rPr>
        <w:t>分，得</w:t>
      </w:r>
      <w:r>
        <w:rPr>
          <w:rFonts w:hint="eastAsia"/>
          <w:highlight w:val="none"/>
          <w:lang w:val="en-US" w:eastAsia="zh-CN"/>
        </w:rPr>
        <w:t>5</w:t>
      </w:r>
      <w:r>
        <w:rPr>
          <w:rFonts w:hint="default" w:ascii="Times New Roman" w:hAnsi="Times New Roman"/>
          <w:highlight w:val="none"/>
          <w:lang w:val="en-US" w:eastAsia="zh-CN"/>
        </w:rPr>
        <w:t>分。</w:t>
      </w:r>
    </w:p>
    <w:p w14:paraId="30AD08A3">
      <w:pPr>
        <w:pStyle w:val="4"/>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w:t>
      </w:r>
      <w:r>
        <w:rPr>
          <w:rFonts w:hint="default" w:ascii="Times New Roman" w:hAnsi="Times New Roman"/>
          <w:highlight w:val="none"/>
          <w:lang w:val="zh-CN"/>
        </w:rPr>
        <w:t>财务管理</w:t>
      </w:r>
    </w:p>
    <w:p w14:paraId="65A7C01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（1）财务管理制度</w:t>
      </w:r>
    </w:p>
    <w:p w14:paraId="281C6696">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为加强和规范</w:t>
      </w:r>
      <w:r>
        <w:rPr>
          <w:rFonts w:hint="eastAsia"/>
          <w:highlight w:val="none"/>
          <w:lang w:val="zh-CN" w:eastAsia="zh-CN"/>
        </w:rPr>
        <w:t>我单位</w:t>
      </w:r>
      <w:r>
        <w:rPr>
          <w:rFonts w:hint="eastAsia" w:ascii="Times New Roman" w:hAnsi="Times New Roman"/>
          <w:highlight w:val="none"/>
          <w:lang w:val="zh-CN" w:eastAsia="zh-CN"/>
        </w:rPr>
        <w:t>内部控制管理水平和风险防范能力，健全规范内部控制机制，加强廉政风险防控机制建设，</w:t>
      </w:r>
      <w:r>
        <w:rPr>
          <w:rFonts w:hint="eastAsia"/>
          <w:highlight w:val="none"/>
          <w:lang w:val="zh-CN" w:eastAsia="zh-CN"/>
        </w:rPr>
        <w:t>我单位在</w:t>
      </w:r>
      <w:r>
        <w:rPr>
          <w:rFonts w:hint="eastAsia" w:ascii="Times New Roman" w:hAnsi="Times New Roman"/>
          <w:highlight w:val="none"/>
          <w:lang w:val="en-US" w:eastAsia="zh-CN"/>
        </w:rPr>
        <w:t>2025</w:t>
      </w:r>
      <w:r>
        <w:rPr>
          <w:rFonts w:hint="eastAsia" w:ascii="Times New Roman" w:hAnsi="Times New Roman"/>
          <w:highlight w:val="none"/>
          <w:lang w:val="zh-CN" w:eastAsia="zh-CN"/>
        </w:rPr>
        <w:t>年在对预算、收支、政府采购、资产、建设项目、合同等各类经济业务活动流程梳理的基础上，依据《中华人民共和国会计法》《中华人民共和国预算法》《中华人民共和国政府采购法》《政府会计制度》《行政事业单位内部控制规范（试行）》《关于全面推进行政事业单位内部控制建设的指导意见》（财会〔2015〕24号）、《四川省财政厅关于印发〈四川省省级行政事业单位内部控制建设指引〉的通知》（川财会〔2019〕37号）等文件编制了《财务内部控制制度》，部门内部财务管理制度等制度机制建立健全，制度得到有效执行。</w:t>
      </w:r>
    </w:p>
    <w:p w14:paraId="015EB18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根据评分标准，该项指标不扣分，得4分。</w:t>
      </w:r>
    </w:p>
    <w:p w14:paraId="7D6C29F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（2）财务岗位设置</w:t>
      </w:r>
    </w:p>
    <w:p w14:paraId="69B3AED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highlight w:val="none"/>
          <w:lang w:val="zh-CN" w:eastAsia="zh-CN"/>
        </w:rPr>
        <w:t>我单位</w:t>
      </w:r>
      <w:r>
        <w:rPr>
          <w:rFonts w:hint="eastAsia" w:ascii="Times New Roman" w:hAnsi="Times New Roman"/>
          <w:highlight w:val="none"/>
          <w:lang w:val="zh-CN" w:eastAsia="zh-CN"/>
        </w:rPr>
        <w:t>按照《中华人民共和国会计法》《中华人民共和国预算法》等相关法律，合理设置了单位财务岗位，明确了各岗位职责权限确保工作有序进行，同时，</w:t>
      </w:r>
      <w:r>
        <w:rPr>
          <w:rFonts w:hint="eastAsia"/>
          <w:highlight w:val="none"/>
          <w:lang w:val="zh-CN" w:eastAsia="zh-CN"/>
        </w:rPr>
        <w:t>我单位</w:t>
      </w:r>
      <w:r>
        <w:rPr>
          <w:rFonts w:hint="eastAsia" w:ascii="Times New Roman" w:hAnsi="Times New Roman"/>
          <w:highlight w:val="none"/>
          <w:lang w:val="zh-CN" w:eastAsia="zh-CN"/>
        </w:rPr>
        <w:t>制定的《财务内部控制制度》明确表示了财务收支统一核算管理，会计和出纳岗位分设，出纳人员不得兼管审核、会计档案保管，在财务实际设置过程中，做到了将会计与出纳、审核与执行等岗位分离，形成了相互制约、监督的机制，进而增强了财务数据的准确性，提升了内部控制效能，确保了财务工作的高效与透明。</w:t>
      </w:r>
    </w:p>
    <w:p w14:paraId="28D6E527">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根据评分标准，该项指标不扣分，得2分。</w:t>
      </w:r>
    </w:p>
    <w:p w14:paraId="5259CDD0">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ascii="Times New Roman" w:hAnsi="Times New Roman"/>
          <w:highlight w:val="none"/>
          <w:lang w:val="zh-CN" w:eastAsia="zh-CN"/>
        </w:rPr>
        <w:t>（3）资金使用规范</w:t>
      </w:r>
    </w:p>
    <w:p w14:paraId="4B68D8D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eastAsia="zh-CN"/>
        </w:rPr>
      </w:pPr>
      <w:r>
        <w:rPr>
          <w:rFonts w:hint="eastAsia"/>
          <w:highlight w:val="none"/>
          <w:lang w:val="zh-CN" w:eastAsia="zh-CN"/>
        </w:rPr>
        <w:t>我单位</w:t>
      </w:r>
      <w:r>
        <w:rPr>
          <w:rFonts w:hint="eastAsia" w:ascii="Times New Roman" w:hAnsi="Times New Roman"/>
          <w:highlight w:val="none"/>
          <w:lang w:val="zh-CN" w:eastAsia="zh-CN"/>
        </w:rPr>
        <w:t>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14:paraId="2FEFA7C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ascii="Times New Roman" w:hAnsi="Times New Roman"/>
          <w:highlight w:val="none"/>
          <w:lang w:val="zh-CN" w:eastAsia="zh-CN"/>
        </w:rPr>
        <w:t>根据评分标准，该项指标不扣分，得4分。</w:t>
      </w:r>
    </w:p>
    <w:p w14:paraId="1B50331F">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eastAsia="楷体_GB2312" w:cs="楷体_GB2312"/>
          <w:color w:val="auto"/>
          <w:highlight w:val="none"/>
          <w:lang w:val="zh-CN"/>
        </w:rPr>
      </w:pPr>
      <w:r>
        <w:rPr>
          <w:rFonts w:hint="eastAsia" w:ascii="Times New Roman" w:hAnsi="Times New Roman" w:eastAsia="楷体_GB2312" w:cs="楷体_GB2312"/>
          <w:color w:val="auto"/>
          <w:highlight w:val="none"/>
          <w:lang w:val="en-US" w:eastAsia="zh-CN"/>
        </w:rPr>
        <w:t>4.</w:t>
      </w:r>
      <w:r>
        <w:rPr>
          <w:rFonts w:hint="eastAsia" w:ascii="Times New Roman" w:hAnsi="Times New Roman" w:eastAsia="楷体_GB2312" w:cs="楷体_GB2312"/>
          <w:color w:val="auto"/>
          <w:highlight w:val="none"/>
          <w:lang w:val="zh-CN"/>
        </w:rPr>
        <w:t>资产管理</w:t>
      </w:r>
    </w:p>
    <w:p w14:paraId="37DD3AB7">
      <w:pPr>
        <w:keepNext w:val="0"/>
        <w:keepLines w:val="0"/>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color w:val="auto"/>
          <w:highlight w:val="none"/>
          <w:lang w:val="zh-CN" w:eastAsia="zh-CN"/>
        </w:rPr>
      </w:pPr>
      <w:r>
        <w:rPr>
          <w:rFonts w:hint="eastAsia" w:ascii="Times New Roman" w:hAnsi="Times New Roman"/>
          <w:color w:val="auto"/>
          <w:highlight w:val="none"/>
          <w:lang w:val="zh-CN" w:eastAsia="zh-CN"/>
        </w:rPr>
        <w:t>（1）人均资产变化率</w:t>
      </w:r>
    </w:p>
    <w:p w14:paraId="39825D1C">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color w:val="auto"/>
          <w:highlight w:val="none"/>
          <w:lang w:val="zh-CN" w:eastAsia="zh-CN"/>
        </w:rPr>
        <w:t>我单位</w:t>
      </w:r>
      <w:r>
        <w:rPr>
          <w:rFonts w:hint="eastAsia" w:ascii="Times New Roman" w:hAnsi="Times New Roman"/>
          <w:color w:val="auto"/>
          <w:highlight w:val="none"/>
          <w:lang w:val="zh-CN" w:eastAsia="zh-CN"/>
        </w:rPr>
        <w:t>2024年末实有在编在职人数为</w:t>
      </w:r>
      <w:r>
        <w:rPr>
          <w:rFonts w:hint="eastAsia"/>
          <w:color w:val="auto"/>
          <w:highlight w:val="none"/>
          <w:lang w:val="en-US" w:eastAsia="zh-CN"/>
        </w:rPr>
        <w:t>90</w:t>
      </w:r>
      <w:r>
        <w:rPr>
          <w:rFonts w:hint="eastAsia" w:ascii="Times New Roman" w:hAnsi="Times New Roman"/>
          <w:color w:val="auto"/>
          <w:highlight w:val="none"/>
          <w:lang w:val="zh-CN" w:eastAsia="zh-CN"/>
        </w:rPr>
        <w:t>人，固定资产和无形资产期末账面值净值合计</w:t>
      </w:r>
      <w:r>
        <w:rPr>
          <w:rFonts w:hint="eastAsia"/>
          <w:color w:val="auto"/>
          <w:highlight w:val="none"/>
          <w:lang w:val="en-US" w:eastAsia="zh-CN"/>
        </w:rPr>
        <w:t>2,677.20</w:t>
      </w:r>
      <w:r>
        <w:rPr>
          <w:rFonts w:hint="eastAsia" w:ascii="Times New Roman" w:hAnsi="Times New Roman"/>
          <w:color w:val="auto"/>
          <w:highlight w:val="none"/>
          <w:lang w:val="zh-CN" w:eastAsia="zh-CN"/>
        </w:rPr>
        <w:t>万元；2025年末实有在职在编人数为</w:t>
      </w:r>
      <w:r>
        <w:rPr>
          <w:rFonts w:hint="eastAsia"/>
          <w:color w:val="auto"/>
          <w:highlight w:val="none"/>
          <w:lang w:val="en-US" w:eastAsia="zh-CN"/>
        </w:rPr>
        <w:t>82</w:t>
      </w:r>
      <w:r>
        <w:rPr>
          <w:rFonts w:hint="eastAsia" w:ascii="Times New Roman" w:hAnsi="Times New Roman"/>
          <w:color w:val="auto"/>
          <w:highlight w:val="none"/>
          <w:lang w:val="zh-CN" w:eastAsia="zh-CN"/>
        </w:rPr>
        <w:t>人，固定资产和无形资产净值合计</w:t>
      </w:r>
      <w:r>
        <w:rPr>
          <w:rFonts w:hint="eastAsia"/>
          <w:color w:val="auto"/>
          <w:highlight w:val="none"/>
          <w:lang w:val="en-US" w:eastAsia="zh-CN"/>
        </w:rPr>
        <w:t>2,594.38</w:t>
      </w:r>
      <w:r>
        <w:rPr>
          <w:rFonts w:hint="eastAsia" w:ascii="Times New Roman" w:hAnsi="Times New Roman"/>
          <w:color w:val="auto"/>
          <w:highlight w:val="none"/>
          <w:lang w:val="zh-CN" w:eastAsia="zh-CN"/>
        </w:rPr>
        <w:t>万元。人均占有资产及人均资产变化率计算公式分别为“（固定资产净值+无形资产净值</w:t>
      </w:r>
      <w:r>
        <w:rPr>
          <w:rFonts w:hint="eastAsia"/>
          <w:color w:val="auto"/>
          <w:highlight w:val="none"/>
          <w:lang w:val="zh-CN" w:eastAsia="zh-CN"/>
        </w:rPr>
        <w:t>）</w:t>
      </w:r>
      <w:r>
        <w:rPr>
          <w:rFonts w:hint="eastAsia" w:ascii="Times New Roman" w:hAnsi="Times New Roman"/>
          <w:color w:val="auto"/>
          <w:highlight w:val="none"/>
          <w:lang w:val="zh-CN" w:eastAsia="zh-CN"/>
        </w:rPr>
        <w:t>/在职人数、</w:t>
      </w:r>
      <w:r>
        <w:rPr>
          <w:rFonts w:hint="eastAsia"/>
          <w:color w:val="auto"/>
          <w:highlight w:val="none"/>
          <w:lang w:val="zh-CN" w:eastAsia="zh-CN"/>
        </w:rPr>
        <w:t>（</w:t>
      </w:r>
      <w:r>
        <w:rPr>
          <w:rFonts w:hint="eastAsia" w:ascii="Times New Roman" w:hAnsi="Times New Roman"/>
          <w:color w:val="auto"/>
          <w:highlight w:val="none"/>
          <w:lang w:val="zh-CN" w:eastAsia="zh-CN"/>
        </w:rPr>
        <w:t>当年人均资产</w:t>
      </w:r>
      <w:r>
        <w:rPr>
          <w:rFonts w:hint="eastAsia"/>
          <w:color w:val="auto"/>
          <w:highlight w:val="none"/>
          <w:lang w:val="zh-CN" w:eastAsia="zh-CN"/>
        </w:rPr>
        <w:t>－</w:t>
      </w:r>
      <w:r>
        <w:rPr>
          <w:rFonts w:hint="eastAsia" w:ascii="Times New Roman" w:hAnsi="Times New Roman"/>
          <w:color w:val="auto"/>
          <w:highlight w:val="none"/>
          <w:lang w:val="zh-CN" w:eastAsia="zh-CN"/>
        </w:rPr>
        <w:t>上年人均资产</w:t>
      </w:r>
      <w:r>
        <w:rPr>
          <w:rFonts w:hint="eastAsia"/>
          <w:color w:val="auto"/>
          <w:highlight w:val="none"/>
          <w:lang w:val="zh-CN" w:eastAsia="zh-CN"/>
        </w:rPr>
        <w:t>）</w:t>
      </w:r>
      <w:r>
        <w:rPr>
          <w:rFonts w:hint="eastAsia" w:ascii="Times New Roman" w:hAnsi="Times New Roman"/>
          <w:color w:val="auto"/>
          <w:highlight w:val="none"/>
          <w:lang w:val="zh-CN" w:eastAsia="zh-CN"/>
        </w:rPr>
        <w:t>/上年人均资产”。故</w:t>
      </w:r>
      <w:r>
        <w:rPr>
          <w:rFonts w:hint="eastAsia"/>
          <w:color w:val="auto"/>
          <w:highlight w:val="none"/>
          <w:lang w:val="zh-CN" w:eastAsia="zh-CN"/>
        </w:rPr>
        <w:t>我单位</w:t>
      </w:r>
      <w:r>
        <w:rPr>
          <w:rFonts w:hint="eastAsia" w:ascii="Times New Roman" w:hAnsi="Times New Roman"/>
          <w:color w:val="auto"/>
          <w:highlight w:val="none"/>
          <w:lang w:val="zh-CN" w:eastAsia="zh-CN"/>
        </w:rPr>
        <w:t>2024、2025年人均占有资产分别为</w:t>
      </w:r>
      <w:r>
        <w:rPr>
          <w:rFonts w:hint="eastAsia"/>
          <w:color w:val="auto"/>
          <w:highlight w:val="none"/>
          <w:lang w:val="en-US" w:eastAsia="zh-CN"/>
        </w:rPr>
        <w:t>29.75</w:t>
      </w:r>
      <w:r>
        <w:rPr>
          <w:rFonts w:hint="eastAsia" w:ascii="Times New Roman" w:hAnsi="Times New Roman"/>
          <w:color w:val="auto"/>
          <w:highlight w:val="none"/>
          <w:lang w:val="zh-CN" w:eastAsia="zh-CN"/>
        </w:rPr>
        <w:t>万元/人、</w:t>
      </w:r>
      <w:r>
        <w:rPr>
          <w:rFonts w:hint="eastAsia"/>
          <w:color w:val="auto"/>
          <w:highlight w:val="none"/>
          <w:lang w:val="en-US" w:eastAsia="zh-CN"/>
        </w:rPr>
        <w:t>31.64</w:t>
      </w:r>
      <w:r>
        <w:rPr>
          <w:rFonts w:hint="eastAsia" w:ascii="Times New Roman" w:hAnsi="Times New Roman"/>
          <w:color w:val="auto"/>
          <w:highlight w:val="none"/>
          <w:lang w:val="zh-CN" w:eastAsia="zh-CN"/>
        </w:rPr>
        <w:t>万元/人。</w:t>
      </w:r>
    </w:p>
    <w:p w14:paraId="22E3F2C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ascii="Times New Roman" w:hAnsi="Times New Roman"/>
          <w:color w:val="auto"/>
          <w:highlight w:val="none"/>
          <w:lang w:val="zh-CN" w:eastAsia="zh-CN"/>
        </w:rPr>
        <w:t>综上，2025年</w:t>
      </w:r>
      <w:r>
        <w:rPr>
          <w:rFonts w:hint="eastAsia"/>
          <w:color w:val="auto"/>
          <w:highlight w:val="none"/>
          <w:lang w:val="zh-CN" w:eastAsia="zh-CN"/>
        </w:rPr>
        <w:t>我单位</w:t>
      </w:r>
      <w:r>
        <w:rPr>
          <w:rFonts w:hint="eastAsia" w:ascii="Times New Roman" w:hAnsi="Times New Roman"/>
          <w:color w:val="auto"/>
          <w:highlight w:val="none"/>
          <w:lang w:val="zh-CN" w:eastAsia="zh-CN"/>
        </w:rPr>
        <w:t>人均资产变化率为</w:t>
      </w:r>
      <w:r>
        <w:rPr>
          <w:rFonts w:hint="eastAsia"/>
          <w:color w:val="auto"/>
          <w:highlight w:val="none"/>
          <w:lang w:val="en-US" w:eastAsia="zh-CN"/>
        </w:rPr>
        <w:t>6.35</w:t>
      </w:r>
      <w:r>
        <w:rPr>
          <w:rFonts w:hint="eastAsia" w:ascii="Times New Roman" w:hAnsi="Times New Roman"/>
          <w:color w:val="auto"/>
          <w:highlight w:val="none"/>
          <w:lang w:val="zh-CN" w:eastAsia="zh-CN"/>
        </w:rPr>
        <w:t>%，</w:t>
      </w:r>
      <w:r>
        <w:rPr>
          <w:rFonts w:hint="eastAsia"/>
          <w:color w:val="auto"/>
          <w:highlight w:val="none"/>
          <w:lang w:val="en-US" w:eastAsia="zh-CN"/>
        </w:rPr>
        <w:t>大于</w:t>
      </w:r>
      <w:r>
        <w:rPr>
          <w:rFonts w:hint="eastAsia" w:ascii="Times New Roman" w:hAnsi="Times New Roman"/>
          <w:color w:val="auto"/>
          <w:highlight w:val="none"/>
          <w:lang w:val="zh-CN" w:eastAsia="zh-CN"/>
        </w:rPr>
        <w:t>州直行政事业单位人均资产变化率-3.49%，</w:t>
      </w:r>
      <w:r>
        <w:rPr>
          <w:rFonts w:hint="eastAsia"/>
          <w:color w:val="auto"/>
          <w:highlight w:val="none"/>
          <w:lang w:val="en-US" w:eastAsia="zh-CN"/>
        </w:rPr>
        <w:t>大于0</w:t>
      </w:r>
      <w:r>
        <w:rPr>
          <w:rFonts w:hint="eastAsia" w:ascii="Times New Roman" w:hAnsi="Times New Roman"/>
          <w:color w:val="auto"/>
          <w:highlight w:val="none"/>
          <w:lang w:val="zh-CN" w:eastAsia="zh-CN"/>
        </w:rPr>
        <w:t>小于州级财政收入增长率17.10%。</w:t>
      </w:r>
    </w:p>
    <w:p w14:paraId="51268670">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olor w:val="auto"/>
          <w:highlight w:val="yellow"/>
          <w:lang w:val="en-US" w:eastAsia="zh-CN"/>
        </w:rPr>
      </w:pPr>
      <w:r>
        <w:rPr>
          <w:rFonts w:hint="eastAsia" w:ascii="Times New Roman" w:hAnsi="Times New Roman"/>
          <w:color w:val="auto"/>
          <w:highlight w:val="none"/>
          <w:lang w:val="zh-CN" w:eastAsia="zh-CN"/>
        </w:rPr>
        <w:t>根据评分标准，该项指标</w:t>
      </w:r>
      <w:r>
        <w:rPr>
          <w:rFonts w:hint="eastAsia"/>
          <w:color w:val="auto"/>
          <w:highlight w:val="none"/>
          <w:lang w:val="en-US" w:eastAsia="zh-CN"/>
        </w:rPr>
        <w:t>扣1.8</w:t>
      </w:r>
      <w:r>
        <w:rPr>
          <w:rFonts w:hint="eastAsia" w:ascii="Times New Roman" w:hAnsi="Times New Roman"/>
          <w:color w:val="auto"/>
          <w:highlight w:val="none"/>
          <w:lang w:val="zh-CN" w:eastAsia="zh-CN"/>
        </w:rPr>
        <w:t>分，得</w:t>
      </w:r>
      <w:r>
        <w:rPr>
          <w:rFonts w:hint="eastAsia"/>
          <w:color w:val="auto"/>
          <w:highlight w:val="none"/>
          <w:lang w:val="en-US" w:eastAsia="zh-CN"/>
        </w:rPr>
        <w:t>1.2</w:t>
      </w:r>
      <w:r>
        <w:rPr>
          <w:rFonts w:hint="eastAsia" w:ascii="Times New Roman" w:hAnsi="Times New Roman"/>
          <w:color w:val="auto"/>
          <w:highlight w:val="none"/>
          <w:lang w:val="zh-CN" w:eastAsia="zh-CN"/>
        </w:rPr>
        <w:t>分。</w:t>
      </w:r>
    </w:p>
    <w:p w14:paraId="1D889624">
      <w:pPr>
        <w:pageBreakBefore w:val="0"/>
        <w:widowControl w:val="0"/>
        <w:kinsoku/>
        <w:wordWrap/>
        <w:overflowPunct/>
        <w:topLinePunct w:val="0"/>
        <w:autoSpaceDE/>
        <w:autoSpaceDN/>
        <w:bidi w:val="0"/>
        <w:adjustRightInd/>
        <w:snapToGrid/>
        <w:spacing w:line="600" w:lineRule="exact"/>
        <w:textAlignment w:val="auto"/>
        <w:outlineLvl w:val="3"/>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ascii="Times New Roman" w:hAnsi="Times New Roman"/>
          <w:color w:val="auto"/>
          <w:highlight w:val="none"/>
          <w:lang w:val="en-US" w:eastAsia="zh-CN"/>
        </w:rPr>
        <w:t>）资产利用率</w:t>
      </w:r>
    </w:p>
    <w:p w14:paraId="5C52FC9F">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color w:val="auto"/>
          <w:highlight w:val="none"/>
          <w:lang w:val="en-US" w:eastAsia="zh-CN"/>
        </w:rPr>
        <w:t>我单位</w:t>
      </w:r>
      <w:r>
        <w:rPr>
          <w:rFonts w:hint="eastAsia" w:ascii="Times New Roman" w:hAnsi="Times New Roman"/>
          <w:color w:val="auto"/>
          <w:highlight w:val="none"/>
          <w:lang w:val="en-US" w:eastAsia="zh-CN"/>
        </w:rPr>
        <w:t>2025年办公家具账面价值为</w:t>
      </w:r>
      <w:r>
        <w:rPr>
          <w:rFonts w:hint="eastAsia"/>
          <w:color w:val="auto"/>
          <w:highlight w:val="none"/>
          <w:lang w:val="en-US" w:eastAsia="zh-CN"/>
        </w:rPr>
        <w:t>231.16</w:t>
      </w:r>
      <w:r>
        <w:rPr>
          <w:rFonts w:hint="eastAsia" w:ascii="Times New Roman" w:hAnsi="Times New Roman"/>
          <w:color w:val="auto"/>
          <w:highlight w:val="none"/>
          <w:lang w:val="en-US" w:eastAsia="zh-CN"/>
        </w:rPr>
        <w:t>万元，超最低使用年限的办公家具账面价值为</w:t>
      </w:r>
      <w:r>
        <w:rPr>
          <w:rFonts w:hint="eastAsia"/>
          <w:color w:val="auto"/>
          <w:highlight w:val="none"/>
          <w:lang w:val="en-US" w:eastAsia="zh-CN"/>
        </w:rPr>
        <w:t>98.04</w:t>
      </w:r>
      <w:r>
        <w:rPr>
          <w:rFonts w:hint="eastAsia" w:ascii="Times New Roman" w:hAnsi="Times New Roman"/>
          <w:color w:val="auto"/>
          <w:highlight w:val="none"/>
          <w:lang w:val="en-US" w:eastAsia="zh-CN"/>
        </w:rPr>
        <w:t>万元，故办公家具超最低使用年限资产利用率=超最低使用年限的办公家具账面价值÷办公家具账面价值×100%=</w:t>
      </w:r>
      <w:r>
        <w:rPr>
          <w:rFonts w:hint="eastAsia"/>
          <w:color w:val="auto"/>
          <w:highlight w:val="none"/>
          <w:lang w:val="en-US" w:eastAsia="zh-CN"/>
        </w:rPr>
        <w:t>42.41</w:t>
      </w:r>
      <w:r>
        <w:rPr>
          <w:rFonts w:hint="eastAsia" w:ascii="Times New Roman" w:hAnsi="Times New Roman"/>
          <w:color w:val="auto"/>
          <w:highlight w:val="none"/>
          <w:lang w:val="en-US" w:eastAsia="zh-CN"/>
        </w:rPr>
        <w:t>%；2025年办公设备账面价值为</w:t>
      </w:r>
      <w:r>
        <w:rPr>
          <w:rFonts w:hint="eastAsia"/>
          <w:color w:val="auto"/>
          <w:highlight w:val="none"/>
          <w:lang w:val="en-US" w:eastAsia="zh-CN"/>
        </w:rPr>
        <w:t>2,334.09</w:t>
      </w:r>
      <w:r>
        <w:rPr>
          <w:rFonts w:hint="eastAsia" w:ascii="Times New Roman" w:hAnsi="Times New Roman"/>
          <w:color w:val="auto"/>
          <w:highlight w:val="none"/>
          <w:lang w:val="en-US" w:eastAsia="zh-CN"/>
        </w:rPr>
        <w:t>万元，超最低使用年限的办公设备账面价值为</w:t>
      </w:r>
      <w:r>
        <w:rPr>
          <w:rFonts w:hint="eastAsia"/>
          <w:color w:val="auto"/>
          <w:highlight w:val="none"/>
          <w:lang w:val="en-US" w:eastAsia="zh-CN"/>
        </w:rPr>
        <w:t>1,789.74</w:t>
      </w:r>
      <w:r>
        <w:rPr>
          <w:rFonts w:hint="eastAsia" w:ascii="Times New Roman" w:hAnsi="Times New Roman"/>
          <w:color w:val="auto"/>
          <w:highlight w:val="none"/>
          <w:lang w:val="en-US" w:eastAsia="zh-CN"/>
        </w:rPr>
        <w:t>万元，故办公设备超最低使用年限资产利用率=超最低使用年限的办公设备账面价值÷办公设备账面价值×100%=</w:t>
      </w:r>
      <w:r>
        <w:rPr>
          <w:rFonts w:hint="eastAsia"/>
          <w:color w:val="auto"/>
          <w:highlight w:val="none"/>
          <w:lang w:val="en-US" w:eastAsia="zh-CN"/>
        </w:rPr>
        <w:t>76.68</w:t>
      </w:r>
      <w:r>
        <w:rPr>
          <w:rFonts w:hint="eastAsia" w:ascii="Times New Roman" w:hAnsi="Times New Roman"/>
          <w:color w:val="auto"/>
          <w:highlight w:val="none"/>
          <w:lang w:val="en-US" w:eastAsia="zh-CN"/>
        </w:rPr>
        <w:t>%。</w:t>
      </w:r>
    </w:p>
    <w:p w14:paraId="4D7FE4C9">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综上，</w:t>
      </w:r>
      <w:r>
        <w:rPr>
          <w:rFonts w:hint="eastAsia"/>
          <w:color w:val="auto"/>
          <w:highlight w:val="none"/>
          <w:lang w:val="en-US" w:eastAsia="zh-CN"/>
        </w:rPr>
        <w:t>我单位</w:t>
      </w:r>
      <w:r>
        <w:rPr>
          <w:rFonts w:hint="eastAsia" w:ascii="Times New Roman" w:hAnsi="Times New Roman"/>
          <w:color w:val="auto"/>
          <w:highlight w:val="none"/>
          <w:lang w:val="en-US" w:eastAsia="zh-CN"/>
        </w:rPr>
        <w:t>在资产利用率方面，办公家具和用具超最低使用年限资产利用率大于州直行政事业单位平均值12.93%，办公设备超最低使用年限资产利用率大于州直行政事业单位平均值53.14%。</w:t>
      </w:r>
    </w:p>
    <w:p w14:paraId="3DFF44D4">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根据评分标准，该项指标不扣分，得3分。</w:t>
      </w:r>
    </w:p>
    <w:p w14:paraId="4C2C61D0">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default" w:ascii="Times New Roman" w:hAnsi="Times New Roman" w:cs="Times New Roman"/>
          <w:color w:val="auto"/>
          <w:highlight w:val="none"/>
          <w:lang w:val="en-US" w:eastAsia="zh-CN"/>
        </w:rPr>
        <w:t>3</w:t>
      </w:r>
      <w:r>
        <w:rPr>
          <w:rFonts w:hint="eastAsia" w:ascii="Times New Roman" w:hAnsi="Times New Roman"/>
          <w:color w:val="auto"/>
          <w:highlight w:val="none"/>
          <w:lang w:val="en-US" w:eastAsia="zh-CN"/>
        </w:rPr>
        <w:t>）资产盘活率</w:t>
      </w:r>
    </w:p>
    <w:p w14:paraId="463E4232">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default" w:ascii="Times New Roman" w:hAnsi="Times New Roman"/>
          <w:i w:val="0"/>
          <w:strike w:val="0"/>
          <w:color w:val="auto"/>
          <w:spacing w:val="0"/>
          <w:highlight w:val="none"/>
          <w:u w:val="none"/>
          <w:lang w:val="en-US" w:eastAsia="zh-CN"/>
        </w:rPr>
      </w:pPr>
      <w:r>
        <w:rPr>
          <w:rFonts w:hint="eastAsia"/>
          <w:i w:val="0"/>
          <w:strike w:val="0"/>
          <w:color w:val="auto"/>
          <w:spacing w:val="0"/>
          <w:highlight w:val="none"/>
          <w:u w:val="none"/>
          <w:lang w:val="en-US" w:eastAsia="zh-CN"/>
        </w:rPr>
        <w:t>我单位</w:t>
      </w:r>
      <w:r>
        <w:rPr>
          <w:rFonts w:hint="eastAsia" w:ascii="Times New Roman" w:hAnsi="Times New Roman"/>
          <w:i w:val="0"/>
          <w:strike w:val="0"/>
          <w:color w:val="auto"/>
          <w:spacing w:val="0"/>
          <w:highlight w:val="none"/>
          <w:u w:val="none"/>
          <w:lang w:val="en-US" w:eastAsia="zh-CN"/>
        </w:rPr>
        <w:t>2024</w:t>
      </w:r>
      <w:r>
        <w:rPr>
          <w:rFonts w:hint="default" w:ascii="Times New Roman" w:hAnsi="Times New Roman"/>
          <w:i w:val="0"/>
          <w:strike w:val="0"/>
          <w:color w:val="auto"/>
          <w:spacing w:val="0"/>
          <w:highlight w:val="none"/>
          <w:u w:val="none"/>
          <w:lang w:val="en-US" w:eastAsia="zh-CN"/>
        </w:rPr>
        <w:t>年、2025年均无闲置资产。自评年度</w:t>
      </w:r>
      <w:r>
        <w:rPr>
          <w:rFonts w:hint="eastAsia"/>
          <w:i w:val="0"/>
          <w:strike w:val="0"/>
          <w:color w:val="auto"/>
          <w:spacing w:val="0"/>
          <w:highlight w:val="none"/>
          <w:u w:val="none"/>
          <w:lang w:val="en-US" w:eastAsia="zh-CN"/>
        </w:rPr>
        <w:t>我单位</w:t>
      </w:r>
      <w:r>
        <w:rPr>
          <w:rFonts w:hint="default" w:ascii="Times New Roman" w:hAnsi="Times New Roman"/>
          <w:i w:val="0"/>
          <w:strike w:val="0"/>
          <w:color w:val="auto"/>
          <w:spacing w:val="0"/>
          <w:highlight w:val="none"/>
          <w:u w:val="none"/>
          <w:lang w:val="en-US" w:eastAsia="zh-CN"/>
        </w:rPr>
        <w:t>部门闲置资产占比变化率</w:t>
      </w:r>
      <w:r>
        <w:rPr>
          <w:rFonts w:hint="eastAsia" w:ascii="Times New Roman" w:hAnsi="Times New Roman"/>
          <w:i w:val="0"/>
          <w:strike w:val="0"/>
          <w:color w:val="auto"/>
          <w:spacing w:val="0"/>
          <w:highlight w:val="none"/>
          <w:u w:val="none"/>
          <w:lang w:val="en-US" w:eastAsia="zh-CN"/>
        </w:rPr>
        <w:t>为</w:t>
      </w:r>
      <w:r>
        <w:rPr>
          <w:rFonts w:hint="default" w:ascii="Times New Roman" w:hAnsi="Times New Roman"/>
          <w:i w:val="0"/>
          <w:strike w:val="0"/>
          <w:color w:val="auto"/>
          <w:spacing w:val="0"/>
          <w:highlight w:val="none"/>
          <w:u w:val="none"/>
          <w:lang w:val="en-US" w:eastAsia="zh-CN"/>
        </w:rPr>
        <w:t>0%。</w:t>
      </w:r>
    </w:p>
    <w:p w14:paraId="455C2CC1">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i w:val="0"/>
          <w:strike w:val="0"/>
          <w:color w:val="auto"/>
          <w:spacing w:val="0"/>
          <w:highlight w:val="none"/>
          <w:u w:val="none"/>
          <w:lang w:val="en-US" w:eastAsia="zh-CN"/>
        </w:rPr>
      </w:pPr>
      <w:r>
        <w:rPr>
          <w:rFonts w:hint="eastAsia" w:ascii="Times New Roman" w:hAnsi="Times New Roman" w:eastAsia="仿宋_GB2312" w:cs="仿宋_GB2312"/>
          <w:i w:val="0"/>
          <w:strike w:val="0"/>
          <w:color w:val="auto"/>
          <w:spacing w:val="0"/>
          <w:highlight w:val="none"/>
          <w:u w:val="none"/>
          <w:lang w:val="en-US" w:eastAsia="zh-CN"/>
        </w:rPr>
        <w:t>根据评分标准，该项指标不扣分，得3分。</w:t>
      </w:r>
    </w:p>
    <w:p w14:paraId="1AABF7DB">
      <w:pPr>
        <w:pStyle w:val="4"/>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rPr>
      </w:pPr>
      <w:r>
        <w:rPr>
          <w:rFonts w:hint="default" w:ascii="Times New Roman" w:hAnsi="Times New Roman" w:cs="Times New Roman"/>
          <w:color w:val="auto"/>
          <w:highlight w:val="none"/>
          <w:lang w:val="en-US" w:eastAsia="zh-CN"/>
        </w:rPr>
        <w:t>5</w:t>
      </w:r>
      <w:r>
        <w:rPr>
          <w:rFonts w:hint="eastAsia" w:ascii="Times New Roman" w:hAnsi="Times New Roman"/>
          <w:color w:val="auto"/>
          <w:highlight w:val="none"/>
          <w:lang w:val="en-US" w:eastAsia="zh-CN"/>
        </w:rPr>
        <w:t>.</w:t>
      </w:r>
      <w:r>
        <w:rPr>
          <w:rFonts w:hint="default" w:ascii="Times New Roman" w:hAnsi="Times New Roman"/>
          <w:color w:val="auto"/>
          <w:highlight w:val="none"/>
          <w:lang w:val="zh-CN"/>
        </w:rPr>
        <w:t>采购管理</w:t>
      </w:r>
    </w:p>
    <w:p w14:paraId="562B300D">
      <w:pPr>
        <w:pageBreakBefore w:val="0"/>
        <w:widowControl w:val="0"/>
        <w:kinsoku/>
        <w:wordWrap/>
        <w:overflowPunct/>
        <w:topLinePunct w:val="0"/>
        <w:autoSpaceDE/>
        <w:autoSpaceDN/>
        <w:bidi w:val="0"/>
        <w:adjustRightInd/>
        <w:snapToGrid/>
        <w:spacing w:line="600" w:lineRule="exact"/>
        <w:textAlignment w:val="auto"/>
        <w:outlineLvl w:val="3"/>
        <w:rPr>
          <w:rFonts w:hint="eastAsia" w:ascii="Times New Roman" w:hAnsi="Times New Roman"/>
          <w:color w:val="auto"/>
          <w:highlight w:val="none"/>
          <w:lang w:val="zh-CN"/>
        </w:rPr>
      </w:pPr>
      <w:r>
        <w:rPr>
          <w:rFonts w:hint="eastAsia" w:ascii="Times New Roman" w:hAnsi="Times New Roman"/>
          <w:color w:val="auto"/>
          <w:highlight w:val="none"/>
          <w:lang w:val="zh-CN"/>
        </w:rPr>
        <w:t>（</w:t>
      </w:r>
      <w:r>
        <w:rPr>
          <w:rFonts w:hint="default" w:ascii="Times New Roman" w:hAnsi="Times New Roman" w:cs="Times New Roman"/>
          <w:color w:val="auto"/>
          <w:highlight w:val="none"/>
          <w:lang w:val="en-US" w:eastAsia="zh-CN"/>
        </w:rPr>
        <w:t>1</w:t>
      </w:r>
      <w:r>
        <w:rPr>
          <w:rFonts w:hint="eastAsia" w:ascii="Times New Roman" w:hAnsi="Times New Roman"/>
          <w:color w:val="auto"/>
          <w:highlight w:val="none"/>
          <w:lang w:val="zh-CN"/>
        </w:rPr>
        <w:t>）支持中小企业发展</w:t>
      </w:r>
    </w:p>
    <w:p w14:paraId="481C1CAB">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color w:val="auto"/>
          <w:highlight w:val="none"/>
          <w:lang w:val="en-US" w:eastAsia="zh-CN"/>
        </w:rPr>
        <w:t>我单位</w:t>
      </w:r>
      <w:r>
        <w:rPr>
          <w:rFonts w:hint="eastAsia" w:ascii="Times New Roman" w:hAnsi="Times New Roman"/>
          <w:color w:val="auto"/>
          <w:highlight w:val="none"/>
          <w:lang w:val="en-US" w:eastAsia="zh-CN"/>
        </w:rPr>
        <w:t>严格执行政府采购促进中小企业发展相关管理办法，对适宜由中小企业提供的采购项目和采购包，预留了采购份额专门面向中小企业采购，并在采购预算中单独列示。2025年，</w:t>
      </w:r>
      <w:r>
        <w:rPr>
          <w:rFonts w:hint="eastAsia"/>
          <w:color w:val="auto"/>
          <w:highlight w:val="none"/>
          <w:lang w:val="en-US" w:eastAsia="zh-CN"/>
        </w:rPr>
        <w:t>我单位</w:t>
      </w:r>
      <w:r>
        <w:rPr>
          <w:rFonts w:hint="eastAsia" w:ascii="Times New Roman" w:hAnsi="Times New Roman"/>
          <w:color w:val="auto"/>
          <w:highlight w:val="none"/>
          <w:lang w:val="en-US" w:eastAsia="zh-CN"/>
        </w:rPr>
        <w:t>政府采购授予中小企业合同金额为</w:t>
      </w:r>
      <w:r>
        <w:rPr>
          <w:rFonts w:hint="eastAsia"/>
          <w:color w:val="auto"/>
          <w:highlight w:val="none"/>
          <w:lang w:val="en-US" w:eastAsia="zh-CN"/>
        </w:rPr>
        <w:t>6.45</w:t>
      </w:r>
      <w:r>
        <w:rPr>
          <w:rFonts w:hint="eastAsia" w:ascii="Times New Roman" w:hAnsi="Times New Roman"/>
          <w:color w:val="auto"/>
          <w:highlight w:val="none"/>
          <w:lang w:val="en-US" w:eastAsia="zh-CN"/>
        </w:rPr>
        <w:t>万元。</w:t>
      </w:r>
    </w:p>
    <w:p w14:paraId="2FA513B1">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根据评分标准，该项指标不扣分，得3分。</w:t>
      </w:r>
    </w:p>
    <w:p w14:paraId="64209123">
      <w:pPr>
        <w:pageBreakBefore w:val="0"/>
        <w:widowControl w:val="0"/>
        <w:kinsoku/>
        <w:wordWrap/>
        <w:overflowPunct/>
        <w:topLinePunct w:val="0"/>
        <w:autoSpaceDE/>
        <w:autoSpaceDN/>
        <w:bidi w:val="0"/>
        <w:adjustRightInd/>
        <w:snapToGrid/>
        <w:spacing w:line="600" w:lineRule="exact"/>
        <w:textAlignment w:val="auto"/>
        <w:outlineLvl w:val="3"/>
        <w:rPr>
          <w:rFonts w:hint="default" w:ascii="Times New Roman" w:hAnsi="Times New Roman"/>
          <w:color w:val="auto"/>
          <w:highlight w:val="none"/>
          <w:lang w:val="en-US" w:eastAsia="zh-CN"/>
        </w:rPr>
      </w:pPr>
      <w:r>
        <w:rPr>
          <w:rFonts w:hint="eastAsia" w:ascii="Times New Roman" w:hAnsi="Times New Roman"/>
          <w:color w:val="auto"/>
          <w:highlight w:val="none"/>
          <w:lang w:val="en-US" w:eastAsia="zh-CN"/>
        </w:rPr>
        <w:t>（</w:t>
      </w:r>
      <w:r>
        <w:rPr>
          <w:rFonts w:hint="default" w:ascii="Times New Roman" w:hAnsi="Times New Roman" w:cs="Times New Roman"/>
          <w:color w:val="auto"/>
          <w:highlight w:val="none"/>
          <w:lang w:val="en-US" w:eastAsia="zh-CN"/>
        </w:rPr>
        <w:t>2</w:t>
      </w:r>
      <w:r>
        <w:rPr>
          <w:rFonts w:hint="eastAsia" w:ascii="Times New Roman" w:hAnsi="Times New Roman"/>
          <w:color w:val="auto"/>
          <w:highlight w:val="none"/>
          <w:lang w:val="en-US" w:eastAsia="zh-CN"/>
        </w:rPr>
        <w:t>）采购执行率</w:t>
      </w:r>
    </w:p>
    <w:p w14:paraId="1D6FF826">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en-US" w:eastAsia="zh-CN"/>
        </w:rPr>
      </w:pPr>
      <w:r>
        <w:rPr>
          <w:rFonts w:hint="eastAsia"/>
          <w:color w:val="auto"/>
          <w:highlight w:val="none"/>
          <w:lang w:val="en-US" w:eastAsia="zh-CN"/>
        </w:rPr>
        <w:t>我单位</w:t>
      </w:r>
      <w:r>
        <w:rPr>
          <w:rFonts w:hint="eastAsia" w:ascii="Times New Roman" w:hAnsi="Times New Roman"/>
          <w:color w:val="auto"/>
          <w:highlight w:val="none"/>
          <w:lang w:val="en-US" w:eastAsia="zh-CN"/>
        </w:rPr>
        <w:t>2025年度的政府采购总预算数为</w:t>
      </w:r>
      <w:r>
        <w:rPr>
          <w:rFonts w:hint="eastAsia"/>
          <w:color w:val="auto"/>
          <w:highlight w:val="none"/>
          <w:lang w:val="en-US" w:eastAsia="zh-CN"/>
        </w:rPr>
        <w:t>273.78</w:t>
      </w:r>
      <w:r>
        <w:rPr>
          <w:rFonts w:hint="eastAsia" w:ascii="Times New Roman" w:hAnsi="Times New Roman"/>
          <w:color w:val="auto"/>
          <w:highlight w:val="none"/>
          <w:lang w:val="en-US" w:eastAsia="zh-CN"/>
        </w:rPr>
        <w:t>万元，当年政府采购预算执行数为</w:t>
      </w:r>
      <w:r>
        <w:rPr>
          <w:rFonts w:hint="eastAsia" w:ascii="Times New Roman" w:hAnsi="Times New Roman"/>
          <w:highlight w:val="none"/>
          <w:lang w:val="en-US" w:eastAsia="zh-CN"/>
        </w:rPr>
        <w:t>273.78</w:t>
      </w:r>
      <w:r>
        <w:rPr>
          <w:rFonts w:hint="eastAsia" w:ascii="Times New Roman" w:hAnsi="Times New Roman"/>
          <w:color w:val="auto"/>
          <w:highlight w:val="none"/>
          <w:lang w:val="en-US" w:eastAsia="zh-CN"/>
        </w:rPr>
        <w:t>万元，已完成采购项目节约金额为0万元，故</w:t>
      </w:r>
      <w:r>
        <w:rPr>
          <w:rFonts w:hint="eastAsia"/>
          <w:color w:val="auto"/>
          <w:highlight w:val="none"/>
          <w:lang w:val="en-US" w:eastAsia="zh-CN"/>
        </w:rPr>
        <w:t>我单位</w:t>
      </w:r>
      <w:r>
        <w:rPr>
          <w:rFonts w:hint="eastAsia" w:ascii="Times New Roman" w:hAnsi="Times New Roman"/>
          <w:color w:val="auto"/>
          <w:highlight w:val="none"/>
          <w:lang w:val="en-US" w:eastAsia="zh-CN"/>
        </w:rPr>
        <w:t>采购执行方面采购执行率为</w:t>
      </w:r>
      <w:r>
        <w:rPr>
          <w:rFonts w:hint="eastAsia"/>
          <w:color w:val="auto"/>
          <w:highlight w:val="none"/>
          <w:lang w:val="en-US" w:eastAsia="zh-CN"/>
        </w:rPr>
        <w:t>100%</w:t>
      </w:r>
      <w:r>
        <w:rPr>
          <w:rFonts w:hint="eastAsia" w:ascii="Times New Roman" w:hAnsi="Times New Roman"/>
          <w:color w:val="auto"/>
          <w:highlight w:val="none"/>
          <w:lang w:val="en-US" w:eastAsia="zh-CN"/>
        </w:rPr>
        <w:t>。</w:t>
      </w:r>
    </w:p>
    <w:p w14:paraId="019833F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color w:val="auto"/>
          <w:highlight w:val="none"/>
          <w:lang w:val="zh-CN" w:eastAsia="zh-CN"/>
        </w:rPr>
      </w:pPr>
      <w:r>
        <w:rPr>
          <w:rFonts w:hint="eastAsia" w:ascii="Times New Roman" w:hAnsi="Times New Roman"/>
          <w:color w:val="auto"/>
          <w:highlight w:val="none"/>
          <w:lang w:val="en-US" w:eastAsia="zh-CN"/>
        </w:rPr>
        <w:t>根据评分标准，该项指标不扣分，得3分。</w:t>
      </w:r>
    </w:p>
    <w:p w14:paraId="2215A50D">
      <w:pPr>
        <w:keepNext w:val="0"/>
        <w:keepLines w:val="0"/>
        <w:pageBreakBefore w:val="0"/>
        <w:widowControl/>
        <w:shd w:val="clea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eastAsia="楷体_GB2312" w:cs="Times New Roman"/>
          <w:b/>
          <w:bCs/>
          <w:color w:val="000000"/>
          <w:kern w:val="0"/>
          <w:szCs w:val="32"/>
          <w:highlight w:val="none"/>
          <w:shd w:val="clear" w:color="auto" w:fill="FFFFFF"/>
          <w:lang w:val="zh-CN"/>
        </w:rPr>
        <w:t>（二）部门预算项目绩效分析</w:t>
      </w:r>
    </w:p>
    <w:p w14:paraId="16FE09E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cs="Times New Roman"/>
          <w:color w:val="000000"/>
          <w:kern w:val="0"/>
          <w:szCs w:val="32"/>
          <w:highlight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en-US" w:eastAsia="zh-CN"/>
        </w:rPr>
        <w:t>常年项目绩效分析。</w:t>
      </w:r>
      <w:r>
        <w:rPr>
          <w:rFonts w:hint="default" w:ascii="Times New Roman" w:hAnsi="Times New Roman" w:cs="Times New Roman"/>
          <w:color w:val="000000"/>
          <w:kern w:val="0"/>
          <w:szCs w:val="32"/>
          <w:highlight w:val="none"/>
          <w:shd w:val="clear" w:color="auto" w:fill="FFFFFF"/>
          <w:lang w:val="zh-CN" w:eastAsia="zh-CN"/>
        </w:rPr>
        <w:t>该类项目总数</w:t>
      </w:r>
      <w:r>
        <w:rPr>
          <w:rFonts w:hint="eastAsia" w:cs="Times New Roman"/>
          <w:color w:val="000000"/>
          <w:kern w:val="0"/>
          <w:szCs w:val="32"/>
          <w:highlight w:val="none"/>
          <w:shd w:val="clear" w:color="auto" w:fill="FFFFFF"/>
          <w:lang w:val="en-US" w:eastAsia="zh-CN"/>
        </w:rPr>
        <w:t>14</w:t>
      </w:r>
      <w:r>
        <w:rPr>
          <w:rFonts w:hint="default" w:ascii="Times New Roman" w:hAnsi="Times New Roman" w:cs="Times New Roman"/>
          <w:color w:val="000000"/>
          <w:kern w:val="0"/>
          <w:szCs w:val="32"/>
          <w:highlight w:val="none"/>
          <w:shd w:val="clear" w:color="auto" w:fill="FFFFFF"/>
          <w:lang w:val="zh-CN" w:eastAsia="zh-CN"/>
        </w:rPr>
        <w:t>个，涉及预算总金额</w:t>
      </w:r>
      <w:r>
        <w:rPr>
          <w:rFonts w:hint="eastAsia" w:ascii="Times New Roman" w:hAnsi="Times New Roman" w:cs="Times New Roman"/>
          <w:color w:val="000000"/>
          <w:kern w:val="0"/>
          <w:szCs w:val="32"/>
          <w:highlight w:val="none"/>
          <w:shd w:val="clear" w:color="auto" w:fill="FFFFFF"/>
          <w:lang w:val="en-US" w:eastAsia="zh-CN"/>
        </w:rPr>
        <w:t>315.07</w:t>
      </w:r>
      <w:r>
        <w:rPr>
          <w:rFonts w:hint="default" w:ascii="Times New Roman" w:hAnsi="Times New Roman" w:cs="Times New Roman"/>
          <w:color w:val="000000"/>
          <w:kern w:val="0"/>
          <w:szCs w:val="32"/>
          <w:highlight w:val="none"/>
          <w:shd w:val="clear" w:color="auto" w:fill="FFFFFF"/>
          <w:lang w:val="zh-CN" w:eastAsia="zh-CN"/>
        </w:rPr>
        <w:t>万元，1—1</w:t>
      </w:r>
      <w:r>
        <w:rPr>
          <w:rFonts w:hint="default" w:ascii="Times New Roman" w:hAnsi="Times New Roman" w:cs="Times New Roman"/>
          <w:color w:val="000000"/>
          <w:kern w:val="0"/>
          <w:szCs w:val="32"/>
          <w:highlight w:val="none"/>
          <w:shd w:val="clear" w:color="auto" w:fill="FFFFFF"/>
          <w:lang w:val="en-US" w:eastAsia="zh-CN"/>
        </w:rPr>
        <w:t>2</w:t>
      </w:r>
      <w:r>
        <w:rPr>
          <w:rFonts w:hint="default" w:ascii="Times New Roman" w:hAnsi="Times New Roman" w:cs="Times New Roman"/>
          <w:color w:val="000000"/>
          <w:kern w:val="0"/>
          <w:szCs w:val="32"/>
          <w:highlight w:val="none"/>
          <w:shd w:val="clear" w:color="auto" w:fill="FFFFFF"/>
          <w:lang w:val="zh-CN" w:eastAsia="zh-CN"/>
        </w:rPr>
        <w:t>月预算执行总体进度为</w:t>
      </w:r>
      <w:r>
        <w:rPr>
          <w:rFonts w:hint="eastAsia" w:ascii="Times New Roman" w:hAnsi="Times New Roman" w:cs="Times New Roman"/>
          <w:color w:val="000000"/>
          <w:kern w:val="0"/>
          <w:szCs w:val="32"/>
          <w:highlight w:val="none"/>
          <w:shd w:val="clear" w:color="auto" w:fill="FFFFFF"/>
          <w:lang w:val="en-US" w:eastAsia="zh-CN"/>
        </w:rPr>
        <w:t>100.00%</w:t>
      </w:r>
      <w:r>
        <w:rPr>
          <w:rFonts w:hint="eastAsia" w:ascii="Times New Roman" w:hAnsi="Times New Roman" w:cs="Times New Roman"/>
          <w:color w:val="000000"/>
          <w:kern w:val="0"/>
          <w:szCs w:val="32"/>
          <w:highlight w:val="none"/>
          <w:shd w:val="clear" w:color="auto" w:fill="FFFFFF"/>
          <w:lang w:val="zh-CN" w:eastAsia="zh-CN"/>
        </w:rPr>
        <w:t>，</w:t>
      </w:r>
      <w:r>
        <w:rPr>
          <w:rFonts w:hint="default" w:ascii="Times New Roman" w:hAnsi="Times New Roman" w:cs="Times New Roman"/>
          <w:color w:val="000000"/>
          <w:kern w:val="0"/>
          <w:szCs w:val="32"/>
          <w:highlight w:val="none"/>
          <w:shd w:val="clear" w:color="auto" w:fill="FFFFFF"/>
          <w:lang w:val="zh-CN" w:eastAsia="zh-CN"/>
        </w:rPr>
        <w:t>其中：预算结余率大于</w:t>
      </w:r>
      <w:r>
        <w:rPr>
          <w:rFonts w:hint="default" w:ascii="Times New Roman" w:hAnsi="Times New Roman" w:cs="Times New Roman"/>
          <w:color w:val="000000"/>
          <w:kern w:val="0"/>
          <w:szCs w:val="32"/>
          <w:highlight w:val="none"/>
          <w:shd w:val="clear" w:color="auto" w:fill="FFFFFF"/>
          <w:lang w:val="en-US" w:eastAsia="zh-CN"/>
        </w:rPr>
        <w:t>10%</w:t>
      </w:r>
      <w:r>
        <w:rPr>
          <w:rFonts w:hint="default" w:ascii="Times New Roman" w:hAnsi="Times New Roman" w:cs="Times New Roman"/>
          <w:color w:val="000000"/>
          <w:kern w:val="0"/>
          <w:szCs w:val="32"/>
          <w:highlight w:val="none"/>
          <w:shd w:val="clear" w:color="auto" w:fill="FFFFFF"/>
          <w:lang w:val="zh-CN" w:eastAsia="zh-CN"/>
        </w:rPr>
        <w:t>的项目共计</w:t>
      </w:r>
      <w:r>
        <w:rPr>
          <w:rFonts w:hint="eastAsia" w:ascii="Times New Roman" w:hAnsi="Times New Roman" w:cs="Times New Roman"/>
          <w:color w:val="000000"/>
          <w:kern w:val="0"/>
          <w:szCs w:val="32"/>
          <w:highlight w:val="none"/>
          <w:shd w:val="clear" w:color="auto" w:fill="FFFFFF"/>
          <w:lang w:val="en-US" w:eastAsia="zh-CN"/>
        </w:rPr>
        <w:t>0</w:t>
      </w:r>
      <w:r>
        <w:rPr>
          <w:rFonts w:hint="default" w:ascii="Times New Roman" w:hAnsi="Times New Roman" w:cs="Times New Roman"/>
          <w:color w:val="000000"/>
          <w:kern w:val="0"/>
          <w:szCs w:val="32"/>
          <w:highlight w:val="none"/>
          <w:shd w:val="clear" w:color="auto" w:fill="FFFFFF"/>
          <w:lang w:val="zh-CN" w:eastAsia="zh-CN"/>
        </w:rPr>
        <w:t>个</w:t>
      </w:r>
      <w:r>
        <w:rPr>
          <w:rFonts w:hint="eastAsia" w:ascii="Times New Roman" w:hAnsi="Times New Roman" w:cs="Times New Roman"/>
          <w:color w:val="000000"/>
          <w:kern w:val="0"/>
          <w:szCs w:val="32"/>
          <w:highlight w:val="none"/>
          <w:shd w:val="clear" w:color="auto" w:fill="FFFFFF"/>
          <w:lang w:val="zh-CN" w:eastAsia="zh-CN"/>
        </w:rPr>
        <w:t>。</w:t>
      </w:r>
    </w:p>
    <w:p w14:paraId="071B935C">
      <w:pPr>
        <w:pageBreakBefore w:val="0"/>
        <w:widowControl w:val="0"/>
        <w:kinsoku/>
        <w:wordWrap/>
        <w:overflowPunct/>
        <w:topLinePunct w:val="0"/>
        <w:autoSpaceDE/>
        <w:autoSpaceDN/>
        <w:bidi w:val="0"/>
        <w:adjustRightInd/>
        <w:snapToGrid/>
        <w:spacing w:line="600" w:lineRule="exact"/>
        <w:textAlignment w:val="auto"/>
        <w:outlineLvl w:val="9"/>
        <w:rPr>
          <w:rFonts w:hint="default" w:ascii="Times New Roman" w:hAnsi="Times New Roman"/>
          <w:sz w:val="32"/>
          <w:szCs w:val="32"/>
          <w:highlight w:val="none"/>
          <w:lang w:val="zh-CN" w:eastAsia="zh-CN"/>
        </w:rPr>
      </w:pPr>
      <w:r>
        <w:rPr>
          <w:rFonts w:hint="default" w:ascii="Times New Roman" w:hAnsi="Times New Roman"/>
          <w:sz w:val="32"/>
          <w:szCs w:val="32"/>
          <w:highlight w:val="none"/>
          <w:lang w:val="en-US" w:eastAsia="zh-CN"/>
        </w:rPr>
        <w:t>阶段</w:t>
      </w:r>
      <w:r>
        <w:rPr>
          <w:rFonts w:hint="eastAsia" w:ascii="Times New Roman" w:hAnsi="Times New Roman"/>
          <w:sz w:val="32"/>
          <w:szCs w:val="32"/>
          <w:highlight w:val="none"/>
          <w:lang w:val="en-US" w:eastAsia="zh-CN"/>
        </w:rPr>
        <w:t>（含</w:t>
      </w:r>
      <w:r>
        <w:rPr>
          <w:rFonts w:hint="default" w:ascii="Times New Roman" w:hAnsi="Times New Roman"/>
          <w:sz w:val="32"/>
          <w:szCs w:val="32"/>
          <w:highlight w:val="none"/>
          <w:lang w:val="en-US" w:eastAsia="zh-CN"/>
        </w:rPr>
        <w:t>一次性</w:t>
      </w:r>
      <w:r>
        <w:rPr>
          <w:rFonts w:hint="eastAsia" w:ascii="Times New Roman" w:hAnsi="Times New Roman"/>
          <w:sz w:val="32"/>
          <w:szCs w:val="32"/>
          <w:highlight w:val="none"/>
          <w:lang w:val="en-US" w:eastAsia="zh-CN"/>
        </w:rPr>
        <w:t>）</w:t>
      </w:r>
      <w:r>
        <w:rPr>
          <w:rFonts w:hint="default" w:ascii="Times New Roman" w:hAnsi="Times New Roman"/>
          <w:sz w:val="32"/>
          <w:szCs w:val="32"/>
          <w:highlight w:val="none"/>
          <w:lang w:val="en-US" w:eastAsia="zh-CN"/>
        </w:rPr>
        <w:t>项目绩效分析。</w:t>
      </w:r>
      <w:r>
        <w:rPr>
          <w:rFonts w:hint="default" w:ascii="Times New Roman" w:hAnsi="Times New Roman"/>
          <w:sz w:val="32"/>
          <w:szCs w:val="32"/>
          <w:highlight w:val="none"/>
          <w:lang w:val="zh-CN" w:eastAsia="zh-CN"/>
        </w:rPr>
        <w:t>该类项目总数</w:t>
      </w:r>
      <w:r>
        <w:rPr>
          <w:rFonts w:hint="eastAsia"/>
          <w:sz w:val="32"/>
          <w:szCs w:val="32"/>
          <w:highlight w:val="none"/>
          <w:lang w:val="en-US" w:eastAsia="zh-CN"/>
        </w:rPr>
        <w:t>7</w:t>
      </w:r>
      <w:r>
        <w:rPr>
          <w:rFonts w:hint="default" w:ascii="Times New Roman" w:hAnsi="Times New Roman"/>
          <w:sz w:val="32"/>
          <w:szCs w:val="32"/>
          <w:highlight w:val="none"/>
          <w:lang w:val="zh-CN" w:eastAsia="zh-CN"/>
        </w:rPr>
        <w:t>个，涉及预算总金额</w:t>
      </w:r>
      <w:r>
        <w:rPr>
          <w:rFonts w:hint="eastAsia" w:ascii="Times New Roman" w:hAnsi="Times New Roman"/>
          <w:sz w:val="32"/>
          <w:szCs w:val="32"/>
          <w:highlight w:val="none"/>
          <w:lang w:val="en-US" w:eastAsia="zh-CN"/>
        </w:rPr>
        <w:t>178.15</w:t>
      </w:r>
      <w:r>
        <w:rPr>
          <w:rFonts w:hint="default" w:ascii="Times New Roman" w:hAnsi="Times New Roman"/>
          <w:sz w:val="32"/>
          <w:szCs w:val="32"/>
          <w:highlight w:val="none"/>
          <w:lang w:val="zh-CN" w:eastAsia="zh-CN"/>
        </w:rPr>
        <w:t>万元，1—1</w:t>
      </w:r>
      <w:r>
        <w:rPr>
          <w:rFonts w:hint="default" w:ascii="Times New Roman" w:hAnsi="Times New Roman"/>
          <w:sz w:val="32"/>
          <w:szCs w:val="32"/>
          <w:highlight w:val="none"/>
          <w:lang w:val="en-US" w:eastAsia="zh-CN"/>
        </w:rPr>
        <w:t>2</w:t>
      </w:r>
      <w:r>
        <w:rPr>
          <w:rFonts w:hint="default" w:ascii="Times New Roman" w:hAnsi="Times New Roman"/>
          <w:sz w:val="32"/>
          <w:szCs w:val="32"/>
          <w:highlight w:val="none"/>
          <w:lang w:val="zh-CN" w:eastAsia="zh-CN"/>
        </w:rPr>
        <w:t>月预算执行总体进度为</w:t>
      </w:r>
      <w:r>
        <w:rPr>
          <w:rFonts w:hint="eastAsia"/>
          <w:sz w:val="32"/>
          <w:szCs w:val="32"/>
          <w:highlight w:val="none"/>
          <w:lang w:val="en-US" w:eastAsia="zh-CN"/>
        </w:rPr>
        <w:t>100</w:t>
      </w:r>
      <w:r>
        <w:rPr>
          <w:rFonts w:hint="default" w:ascii="Times New Roman" w:hAnsi="Times New Roman"/>
          <w:sz w:val="32"/>
          <w:szCs w:val="32"/>
          <w:highlight w:val="none"/>
          <w:lang w:val="zh-CN" w:eastAsia="zh-CN"/>
        </w:rPr>
        <w:t>%</w:t>
      </w:r>
      <w:r>
        <w:rPr>
          <w:rFonts w:hint="eastAsia" w:ascii="Times New Roman" w:hAnsi="Times New Roman"/>
          <w:sz w:val="32"/>
          <w:szCs w:val="32"/>
          <w:highlight w:val="none"/>
          <w:lang w:val="zh-CN" w:eastAsia="zh-CN"/>
        </w:rPr>
        <w:t>，</w:t>
      </w:r>
      <w:r>
        <w:rPr>
          <w:rFonts w:hint="eastAsia" w:ascii="Times New Roman" w:hAnsi="Times New Roman"/>
          <w:sz w:val="32"/>
          <w:szCs w:val="32"/>
          <w:highlight w:val="none"/>
          <w:lang w:val="en-US" w:eastAsia="zh-CN"/>
        </w:rPr>
        <w:t>其中；</w:t>
      </w:r>
      <w:r>
        <w:rPr>
          <w:rFonts w:hint="default" w:ascii="Times New Roman" w:hAnsi="Times New Roman"/>
          <w:sz w:val="32"/>
          <w:szCs w:val="32"/>
          <w:highlight w:val="none"/>
          <w:lang w:val="zh-CN" w:eastAsia="zh-CN"/>
        </w:rPr>
        <w:t>预算结余率大于</w:t>
      </w:r>
      <w:r>
        <w:rPr>
          <w:rFonts w:hint="default" w:ascii="Times New Roman" w:hAnsi="Times New Roman"/>
          <w:sz w:val="32"/>
          <w:szCs w:val="32"/>
          <w:highlight w:val="none"/>
          <w:lang w:val="en-US" w:eastAsia="zh-CN"/>
        </w:rPr>
        <w:t>10%</w:t>
      </w:r>
      <w:r>
        <w:rPr>
          <w:rFonts w:hint="default" w:ascii="Times New Roman" w:hAnsi="Times New Roman"/>
          <w:sz w:val="32"/>
          <w:szCs w:val="32"/>
          <w:highlight w:val="none"/>
          <w:lang w:val="zh-CN" w:eastAsia="zh-CN"/>
        </w:rPr>
        <w:t>的项目共计</w:t>
      </w:r>
      <w:r>
        <w:rPr>
          <w:rFonts w:hint="eastAsia" w:ascii="Times New Roman" w:hAnsi="Times New Roman"/>
          <w:sz w:val="32"/>
          <w:szCs w:val="32"/>
          <w:highlight w:val="none"/>
          <w:lang w:val="en-US" w:eastAsia="zh-CN"/>
        </w:rPr>
        <w:t>0</w:t>
      </w:r>
      <w:r>
        <w:rPr>
          <w:rFonts w:hint="default" w:ascii="Times New Roman" w:hAnsi="Times New Roman"/>
          <w:sz w:val="32"/>
          <w:szCs w:val="32"/>
          <w:highlight w:val="none"/>
          <w:lang w:val="zh-CN" w:eastAsia="zh-CN"/>
        </w:rPr>
        <w:t>个</w:t>
      </w:r>
      <w:r>
        <w:rPr>
          <w:rFonts w:hint="eastAsia" w:ascii="Times New Roman" w:hAnsi="Times New Roman"/>
          <w:sz w:val="32"/>
          <w:szCs w:val="32"/>
          <w:highlight w:val="none"/>
          <w:lang w:val="zh-CN" w:eastAsia="zh-CN"/>
        </w:rPr>
        <w:t>。</w:t>
      </w:r>
    </w:p>
    <w:p w14:paraId="2756FC2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eastAsia="楷体_GB2312" w:cs="Times New Roman"/>
          <w:color w:val="000000"/>
          <w:kern w:val="0"/>
          <w:szCs w:val="32"/>
          <w:highlight w:val="none"/>
          <w:shd w:val="clear" w:color="auto" w:fill="FFFFFF"/>
          <w:lang w:val="en-US" w:eastAsia="zh-CN"/>
        </w:rPr>
        <w:t>1</w:t>
      </w:r>
      <w:r>
        <w:rPr>
          <w:rFonts w:hint="eastAsia" w:ascii="Times New Roman" w:hAnsi="Times New Roman" w:eastAsia="楷体_GB2312" w:cs="楷体_GB2312"/>
          <w:color w:val="000000"/>
          <w:kern w:val="0"/>
          <w:szCs w:val="32"/>
          <w:highlight w:val="none"/>
          <w:shd w:val="clear" w:color="auto" w:fill="FFFFFF"/>
          <w:lang w:val="en-US" w:eastAsia="zh-CN"/>
        </w:rPr>
        <w:t>.</w:t>
      </w:r>
      <w:r>
        <w:rPr>
          <w:rFonts w:hint="eastAsia" w:ascii="Times New Roman" w:hAnsi="Times New Roman" w:eastAsia="楷体_GB2312" w:cs="楷体_GB2312"/>
          <w:color w:val="000000"/>
          <w:kern w:val="0"/>
          <w:szCs w:val="32"/>
          <w:highlight w:val="none"/>
          <w:shd w:val="clear" w:color="auto" w:fill="FFFFFF"/>
          <w:lang w:val="zh-CN"/>
        </w:rPr>
        <w:t>项目决策</w:t>
      </w:r>
    </w:p>
    <w:p w14:paraId="6B8CFE5C">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1</w:t>
      </w:r>
      <w:r>
        <w:rPr>
          <w:rFonts w:hint="eastAsia" w:ascii="Times New Roman" w:hAnsi="Times New Roman"/>
          <w:highlight w:val="none"/>
          <w:lang w:val="zh-CN"/>
        </w:rPr>
        <w:t>）决策程序</w:t>
      </w:r>
    </w:p>
    <w:p w14:paraId="7A029ECB">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sz w:val="32"/>
          <w:szCs w:val="32"/>
          <w:highlight w:val="none"/>
          <w:lang w:val="en-US" w:eastAsia="zh-CN"/>
        </w:rPr>
      </w:pPr>
      <w:r>
        <w:rPr>
          <w:rFonts w:hint="eastAsia" w:ascii="Times New Roman" w:hAnsi="Times New Roman"/>
          <w:sz w:val="32"/>
          <w:szCs w:val="32"/>
          <w:highlight w:val="none"/>
          <w:lang w:val="en-US" w:eastAsia="zh-CN"/>
        </w:rPr>
        <w:t>根据事前绩效评估相关要求，</w:t>
      </w:r>
      <w:r>
        <w:rPr>
          <w:rFonts w:hint="eastAsia" w:ascii="Times New Roman" w:hAnsi="Times New Roman" w:cs="Times New Roman"/>
          <w:sz w:val="32"/>
          <w:szCs w:val="32"/>
          <w:highlight w:val="none"/>
          <w:lang w:val="en-US" w:eastAsia="zh-CN"/>
        </w:rPr>
        <w:t>2025年</w:t>
      </w:r>
      <w:r>
        <w:rPr>
          <w:rFonts w:hint="eastAsia"/>
          <w:sz w:val="32"/>
          <w:szCs w:val="32"/>
          <w:highlight w:val="none"/>
          <w:lang w:val="en-US" w:eastAsia="zh-CN"/>
        </w:rPr>
        <w:t>我单位</w:t>
      </w:r>
      <w:r>
        <w:rPr>
          <w:rFonts w:hint="eastAsia" w:cs="Times New Roman"/>
          <w:color w:val="000000"/>
          <w:kern w:val="0"/>
          <w:sz w:val="32"/>
          <w:szCs w:val="32"/>
          <w:highlight w:val="none"/>
          <w:shd w:val="clear" w:color="auto" w:fill="FFFFFF"/>
          <w:lang w:val="en-US" w:eastAsia="zh-CN"/>
        </w:rPr>
        <w:t>21</w:t>
      </w:r>
      <w:r>
        <w:rPr>
          <w:rFonts w:hint="eastAsia" w:ascii="Times New Roman" w:hAnsi="Times New Roman" w:cs="Times New Roman"/>
          <w:color w:val="000000"/>
          <w:kern w:val="0"/>
          <w:sz w:val="32"/>
          <w:szCs w:val="32"/>
          <w:highlight w:val="none"/>
          <w:shd w:val="clear" w:color="auto" w:fill="FFFFFF"/>
          <w:lang w:val="en-US" w:eastAsia="zh-CN"/>
        </w:rPr>
        <w:t>个</w:t>
      </w:r>
      <w:r>
        <w:rPr>
          <w:rFonts w:hint="default" w:ascii="Times New Roman" w:hAnsi="Times New Roman" w:cs="Times New Roman"/>
          <w:color w:val="000000"/>
          <w:kern w:val="0"/>
          <w:sz w:val="32"/>
          <w:szCs w:val="32"/>
          <w:highlight w:val="none"/>
          <w:shd w:val="clear" w:color="auto" w:fill="FFFFFF"/>
          <w:lang w:val="en-US" w:eastAsia="zh-CN"/>
        </w:rPr>
        <w:t>预算阶段项目（含一次性项目）</w:t>
      </w:r>
      <w:r>
        <w:rPr>
          <w:rFonts w:hint="eastAsia" w:ascii="Times New Roman" w:hAnsi="Times New Roman" w:cs="Times New Roman"/>
          <w:color w:val="000000"/>
          <w:kern w:val="0"/>
          <w:sz w:val="32"/>
          <w:szCs w:val="32"/>
          <w:highlight w:val="none"/>
          <w:shd w:val="clear" w:color="auto" w:fill="FFFFFF"/>
          <w:lang w:val="en-US" w:eastAsia="zh-CN"/>
        </w:rPr>
        <w:t>均</w:t>
      </w:r>
      <w:r>
        <w:rPr>
          <w:rFonts w:hint="eastAsia" w:ascii="Times New Roman" w:hAnsi="Times New Roman"/>
          <w:sz w:val="32"/>
          <w:szCs w:val="32"/>
          <w:highlight w:val="none"/>
          <w:lang w:val="en-US" w:eastAsia="zh-CN"/>
        </w:rPr>
        <w:t>严格履行事前评估程序，项目立项依据充分，决策程序规范。</w:t>
      </w:r>
    </w:p>
    <w:p w14:paraId="27C75CAE">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46D568C0">
      <w:pPr>
        <w:pageBreakBefore w:val="0"/>
        <w:widowControl w:val="0"/>
        <w:kinsoku/>
        <w:wordWrap/>
        <w:overflowPunct/>
        <w:topLinePunct w:val="0"/>
        <w:autoSpaceDE/>
        <w:autoSpaceDN/>
        <w:bidi w:val="0"/>
        <w:adjustRightInd/>
        <w:snapToGrid/>
        <w:spacing w:line="600" w:lineRule="exact"/>
        <w:textAlignment w:val="auto"/>
        <w:outlineLvl w:val="2"/>
        <w:rPr>
          <w:rFonts w:hint="default"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2</w:t>
      </w:r>
      <w:r>
        <w:rPr>
          <w:rFonts w:hint="eastAsia" w:ascii="Times New Roman" w:hAnsi="Times New Roman"/>
          <w:highlight w:val="none"/>
          <w:lang w:val="en-US" w:eastAsia="zh-CN"/>
        </w:rPr>
        <w:t>）目标设置</w:t>
      </w:r>
    </w:p>
    <w:p w14:paraId="26BEF681">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highlight w:val="none"/>
          <w:lang w:val="en-US" w:eastAsia="zh-CN"/>
        </w:rPr>
      </w:pPr>
      <w:r>
        <w:rPr>
          <w:rFonts w:hint="eastAsia" w:ascii="Times New Roman" w:hAnsi="Times New Roman" w:cs="Times New Roman"/>
          <w:highlight w:val="none"/>
          <w:lang w:val="en-US" w:eastAsia="zh-CN"/>
        </w:rPr>
        <w:t>2025年</w:t>
      </w:r>
      <w:r>
        <w:rPr>
          <w:rFonts w:hint="eastAsia"/>
          <w:highlight w:val="none"/>
          <w:lang w:val="en-US" w:eastAsia="zh-CN"/>
        </w:rPr>
        <w:t>我单位</w:t>
      </w:r>
      <w:r>
        <w:rPr>
          <w:rFonts w:hint="default" w:ascii="Times New Roman" w:hAnsi="Times New Roman" w:eastAsia="仿宋_GB2312" w:cs="Times New Roman"/>
          <w:b w:val="0"/>
          <w:bCs w:val="0"/>
          <w:color w:val="000000"/>
          <w:kern w:val="0"/>
          <w:sz w:val="33"/>
          <w:szCs w:val="33"/>
          <w:highlight w:val="none"/>
          <w:shd w:val="clear" w:color="auto" w:fill="FFFFFF"/>
          <w:lang w:val="zh-CN"/>
        </w:rPr>
        <w:t>开展绩效目标管理的</w:t>
      </w:r>
      <w:r>
        <w:rPr>
          <w:rFonts w:hint="eastAsia" w:ascii="Times New Roman" w:hAnsi="Times New Roman"/>
          <w:highlight w:val="none"/>
          <w:lang w:val="en-US" w:eastAsia="zh-CN"/>
        </w:rPr>
        <w:t>部门预算阶段项目（含一次性项目）共有</w:t>
      </w:r>
      <w:r>
        <w:rPr>
          <w:rFonts w:hint="eastAsia" w:cs="Times New Roman"/>
          <w:color w:val="000000"/>
          <w:kern w:val="0"/>
          <w:szCs w:val="32"/>
          <w:highlight w:val="none"/>
          <w:shd w:val="clear" w:color="auto" w:fill="FFFFFF"/>
          <w:lang w:val="en-US" w:eastAsia="zh-CN"/>
        </w:rPr>
        <w:t>21</w:t>
      </w:r>
      <w:r>
        <w:rPr>
          <w:rFonts w:hint="eastAsia" w:ascii="Times New Roman" w:hAnsi="Times New Roman"/>
          <w:highlight w:val="none"/>
          <w:lang w:val="en-US" w:eastAsia="zh-CN"/>
        </w:rPr>
        <w:t>个</w:t>
      </w:r>
      <w:r>
        <w:rPr>
          <w:rFonts w:hint="eastAsia" w:ascii="Times New Roman" w:hAnsi="Times New Roman"/>
          <w:highlight w:val="none"/>
          <w:lang w:val="zh-CN"/>
        </w:rPr>
        <w:t>，</w:t>
      </w:r>
      <w:r>
        <w:rPr>
          <w:rFonts w:hint="eastAsia" w:ascii="Times New Roman" w:hAnsi="Times New Roman"/>
          <w:highlight w:val="none"/>
          <w:lang w:val="en-US" w:eastAsia="zh-CN"/>
        </w:rPr>
        <w:t>为充分发挥绩效目标引领作用，</w:t>
      </w:r>
      <w:r>
        <w:rPr>
          <w:rFonts w:hint="eastAsia"/>
          <w:highlight w:val="none"/>
          <w:lang w:val="zh-CN"/>
        </w:rPr>
        <w:t>我单位</w:t>
      </w:r>
      <w:r>
        <w:rPr>
          <w:rFonts w:hint="eastAsia" w:ascii="Times New Roman" w:hAnsi="Times New Roman"/>
          <w:highlight w:val="none"/>
          <w:lang w:val="en-US" w:eastAsia="zh-CN"/>
        </w:rPr>
        <w:t>贯彻落实《中共四川省委办公厅四川省人民政府办公厅关于深入实施预算绩效管理的通知》（川委厅〔</w:t>
      </w:r>
      <w:r>
        <w:rPr>
          <w:rFonts w:hint="default" w:ascii="Times New Roman" w:hAnsi="Times New Roman" w:cs="Times New Roman"/>
          <w:highlight w:val="none"/>
          <w:lang w:val="en-US" w:eastAsia="zh-CN"/>
        </w:rPr>
        <w:t>2021</w:t>
      </w: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5</w:t>
      </w:r>
      <w:r>
        <w:rPr>
          <w:rFonts w:hint="eastAsia" w:ascii="Times New Roman" w:hAnsi="Times New Roman"/>
          <w:highlight w:val="none"/>
          <w:lang w:val="en-US" w:eastAsia="zh-CN"/>
        </w:rPr>
        <w:t>号）文件精神，</w:t>
      </w:r>
      <w:r>
        <w:rPr>
          <w:rFonts w:hint="eastAsia" w:cs="Times New Roman"/>
          <w:color w:val="000000"/>
          <w:kern w:val="0"/>
          <w:szCs w:val="32"/>
          <w:highlight w:val="none"/>
          <w:shd w:val="clear" w:color="auto" w:fill="FFFFFF"/>
          <w:lang w:val="en-US" w:eastAsia="zh-CN"/>
        </w:rPr>
        <w:t>2</w:t>
      </w:r>
      <w:r>
        <w:rPr>
          <w:rFonts w:hint="eastAsia" w:ascii="Times New Roman" w:hAnsi="Times New Roman" w:cs="Times New Roman"/>
          <w:color w:val="000000"/>
          <w:kern w:val="0"/>
          <w:szCs w:val="32"/>
          <w:highlight w:val="none"/>
          <w:shd w:val="clear" w:color="auto" w:fill="FFFFFF"/>
          <w:lang w:val="en-US" w:eastAsia="zh-CN"/>
        </w:rPr>
        <w:t>1</w:t>
      </w:r>
      <w:r>
        <w:rPr>
          <w:rFonts w:hint="eastAsia" w:ascii="Times New Roman" w:hAnsi="Times New Roman"/>
          <w:highlight w:val="none"/>
          <w:lang w:val="en-US" w:eastAsia="zh-CN"/>
        </w:rPr>
        <w:t>个项目均设置了相应的绩效目标表。</w:t>
      </w:r>
    </w:p>
    <w:p w14:paraId="28CBBA1C">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25F0EB7F">
      <w:pPr>
        <w:pageBreakBefore w:val="0"/>
        <w:widowControl w:val="0"/>
        <w:kinsoku/>
        <w:wordWrap/>
        <w:overflowPunct/>
        <w:topLinePunct w:val="0"/>
        <w:autoSpaceDE/>
        <w:autoSpaceDN/>
        <w:bidi w:val="0"/>
        <w:adjustRightInd/>
        <w:snapToGrid/>
        <w:spacing w:line="600" w:lineRule="exact"/>
        <w:textAlignment w:val="auto"/>
        <w:outlineLvl w:val="2"/>
        <w:rPr>
          <w:rFonts w:hint="default" w:ascii="Times New Roman" w:hAnsi="Times New Roman"/>
          <w:highlight w:val="none"/>
          <w:lang w:val="en-US" w:eastAsia="zh-CN"/>
        </w:rPr>
      </w:pPr>
      <w:r>
        <w:rPr>
          <w:rFonts w:hint="eastAsia" w:ascii="Times New Roman" w:hAnsi="Times New Roman"/>
          <w:highlight w:val="none"/>
          <w:lang w:val="en-US" w:eastAsia="zh-CN"/>
        </w:rPr>
        <w:t>（</w:t>
      </w: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）项目入库</w:t>
      </w:r>
    </w:p>
    <w:p w14:paraId="7B4E56CA">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highlight w:val="none"/>
          <w:lang w:val="en-US" w:eastAsia="zh-CN"/>
        </w:rPr>
      </w:pPr>
      <w:r>
        <w:rPr>
          <w:rFonts w:hint="eastAsia" w:ascii="Times New Roman" w:hAnsi="Times New Roman" w:cs="Times New Roman"/>
          <w:highlight w:val="none"/>
          <w:lang w:val="zh-CN"/>
        </w:rPr>
        <w:t>2025年</w:t>
      </w:r>
      <w:r>
        <w:rPr>
          <w:rFonts w:hint="eastAsia"/>
          <w:highlight w:val="none"/>
          <w:lang w:val="zh-CN"/>
        </w:rPr>
        <w:t>我单位</w:t>
      </w:r>
      <w:r>
        <w:rPr>
          <w:rFonts w:hint="eastAsia" w:ascii="Times New Roman" w:hAnsi="Times New Roman"/>
          <w:highlight w:val="none"/>
          <w:lang w:val="zh-CN"/>
        </w:rPr>
        <w:t>需在</w:t>
      </w:r>
      <w:r>
        <w:rPr>
          <w:rFonts w:hint="eastAsia" w:ascii="Times New Roman" w:hAnsi="Times New Roman"/>
          <w:highlight w:val="none"/>
          <w:lang w:val="en-US" w:eastAsia="zh-CN"/>
        </w:rPr>
        <w:t>规定时间内进行入库的</w:t>
      </w:r>
      <w:r>
        <w:rPr>
          <w:rFonts w:hint="eastAsia" w:ascii="Times New Roman" w:hAnsi="Times New Roman"/>
          <w:highlight w:val="none"/>
          <w:lang w:val="zh-CN"/>
        </w:rPr>
        <w:t>项目共有</w:t>
      </w:r>
      <w:r>
        <w:rPr>
          <w:rFonts w:hint="eastAsia" w:cs="Times New Roman"/>
          <w:color w:val="000000"/>
          <w:kern w:val="0"/>
          <w:szCs w:val="32"/>
          <w:highlight w:val="none"/>
          <w:shd w:val="clear" w:color="auto" w:fill="FFFFFF"/>
          <w:lang w:val="en-US" w:eastAsia="zh-CN"/>
        </w:rPr>
        <w:t>21</w:t>
      </w:r>
      <w:r>
        <w:rPr>
          <w:rFonts w:hint="eastAsia" w:ascii="Times New Roman" w:hAnsi="Times New Roman"/>
          <w:highlight w:val="none"/>
          <w:lang w:val="zh-CN"/>
        </w:rPr>
        <w:t>个，</w:t>
      </w:r>
      <w:r>
        <w:rPr>
          <w:rFonts w:hint="eastAsia" w:ascii="Times New Roman" w:hAnsi="Times New Roman"/>
          <w:highlight w:val="none"/>
          <w:lang w:val="en-US" w:eastAsia="zh-CN"/>
        </w:rPr>
        <w:t>均在规定时间内完成了项目入库。</w:t>
      </w:r>
    </w:p>
    <w:p w14:paraId="13B773AA">
      <w:pPr>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13534352">
      <w:pPr>
        <w:pStyle w:val="4"/>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default" w:ascii="Times New Roman" w:hAnsi="Times New Roman" w:cs="Times New Roman"/>
          <w:highlight w:val="none"/>
          <w:lang w:val="en-US" w:eastAsia="zh-CN"/>
        </w:rPr>
        <w:t>2</w:t>
      </w:r>
      <w:r>
        <w:rPr>
          <w:rFonts w:hint="eastAsia" w:ascii="Times New Roman" w:hAnsi="Times New Roman"/>
          <w:highlight w:val="none"/>
          <w:lang w:val="en-US" w:eastAsia="zh-CN"/>
        </w:rPr>
        <w:t>.项目执行</w:t>
      </w:r>
    </w:p>
    <w:p w14:paraId="40006484">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1</w:t>
      </w:r>
      <w:r>
        <w:rPr>
          <w:rFonts w:hint="eastAsia" w:ascii="Times New Roman" w:hAnsi="Times New Roman"/>
          <w:highlight w:val="none"/>
          <w:lang w:val="zh-CN"/>
        </w:rPr>
        <w:t>）执行同向</w:t>
      </w:r>
    </w:p>
    <w:p w14:paraId="13B0E98C">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highlight w:val="none"/>
          <w:lang w:val="en-US" w:eastAsia="zh-CN"/>
        </w:rPr>
      </w:pPr>
      <w:r>
        <w:rPr>
          <w:rFonts w:hint="eastAsia"/>
          <w:highlight w:val="none"/>
          <w:lang w:val="en-US" w:eastAsia="zh-CN"/>
        </w:rPr>
        <w:t>我单位</w:t>
      </w:r>
      <w:r>
        <w:rPr>
          <w:rFonts w:hint="eastAsia" w:ascii="Times New Roman" w:hAnsi="Times New Roman"/>
          <w:highlight w:val="none"/>
          <w:lang w:val="en-US" w:eastAsia="zh-CN"/>
        </w:rPr>
        <w:t>严格按照部门预算项目批复内容实施项目，项目资金使用符合预算批复用途，与项目总体绩效目标设置方向相符，没有相悖或不合理之处。</w:t>
      </w:r>
    </w:p>
    <w:p w14:paraId="761F85E1">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color w:val="auto"/>
          <w:highlight w:val="none"/>
          <w:lang w:val="en-US" w:eastAsia="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27B5CC28">
      <w:pPr>
        <w:keepNext w:val="0"/>
        <w:keepLines w:val="0"/>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2</w:t>
      </w:r>
      <w:r>
        <w:rPr>
          <w:rFonts w:hint="eastAsia" w:ascii="Times New Roman" w:hAnsi="Times New Roman"/>
          <w:highlight w:val="none"/>
          <w:lang w:val="zh-CN"/>
        </w:rPr>
        <w:t>）项目调整</w:t>
      </w:r>
    </w:p>
    <w:p w14:paraId="6707401E">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highlight w:val="none"/>
          <w:lang w:val="en-US" w:eastAsia="zh-CN"/>
        </w:rPr>
        <w:t>2025年</w:t>
      </w:r>
      <w:r>
        <w:rPr>
          <w:rFonts w:hint="eastAsia"/>
          <w:highlight w:val="none"/>
          <w:lang w:val="en-US" w:eastAsia="zh-CN"/>
        </w:rPr>
        <w:t>我单位</w:t>
      </w:r>
      <w:r>
        <w:rPr>
          <w:rFonts w:hint="eastAsia" w:ascii="Times New Roman" w:hAnsi="Times New Roman"/>
          <w:highlight w:val="none"/>
          <w:lang w:val="en-US" w:eastAsia="zh-CN"/>
        </w:rPr>
        <w:t>年初设置的部门项目预算较为合理，项目总体绩效目标设置较为科学合理，预算调整及时，与实际情况基本相符，不存在应采取但未采取收回预算、调整目标等处置措施的部门预算阶段项目，故不涉及收回预算、调整目标等处置措施。</w:t>
      </w:r>
    </w:p>
    <w:p w14:paraId="5DC8CB55">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7DB078EE">
      <w:pPr>
        <w:keepNext w:val="0"/>
        <w:keepLines w:val="0"/>
        <w:pageBreakBefore w:val="0"/>
        <w:widowControl w:val="0"/>
        <w:kinsoku/>
        <w:wordWrap/>
        <w:overflowPunct/>
        <w:topLinePunct w:val="0"/>
        <w:autoSpaceDE/>
        <w:autoSpaceDN/>
        <w:bidi w:val="0"/>
        <w:adjustRightInd/>
        <w:snapToGrid/>
        <w:spacing w:line="600" w:lineRule="exact"/>
        <w:ind w:firstLine="480" w:firstLineChars="150"/>
        <w:textAlignment w:val="auto"/>
        <w:outlineLvl w:val="2"/>
        <w:rPr>
          <w:rFonts w:hint="eastAsia" w:ascii="Times New Roman" w:hAnsi="Times New Roman"/>
          <w:highlight w:val="none"/>
          <w:lang w:val="zh-CN"/>
        </w:rPr>
      </w:pPr>
      <w:r>
        <w:rPr>
          <w:rFonts w:hint="eastAsia" w:ascii="Times New Roman" w:hAnsi="Times New Roman"/>
          <w:highlight w:val="none"/>
          <w:lang w:val="zh-CN"/>
        </w:rPr>
        <w:t>（</w:t>
      </w:r>
      <w:r>
        <w:rPr>
          <w:rFonts w:hint="default" w:ascii="Times New Roman" w:hAnsi="Times New Roman" w:cs="Times New Roman"/>
          <w:highlight w:val="none"/>
          <w:lang w:val="en-US" w:eastAsia="zh-CN"/>
        </w:rPr>
        <w:t>3</w:t>
      </w:r>
      <w:r>
        <w:rPr>
          <w:rFonts w:hint="eastAsia" w:ascii="Times New Roman" w:hAnsi="Times New Roman"/>
          <w:highlight w:val="none"/>
          <w:lang w:val="zh-CN"/>
        </w:rPr>
        <w:t>）执行结果</w:t>
      </w:r>
    </w:p>
    <w:p w14:paraId="1D4B05F0">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zh-CN"/>
        </w:rPr>
      </w:pPr>
      <w:r>
        <w:rPr>
          <w:rFonts w:hint="eastAsia" w:ascii="Times New Roman" w:hAnsi="Times New Roman" w:cs="Times New Roman"/>
          <w:highlight w:val="none"/>
          <w:lang w:val="en-US" w:eastAsia="zh-CN"/>
        </w:rPr>
        <w:t>2025年</w:t>
      </w:r>
      <w:r>
        <w:rPr>
          <w:rFonts w:hint="eastAsia"/>
          <w:highlight w:val="none"/>
          <w:lang w:val="en-US" w:eastAsia="zh-CN"/>
        </w:rPr>
        <w:t>我单位</w:t>
      </w:r>
      <w:r>
        <w:rPr>
          <w:rFonts w:hint="eastAsia" w:ascii="Times New Roman" w:hAnsi="Times New Roman"/>
          <w:highlight w:val="none"/>
          <w:lang w:val="zh-CN"/>
        </w:rPr>
        <w:t>常年项目</w:t>
      </w:r>
      <w:r>
        <w:rPr>
          <w:rFonts w:hint="eastAsia" w:ascii="Times New Roman" w:hAnsi="Times New Roman"/>
          <w:highlight w:val="none"/>
          <w:lang w:val="en-US" w:eastAsia="zh-CN"/>
        </w:rPr>
        <w:t>共计</w:t>
      </w:r>
      <w:r>
        <w:rPr>
          <w:rFonts w:hint="eastAsia" w:cs="Times New Roman"/>
          <w:color w:val="000000"/>
          <w:kern w:val="0"/>
          <w:szCs w:val="32"/>
          <w:highlight w:val="none"/>
          <w:shd w:val="clear" w:color="auto" w:fill="FFFFFF"/>
          <w:lang w:val="en-US" w:eastAsia="zh-CN"/>
        </w:rPr>
        <w:t>14</w:t>
      </w:r>
      <w:r>
        <w:rPr>
          <w:rFonts w:hint="eastAsia" w:ascii="Times New Roman" w:hAnsi="Times New Roman"/>
          <w:highlight w:val="none"/>
          <w:lang w:val="zh-CN"/>
        </w:rPr>
        <w:t>个，预算结余率</w:t>
      </w:r>
      <w:r>
        <w:rPr>
          <w:rFonts w:hint="eastAsia" w:ascii="Times New Roman" w:hAnsi="Times New Roman"/>
          <w:highlight w:val="none"/>
          <w:lang w:val="en-US" w:eastAsia="zh-CN"/>
        </w:rPr>
        <w:t>小</w:t>
      </w:r>
      <w:r>
        <w:rPr>
          <w:rFonts w:hint="eastAsia" w:ascii="Times New Roman" w:hAnsi="Times New Roman"/>
          <w:highlight w:val="none"/>
          <w:lang w:val="zh-CN"/>
        </w:rPr>
        <w:t>于</w:t>
      </w:r>
      <w:r>
        <w:rPr>
          <w:rFonts w:hint="default" w:ascii="Times New Roman" w:hAnsi="Times New Roman" w:cs="Times New Roman"/>
          <w:highlight w:val="none"/>
          <w:lang w:val="zh-CN"/>
        </w:rPr>
        <w:t>10</w:t>
      </w:r>
      <w:r>
        <w:rPr>
          <w:rFonts w:hint="eastAsia" w:ascii="Times New Roman" w:hAnsi="Times New Roman"/>
          <w:highlight w:val="none"/>
          <w:lang w:val="zh-CN"/>
        </w:rPr>
        <w:t>%</w:t>
      </w:r>
      <w:r>
        <w:rPr>
          <w:rFonts w:hint="eastAsia" w:ascii="Times New Roman" w:hAnsi="Times New Roman"/>
          <w:highlight w:val="none"/>
          <w:lang w:val="en-US" w:eastAsia="zh-CN"/>
        </w:rPr>
        <w:t>的常年项目数量为</w:t>
      </w:r>
      <w:r>
        <w:rPr>
          <w:rFonts w:hint="eastAsia"/>
          <w:highlight w:val="none"/>
          <w:lang w:val="en-US" w:eastAsia="zh-CN"/>
        </w:rPr>
        <w:t>14</w:t>
      </w:r>
      <w:r>
        <w:rPr>
          <w:rFonts w:hint="eastAsia" w:ascii="Times New Roman" w:hAnsi="Times New Roman"/>
          <w:highlight w:val="none"/>
          <w:lang w:val="en-US" w:eastAsia="zh-CN"/>
        </w:rPr>
        <w:t>个</w:t>
      </w:r>
      <w:r>
        <w:rPr>
          <w:rFonts w:hint="eastAsia" w:ascii="Times New Roman" w:hAnsi="Times New Roman"/>
          <w:highlight w:val="none"/>
          <w:lang w:val="zh-CN"/>
        </w:rPr>
        <w:t>；阶段（一次性）项目</w:t>
      </w:r>
      <w:r>
        <w:rPr>
          <w:rFonts w:hint="eastAsia" w:ascii="Times New Roman" w:hAnsi="Times New Roman"/>
          <w:highlight w:val="none"/>
          <w:lang w:val="en-US" w:eastAsia="zh-CN"/>
        </w:rPr>
        <w:t>共计</w:t>
      </w:r>
      <w:r>
        <w:rPr>
          <w:rFonts w:hint="eastAsia" w:cs="Times New Roman"/>
          <w:color w:val="000000"/>
          <w:kern w:val="0"/>
          <w:szCs w:val="32"/>
          <w:highlight w:val="none"/>
          <w:shd w:val="clear" w:color="auto" w:fill="FFFFFF"/>
          <w:lang w:val="en-US" w:eastAsia="zh-CN"/>
        </w:rPr>
        <w:t>7</w:t>
      </w:r>
      <w:r>
        <w:rPr>
          <w:rFonts w:hint="eastAsia" w:ascii="Times New Roman" w:hAnsi="Times New Roman"/>
          <w:highlight w:val="none"/>
          <w:lang w:val="zh-CN"/>
        </w:rPr>
        <w:t>个，</w:t>
      </w:r>
      <w:r>
        <w:rPr>
          <w:rFonts w:hint="eastAsia" w:ascii="Times New Roman" w:hAnsi="Times New Roman" w:cs="Times New Roman"/>
          <w:color w:val="000000"/>
          <w:kern w:val="0"/>
          <w:szCs w:val="32"/>
          <w:highlight w:val="none"/>
          <w:shd w:val="clear" w:color="auto" w:fill="FFFFFF"/>
          <w:lang w:val="en-US" w:eastAsia="zh-CN"/>
        </w:rPr>
        <w:t>预算结余率小于10%的一次性项目和阶段项目数量为</w:t>
      </w:r>
      <w:r>
        <w:rPr>
          <w:rFonts w:hint="eastAsia"/>
          <w:highlight w:val="none"/>
          <w:lang w:val="en-US" w:eastAsia="zh-CN"/>
        </w:rPr>
        <w:t>7</w:t>
      </w:r>
      <w:r>
        <w:rPr>
          <w:rFonts w:hint="eastAsia" w:ascii="Times New Roman" w:hAnsi="Times New Roman" w:cs="Times New Roman"/>
          <w:color w:val="000000"/>
          <w:kern w:val="0"/>
          <w:szCs w:val="32"/>
          <w:highlight w:val="none"/>
          <w:shd w:val="clear" w:color="auto" w:fill="FFFFFF"/>
          <w:lang w:val="en-US" w:eastAsia="zh-CN"/>
        </w:rPr>
        <w:t>个</w:t>
      </w:r>
      <w:r>
        <w:rPr>
          <w:rFonts w:hint="eastAsia" w:ascii="Times New Roman" w:hAnsi="Times New Roman"/>
          <w:highlight w:val="none"/>
          <w:lang w:val="en-US" w:eastAsia="zh-CN"/>
        </w:rPr>
        <w:t>。</w:t>
      </w:r>
    </w:p>
    <w:p w14:paraId="5321902E">
      <w:pPr>
        <w:keepNext/>
        <w:keepLines/>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highlight w:val="none"/>
          <w:lang w:val="zh-CN"/>
        </w:rPr>
      </w:pPr>
      <w:r>
        <w:rPr>
          <w:rFonts w:hint="default" w:ascii="Times New Roman" w:hAnsi="Times New Roman"/>
          <w:highlight w:val="none"/>
          <w:lang w:val="en-US" w:eastAsia="zh-CN"/>
        </w:rPr>
        <w:t>根据评分标准，该项指标</w:t>
      </w:r>
      <w:r>
        <w:rPr>
          <w:rFonts w:hint="eastAsia" w:ascii="Times New Roman" w:hAnsi="Times New Roman"/>
          <w:highlight w:val="none"/>
          <w:lang w:val="en-US" w:eastAsia="zh-CN"/>
        </w:rPr>
        <w:t>不扣</w:t>
      </w:r>
      <w:r>
        <w:rPr>
          <w:rFonts w:hint="default" w:ascii="Times New Roman" w:hAnsi="Times New Roman"/>
          <w:highlight w:val="none"/>
          <w:lang w:val="en-US" w:eastAsia="zh-CN"/>
        </w:rPr>
        <w:t>分，得</w:t>
      </w:r>
      <w:r>
        <w:rPr>
          <w:rFonts w:hint="eastAsia" w:ascii="Times New Roman" w:hAnsi="Times New Roman"/>
          <w:highlight w:val="none"/>
          <w:lang w:val="en-US" w:eastAsia="zh-CN"/>
        </w:rPr>
        <w:t>4</w:t>
      </w:r>
      <w:r>
        <w:rPr>
          <w:rFonts w:hint="default" w:ascii="Times New Roman" w:hAnsi="Times New Roman"/>
          <w:highlight w:val="none"/>
          <w:lang w:val="en-US" w:eastAsia="zh-CN"/>
        </w:rPr>
        <w:t>分</w:t>
      </w:r>
      <w:r>
        <w:rPr>
          <w:rFonts w:hint="eastAsia" w:ascii="Times New Roman" w:hAnsi="Times New Roman"/>
          <w:highlight w:val="none"/>
          <w:lang w:val="en-US" w:eastAsia="zh-CN"/>
        </w:rPr>
        <w:t>。</w:t>
      </w:r>
    </w:p>
    <w:p w14:paraId="465FAF27">
      <w:pPr>
        <w:pStyle w:val="4"/>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highlight w:val="none"/>
          <w:lang w:val="en-US" w:eastAsia="zh-CN"/>
        </w:rPr>
      </w:pPr>
      <w:r>
        <w:rPr>
          <w:rFonts w:hint="default" w:ascii="Times New Roman" w:hAnsi="Times New Roman" w:cs="Times New Roman"/>
          <w:highlight w:val="none"/>
          <w:lang w:val="en-US" w:eastAsia="zh-CN"/>
        </w:rPr>
        <w:t>3</w:t>
      </w:r>
      <w:r>
        <w:rPr>
          <w:rFonts w:hint="eastAsia" w:ascii="Times New Roman" w:hAnsi="Times New Roman"/>
          <w:highlight w:val="none"/>
          <w:lang w:val="en-US" w:eastAsia="zh-CN"/>
        </w:rPr>
        <w:t>.</w:t>
      </w:r>
      <w:r>
        <w:rPr>
          <w:rFonts w:hint="eastAsia" w:ascii="Times New Roman" w:hAnsi="Times New Roman"/>
          <w:highlight w:val="none"/>
          <w:lang w:val="zh-CN"/>
        </w:rPr>
        <w:t>目标实现</w:t>
      </w:r>
    </w:p>
    <w:p w14:paraId="0D77087C">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eastAsia="仿宋_GB2312"/>
          <w:highlight w:val="none"/>
          <w:lang w:eastAsia="zh-CN"/>
        </w:rPr>
      </w:pPr>
      <w:r>
        <w:rPr>
          <w:rFonts w:hint="eastAsia" w:ascii="Times New Roman" w:hAnsi="Times New Roman"/>
          <w:highlight w:val="none"/>
          <w:lang w:eastAsia="zh-CN"/>
        </w:rPr>
        <w:t>（</w:t>
      </w:r>
      <w:r>
        <w:rPr>
          <w:rFonts w:hint="default" w:ascii="Times New Roman" w:hAnsi="Times New Roman" w:cs="Times New Roman"/>
          <w:highlight w:val="none"/>
          <w:lang w:val="en-US" w:eastAsia="zh-CN"/>
        </w:rPr>
        <w:t>1</w:t>
      </w:r>
      <w:r>
        <w:rPr>
          <w:rFonts w:hint="eastAsia" w:ascii="Times New Roman" w:hAnsi="Times New Roman"/>
          <w:highlight w:val="none"/>
          <w:lang w:eastAsia="zh-CN"/>
        </w:rPr>
        <w:t>）目标完成</w:t>
      </w:r>
    </w:p>
    <w:p w14:paraId="353BB009">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highlight w:val="none"/>
          <w:lang w:val="en-US" w:eastAsia="zh-CN"/>
        </w:rPr>
      </w:pPr>
      <w:r>
        <w:rPr>
          <w:rFonts w:hint="eastAsia" w:ascii="Times New Roman" w:hAnsi="Times New Roman" w:cs="Times New Roman"/>
          <w:highlight w:val="none"/>
          <w:lang w:eastAsia="zh-CN"/>
        </w:rPr>
        <w:t>2025年</w:t>
      </w:r>
      <w:r>
        <w:rPr>
          <w:rFonts w:hint="eastAsia" w:ascii="Times New Roman" w:hAnsi="Times New Roman"/>
          <w:highlight w:val="none"/>
          <w:lang w:eastAsia="zh-CN"/>
        </w:rPr>
        <w:t>部门预算阶段项目（含一次性项目）共有</w:t>
      </w:r>
      <w:r>
        <w:rPr>
          <w:rFonts w:hint="eastAsia"/>
          <w:highlight w:val="none"/>
          <w:lang w:val="en-US" w:eastAsia="zh-CN"/>
        </w:rPr>
        <w:t>21</w:t>
      </w:r>
      <w:r>
        <w:rPr>
          <w:rFonts w:hint="eastAsia" w:ascii="Times New Roman" w:hAnsi="Times New Roman"/>
          <w:highlight w:val="none"/>
          <w:lang w:eastAsia="zh-CN"/>
        </w:rPr>
        <w:t>个，</w:t>
      </w:r>
      <w:r>
        <w:rPr>
          <w:rFonts w:hint="eastAsia" w:ascii="Times New Roman" w:hAnsi="Times New Roman"/>
          <w:highlight w:val="none"/>
          <w:lang w:val="en-US" w:eastAsia="zh-CN"/>
        </w:rPr>
        <w:t>结合项目实施的实际情况，</w:t>
      </w:r>
      <w:r>
        <w:rPr>
          <w:rFonts w:hint="eastAsia"/>
          <w:highlight w:val="none"/>
          <w:lang w:val="en-US" w:eastAsia="zh-CN"/>
        </w:rPr>
        <w:t>我单位</w:t>
      </w:r>
      <w:r>
        <w:rPr>
          <w:rFonts w:hint="eastAsia" w:ascii="Times New Roman" w:hAnsi="Times New Roman"/>
          <w:highlight w:val="none"/>
          <w:lang w:val="en-US" w:eastAsia="zh-CN"/>
        </w:rPr>
        <w:t>所涉及的</w:t>
      </w:r>
      <w:r>
        <w:rPr>
          <w:rFonts w:hint="eastAsia" w:ascii="Times New Roman" w:hAnsi="Times New Roman"/>
          <w:highlight w:val="none"/>
          <w:lang w:eastAsia="zh-CN"/>
        </w:rPr>
        <w:t>部门预算阶段项目（含一次性项目）</w:t>
      </w:r>
      <w:r>
        <w:rPr>
          <w:rFonts w:hint="eastAsia"/>
          <w:highlight w:val="none"/>
          <w:lang w:eastAsia="zh-CN"/>
        </w:rPr>
        <w:t>各项</w:t>
      </w:r>
      <w:r>
        <w:rPr>
          <w:rFonts w:hint="eastAsia" w:ascii="Times New Roman" w:hAnsi="Times New Roman"/>
          <w:highlight w:val="none"/>
          <w:lang w:val="en-US" w:eastAsia="zh-CN"/>
        </w:rPr>
        <w:t>数量指标全部完成的数量为</w:t>
      </w:r>
      <w:r>
        <w:rPr>
          <w:rFonts w:hint="eastAsia"/>
          <w:highlight w:val="none"/>
          <w:lang w:val="en-US" w:eastAsia="zh-CN"/>
        </w:rPr>
        <w:t>21</w:t>
      </w:r>
      <w:r>
        <w:rPr>
          <w:rFonts w:hint="eastAsia" w:ascii="Times New Roman" w:hAnsi="Times New Roman"/>
          <w:highlight w:val="none"/>
          <w:lang w:val="en-US" w:eastAsia="zh-CN"/>
        </w:rPr>
        <w:t>个。</w:t>
      </w:r>
    </w:p>
    <w:p w14:paraId="214E1580">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3338851D">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eastAsia="zh-CN"/>
        </w:rPr>
      </w:pPr>
      <w:r>
        <w:rPr>
          <w:rFonts w:hint="eastAsia" w:ascii="Times New Roman" w:hAnsi="Times New Roman"/>
          <w:highlight w:val="none"/>
          <w:lang w:eastAsia="zh-CN"/>
        </w:rPr>
        <w:t>（</w:t>
      </w:r>
      <w:r>
        <w:rPr>
          <w:rFonts w:hint="default" w:ascii="Times New Roman" w:hAnsi="Times New Roman" w:cs="Times New Roman"/>
          <w:highlight w:val="none"/>
          <w:lang w:val="en-US" w:eastAsia="zh-CN"/>
        </w:rPr>
        <w:t>2</w:t>
      </w:r>
      <w:r>
        <w:rPr>
          <w:rFonts w:hint="eastAsia" w:ascii="Times New Roman" w:hAnsi="Times New Roman"/>
          <w:highlight w:val="none"/>
          <w:lang w:eastAsia="zh-CN"/>
        </w:rPr>
        <w:t>）目标偏离</w:t>
      </w:r>
    </w:p>
    <w:p w14:paraId="60027174">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highlight w:val="none"/>
          <w:lang w:val="en-US" w:eastAsia="zh-CN"/>
        </w:rPr>
      </w:pPr>
      <w:r>
        <w:rPr>
          <w:rFonts w:hint="eastAsia" w:ascii="Times New Roman" w:hAnsi="Times New Roman" w:cs="Times New Roman"/>
          <w:highlight w:val="none"/>
          <w:lang w:eastAsia="zh-CN"/>
        </w:rPr>
        <w:t>2025年</w:t>
      </w:r>
      <w:r>
        <w:rPr>
          <w:rFonts w:hint="eastAsia"/>
          <w:highlight w:val="none"/>
          <w:lang w:eastAsia="zh-CN"/>
        </w:rPr>
        <w:t>我单位</w:t>
      </w:r>
      <w:r>
        <w:rPr>
          <w:rFonts w:hint="eastAsia" w:ascii="Times New Roman" w:hAnsi="Times New Roman"/>
          <w:highlight w:val="none"/>
          <w:lang w:eastAsia="zh-CN"/>
        </w:rPr>
        <w:t>部门预算项目（含</w:t>
      </w:r>
      <w:r>
        <w:rPr>
          <w:rFonts w:hint="default" w:ascii="Times New Roman" w:hAnsi="Times New Roman" w:cs="Times New Roman"/>
          <w:color w:val="000000"/>
          <w:kern w:val="0"/>
          <w:szCs w:val="32"/>
          <w:highlight w:val="none"/>
          <w:shd w:val="clear" w:color="auto" w:fill="FFFFFF"/>
          <w:lang w:val="en-US" w:eastAsia="zh-CN"/>
        </w:rPr>
        <w:t>常年项目</w:t>
      </w:r>
      <w:r>
        <w:rPr>
          <w:rFonts w:hint="eastAsia" w:ascii="Times New Roman" w:hAnsi="Times New Roman" w:cs="Times New Roman"/>
          <w:color w:val="000000"/>
          <w:kern w:val="0"/>
          <w:szCs w:val="32"/>
          <w:highlight w:val="none"/>
          <w:shd w:val="clear" w:color="auto" w:fill="FFFFFF"/>
          <w:lang w:val="en-US" w:eastAsia="zh-CN"/>
        </w:rPr>
        <w:t>和阶段项目及</w:t>
      </w:r>
      <w:r>
        <w:rPr>
          <w:rFonts w:hint="eastAsia" w:ascii="Times New Roman" w:hAnsi="Times New Roman"/>
          <w:highlight w:val="none"/>
          <w:lang w:eastAsia="zh-CN"/>
        </w:rPr>
        <w:t>一次性项目）共有</w:t>
      </w:r>
      <w:r>
        <w:rPr>
          <w:rFonts w:hint="eastAsia"/>
          <w:highlight w:val="none"/>
          <w:lang w:val="en-US" w:eastAsia="zh-CN"/>
        </w:rPr>
        <w:t>21</w:t>
      </w:r>
      <w:r>
        <w:rPr>
          <w:rFonts w:hint="eastAsia" w:ascii="Times New Roman" w:hAnsi="Times New Roman"/>
          <w:highlight w:val="none"/>
          <w:lang w:eastAsia="zh-CN"/>
        </w:rPr>
        <w:t>个，</w:t>
      </w:r>
      <w:r>
        <w:rPr>
          <w:rFonts w:hint="eastAsia" w:ascii="Times New Roman" w:hAnsi="Times New Roman"/>
          <w:highlight w:val="none"/>
          <w:lang w:val="en-US" w:eastAsia="zh-CN"/>
        </w:rPr>
        <w:t>各项目数量指标的完成值与设定预期指标值的偏离度在</w:t>
      </w:r>
      <w:r>
        <w:rPr>
          <w:rFonts w:hint="default" w:ascii="Times New Roman" w:hAnsi="Times New Roman" w:cs="Times New Roman"/>
          <w:highlight w:val="none"/>
          <w:lang w:val="en-US" w:eastAsia="zh-CN"/>
        </w:rPr>
        <w:t>30</w:t>
      </w:r>
      <w:r>
        <w:rPr>
          <w:rFonts w:hint="eastAsia" w:ascii="Times New Roman" w:hAnsi="Times New Roman"/>
          <w:highlight w:val="none"/>
          <w:lang w:val="en-US" w:eastAsia="zh-CN"/>
        </w:rPr>
        <w:t>%以内的个数为</w:t>
      </w:r>
      <w:r>
        <w:rPr>
          <w:rFonts w:hint="eastAsia"/>
          <w:highlight w:val="none"/>
          <w:lang w:val="en-US" w:eastAsia="zh-CN"/>
        </w:rPr>
        <w:t>21</w:t>
      </w:r>
      <w:r>
        <w:rPr>
          <w:rFonts w:hint="eastAsia" w:ascii="Times New Roman" w:hAnsi="Times New Roman"/>
          <w:highlight w:val="none"/>
          <w:lang w:val="en-US" w:eastAsia="zh-CN"/>
        </w:rPr>
        <w:t>个。</w:t>
      </w:r>
    </w:p>
    <w:p w14:paraId="26DF1D26">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rPr>
      </w:pPr>
      <w:r>
        <w:rPr>
          <w:rFonts w:hint="default" w:ascii="Times New Roman" w:hAnsi="Times New Roman"/>
          <w:highlight w:val="none"/>
          <w:lang w:val="en-US" w:eastAsia="zh-CN"/>
        </w:rPr>
        <w:t>根据评分标准，该项指标不扣分，得4分</w:t>
      </w:r>
      <w:r>
        <w:rPr>
          <w:rFonts w:hint="eastAsia" w:ascii="Times New Roman" w:hAnsi="Times New Roman"/>
          <w:highlight w:val="none"/>
          <w:lang w:val="en-US" w:eastAsia="zh-CN"/>
        </w:rPr>
        <w:t>。</w:t>
      </w:r>
    </w:p>
    <w:p w14:paraId="645582A8">
      <w:pPr>
        <w:pageBreakBefore w:val="0"/>
        <w:widowControl w:val="0"/>
        <w:kinsoku/>
        <w:wordWrap/>
        <w:overflowPunct/>
        <w:topLinePunct w:val="0"/>
        <w:autoSpaceDE/>
        <w:autoSpaceDN/>
        <w:bidi w:val="0"/>
        <w:adjustRightInd/>
        <w:snapToGrid/>
        <w:spacing w:line="600" w:lineRule="exact"/>
        <w:textAlignment w:val="auto"/>
        <w:outlineLvl w:val="2"/>
        <w:rPr>
          <w:rFonts w:hint="eastAsia" w:ascii="Times New Roman" w:hAnsi="Times New Roman"/>
          <w:highlight w:val="none"/>
          <w:lang w:eastAsia="zh-CN"/>
        </w:rPr>
      </w:pPr>
      <w:r>
        <w:rPr>
          <w:rFonts w:hint="eastAsia" w:ascii="Times New Roman" w:hAnsi="Times New Roman"/>
          <w:highlight w:val="none"/>
          <w:lang w:eastAsia="zh-CN"/>
        </w:rPr>
        <w:t>（</w:t>
      </w:r>
      <w:r>
        <w:rPr>
          <w:rFonts w:hint="default" w:ascii="Times New Roman" w:hAnsi="Times New Roman" w:cs="Times New Roman"/>
          <w:highlight w:val="none"/>
          <w:lang w:val="en-US" w:eastAsia="zh-CN"/>
        </w:rPr>
        <w:t>3</w:t>
      </w:r>
      <w:r>
        <w:rPr>
          <w:rFonts w:hint="eastAsia" w:ascii="Times New Roman" w:hAnsi="Times New Roman"/>
          <w:highlight w:val="none"/>
          <w:lang w:eastAsia="zh-CN"/>
        </w:rPr>
        <w:t>）实现效果</w:t>
      </w:r>
    </w:p>
    <w:p w14:paraId="5F5CF76A">
      <w:pPr>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highlight w:val="none"/>
          <w:lang w:val="en-US" w:eastAsia="zh-CN"/>
        </w:rPr>
      </w:pPr>
      <w:r>
        <w:rPr>
          <w:rFonts w:hint="eastAsia" w:ascii="Times New Roman" w:hAnsi="Times New Roman" w:cs="Times New Roman"/>
          <w:highlight w:val="none"/>
          <w:lang w:eastAsia="zh-CN"/>
        </w:rPr>
        <w:t>2025年</w:t>
      </w:r>
      <w:r>
        <w:rPr>
          <w:rFonts w:hint="eastAsia"/>
          <w:highlight w:val="none"/>
          <w:lang w:eastAsia="zh-CN"/>
        </w:rPr>
        <w:t>我单位</w:t>
      </w:r>
      <w:r>
        <w:rPr>
          <w:rFonts w:hint="eastAsia" w:ascii="Times New Roman" w:hAnsi="Times New Roman"/>
          <w:highlight w:val="none"/>
          <w:lang w:eastAsia="zh-CN"/>
        </w:rPr>
        <w:t>需进行绩效目标管理的部门预算阶段项目共有</w:t>
      </w:r>
      <w:r>
        <w:rPr>
          <w:rFonts w:hint="eastAsia"/>
          <w:highlight w:val="none"/>
          <w:lang w:val="en-US" w:eastAsia="zh-CN"/>
        </w:rPr>
        <w:t>21</w:t>
      </w:r>
      <w:r>
        <w:rPr>
          <w:rFonts w:hint="eastAsia" w:ascii="Times New Roman" w:hAnsi="Times New Roman"/>
          <w:highlight w:val="none"/>
          <w:lang w:eastAsia="zh-CN"/>
        </w:rPr>
        <w:t>个</w:t>
      </w:r>
      <w:r>
        <w:rPr>
          <w:rFonts w:hint="eastAsia" w:ascii="Times New Roman" w:hAnsi="Times New Roman"/>
          <w:highlight w:val="none"/>
          <w:lang w:val="en-US" w:eastAsia="zh-CN"/>
        </w:rPr>
        <w:t>，预期效益指标均已完成的项目个数为</w:t>
      </w:r>
      <w:r>
        <w:rPr>
          <w:rFonts w:hint="eastAsia"/>
          <w:highlight w:val="none"/>
          <w:lang w:val="en-US" w:eastAsia="zh-CN"/>
        </w:rPr>
        <w:t>21</w:t>
      </w:r>
      <w:r>
        <w:rPr>
          <w:rFonts w:hint="eastAsia" w:ascii="Times New Roman" w:hAnsi="Times New Roman"/>
          <w:highlight w:val="none"/>
          <w:lang w:val="en-US" w:eastAsia="zh-CN"/>
        </w:rPr>
        <w:t>个。</w:t>
      </w:r>
    </w:p>
    <w:p w14:paraId="593805C9">
      <w:pPr>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楷体_GB2312" w:cs="楷体_GB2312"/>
          <w:color w:val="000000"/>
          <w:kern w:val="0"/>
          <w:szCs w:val="32"/>
          <w:highlight w:val="none"/>
          <w:shd w:val="clear" w:color="auto" w:fill="FFFFFF"/>
          <w:lang w:val="zh-CN"/>
        </w:rPr>
      </w:pPr>
      <w:r>
        <w:rPr>
          <w:rFonts w:hint="default" w:ascii="Times New Roman" w:hAnsi="Times New Roman"/>
          <w:highlight w:val="none"/>
          <w:lang w:val="en-US" w:eastAsia="zh-CN"/>
        </w:rPr>
        <w:t>根据评分标准，该项指标不扣分，得3分</w:t>
      </w:r>
      <w:r>
        <w:rPr>
          <w:rFonts w:hint="eastAsia" w:ascii="Times New Roman" w:hAnsi="Times New Roman"/>
          <w:highlight w:val="none"/>
          <w:lang w:val="en-US" w:eastAsia="zh-CN"/>
        </w:rPr>
        <w:t>。</w:t>
      </w:r>
    </w:p>
    <w:p w14:paraId="546D4E5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Cs w:val="32"/>
          <w:highlight w:val="none"/>
          <w:shd w:val="clear" w:color="auto" w:fill="FFFFFF"/>
          <w:lang w:val="zh-CN"/>
        </w:rPr>
        <w:t>（</w:t>
      </w:r>
      <w:r>
        <w:rPr>
          <w:rFonts w:hint="eastAsia" w:ascii="Times New Roman" w:hAnsi="Times New Roman" w:eastAsia="楷体_GB2312" w:cs="Times New Roman"/>
          <w:b/>
          <w:bCs/>
          <w:color w:val="000000"/>
          <w:kern w:val="0"/>
          <w:szCs w:val="32"/>
          <w:highlight w:val="none"/>
          <w:shd w:val="clear" w:color="auto" w:fill="FFFFFF"/>
          <w:lang w:val="zh-CN"/>
        </w:rPr>
        <w:t>三</w:t>
      </w:r>
      <w:r>
        <w:rPr>
          <w:rFonts w:hint="default" w:ascii="Times New Roman" w:hAnsi="Times New Roman" w:eastAsia="楷体_GB2312" w:cs="Times New Roman"/>
          <w:b/>
          <w:bCs/>
          <w:color w:val="000000"/>
          <w:kern w:val="0"/>
          <w:szCs w:val="32"/>
          <w:highlight w:val="none"/>
          <w:shd w:val="clear" w:color="auto" w:fill="FFFFFF"/>
          <w:lang w:val="zh-CN"/>
        </w:rPr>
        <w:t>）</w:t>
      </w:r>
      <w:r>
        <w:rPr>
          <w:rFonts w:hint="default" w:ascii="Times New Roman" w:hAnsi="Times New Roman" w:eastAsia="楷体_GB2312" w:cs="Times New Roman"/>
          <w:b/>
          <w:bCs/>
          <w:color w:val="000000"/>
          <w:kern w:val="0"/>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Cs w:val="32"/>
          <w:highlight w:val="none"/>
          <w:shd w:val="clear" w:color="auto" w:fill="FFFFFF"/>
          <w:lang w:val="zh-CN"/>
        </w:rPr>
        <w:t>绩效分析</w:t>
      </w:r>
      <w:r>
        <w:rPr>
          <w:rFonts w:hint="default" w:ascii="Times New Roman" w:hAnsi="Times New Roman" w:eastAsia="楷体_GB2312" w:cs="Times New Roman"/>
          <w:b/>
          <w:bCs/>
          <w:color w:val="000000"/>
          <w:kern w:val="0"/>
          <w:szCs w:val="32"/>
          <w:highlight w:val="none"/>
          <w:shd w:val="clear" w:color="auto" w:fill="FFFFFF"/>
          <w:lang w:val="zh-CN" w:eastAsia="zh-CN"/>
        </w:rPr>
        <w:t>。</w:t>
      </w:r>
    </w:p>
    <w:p w14:paraId="396DDC0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eastAsia" w:ascii="Times New Roman" w:hAnsi="Times New Roman" w:cs="Times New Roman"/>
          <w:sz w:val="32"/>
          <w:szCs w:val="32"/>
          <w:highlight w:val="none"/>
          <w:u w:val="none"/>
          <w:lang w:eastAsia="zh-CN"/>
        </w:rPr>
      </w:pPr>
      <w:r>
        <w:rPr>
          <w:rFonts w:hint="default" w:ascii="Times New Roman" w:hAnsi="Times New Roman" w:eastAsia="楷体_GB2312" w:cs="Times New Roman Regular"/>
          <w:b/>
          <w:bCs/>
          <w:color w:val="000000"/>
          <w:kern w:val="0"/>
          <w:szCs w:val="32"/>
          <w:highlight w:val="none"/>
          <w:shd w:val="clear" w:color="auto" w:fill="FFFFFF"/>
          <w:lang w:val="en-US" w:eastAsia="zh-CN"/>
        </w:rPr>
        <w:t>行政事业性国有资产绩效分析。</w:t>
      </w:r>
    </w:p>
    <w:p w14:paraId="6FE7B6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w:hAnsi="Times New Roman" w:eastAsia="楷体_GB2312" w:cs="Times New Roman Regular"/>
          <w:b/>
          <w:bCs/>
          <w:color w:val="000000"/>
          <w:kern w:val="0"/>
          <w:szCs w:val="32"/>
          <w:highlight w:val="none"/>
          <w:shd w:val="clear" w:color="auto" w:fill="FFFFFF"/>
          <w:lang w:val="en-US" w:eastAsia="zh-CN"/>
        </w:rPr>
      </w:pPr>
      <w:r>
        <w:rPr>
          <w:rFonts w:hint="eastAsia" w:ascii="Times New Roman" w:hAnsi="Times New Roman" w:cs="Times New Roman"/>
          <w:sz w:val="32"/>
          <w:szCs w:val="32"/>
          <w:highlight w:val="none"/>
          <w:u w:val="none"/>
          <w:lang w:eastAsia="zh-CN"/>
        </w:rPr>
        <w:t>2025年度，</w:t>
      </w:r>
      <w:r>
        <w:rPr>
          <w:rFonts w:hint="eastAsia" w:cs="Times New Roman"/>
          <w:sz w:val="32"/>
          <w:szCs w:val="32"/>
          <w:highlight w:val="none"/>
          <w:u w:val="none"/>
          <w:lang w:eastAsia="zh-CN"/>
        </w:rPr>
        <w:t>我单位</w:t>
      </w:r>
      <w:r>
        <w:rPr>
          <w:rFonts w:hint="eastAsia" w:ascii="Times New Roman" w:hAnsi="Times New Roman" w:cs="Times New Roman"/>
          <w:sz w:val="32"/>
          <w:szCs w:val="32"/>
          <w:highlight w:val="none"/>
          <w:u w:val="none"/>
          <w:lang w:val="en-US" w:eastAsia="zh-CN"/>
        </w:rPr>
        <w:t>无资产配置预算，但</w:t>
      </w:r>
      <w:r>
        <w:rPr>
          <w:rFonts w:hint="eastAsia" w:ascii="Times New Roman" w:hAnsi="Times New Roman" w:cs="Times New Roman"/>
          <w:sz w:val="32"/>
          <w:szCs w:val="32"/>
          <w:highlight w:val="none"/>
          <w:u w:val="none"/>
          <w:lang w:eastAsia="zh-CN"/>
        </w:rPr>
        <w:t>严格按照</w:t>
      </w:r>
      <w:r>
        <w:rPr>
          <w:rFonts w:hint="eastAsia" w:ascii="Times New Roman" w:hAnsi="Times New Roman" w:cs="Times New Roman"/>
          <w:sz w:val="32"/>
          <w:szCs w:val="32"/>
          <w:highlight w:val="none"/>
          <w:u w:val="none"/>
          <w:lang w:val="en-US" w:eastAsia="zh-CN"/>
        </w:rPr>
        <w:t>相关文件</w:t>
      </w:r>
      <w:r>
        <w:rPr>
          <w:rFonts w:hint="eastAsia" w:ascii="Times New Roman" w:hAnsi="Times New Roman" w:cs="Times New Roman"/>
          <w:sz w:val="32"/>
          <w:szCs w:val="32"/>
          <w:highlight w:val="none"/>
          <w:u w:val="none"/>
          <w:lang w:eastAsia="zh-CN"/>
        </w:rPr>
        <w:t>要求，做好国有资产的清理盘点、统计报告及日常监督检查工作，2025年度国有资产基础管理、日常管理、效率管理等方面整体效益较好，有效保障了国有资产安全，提高了国有资产利用率</w:t>
      </w:r>
      <w:r>
        <w:rPr>
          <w:rFonts w:hint="default" w:ascii="Times New Roman" w:hAnsi="Times New Roman" w:eastAsia="仿宋_GB2312" w:cs="Times New Roman Regular"/>
          <w:b w:val="0"/>
          <w:bCs w:val="0"/>
          <w:color w:val="000000"/>
          <w:kern w:val="0"/>
          <w:szCs w:val="32"/>
          <w:highlight w:val="none"/>
          <w:shd w:val="clear" w:color="auto" w:fill="FFFFFF"/>
          <w:lang w:val="en-US" w:eastAsia="zh-CN"/>
        </w:rPr>
        <w:t>。</w:t>
      </w:r>
    </w:p>
    <w:p w14:paraId="4073FBE8">
      <w:pPr>
        <w:keepNext w:val="0"/>
        <w:keepLines w:val="0"/>
        <w:pageBreakBefore w:val="0"/>
        <w:widowControl w:val="0"/>
        <w:kinsoku/>
        <w:wordWrap/>
        <w:overflowPunct/>
        <w:topLinePunct w:val="0"/>
        <w:autoSpaceDE/>
        <w:autoSpaceDN/>
        <w:bidi w:val="0"/>
        <w:adjustRightInd w:val="0"/>
        <w:snapToGrid w:val="0"/>
        <w:spacing w:line="600" w:lineRule="exact"/>
        <w:ind w:firstLine="643" w:firstLineChars="200"/>
        <w:textAlignment w:val="auto"/>
        <w:rPr>
          <w:rFonts w:hint="default" w:ascii="Times New Roman" w:hAnsi="Times New Roman" w:cs="Times New Roman Regular"/>
          <w:highlight w:val="none"/>
          <w:lang w:val="en-US" w:eastAsia="zh-CN"/>
        </w:rPr>
      </w:pPr>
      <w:r>
        <w:rPr>
          <w:rFonts w:hint="default" w:ascii="Times New Roman" w:hAnsi="Times New Roman" w:eastAsia="楷体_GB2312" w:cs="Times New Roman Regular"/>
          <w:b/>
          <w:bCs/>
          <w:szCs w:val="32"/>
          <w:highlight w:val="none"/>
          <w:lang w:val="zh-CN"/>
        </w:rPr>
        <w:t>（四）绩效结果应用情况。</w:t>
      </w:r>
    </w:p>
    <w:p w14:paraId="090AC7D3">
      <w:pPr>
        <w:keepNext w:val="0"/>
        <w:keepLines w:val="0"/>
        <w:pageBreakBefore w:val="0"/>
        <w:widowControl w:val="0"/>
        <w:kinsoku/>
        <w:wordWrap/>
        <w:overflowPunct/>
        <w:topLinePunct w:val="0"/>
        <w:autoSpaceDE/>
        <w:autoSpaceDN/>
        <w:bidi w:val="0"/>
        <w:snapToGrid w:val="0"/>
        <w:spacing w:line="600" w:lineRule="exact"/>
        <w:ind w:firstLine="640" w:firstLineChars="200"/>
        <w:textAlignment w:val="auto"/>
        <w:rPr>
          <w:rFonts w:hint="eastAsia" w:ascii="Times New Roman" w:hAnsi="Times New Roman" w:eastAsia="仿宋_GB2312" w:cs="仿宋_GB2312"/>
          <w:sz w:val="32"/>
          <w:szCs w:val="32"/>
          <w:highlight w:val="none"/>
          <w:lang w:eastAsia="zh-CN" w:bidi="ar"/>
        </w:rPr>
      </w:pPr>
      <w:r>
        <w:rPr>
          <w:rFonts w:hint="eastAsia" w:cs="Times New Roman Regular"/>
          <w:highlight w:val="none"/>
          <w:lang w:val="en-US" w:eastAsia="zh-CN"/>
        </w:rPr>
        <w:t>我单位</w:t>
      </w:r>
      <w:r>
        <w:rPr>
          <w:rFonts w:hint="eastAsia" w:ascii="Times New Roman" w:hAnsi="Times New Roman" w:cs="Times New Roman"/>
          <w:color w:val="000000"/>
          <w:kern w:val="0"/>
          <w:szCs w:val="32"/>
          <w:highlight w:val="none"/>
          <w:shd w:val="clear" w:color="auto" w:fill="FFFFFF"/>
          <w:lang w:val="zh-CN" w:eastAsia="zh-CN"/>
        </w:rPr>
        <w:t>为进一步提高行政事业单位内部管理水平和风险防范能力，规范内部控制，加强廉政风险防控机制建设，</w:t>
      </w:r>
      <w:r>
        <w:rPr>
          <w:rFonts w:hint="eastAsia" w:cs="Times New Roman"/>
          <w:color w:val="000000"/>
          <w:kern w:val="0"/>
          <w:szCs w:val="32"/>
          <w:highlight w:val="none"/>
          <w:shd w:val="clear" w:color="auto" w:fill="FFFFFF"/>
          <w:lang w:val="zh-CN" w:eastAsia="zh-CN"/>
        </w:rPr>
        <w:t>我单位</w:t>
      </w:r>
      <w:r>
        <w:rPr>
          <w:rFonts w:hint="eastAsia" w:ascii="Times New Roman" w:hAnsi="Times New Roman" w:cs="Times New Roman"/>
          <w:color w:val="000000"/>
          <w:kern w:val="0"/>
          <w:szCs w:val="32"/>
          <w:highlight w:val="none"/>
          <w:shd w:val="clear" w:color="auto" w:fill="FFFFFF"/>
          <w:lang w:val="zh-CN" w:eastAsia="zh-CN"/>
        </w:rPr>
        <w:t>在对预算、收支、政府采购、资产、建设项目、合同等各类经济业务活动流程梳理的基础上，明确业务环节，系统分析经济活动风险，确定风险点，选择应对策略，形成了内部控制制度</w:t>
      </w:r>
      <w:r>
        <w:rPr>
          <w:rFonts w:hint="eastAsia" w:ascii="Times New Roman" w:hAnsi="Times New Roman" w:cs="Times New Roman"/>
          <w:color w:val="000000"/>
          <w:kern w:val="0"/>
          <w:szCs w:val="32"/>
          <w:highlight w:val="none"/>
          <w:shd w:val="clear" w:color="auto" w:fill="FFFFFF"/>
          <w:lang w:val="en-US" w:eastAsia="zh-CN"/>
        </w:rPr>
        <w:t>手册</w:t>
      </w:r>
      <w:r>
        <w:rPr>
          <w:rFonts w:hint="eastAsia" w:ascii="Times New Roman" w:hAnsi="Times New Roman" w:cs="Times New Roman"/>
          <w:color w:val="000000"/>
          <w:kern w:val="0"/>
          <w:szCs w:val="32"/>
          <w:highlight w:val="none"/>
          <w:shd w:val="clear" w:color="auto" w:fill="FFFFFF"/>
          <w:lang w:val="zh-CN" w:eastAsia="zh-CN"/>
        </w:rPr>
        <w:t>，</w:t>
      </w:r>
      <w:r>
        <w:rPr>
          <w:rFonts w:hint="eastAsia" w:cs="Times New Roman"/>
          <w:color w:val="000000"/>
          <w:kern w:val="0"/>
          <w:szCs w:val="32"/>
          <w:highlight w:val="none"/>
          <w:shd w:val="clear" w:color="auto" w:fill="FFFFFF"/>
          <w:lang w:val="zh-CN" w:eastAsia="zh-CN"/>
        </w:rPr>
        <w:t>我单位</w:t>
      </w:r>
      <w:r>
        <w:rPr>
          <w:rFonts w:hint="eastAsia" w:ascii="Times New Roman" w:hAnsi="Times New Roman" w:cs="Times New Roman"/>
          <w:color w:val="000000"/>
          <w:kern w:val="0"/>
          <w:szCs w:val="32"/>
          <w:highlight w:val="none"/>
          <w:shd w:val="clear" w:color="auto" w:fill="FFFFFF"/>
          <w:lang w:val="zh-CN" w:eastAsia="zh-CN"/>
        </w:rPr>
        <w:t>严格按照内控制度进行预算绩效管理，并按照相关要求将绩效信息随同</w:t>
      </w:r>
      <w:r>
        <w:rPr>
          <w:rFonts w:hint="eastAsia" w:ascii="Times New Roman" w:hAnsi="Times New Roman" w:cs="Times New Roman"/>
          <w:color w:val="000000"/>
          <w:kern w:val="0"/>
          <w:szCs w:val="32"/>
          <w:highlight w:val="none"/>
          <w:shd w:val="clear" w:color="auto" w:fill="FFFFFF"/>
          <w:lang w:val="en-US" w:eastAsia="zh-CN"/>
        </w:rPr>
        <w:t>预</w:t>
      </w:r>
      <w:r>
        <w:rPr>
          <w:rFonts w:hint="eastAsia" w:ascii="Times New Roman" w:hAnsi="Times New Roman" w:cs="Times New Roman"/>
          <w:color w:val="000000"/>
          <w:kern w:val="0"/>
          <w:szCs w:val="32"/>
          <w:highlight w:val="none"/>
          <w:shd w:val="clear" w:color="auto" w:fill="FFFFFF"/>
          <w:lang w:val="zh-CN" w:eastAsia="zh-CN"/>
        </w:rPr>
        <w:t>决算公开。</w:t>
      </w:r>
    </w:p>
    <w:p w14:paraId="271BDC1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Cs w:val="32"/>
          <w:highlight w:val="none"/>
          <w:shd w:val="clear" w:color="auto" w:fill="FFFFFF"/>
        </w:rPr>
      </w:pPr>
      <w:r>
        <w:rPr>
          <w:rFonts w:hint="default" w:ascii="Times New Roman" w:hAnsi="Times New Roman" w:eastAsia="黑体" w:cs="Times New Roman"/>
          <w:color w:val="000000"/>
          <w:kern w:val="0"/>
          <w:szCs w:val="32"/>
          <w:highlight w:val="none"/>
          <w:shd w:val="clear" w:color="auto" w:fill="FFFFFF"/>
          <w:lang w:eastAsia="zh-CN"/>
        </w:rPr>
        <w:t>四、</w:t>
      </w:r>
      <w:r>
        <w:rPr>
          <w:rFonts w:hint="default" w:ascii="Times New Roman" w:hAnsi="Times New Roman" w:eastAsia="黑体" w:cs="Times New Roman"/>
          <w:color w:val="000000"/>
          <w:kern w:val="0"/>
          <w:szCs w:val="32"/>
          <w:highlight w:val="none"/>
          <w:shd w:val="clear" w:color="auto" w:fill="FFFFFF"/>
        </w:rPr>
        <w:t>评价结论及建议</w:t>
      </w:r>
    </w:p>
    <w:p w14:paraId="60E1EEF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（一）评价结论。</w:t>
      </w:r>
    </w:p>
    <w:p w14:paraId="7D9DBB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eastAsia" w:cs="Times New Roman"/>
          <w:b w:val="0"/>
          <w:bCs w:val="0"/>
          <w:kern w:val="0"/>
          <w:position w:val="0"/>
          <w:sz w:val="32"/>
          <w:szCs w:val="32"/>
          <w:highlight w:val="none"/>
          <w:lang w:val="en-US" w:eastAsia="zh-CN" w:bidi="ar-SA"/>
        </w:rPr>
        <w:t>我单位</w:t>
      </w:r>
      <w:r>
        <w:rPr>
          <w:rFonts w:hint="eastAsia" w:ascii="Times New Roman" w:hAnsi="Times New Roman" w:cs="Times New Roman"/>
          <w:b w:val="0"/>
          <w:bCs w:val="0"/>
          <w:kern w:val="0"/>
          <w:position w:val="0"/>
          <w:sz w:val="32"/>
          <w:szCs w:val="32"/>
          <w:highlight w:val="none"/>
          <w:lang w:val="en-US" w:eastAsia="zh-CN" w:bidi="ar-SA"/>
        </w:rPr>
        <w:t>针对</w:t>
      </w:r>
      <w:r>
        <w:rPr>
          <w:rFonts w:hint="default" w:ascii="Times New Roman" w:hAnsi="Times New Roman" w:eastAsia="仿宋_GB2312" w:cs="Times New Roman"/>
          <w:b w:val="0"/>
          <w:bCs w:val="0"/>
          <w:kern w:val="0"/>
          <w:position w:val="0"/>
          <w:sz w:val="32"/>
          <w:szCs w:val="32"/>
          <w:highlight w:val="none"/>
          <w:lang w:val="en-US" w:eastAsia="zh-CN" w:bidi="ar-SA"/>
        </w:rPr>
        <w:t>本次财政预算绩效自评工作，严格按照《预算绩效评价共性指标体系框架》及相关财务管理规定，</w:t>
      </w:r>
      <w:r>
        <w:rPr>
          <w:rFonts w:hint="eastAsia" w:ascii="Times New Roman" w:hAnsi="Times New Roman" w:cs="Times New Roman"/>
          <w:b w:val="0"/>
          <w:bCs w:val="0"/>
          <w:kern w:val="0"/>
          <w:position w:val="0"/>
          <w:sz w:val="32"/>
          <w:szCs w:val="32"/>
          <w:highlight w:val="none"/>
          <w:lang w:val="en-US" w:eastAsia="zh-CN" w:bidi="ar-SA"/>
        </w:rPr>
        <w:t>结合</w:t>
      </w:r>
      <w:r>
        <w:rPr>
          <w:rFonts w:hint="eastAsia" w:cs="Times New Roman"/>
          <w:b w:val="0"/>
          <w:bCs w:val="0"/>
          <w:kern w:val="0"/>
          <w:position w:val="0"/>
          <w:sz w:val="32"/>
          <w:szCs w:val="32"/>
          <w:highlight w:val="none"/>
          <w:lang w:val="en-US" w:eastAsia="zh-CN" w:bidi="ar-SA"/>
        </w:rPr>
        <w:t>我单位</w:t>
      </w:r>
      <w:r>
        <w:rPr>
          <w:rFonts w:hint="eastAsia" w:ascii="Times New Roman" w:hAnsi="Times New Roman" w:cs="Times New Roman"/>
          <w:b w:val="0"/>
          <w:bCs w:val="0"/>
          <w:kern w:val="0"/>
          <w:position w:val="0"/>
          <w:sz w:val="32"/>
          <w:szCs w:val="32"/>
          <w:highlight w:val="none"/>
          <w:lang w:val="en-US" w:eastAsia="zh-CN" w:bidi="ar-SA"/>
        </w:rPr>
        <w:t>2025年度工作开展情况及履职情况，</w:t>
      </w:r>
      <w:r>
        <w:rPr>
          <w:rFonts w:hint="default" w:ascii="Times New Roman" w:hAnsi="Times New Roman" w:eastAsia="仿宋_GB2312" w:cs="Times New Roman"/>
          <w:b w:val="0"/>
          <w:bCs w:val="0"/>
          <w:kern w:val="0"/>
          <w:position w:val="0"/>
          <w:sz w:val="32"/>
          <w:szCs w:val="32"/>
          <w:highlight w:val="none"/>
          <w:lang w:val="en-US" w:eastAsia="zh-CN" w:bidi="ar-SA"/>
        </w:rPr>
        <w:t>对</w:t>
      </w:r>
      <w:r>
        <w:rPr>
          <w:rFonts w:hint="eastAsia" w:ascii="Times New Roman" w:hAnsi="Times New Roman" w:cs="Times New Roman"/>
          <w:b w:val="0"/>
          <w:bCs w:val="0"/>
          <w:kern w:val="0"/>
          <w:position w:val="0"/>
          <w:sz w:val="32"/>
          <w:szCs w:val="32"/>
          <w:highlight w:val="none"/>
          <w:lang w:val="en-US" w:eastAsia="zh-CN" w:bidi="ar-SA"/>
        </w:rPr>
        <w:t>2025年度部门</w:t>
      </w:r>
      <w:r>
        <w:rPr>
          <w:rFonts w:hint="default" w:ascii="Times New Roman" w:hAnsi="Times New Roman" w:eastAsia="仿宋_GB2312" w:cs="Times New Roman"/>
          <w:b w:val="0"/>
          <w:bCs w:val="0"/>
          <w:kern w:val="0"/>
          <w:position w:val="0"/>
          <w:sz w:val="32"/>
          <w:szCs w:val="32"/>
          <w:highlight w:val="none"/>
          <w:lang w:val="en-US" w:eastAsia="zh-CN" w:bidi="ar-SA"/>
        </w:rPr>
        <w:t>预算资金的使用情况进行了全面、深入的分析和评价。经过自评，我们得出以下结论</w:t>
      </w:r>
      <w:r>
        <w:rPr>
          <w:rFonts w:hint="eastAsia" w:ascii="Times New Roman" w:hAnsi="Times New Roman" w:cs="Times New Roman"/>
          <w:b w:val="0"/>
          <w:bCs w:val="0"/>
          <w:kern w:val="0"/>
          <w:position w:val="0"/>
          <w:sz w:val="32"/>
          <w:szCs w:val="32"/>
          <w:highlight w:val="none"/>
          <w:lang w:val="en-US" w:eastAsia="zh-CN" w:bidi="ar-SA"/>
        </w:rPr>
        <w:t>：2025年度，</w:t>
      </w:r>
      <w:r>
        <w:rPr>
          <w:rFonts w:hint="eastAsia" w:cs="Times New Roman"/>
          <w:b w:val="0"/>
          <w:bCs w:val="0"/>
          <w:kern w:val="0"/>
          <w:position w:val="0"/>
          <w:sz w:val="32"/>
          <w:szCs w:val="32"/>
          <w:highlight w:val="none"/>
          <w:lang w:val="en-US" w:eastAsia="zh-CN" w:bidi="ar-SA"/>
        </w:rPr>
        <w:t>我单位</w:t>
      </w:r>
      <w:r>
        <w:rPr>
          <w:rFonts w:hint="eastAsia" w:ascii="Times New Roman" w:hAnsi="Times New Roman" w:cs="仿宋_GB2312"/>
          <w:b w:val="0"/>
          <w:bCs w:val="0"/>
          <w:kern w:val="0"/>
          <w:position w:val="0"/>
          <w:sz w:val="32"/>
          <w:szCs w:val="32"/>
          <w:highlight w:val="none"/>
          <w:lang w:val="en-US" w:eastAsia="zh-CN" w:bidi="ar-SA"/>
        </w:rPr>
        <w:t>切实履行了部门职责，部门预算管理、财务管理、资产管理和采购管理等规范有序，较好地完成了各项年度任务，部门预算支出使用效益达到预期，但</w:t>
      </w:r>
      <w:r>
        <w:rPr>
          <w:rFonts w:hint="eastAsia" w:cs="仿宋_GB2312"/>
          <w:b w:val="0"/>
          <w:bCs w:val="0"/>
          <w:kern w:val="0"/>
          <w:position w:val="0"/>
          <w:sz w:val="32"/>
          <w:szCs w:val="32"/>
          <w:highlight w:val="none"/>
          <w:lang w:val="en-US" w:eastAsia="zh-CN" w:bidi="ar-SA"/>
        </w:rPr>
        <w:t>我单位</w:t>
      </w:r>
      <w:r>
        <w:rPr>
          <w:rFonts w:hint="eastAsia" w:ascii="Times New Roman" w:hAnsi="Times New Roman" w:cs="仿宋_GB2312"/>
          <w:b w:val="0"/>
          <w:bCs w:val="0"/>
          <w:kern w:val="0"/>
          <w:position w:val="0"/>
          <w:sz w:val="32"/>
          <w:szCs w:val="32"/>
          <w:highlight w:val="none"/>
          <w:lang w:val="en-US" w:eastAsia="zh-CN" w:bidi="ar-SA"/>
        </w:rPr>
        <w:t>在年度预算项目绩效指标编制方面，其个别指标设置质量相对不高，按照部门预算绩效评价指标体系中指标评分标准要求，</w:t>
      </w:r>
      <w:r>
        <w:rPr>
          <w:rFonts w:hint="eastAsia" w:ascii="Times New Roman" w:hAnsi="Times New Roman" w:cs="Times New Roman"/>
          <w:b w:val="0"/>
          <w:bCs w:val="0"/>
          <w:kern w:val="0"/>
          <w:position w:val="0"/>
          <w:sz w:val="32"/>
          <w:szCs w:val="32"/>
          <w:highlight w:val="none"/>
          <w:lang w:val="en-US" w:eastAsia="zh-CN" w:bidi="ar-SA"/>
        </w:rPr>
        <w:t>2025年</w:t>
      </w:r>
      <w:r>
        <w:rPr>
          <w:rFonts w:hint="eastAsia" w:cs="仿宋_GB2312"/>
          <w:b w:val="0"/>
          <w:bCs w:val="0"/>
          <w:kern w:val="0"/>
          <w:position w:val="0"/>
          <w:sz w:val="32"/>
          <w:szCs w:val="32"/>
          <w:highlight w:val="none"/>
          <w:lang w:val="en-US" w:eastAsia="zh-CN" w:bidi="ar-SA"/>
        </w:rPr>
        <w:t>我单位</w:t>
      </w:r>
      <w:r>
        <w:rPr>
          <w:rFonts w:hint="eastAsia" w:ascii="Times New Roman" w:hAnsi="Times New Roman" w:eastAsia="仿宋_GB2312" w:cs="仿宋_GB2312"/>
          <w:b w:val="0"/>
          <w:bCs w:val="0"/>
          <w:kern w:val="0"/>
          <w:position w:val="0"/>
          <w:sz w:val="32"/>
          <w:szCs w:val="32"/>
          <w:highlight w:val="none"/>
          <w:lang w:val="en-US" w:eastAsia="zh-CN" w:bidi="ar-SA"/>
        </w:rPr>
        <w:t>部门预算绩效评价综合得</w:t>
      </w:r>
      <w:r>
        <w:rPr>
          <w:rFonts w:hint="eastAsia" w:ascii="Times New Roman" w:hAnsi="Times New Roman" w:cs="仿宋_GB2312"/>
          <w:b w:val="0"/>
          <w:bCs w:val="0"/>
          <w:kern w:val="0"/>
          <w:position w:val="0"/>
          <w:sz w:val="32"/>
          <w:szCs w:val="32"/>
          <w:highlight w:val="none"/>
          <w:lang w:val="en-US" w:eastAsia="zh-CN" w:bidi="ar-SA"/>
        </w:rPr>
        <w:t>分94.28分。</w:t>
      </w:r>
    </w:p>
    <w:p w14:paraId="2AB1ECE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bCs/>
          <w:color w:val="000000"/>
          <w:kern w:val="0"/>
          <w:szCs w:val="32"/>
          <w:highlight w:val="none"/>
          <w:shd w:val="clear" w:color="auto" w:fill="FFFFFF"/>
          <w:lang w:val="zh-CN"/>
        </w:rPr>
        <w:t>（二）存在问题。</w:t>
      </w:r>
    </w:p>
    <w:p w14:paraId="6430860A">
      <w:pPr>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bookmarkStart w:id="44" w:name="_Hlk110546638"/>
      <w:r>
        <w:rPr>
          <w:rFonts w:hint="eastAsia" w:ascii="Times New Roman" w:hAnsi="Times New Roman" w:eastAsia="仿宋_GB2312" w:cs="Times New Roman"/>
          <w:color w:val="auto"/>
          <w:kern w:val="2"/>
          <w:sz w:val="32"/>
          <w:szCs w:val="32"/>
          <w:lang w:val="en-US" w:eastAsia="zh-CN" w:bidi="ar-SA"/>
        </w:rPr>
        <w:t>一是资产基础信息管理不够规范。在对照资产卡片及相关原始资料开展自查工作时发现，部分资产卡片中配置标准等关键信息存在填写不完整、内容不准确、要素不齐全等问题，未能全面、真实、准确反映资产实际配置情况，一定程度上影响了资产核算与管理的规范性。</w:t>
      </w:r>
    </w:p>
    <w:p w14:paraId="11BC9D59">
      <w:pPr>
        <w:keepNext w:val="0"/>
        <w:keepLines w:val="0"/>
        <w:pageBreakBefore w:val="0"/>
        <w:widowControl w:val="0"/>
        <w:kinsoku/>
        <w:wordWrap/>
        <w:overflowPunct/>
        <w:topLinePunct w:val="0"/>
        <w:autoSpaceDE/>
        <w:autoSpaceDN/>
        <w:bidi w:val="0"/>
        <w:adjustRightInd/>
        <w:snapToGrid/>
        <w:spacing w:beforeLines="0" w:line="560" w:lineRule="exact"/>
        <w:ind w:firstLine="640"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二是资产管理信息化、智能化水平有待提升。目前资产管理仍以传统方式为主，尚未应用条形码、二维码、电子标签等信息化、智能化技术手段，未能实现对资产从购置、使用、处置到盘点的全生命周期动态管理，资产盘点效率、实时监管能力有待进一步提高。</w:t>
      </w:r>
    </w:p>
    <w:p w14:paraId="5459BE5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cs="仿宋_GB2312"/>
          <w:b w:val="0"/>
          <w:bCs w:val="0"/>
          <w:kern w:val="0"/>
          <w:position w:val="0"/>
          <w:sz w:val="32"/>
          <w:szCs w:val="32"/>
          <w:highlight w:val="none"/>
          <w:lang w:val="en-US" w:eastAsia="zh-CN" w:bidi="ar-SA"/>
        </w:rPr>
      </w:pPr>
      <w:r>
        <w:rPr>
          <w:rFonts w:hint="default" w:ascii="Times New Roman" w:hAnsi="Times New Roman" w:eastAsia="楷体_GB2312" w:cs="Times New Roman"/>
          <w:b/>
          <w:bCs/>
          <w:color w:val="000000"/>
          <w:kern w:val="0"/>
          <w:szCs w:val="32"/>
          <w:highlight w:val="none"/>
          <w:shd w:val="clear" w:color="auto" w:fill="FFFFFF"/>
          <w:lang w:val="zh-CN" w:eastAsia="zh-CN"/>
        </w:rPr>
        <w:t>（三）改进建议。</w:t>
      </w:r>
    </w:p>
    <w:p w14:paraId="3B27FF2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cs="仿宋_GB2312"/>
          <w:b w:val="0"/>
          <w:bCs w:val="0"/>
          <w:kern w:val="0"/>
          <w:position w:val="0"/>
          <w:sz w:val="32"/>
          <w:szCs w:val="32"/>
          <w:highlight w:val="none"/>
          <w:lang w:val="en-US" w:eastAsia="zh-CN" w:bidi="ar-SA"/>
        </w:rPr>
      </w:pPr>
      <w:r>
        <w:rPr>
          <w:rFonts w:hint="eastAsia" w:ascii="Times New Roman" w:hAnsi="Times New Roman"/>
        </w:rPr>
        <w:t>后续将进一步规范资产卡片信息管理，严格按照资产配置标准及相关要求完善资产基础信息，确保信息完整准确、真实有效，同步健全资产信息审核机制；加快推进资产管理信息化建设，积极运用条形码、电子标签等现代化技术手段，实现资产全生命周期动态管理，提升资产管理规范化、精细化、智能化水平。</w:t>
      </w:r>
    </w:p>
    <w:bookmarkEnd w:id="44"/>
    <w:p w14:paraId="122E9750">
      <w:pPr>
        <w:spacing w:line="578" w:lineRule="exact"/>
        <w:ind w:firstLine="640" w:firstLineChars="200"/>
        <w:jc w:val="left"/>
        <w:rPr>
          <w:szCs w:val="32"/>
        </w:rPr>
      </w:pPr>
      <w:r>
        <w:rPr>
          <w:color w:val="000000"/>
          <w:kern w:val="0"/>
          <w:szCs w:val="32"/>
          <w:shd w:val="clear" w:color="auto" w:fill="FFFFFF"/>
        </w:rPr>
        <w:t>附表：</w:t>
      </w:r>
      <w:r>
        <w:rPr>
          <w:rFonts w:hint="eastAsia"/>
          <w:color w:val="000000"/>
          <w:kern w:val="0"/>
          <w:szCs w:val="32"/>
          <w:shd w:val="clear" w:color="auto" w:fill="FFFFFF"/>
        </w:rPr>
        <w:t>1.</w:t>
      </w:r>
      <w:r>
        <w:rPr>
          <w:rFonts w:hint="eastAsia"/>
          <w:szCs w:val="32"/>
        </w:rPr>
        <w:t>部门预算绩效自评打分表</w:t>
      </w:r>
    </w:p>
    <w:p w14:paraId="20B5697D">
      <w:pPr>
        <w:spacing w:line="578" w:lineRule="exact"/>
        <w:ind w:firstLine="1600" w:firstLineChars="500"/>
        <w:jc w:val="left"/>
        <w:rPr>
          <w:color w:val="000000"/>
          <w:kern w:val="0"/>
          <w:szCs w:val="32"/>
          <w:shd w:val="clear" w:color="auto" w:fill="FFFFFF"/>
        </w:rPr>
      </w:pPr>
      <w:r>
        <w:rPr>
          <w:rFonts w:hint="eastAsia"/>
          <w:szCs w:val="32"/>
        </w:rPr>
        <w:t>2.</w:t>
      </w:r>
      <w:r>
        <w:rPr>
          <w:color w:val="000000"/>
          <w:kern w:val="0"/>
          <w:szCs w:val="32"/>
          <w:shd w:val="clear" w:color="auto" w:fill="FFFFFF"/>
        </w:rPr>
        <w:t>部门整体</w:t>
      </w:r>
      <w:r>
        <w:rPr>
          <w:rFonts w:hint="eastAsia"/>
          <w:color w:val="000000"/>
          <w:kern w:val="0"/>
          <w:szCs w:val="32"/>
          <w:shd w:val="clear" w:color="auto" w:fill="FFFFFF"/>
        </w:rPr>
        <w:t>支出</w:t>
      </w:r>
      <w:r>
        <w:rPr>
          <w:color w:val="000000"/>
          <w:kern w:val="0"/>
          <w:szCs w:val="32"/>
          <w:shd w:val="clear" w:color="auto" w:fill="FFFFFF"/>
        </w:rPr>
        <w:t>绩效目标完成情况自评表</w:t>
      </w:r>
    </w:p>
    <w:p w14:paraId="188D8545">
      <w:pPr>
        <w:spacing w:line="578" w:lineRule="exact"/>
        <w:ind w:firstLine="1600" w:firstLineChars="500"/>
        <w:jc w:val="left"/>
        <w:rPr>
          <w:szCs w:val="32"/>
        </w:rPr>
      </w:pPr>
      <w:r>
        <w:rPr>
          <w:rFonts w:hint="eastAsia"/>
          <w:color w:val="000000"/>
          <w:kern w:val="0"/>
          <w:szCs w:val="32"/>
          <w:shd w:val="clear" w:color="auto" w:fill="FFFFFF"/>
        </w:rPr>
        <w:t>3.</w:t>
      </w:r>
      <w:r>
        <w:rPr>
          <w:szCs w:val="32"/>
        </w:rPr>
        <w:t>部门预算项目支出绩效评价表（202</w:t>
      </w:r>
      <w:r>
        <w:rPr>
          <w:rFonts w:hint="eastAsia"/>
          <w:szCs w:val="32"/>
        </w:rPr>
        <w:t>5</w:t>
      </w:r>
      <w:r>
        <w:rPr>
          <w:szCs w:val="32"/>
        </w:rPr>
        <w:t>年度）</w:t>
      </w:r>
    </w:p>
    <w:p w14:paraId="603A930E">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14:paraId="7CC92566">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6"/>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139E7C7">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EB59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绩效评价</w:t>
            </w:r>
            <w:r>
              <w:rPr>
                <w:rFonts w:hint="eastAsia" w:ascii="宋体" w:hAnsi="宋体" w:eastAsia="宋体" w:cs="宋体"/>
                <w:b/>
                <w:color w:val="000000"/>
                <w:kern w:val="0"/>
                <w:sz w:val="24"/>
                <w:lang w:eastAsia="zh-CN"/>
              </w:rPr>
              <w:t>指标</w:t>
            </w:r>
            <w:r>
              <w:rPr>
                <w:rFonts w:hint="eastAsia" w:ascii="宋体" w:hAnsi="宋体" w:eastAsia="宋体" w:cs="宋体"/>
                <w:b/>
                <w:color w:val="000000"/>
                <w:kern w:val="0"/>
                <w:sz w:val="24"/>
              </w:rPr>
              <w:t>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6ED0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04ECD54">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9E20B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备注</w:t>
            </w:r>
          </w:p>
        </w:tc>
      </w:tr>
      <w:tr w14:paraId="4E3D01D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6C3FD1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B70A">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0CE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F8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94B2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EF230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5C5B2BC7">
            <w:pPr>
              <w:widowControl/>
              <w:spacing w:line="240" w:lineRule="exact"/>
              <w:ind w:firstLine="0" w:firstLineChars="0"/>
              <w:jc w:val="center"/>
              <w:textAlignment w:val="center"/>
              <w:rPr>
                <w:rFonts w:hint="eastAsia" w:ascii="宋体" w:hAnsi="宋体" w:eastAsia="宋体" w:cs="宋体"/>
                <w:b/>
                <w:color w:val="000000"/>
                <w:kern w:val="0"/>
                <w:sz w:val="24"/>
              </w:rPr>
            </w:pPr>
          </w:p>
        </w:tc>
      </w:tr>
      <w:tr w14:paraId="7A53BD78">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AB1FBF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BE8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0A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56C1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1AA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部门整体绩效目标中选定3</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354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30C4">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69CE4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3A294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6DEC53EC">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9D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84D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E8E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1D7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B4D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26B0F7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FB6FE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3DAB5E5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985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49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249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1A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DBC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31ED0C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2F260C1">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7035BCE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02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A80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F9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BAB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5.28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DAB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BD0E94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91A157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6C6528E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53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8F6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44F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2F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409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0A4F4CC">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47ABCFD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44FD83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1A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008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F9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w:t>
            </w:r>
            <w:r>
              <w:rPr>
                <w:rFonts w:hint="eastAsia" w:ascii="宋体" w:hAnsi="宋体" w:eastAsia="宋体" w:cs="宋体"/>
                <w:color w:val="000000"/>
                <w:kern w:val="0"/>
                <w:sz w:val="24"/>
                <w:lang w:eastAsia="zh-CN"/>
              </w:rPr>
              <w:t>制等</w:t>
            </w:r>
            <w:r>
              <w:rPr>
                <w:rFonts w:hint="eastAsia" w:ascii="宋体" w:hAnsi="宋体" w:eastAsia="宋体" w:cs="宋体"/>
                <w:color w:val="000000"/>
                <w:kern w:val="0"/>
                <w:sz w:val="24"/>
              </w:rPr>
              <w:t>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A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D80F">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242F4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95B6E8">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52457">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0E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3DB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7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80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33F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994A1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6685C5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4C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08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0B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AF7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D7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AF3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A56CAE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55A5B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8D3C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9C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8B2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2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9E6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AF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DD7846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7263D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34411">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C0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C8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E6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CEB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13C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FB4C98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0F554B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88D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B0C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734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7C9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A90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BE1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811D3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A2CF0A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88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92F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765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E29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237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4E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0C66CC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FE800F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745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2B6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57E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B2D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272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3ABD807">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2E9B1E0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9BE9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D6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BF6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B49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6F8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4FCD">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86ED9C">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E2F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C56754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2A1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F3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A1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8A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C6E1">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9882D8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3A7B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6AC076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A47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3F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45B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C2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9F3C">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412A98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4DAF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52F7B5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16A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9B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91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部门预算项目是否在规定时</w:t>
            </w:r>
            <w:r>
              <w:rPr>
                <w:rFonts w:hint="eastAsia" w:ascii="宋体" w:hAnsi="宋体" w:eastAsia="宋体" w:cs="宋体"/>
                <w:color w:val="000000"/>
                <w:kern w:val="0"/>
                <w:sz w:val="24"/>
                <w:lang w:eastAsia="zh-CN"/>
              </w:rPr>
              <w:t>间内</w:t>
            </w:r>
            <w:r>
              <w:rPr>
                <w:rFonts w:hint="eastAsia" w:ascii="宋体" w:hAnsi="宋体" w:eastAsia="宋体" w:cs="宋体"/>
                <w:color w:val="000000"/>
                <w:kern w:val="0"/>
                <w:sz w:val="24"/>
              </w:rPr>
              <w:t>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C88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654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FC1172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3BB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92B5D15">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BF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03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E3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9EE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DA0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DFED51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3E46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956507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E554E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9F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C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964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0E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0F143E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7A6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E383B1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0B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264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2A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BD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289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C3471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9574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43D0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47A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4D8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59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7D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4D43">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5F0CD1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87960">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AB1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663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AF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3A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CE3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2779">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4FB3CF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E7FD">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F95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7E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93B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83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5C7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81E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9708D0A">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F4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7288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B10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F7B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37D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A181">
            <w:pPr>
              <w:widowControl/>
              <w:spacing w:line="240" w:lineRule="exact"/>
              <w:ind w:firstLine="0" w:firstLineChars="0"/>
              <w:jc w:val="center"/>
              <w:textAlignment w:val="center"/>
              <w:rPr>
                <w:rFonts w:hint="eastAsia" w:ascii="宋体" w:hAnsi="宋体" w:eastAsia="宋体" w:cs="宋体"/>
                <w:color w:val="000000"/>
                <w:kern w:val="0"/>
                <w:sz w:val="24"/>
              </w:rPr>
            </w:pPr>
          </w:p>
        </w:tc>
      </w:tr>
    </w:tbl>
    <w:p w14:paraId="67D5B762">
      <w:pPr>
        <w:pStyle w:val="20"/>
        <w:spacing w:line="20" w:lineRule="exact"/>
      </w:pPr>
    </w:p>
    <w:p w14:paraId="3742B34B">
      <w:pPr>
        <w:spacing w:line="578" w:lineRule="exact"/>
        <w:jc w:val="left"/>
        <w:rPr>
          <w:rFonts w:eastAsia="黑体"/>
        </w:rPr>
      </w:pPr>
      <w:r>
        <w:rPr>
          <w:rFonts w:eastAsia="黑体"/>
        </w:rPr>
        <w:t>附表</w:t>
      </w:r>
      <w:r>
        <w:rPr>
          <w:rFonts w:hint="eastAsia" w:eastAsia="黑体"/>
        </w:rPr>
        <w:t>2</w:t>
      </w:r>
    </w:p>
    <w:p w14:paraId="16F1A229">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6"/>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F3DE85C">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4673CB5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83B302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default" w:ascii="宋体" w:hAnsi="宋体" w:eastAsia="宋体" w:cs="宋体"/>
                <w:color w:val="000000"/>
                <w:kern w:val="0"/>
                <w:sz w:val="24"/>
                <w:lang w:val="en-US" w:eastAsia="zh-CN"/>
              </w:rPr>
              <w:t>阿坝藏族羌族自治州</w:t>
            </w:r>
            <w:r>
              <w:rPr>
                <w:rFonts w:hint="eastAsia" w:ascii="宋体" w:hAnsi="宋体" w:eastAsia="宋体" w:cs="宋体"/>
                <w:color w:val="000000"/>
                <w:kern w:val="0"/>
                <w:sz w:val="24"/>
                <w:lang w:val="en-US" w:eastAsia="zh-CN"/>
              </w:rPr>
              <w:t>市场监督管理局</w:t>
            </w:r>
          </w:p>
        </w:tc>
      </w:tr>
      <w:tr w14:paraId="68280013">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4B7194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555AC07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6C53B0C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D0FA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其他资金</w:t>
            </w:r>
          </w:p>
        </w:tc>
      </w:tr>
      <w:tr w14:paraId="4A3B586B">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EC30AA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5C82FD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3391.6</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800BFF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3391.6</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647237B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432A003F">
        <w:tblPrEx>
          <w:tblCellMar>
            <w:top w:w="0" w:type="dxa"/>
            <w:left w:w="108" w:type="dxa"/>
            <w:bottom w:w="0" w:type="dxa"/>
            <w:right w:w="108" w:type="dxa"/>
          </w:tblCellMar>
        </w:tblPrEx>
        <w:trPr>
          <w:trHeight w:val="331"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E3E54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1B2CE3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3391.6</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54C10D1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3391.6</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0FB2FA8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04B409AF">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342A29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2F4C55E6">
            <w:pPr>
              <w:widowControl/>
              <w:spacing w:line="240" w:lineRule="exact"/>
              <w:ind w:firstLine="0" w:firstLineChars="0"/>
              <w:jc w:val="left"/>
              <w:textAlignment w:val="center"/>
              <w:rPr>
                <w:rFonts w:hint="eastAsia" w:ascii="宋体" w:hAnsi="宋体" w:eastAsia="宋体" w:cs="宋体"/>
                <w:color w:val="000000"/>
                <w:kern w:val="0"/>
                <w:sz w:val="24"/>
              </w:rPr>
            </w:pPr>
          </w:p>
        </w:tc>
      </w:tr>
      <w:tr w14:paraId="1D743171">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B78C4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657B51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C267A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F8997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38CE4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EB4791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24FDB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044A65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768653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D320C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78DB25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7044481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0BE394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2013680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三年</w:t>
            </w:r>
          </w:p>
          <w:p w14:paraId="7ED02B0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05AA19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55A25C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1F16C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5</w:t>
            </w:r>
            <w:r>
              <w:rPr>
                <w:rFonts w:hint="eastAsia"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16D8858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20BB46E">
        <w:tblPrEx>
          <w:tblCellMar>
            <w:top w:w="0" w:type="dxa"/>
            <w:left w:w="108" w:type="dxa"/>
            <w:bottom w:w="0" w:type="dxa"/>
            <w:right w:w="108" w:type="dxa"/>
          </w:tblCellMar>
        </w:tblPrEx>
        <w:trPr>
          <w:trHeight w:val="641"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41CFB0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F93D29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5D74C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6EC4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7423E2">
            <w:pPr>
              <w:widowControl/>
              <w:spacing w:line="240" w:lineRule="exact"/>
              <w:ind w:left="0" w:leftChars="0"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2A12628">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9D96595">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E93E15E">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7AE3D2">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B22DA60">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13.14%</w:t>
            </w:r>
          </w:p>
        </w:tc>
      </w:tr>
      <w:tr w14:paraId="40B9B77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A0D8E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383C3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AA6111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8E558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9AE83C">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68E9387">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A597ABE">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1A0FFF8">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A37C963">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F4DBA5">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1688F2D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C8A3D1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379C81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C652B0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A522C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6142D9E">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B514AD9">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31F8B86">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7DA1CCA">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58802DE">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B6954D3">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511C1C8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8B6C0F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BE51E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3A65B2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0831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D0A389">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87AD90E">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0D44DC">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7287D84">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2CD753">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C3C6FAE">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224.61万元</w:t>
            </w:r>
          </w:p>
        </w:tc>
      </w:tr>
      <w:tr w14:paraId="4761D1D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D8A69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BEA85A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47A0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58FFC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AFDF009">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465AD394">
            <w:pPr>
              <w:widowControl/>
              <w:tabs>
                <w:tab w:val="center" w:pos="281"/>
              </w:tabs>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68E619F">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8290635">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609C16">
            <w:pPr>
              <w:widowControl/>
              <w:spacing w:line="240" w:lineRule="exact"/>
              <w:ind w:firstLine="480" w:firstLineChars="20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D29700B">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0EF759C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FD7166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008872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D5D040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F7B65C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3AC279">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08DD14E">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1AEE76A">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93B6596">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A5D28A4">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801E075">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4E50BF0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405CB1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4461F6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55192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D9DA0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DF75B1">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9D796C1">
            <w:pPr>
              <w:widowControl/>
              <w:spacing w:line="240" w:lineRule="exact"/>
              <w:ind w:left="0" w:leftChars="0"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FBD0D87">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FBC01D0">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B0CF42A">
            <w:pPr>
              <w:widowControl/>
              <w:spacing w:line="240" w:lineRule="exact"/>
              <w:ind w:firstLine="480" w:firstLineChars="20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7F58D0">
            <w:pPr>
              <w:widowControl/>
              <w:spacing w:line="240" w:lineRule="exact"/>
              <w:ind w:firstLine="0" w:firstLineChars="0"/>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20FF1DEE">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noWrap/>
            <w:vAlign w:val="center"/>
          </w:tcPr>
          <w:p w14:paraId="75932177">
            <w:pPr>
              <w:widowControl/>
              <w:spacing w:line="240" w:lineRule="exact"/>
              <w:ind w:firstLine="0" w:firstLineChars="0"/>
              <w:jc w:val="both"/>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0F23D5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50484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FF37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5E39E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7EC693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E1B0F59">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A15252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134B83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项目完成目标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8E766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62AE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6876E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5348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r>
      <w:tr w14:paraId="1E3E2D25">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7555F4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DB60A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349CE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77E5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流通领域商品质量抽检（批次）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3078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7B5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r>
      <w:tr w14:paraId="4A3606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6377C3B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588AD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63D1E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1461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获证企业工业产品监督抽查（批次）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BB024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1A9E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30批次</w:t>
            </w:r>
          </w:p>
        </w:tc>
      </w:tr>
      <w:tr w14:paraId="5F5600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FAD3FC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FEFD1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5728E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C029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每季度开展系统巡检工作</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29B1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1C33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1次</w:t>
            </w:r>
          </w:p>
        </w:tc>
      </w:tr>
      <w:tr w14:paraId="3ED25317">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7B6F8CF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9963E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827FE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DB9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市场监管网络系统维护数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15D1A5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6ABE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1条</w:t>
            </w:r>
          </w:p>
        </w:tc>
      </w:tr>
      <w:tr w14:paraId="0AE335B9">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758FB04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1E07A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8F96A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3BD4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屋顶面积</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3AFA8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924.11平方米</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7CF8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924.11平方米</w:t>
            </w:r>
          </w:p>
        </w:tc>
      </w:tr>
      <w:tr w14:paraId="272D0F80">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238044D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22121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C4EF1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3908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开展重点时间、重大节庆专项保障和检查数（次）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8A8DC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AEC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1次</w:t>
            </w:r>
          </w:p>
        </w:tc>
      </w:tr>
      <w:tr w14:paraId="38054DFA">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4EF693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B1533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80063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57528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价格督导检查数（县局个数）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E9CC0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7个</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0030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7个</w:t>
            </w:r>
          </w:p>
        </w:tc>
      </w:tr>
      <w:tr w14:paraId="09551A3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2A6813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7B16A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5C301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E2967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开展旅游市场专项执法检查数（次）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E0C0D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772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5次</w:t>
            </w:r>
          </w:p>
        </w:tc>
      </w:tr>
      <w:tr w14:paraId="6509470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7BDDB9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3B398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386E4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F4BFC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食品生产现场许可核查</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8386B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12家</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F01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12家</w:t>
            </w:r>
          </w:p>
        </w:tc>
      </w:tr>
      <w:tr w14:paraId="2E7B1D17">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016D28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09DF9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CA513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80150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强化对各县（市）的督导检查数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69DE7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3939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3次</w:t>
            </w:r>
          </w:p>
        </w:tc>
      </w:tr>
      <w:tr w14:paraId="61A544A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78B180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3D198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CFC97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4FA9C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培训期数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13CD8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3期</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E387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3期</w:t>
            </w:r>
          </w:p>
        </w:tc>
      </w:tr>
      <w:tr w14:paraId="071592EC">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848807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30366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70D20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BEDE5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涵盖监测点</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C7073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5个</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0ABE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5个</w:t>
            </w:r>
          </w:p>
        </w:tc>
      </w:tr>
      <w:tr w14:paraId="2796B4E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4840CC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E3E71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4C3B3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75F0B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行政执法服装套数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932FF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104套</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0958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104套</w:t>
            </w:r>
          </w:p>
        </w:tc>
      </w:tr>
      <w:tr w14:paraId="5EBD03A1">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3EE2F57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F156B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33CC1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CE66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C3F81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34CA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76CAF15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C3D7F6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47DD4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105154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B7FB0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产品抽检应公布信息公布率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F8ABD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00E2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51D27ECE">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06C21D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142A0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5ABFB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D978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抽检不合格产品核查处置率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C436D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4067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3547D9A7">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C151EF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D361F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06059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88559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系统可用率 （系统可用率=1-季度异常宕机小时数/季度小时数*100%）</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5E94E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00232">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r>
      <w:tr w14:paraId="721293B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BBAE87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E59A4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EB4CB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D77F5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达到维修屋面国家相关要求</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31885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5754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5719CDB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78801B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70056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C0BD8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DFDD7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发现问题整改完成率（%）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CDA15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DBC3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39D88A16">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7DD969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15703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26549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2F580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监督检查覆盖率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518FD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291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E1DC6C6">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AE7779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C5D7D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4F008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9290F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对县（市）督导检查覆盖率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299DD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0265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r>
      <w:tr w14:paraId="40C40E4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D70860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5FDFB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4F683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1D840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药械化科普知识宣传活动开展率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20B2F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4238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0B9D5FF2">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3220667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54D96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FB508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8FC24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特种设备安全隐患排查率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E2001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4A2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1FD35917">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FB066E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58746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B91AD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9630E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执法人员服装配置率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4B82F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E28F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3167E40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B01B17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3FC13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3F8D7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8FD87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“双随机、一公开”企业抽查率比</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7EA0B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BB82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r>
      <w:tr w14:paraId="1DC04B4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A47E86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83BFA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1C602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DF3A4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年报率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C0181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555D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r>
      <w:tr w14:paraId="7A0D878F">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74188D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A72AF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C3AC5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3787C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民生、能源、法制计量检查问题处置率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F6D4D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974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02D6E70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084342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2D45F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79E1C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21E56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培训合格率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DDB8C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E852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0B4C4D35">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42227A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E2F84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B42C0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5C3BD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FDF45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377A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w:t>
            </w:r>
          </w:p>
        </w:tc>
      </w:tr>
      <w:tr w14:paraId="3FE3D87A">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7C6560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681E2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D5646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208B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商品抽检监测成本（元/批次）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79A88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≦1600元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C528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1600元</w:t>
            </w:r>
          </w:p>
        </w:tc>
      </w:tr>
      <w:tr w14:paraId="3696A635">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EFD99A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DE473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F5BAF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9DD5A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食品抽检监测成本（元/批次）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BEA19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40C0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1200元</w:t>
            </w:r>
          </w:p>
        </w:tc>
      </w:tr>
      <w:tr w14:paraId="3D5149D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CACC63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91B98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D7A6F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13BEF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工业抽检监测成本（元/批次）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894DD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7EA9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4000元</w:t>
            </w:r>
          </w:p>
        </w:tc>
      </w:tr>
      <w:tr w14:paraId="053DF80E">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0A18C8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E8573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F436D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DF7D3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信创适配创建成本</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E9DB5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≦71.7万元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1B7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71.7万元</w:t>
            </w:r>
          </w:p>
        </w:tc>
      </w:tr>
      <w:tr w14:paraId="3205E125">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3A6A02F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606FC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60CA5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22B8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维修控制成本</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B6208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≦720万元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A962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720万元</w:t>
            </w:r>
          </w:p>
        </w:tc>
      </w:tr>
      <w:tr w14:paraId="0409F15C">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00310E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87759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69C88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0FD37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宣传纸张成本（每张）</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FE18D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9D85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3元</w:t>
            </w:r>
          </w:p>
        </w:tc>
      </w:tr>
      <w:tr w14:paraId="4AAAB5A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27C2E3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442F4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305AA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21DD0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食品满意度调查成本</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84B49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≦12.88万元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63EFA">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12.88万元</w:t>
            </w:r>
          </w:p>
        </w:tc>
      </w:tr>
      <w:tr w14:paraId="789973F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70D7FCF">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6C433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21F82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DC28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学员每天定额费用（元/人／天）</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57B1D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6DFB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400元</w:t>
            </w:r>
          </w:p>
        </w:tc>
      </w:tr>
      <w:tr w14:paraId="740AACA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AC4969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B483C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5DE44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5C31B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专家劳务费或购买服务（元/家）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F13FB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CCDC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4000元</w:t>
            </w:r>
          </w:p>
        </w:tc>
      </w:tr>
      <w:tr w14:paraId="1B5D6D0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072BC16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D8E94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BC679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17629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州重点用能企业能源计量审查（家）</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3ED98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≦10000元/家</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4947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10000元/家</w:t>
            </w:r>
          </w:p>
        </w:tc>
      </w:tr>
      <w:tr w14:paraId="47456C2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2C4931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97266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10631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ED2B2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网络定向监测成本</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89B87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≦5万元</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BC1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5万元</w:t>
            </w:r>
          </w:p>
        </w:tc>
      </w:tr>
      <w:tr w14:paraId="165677B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EE7CEE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C6C02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项目效果指标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30FA3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C2D58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流通领域产品监管水平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158CE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5074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3C3CC99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931756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2788F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D37FA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76F21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0167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5373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33F07C34">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9DD7A9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A59BE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7AEDE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6AA96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96C61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E27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394A2CBD">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CAC0AE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6D773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65830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AAEFF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智慧监管效能</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A4071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持续提升</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A1B8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持续提升</w:t>
            </w:r>
          </w:p>
        </w:tc>
      </w:tr>
      <w:tr w14:paraId="3C2F4EC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933775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724BD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736DE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689A7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硬件安全可靠，监管执法能力水平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0F46D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D8F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2CEAB8AF">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4F0EF7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5DCEE5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3AE71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2EDEC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案件办理水平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145FD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持续完善和提高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0C1E2">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持续完善和提高</w:t>
            </w:r>
          </w:p>
        </w:tc>
      </w:tr>
      <w:tr w14:paraId="615309B9">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7158D6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6B8A8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0973AB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775E1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重点用能企业能源计量管理水平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88676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6C2B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2ACEA1C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79500D7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F58FE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34DCB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71736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队伍执法能力和监管水平</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6D6D7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F269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676D53BC">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37401DA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08681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B0D56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可持续性</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07C14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通过监督抽检、风险监测等保障人民生命财产健康安全</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DB07F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84DD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r>
      <w:tr w14:paraId="54D395D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E6EC14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91566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4EB0A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3C380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规范市场秩序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B5224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2D9B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r>
      <w:tr w14:paraId="21E2952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FB9ABC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94C86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B20B5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C13A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干部综合素质</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95BAB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7023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3C542F3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6ED3A3E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1710D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60ADF3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6BF87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网络交易持续健康发展</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44682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E61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r>
      <w:tr w14:paraId="62B5431A">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17DFD09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04BE53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42A9B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B9D31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宣传教育引导，促进经营者诚信经营和消费者科学、合理消费，营造安全放心的消费环境</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2D095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53FD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持续影响</w:t>
            </w:r>
          </w:p>
        </w:tc>
      </w:tr>
      <w:tr w14:paraId="1648A241">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FBED13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19672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281CA1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7CF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网络用户满意度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C02A7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183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2C795B68">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2EC2502F">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E7828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FEA4D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28E34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设备使用人员满意度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89B4C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1B2C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60A996CB">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8DBF09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A9272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EB312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5305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食品安全检查人员满意度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806E1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56EA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r>
      <w:tr w14:paraId="25852D00">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A16033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1277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FF2AA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B16FC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培训满意度</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86210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5C2E8">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r>
      <w:tr w14:paraId="7A44CE5C">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5E79A56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735C05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项目完成目标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0BE55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10903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66874D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5AA0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r>
      <w:tr w14:paraId="6640F6B5">
        <w:tblPrEx>
          <w:tblCellMar>
            <w:top w:w="0" w:type="dxa"/>
            <w:left w:w="108" w:type="dxa"/>
            <w:bottom w:w="0" w:type="dxa"/>
            <w:right w:w="108" w:type="dxa"/>
          </w:tblCellMar>
        </w:tblPrEx>
        <w:trPr>
          <w:trHeight w:val="306" w:hRule="atLeast"/>
          <w:jc w:val="center"/>
        </w:trPr>
        <w:tc>
          <w:tcPr>
            <w:tcW w:w="331" w:type="dxa"/>
            <w:tcBorders>
              <w:left w:val="single" w:color="000000" w:sz="4" w:space="0"/>
              <w:right w:val="single" w:color="000000" w:sz="4" w:space="0"/>
            </w:tcBorders>
            <w:noWrap/>
            <w:vAlign w:val="center"/>
          </w:tcPr>
          <w:p w14:paraId="4762335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3DD68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26C63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A53EC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流通领域商品质量抽检（批次）</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3B9A4C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c>
          <w:tcPr>
            <w:tcW w:w="19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8E5D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400批次</w:t>
            </w:r>
          </w:p>
        </w:tc>
      </w:tr>
    </w:tbl>
    <w:p w14:paraId="1A22201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contextualSpacing/>
        <w:jc w:val="left"/>
        <w:textAlignment w:val="auto"/>
        <w:outlineLvl w:val="9"/>
        <w:rPr>
          <w:rFonts w:hint="eastAsia" w:ascii="黑体" w:hAnsi="黑体" w:eastAsia="黑体" w:cs="黑体"/>
          <w:b w:val="0"/>
          <w:bCs w:val="0"/>
          <w:kern w:val="0"/>
          <w:position w:val="0"/>
          <w:sz w:val="32"/>
          <w:szCs w:val="32"/>
          <w:highlight w:val="none"/>
          <w:lang w:val="en-US" w:eastAsia="zh-CN" w:bidi="ar-SA"/>
        </w:rPr>
        <w:sectPr>
          <w:headerReference r:id="rId5" w:type="default"/>
          <w:footerReference r:id="rId6" w:type="default"/>
          <w:pgSz w:w="11906" w:h="16838"/>
          <w:pgMar w:top="2098" w:right="1474" w:bottom="1984" w:left="1587"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58EFC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1E66F7">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48B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BCA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1DCA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51320021T000000057394－质量与安全抽检业务</w:t>
            </w:r>
          </w:p>
        </w:tc>
      </w:tr>
      <w:tr w14:paraId="599D6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FFC8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6B18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1AB814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2114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4167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0AC5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C75A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55C3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A255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A10A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FC0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A3B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615BAA">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食品党政同责考核及质量强州考核工作要求和根据2024年州委第二巡察组工作要求，校园抽检需达到4批次/千人，校园食品抽检需增加500批次食品抽检。2、根据新《中华人民共和国食品安全法》要求对食品生产企业及小作坊实现抽检全覆盖需增加500批次，2025年食品共需抽检1200批次。质量强州考核工作要求，为完成质量强州考核商品流通领域的抽检，流通领域抽检需400批次。获证企业工业产品监督抽查30批次</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D942252">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全年抽检任务圆满完成，具体完成情况如下：食品抽检累计完成1200批次，其中校园食品专项抽检500批次（达到4批次/千人考核要求）、食品生产企业及小作坊全覆盖抽检700批次；流通领域商品质量抽检完成400批次，涵盖服装、建材、家电等民生重点品类；获证企业工业产品监督抽查完成30批次。</w:t>
            </w:r>
          </w:p>
        </w:tc>
      </w:tr>
      <w:tr w14:paraId="3510D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110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D1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8082AF">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严格依据食品安全党政同责考核、质量强州考核要求以及州委第二巡察组关于校园食品抽检频次的工作指示，科学制定年度抽检计划。实施过程中，通过公开招标方式确定承检机构，规范开展抽样、检验、结果报送全流程工作。针对校园食堂及周边食品经营单位、食品生产企业及小作坊、商场超市等流通领域重点场所，按风险等级实施差异化抽检。对检出的不合格产品，属地市场监管部门均在规定时限内启动核查处置，依法采取下架、召回、整改、处罚等措施，并全部按要求向社会公布抽检结果和不合格产品处置情况。</w:t>
            </w:r>
          </w:p>
        </w:tc>
      </w:tr>
      <w:tr w14:paraId="4A296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009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DB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B3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14F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CA2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8E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15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8B6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B19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A4CA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887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F6D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C39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1C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579F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387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52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DCF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4503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7DF4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4A9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7B1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B0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1BB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6DE4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188.64</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38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0B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937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818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9CEE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586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9BB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D3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99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D983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AD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EB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86E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0D9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4B57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EF1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4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C32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DE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737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517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41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F6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E94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701E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894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7FA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3E3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E7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DA3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099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8E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C42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436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75B9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4D8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37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1BB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0CC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39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73A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F2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E6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0DB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6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984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9DBD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125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CA50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843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70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获证企业工业产品监督抽查批次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92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1B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AD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F2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99D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3E4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94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C825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474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55C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CE5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C1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流通领域商品质量抽检批次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90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A5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59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C5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62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65E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7EE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0C03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E7E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705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29E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6A6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4F4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11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EB7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FBD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B6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AA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63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41F0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3FA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02E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D7E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2D6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抽检不合格产品核查处置率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D2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43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3C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C8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803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7D4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5FC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F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42E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954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FA4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20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信息公布率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9D5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B0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46E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25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3F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32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32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C1CB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4B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4AC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30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4B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DF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FF1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0E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EE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F8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2F0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B6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954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F9F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B0F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C12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E44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食品监管水平</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1AA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28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95F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08B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53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034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9A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8FA9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6FA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E53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9C7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33C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食品安全事件发生率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B91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8B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逐年下降</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E73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E3F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逐年下降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B1B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97C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99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433C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C3B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A7D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C33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67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CCA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CC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F0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DD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D1F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1D8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23B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788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E3E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87E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F3C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7C4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流通领域产品监管水平</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E4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AD9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71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529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2D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E2D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B43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66F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87A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2FF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3DE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F9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保障生命财产健康安全</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6B3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6C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影响良好</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C14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2A4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影响良好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90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08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1F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F8D8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FF7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C7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B0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6B2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消费者对食品安全满意度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AB0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B4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8D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7E2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D5D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84B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44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DB2D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002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431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39A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659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商品抽检监测成本（元/批次）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EBE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37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1585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64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87D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1585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67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EA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04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7F6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C99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5A6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DD3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E31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食品抽检监测成本（元/批次）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8D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0ED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9EB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B1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1080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49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21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D5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011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392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364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79F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7A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工业抽检监测成本（元/批次）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61B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DA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4E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526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C8C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D3F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BD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C9D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EF95F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CC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9C1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654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8DA9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17F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0ED8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通过高密度、广覆盖的抽检监测，全州食品安全总体合格率稳定在较高水平，校园食品安全保障能力显著增强，食品生产企业主体责任意识进一步提升。抽检数据为食品安全监管精准施策提供了有力支撑，有效防范了区域性、系统性食品安全风险，圆满完成了食品安全党政同责和质量强州考核既定目标任务。</w:t>
            </w:r>
          </w:p>
        </w:tc>
      </w:tr>
      <w:tr w14:paraId="467DC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A3AFD">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D75ECC0">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47B2A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5"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ED089">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109B16C">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02BE2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F277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6698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D6BF537">
      <w:pPr>
        <w:rPr>
          <w:rFonts w:hint="eastAsia" w:ascii="宋体" w:hAnsi="宋体" w:eastAsia="宋体" w:cs="宋体"/>
          <w:i w:val="0"/>
          <w:iCs w:val="0"/>
          <w:color w:val="000000"/>
          <w:sz w:val="18"/>
          <w:szCs w:val="18"/>
          <w:u w:val="none"/>
        </w:rPr>
        <w:sectPr>
          <w:headerReference r:id="rId7" w:type="default"/>
          <w:footerReference r:id="rId8" w:type="default"/>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1695D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7E9260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B2DA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B81D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9E68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51320021T000000057486－市场监管信息化建设及新闻宣传</w:t>
            </w:r>
          </w:p>
        </w:tc>
      </w:tr>
      <w:tr w14:paraId="1AEFA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2D7A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65E1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FDABF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2D55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1B0ED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DFBF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5CA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86C1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6321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0292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FFF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0A9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A9A6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 xml:space="preserve"> 对局机房的数据处理中心、办公网络等设施设备进行日常的软硬件维护，并提供日常巡检和应急保障，确保机房网络设施设备和办公网络长期稳定运行，提升市场监管效率和服务水平。</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0994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信息化运维保障任务全面达标：每月安全巡检均达到2次以上，累计巡检24次；网络安全设备防火墙维护数量5个，运行状态良好；互联网接入线路1条，线路可用率达99.9%；故障服务响应时间平均0.5小时，一般故障恢复时间平均1.5小时，均优于目标值；运维服务周期覆盖率达100%。各项运维指标均达到或优于年度设定目标，确保了局机房和办公网络全年稳定运行，有效支撑了市场监管各项业务信息化应用。</w:t>
            </w:r>
          </w:p>
        </w:tc>
      </w:tr>
      <w:tr w14:paraId="663BC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30D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28A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81739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围绕局机房数据处理中心、办公网络等核心信息化设施，委托具有相应资质的专业运维服务公司，建立了系统化的日常运维管理体系。具体实施内容包括：一是每月开展不少于2次的机房及网络设备安全巡检，排查硬件隐患和网络安全风险；二是对5台核心防火墙进行定期策略优化和版本升级，有效抵御外部网络攻击；三是提供7×24小时应急保障服务，确保突发故障时快速响应；四是定期备份业务数据，保障数据安全。新闻宣传方面，围绕市场监管重点工作，及时发布政策解读、消费警示和工作动态，全年发布各类信息稿件200余篇。</w:t>
            </w:r>
          </w:p>
        </w:tc>
      </w:tr>
      <w:tr w14:paraId="2017C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11C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F0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C83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8C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28BA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CC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A2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1D0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647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DF8A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573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9EB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3E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3A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301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524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814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D78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319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287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7A3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1DF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2E9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458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F9E5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8.41</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062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014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0D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2B9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1304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DBB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C3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D93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93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D9C2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C6F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596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3D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755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C9CF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29E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7E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59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C17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533B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7C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DD1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63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529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BFA2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07B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CB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0E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D58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50DE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43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96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E0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CC2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B047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07D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EE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42D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9E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5C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14D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C3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2F3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86E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502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E57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B371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F9D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E491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9CDF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934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每月安全巡检次数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55E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47B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D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71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61B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F42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C13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75D8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290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932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FBC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973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网络安全设备防火墙维护数量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9D6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F57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1B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6CC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EBD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4B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5D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A58C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551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785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6D8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2D6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互联网接入线路数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55C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04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BC0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796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FAB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21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EA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482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6E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F7A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BB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102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互联网接入线路可用率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98E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AC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62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ED6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5C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1A4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F8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4DB0E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398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27C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E389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D6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A5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FBB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EC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4ED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55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617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876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0F2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FFC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F6D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8F4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87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运维服务周期覆盖率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F6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13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DE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84E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C4D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981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E5D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D23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135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904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118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DF4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服务响应时间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076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B0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AB2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小时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4C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47A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BC9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2B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9976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2FE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D76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30E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50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一般故障恢复时间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071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A4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23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小时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D39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DAD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FA8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47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78AF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813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D7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3A8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FAE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市场监管效率和服务水平提升度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B38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D5C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4C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7A0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256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7AA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456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12C9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576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CC0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18F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31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F5C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666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DC1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893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628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70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6E3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06AE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39C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AB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D3D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F5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年度设备维护成本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E0C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C2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950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8CD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34A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DE0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CB8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04BAF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A1B15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FC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A88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0E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B871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99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0A21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信息化运维工作的扎实开展，为全州市场监管系统业务协同、数据共享和日常办公提供了稳定可靠的网络基础环境，全年未发生重大网络安全事件，机房设备故障率同比下降。新闻宣传工作有效提升了市场监管社会知晓度和公众参与度，整体监管效率和服务水平得到逐步提高。的成效或成果。（200字以内）</w:t>
            </w:r>
          </w:p>
        </w:tc>
      </w:tr>
      <w:tr w14:paraId="02FFF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31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76C1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6653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06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1B44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57DC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5202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B7D6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376B7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D2497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A0A2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D7E4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59A9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51320021T000000057593－市场秩序维护与监管经费</w:t>
            </w:r>
          </w:p>
        </w:tc>
      </w:tr>
      <w:tr w14:paraId="0828D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1B74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6842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166C5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5D59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BB8A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94D2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A724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2CCD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DE08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2E6F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B6C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8C20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6D03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全州工商、质监、食品、药品、物价、商标、专利、知识产权、反不正当竞争等执法办案工作。处理好有关市场监管方面的各类投诉工作。落实国家、省、州有关市场监督管理工作的方针政策。强化全州市场监管执法保障和协调，持续提升市场监管综合行政执法能力水平。开展专项价格监督检查，强化对各县（市）督导检查力度，进一步规范经营者收费行为，维护市场价格稳定秩序；进一步加大《中华人民共和国价格法》相关知识宣传，增强经营者守法、诚信经营意识。对州级相关部门公平竞争审查工作情况及州人民政府出台或提请州人民代表大会及其常务委员会审议的政策措施进行评估。</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F985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执法办案和市场监管各项工作圆满完成：公平竞争审查累计完成审查12个，超额完成年度目标；公平竞争政策宣传2次，覆盖州级部门和13县（市）相关单位；重大节庆检查2次（元旦春节、国庆中秋各1次），覆盖大型商超、农贸市场等重点场所。案件办结率达100%，投诉举报办结率达100%，重大案件合规审查通过率100%，所有指标均达到年度设定目标值，项目于2025年12月按期完成。</w:t>
            </w:r>
          </w:p>
        </w:tc>
      </w:tr>
      <w:tr w14:paraId="2B3B6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6E1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9FA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5E96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紧紧围绕全州工商、质监、食品、药品、物价、商标、专利、知识产权、反不正当竞争等综合执法办案核心职能开展工作。一是统筹执法力量，组织开展“铁拳暨春雷”行动、价格专项监督检查等重点执法任务，严厉打击假冒伪劣、价格欺诈、不正当竞争等违法行为。二是不断完善12315投诉举报平台运行机制，坚持“有诉必接、快速反应、及时处置”的工作理念，全年受理投诉举报咨询6000余件，均在法定时限内办结。三是深入开展公平竞争审查，对州级部门出台涉及市场主体经济活动的政策措施进行全面审查，防止出台排除、限制竞争的政策措施。四是落实国家、省、州有关市场监管工作方针政策，强化对各县（市）执法办案工作的督导检查力度，持续提升全州市场监管综合行政执法能力水平。</w:t>
            </w:r>
          </w:p>
        </w:tc>
      </w:tr>
      <w:tr w14:paraId="1928B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B6D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51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54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62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AAF4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79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5DD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E4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BE0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CFA8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59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D2C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79C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9AE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0EA7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37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8AA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C3E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8C0C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D304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376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E25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919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A0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0DF3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6D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76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65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615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AD8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0E9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733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1A0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9F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7AFB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80E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57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DC7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3D7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A574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DAB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58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F68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23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C5F6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690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90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FC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84D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5539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E62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51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4CE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59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5BA2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F8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F4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42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A6F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CE0B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C4B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56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09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6F0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1B3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359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13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23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AD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07C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61A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CE2C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39D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318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BA4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AB8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公平竞争审查数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0F9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5D3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0E7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EE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80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A5E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8EF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F936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EB1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292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790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23E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公平竞争政策宣传次数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77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38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10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6E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D4C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9A9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FC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751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507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3E2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DE0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678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重大节庆检查次数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79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4F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8C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F6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B61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22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C5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1E43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8A1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F65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230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1E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案件办结率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830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B8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14B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52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AD7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E34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40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E351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485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D1E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2B9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368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投诉、举报办结率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3B1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6C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1A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52F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EEB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471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5F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6CA9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881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01D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4F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B96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2E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BF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B9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06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F39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8A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EB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579E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60C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407A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D3F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DFC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重大案件合规审查通过率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BC4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5A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C6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FE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AC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EEB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B7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387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AE1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B97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4F1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D1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市场监管长效机制健全程度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13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95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30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07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D28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81E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74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EB2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EF7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5F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01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50A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监管单位满意度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A45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C17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AE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AAB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9C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E9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8D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3870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EB2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24A0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CEA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8C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3B0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FE9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EE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249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299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798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AA5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5F3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839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34A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656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AD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公平竞争审查成本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E8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DC8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7B0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C2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AE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0A3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6D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8BCF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2AEF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CB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E7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EB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5795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8F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2219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通过严格的执法办案和高效的投诉举报处置，全州市场秩序得到有效规范，价格秩序保持总体稳定，公平竞争市场环境持续优化。经营者守法、诚信经营意识明显增强，公平竞争审查制度得到有效落实，为市场主体健康发展营造了良好的制度环境，监管单位满意度达到80%以上。</w:t>
            </w:r>
          </w:p>
        </w:tc>
      </w:tr>
      <w:tr w14:paraId="0F3A9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10F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F5E2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5244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83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B873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9F29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C773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8013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5D9E0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EFD1EB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82D39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B2A1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54D44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51320021T000000057619-食品安全监管经费</w:t>
            </w:r>
          </w:p>
        </w:tc>
      </w:tr>
      <w:tr w14:paraId="7EE52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BC9D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3444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4CA5B6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7D91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96B6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117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408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ED0F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1C67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C2E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8E2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B93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4109D4">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对辖区内13县（市）18至70周岁居住半年以上的常住居民随机进行调查，重点收集受访者对所在县（市）食品安全工作、食品安全状况等满意度评价，了解受访者对食品安全知识的认知和需求，并征集受访者对我州食品安全工作的意见和建议。通过满意度调查分析群众食品安全知识、态度、行为现状，探究群众食品安全知识、态度、行为对满意度的影响，引领公众树立正确的食品安全价值观，为有针对性地改进食品安全工作、提升食品安全保障水平提供依据。同时针对州内的群众，通过宣传活动次数≥ 2次”、宣传覆盖人数 ≥ 10000人”，提高群众对食品安全工作的知晓度。餐饮服务单位食品安全量化分级管理覆盖率达到90%以上。食品安全管理责任。推动建立旅游景区餐饮食品安全综合治理机制 ，督促景区运营管理者落实管理责任，严格落实重大活动食品安全各方责任，采取驻点监管与全面巡查相结合，严控风险，做好应急处置备勤，防范食品安全事故。</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97E5B5">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全州食品安全监管任务全面完成：公众食品安全满意度调查覆盖13县（市），完成有效样本量1200人，调查1次；食品生产现场许可核查完成14家，超额完成12家目标；食品安全监督检查完成12次，覆盖食品生产企业、小作坊、餐饮单位等全环节；督查发现问题处置率100%；食品安全宣传活动参与率达86%。餐饮服务单位食品安全量化分级管理覆盖率达到92%，重大活动食品安全保障实现零事故，各项指标均达到或优于年度目标值。</w:t>
            </w:r>
          </w:p>
        </w:tc>
      </w:tr>
      <w:tr w14:paraId="1982F6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ED3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5DE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9A5F2B">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围绕全州食品安全监管能力提升，系统推进以下工作：一是委托第三方专业调查机构，对13县（市）18至70周岁居住半年以上的常住居民开展食品安全满意度调查，重点收集群众对食品安全工作、食品安全状况的满意度评价及意见建议，为改进食品安全工作提供科学依据。二是扎实开展食品生产许可现场核查及食品生产企业质量体系检查，从源头保障食品安全。三是推动建立旅游景区餐饮食品安全综合治理机制，督促景区运营管理者落实管理责任，对重大活动实施驻点监管与全面巡查相结合的保障模式，严控食品安全风险。四是组织开展形式多样的食品安全宣传活动，通过进校园、进社区、进企业等形式，普及食品安全知识，提高群众对食品安全工作的知晓度。五是持续推进餐饮服务单位量化分级管理，引导消费者“寻找笑脸就餐”。</w:t>
            </w:r>
          </w:p>
        </w:tc>
      </w:tr>
      <w:tr w14:paraId="7A73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A65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8D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6E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D86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153E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1EA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F2D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23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0C0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8A82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F93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ED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97B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665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4EDA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41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7C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DB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465B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2FFA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C06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1A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52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BB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0446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461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0C2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21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F9F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A920F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155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9D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AB2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34D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DB2F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83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5A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C4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01B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99EA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3E4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358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20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F82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A0A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F52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7C0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64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736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363F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97F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C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ED8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E9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7D0A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1D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B89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1D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96D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55E8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CD81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8E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E7E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E6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40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32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13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459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AF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1C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A5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D388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3A3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F55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6E4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FD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调查样本量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62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C01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E8E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3B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A11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FD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D6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760E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74C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498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A71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5B4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食品满意度调查次数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94D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C0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E2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67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688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EF6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E8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A57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3D0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92A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FB1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2E6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食品生产现场许可核查数量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1BA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6B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D2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BF1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57B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0D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EB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6C17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A17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61E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831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400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食品安全监督检查次数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FF5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99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912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5FB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66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2F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B9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D8B3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798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7AF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EB3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2EF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督查发现问题处置率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DD7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D23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C4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79B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AFA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22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C3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C75D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E19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B52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C00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8AD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宣传活动参与率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76B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7D7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D9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B3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97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6A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26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A22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8C9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291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172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69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宣传活动按时完成率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A0E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F7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1A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EE1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4F3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61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480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7B81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CE9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4D2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38F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63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48E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A7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8A1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EC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67C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04A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69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F4CF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795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D3C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2E0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054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食品监管水平</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8C9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5E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达到较高水平</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CA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5C1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达到较高水平</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92F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F0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E8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5118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CA1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EF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A04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7FA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公众食品安全满意度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741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BD2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24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81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FF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0C9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353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8EE8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F16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B99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8094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80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食品生产许可现场核查成本（每家）</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DB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85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A24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BFF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16F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27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EB8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EC7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728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CAF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47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AD5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食品满意度调查成本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72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35D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85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110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12.88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11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E85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D23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8B52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4DAD0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B3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4CE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83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11FE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557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1D943B">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自评得分100分。全州食品安全监管体系进一步完善，食品安全监管水平达到较高水平，食品生产经营者主体责任意识明显增强，旅游景区和重大活动食品安全保障能力显著提升。群众满意度调查为精准监管提供了有力数据支撑，食品安全宣传工作成效明显，公众食品安全素养不断提高，公众食品安全满意度达到75%以上。</w:t>
            </w:r>
          </w:p>
        </w:tc>
      </w:tr>
      <w:tr w14:paraId="37F80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67DA">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357C8B">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6DA02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D3683">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8895A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907DC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C630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B6DD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6EF537E">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6CE36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2061F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01B1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873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A75D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51320021T000000057623－药品安全监督经费</w:t>
            </w:r>
          </w:p>
        </w:tc>
      </w:tr>
      <w:tr w14:paraId="34441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A93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126B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68A149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DE6E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0D70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60A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2EC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3C33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B2AE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6109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575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117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9CF6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 xml:space="preserve">“两品一械”企业监管力度不断加强；监管人员专业水平和综合业务素质不断提高；“两品一械”科普宣传力度不断加强；假冒伪劣的打击力度不断加强，假冒伪劣药品制售行为不断降低。 开展专项整治4次，宣传活动2次  </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C8956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两品一械”监管任务全面完成：开展药品、医疗器械、化妆品专项整治（检查）4次，覆盖经营使用单位300余家；开展药械化安全科普知识宣传2次，发放宣传资料5000余份；对县（市）督导检查覆盖率达60%，超额完成50%的目标；全州未发生药品安全重大事故；药品案件查处率较上年明显提高，各项指标均达到年度设定目标值，项目于2025年12月按期完成。</w:t>
            </w:r>
          </w:p>
        </w:tc>
      </w:tr>
      <w:tr w14:paraId="06D3C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871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93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5519F9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聚焦药品安全监管核心任务，重点开展了以下工作：一是围绕群众关注度高、风险隐患较大的药品、医疗器械、化妆品领域，组织开展了4次专项整治行动，严厉打击制售假冒伪劣药品、非法渠道购进药品、违规销售处方药等违法违规行为。二是强化科普宣传，在“全国安全用药月”等时间节点，组织进社区、进乡村开展药械化安全科普知识宣传，提升公众安全用药意识和识假辨假能力。三是加强对县（市）药品监管工作的督导检查，覆盖率达60%以上，推动监管力量下沉，压实属地监管责任。四是持续加强监管人员专业培训和综合业务素质提升，不断提高药品执法监管水平。五是完善风险防控和应急管理机制，确保及时发现和消除药品质量安全隐患。</w:t>
            </w:r>
          </w:p>
        </w:tc>
      </w:tr>
      <w:tr w14:paraId="2CFC3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CD27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0D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04E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E6C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074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B4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4E3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FA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4A6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697D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2D6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6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162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C3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D48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C38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1F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626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1F0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543D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625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D44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65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C9C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1977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65E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4DD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F54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489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9D6D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362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BAB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0F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26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1A06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F3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CB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83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3EF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7AD3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E03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D39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706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A2D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0853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DD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97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A67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91B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43BC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C9A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EC8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6C5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3C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F2C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B8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B4A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CE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718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EEEF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931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CCC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C9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C86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95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09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227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42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71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54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410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D718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FD3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4038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4C9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374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专项行动（检查）任务数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DF2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CE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6F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A5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231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6F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1E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5B19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355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0A61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1FD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B4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开展药械化安全科普知识宣传次数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FAE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6E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79A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FDC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FB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114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3DD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FC48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8E5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519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0B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6D9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对县（市）督导检查覆盖率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88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DF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BBB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BB4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DA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43C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E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99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13C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27C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7D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51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1F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955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CC6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C9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BE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286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8D1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42D6E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24A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BD42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F42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FF6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药品执法监管水平</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3D6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D55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2AD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6F6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043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EE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BA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8C2E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FBE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1F1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9D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5E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药品安全重大事故发生率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832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F7B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76B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9CA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31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9D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E5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BF0F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C11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40B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8EC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0AF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药品案件查处率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7C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AE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ED5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76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5B6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D10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8C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31F2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0E4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C07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24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01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群众满意度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14E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E17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79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003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74C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B45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37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5180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0CC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F7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FC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09C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药品监管成本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FF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98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604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A34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977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A7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8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0C7F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48534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2A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CCF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665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AFD4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F9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11E3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通过强有力的专项整治和日常监管，“两品一械”企业监管力度不断加强，企业主体责任意识明显提升，市场秩序进一步规范。科普宣传工作效果明显，公众对药品安全的认知度和满意度稳步提高，全州未发生药品安全重大事故，群众用药安全得到切实保障，群众满意度达到75%以上。</w:t>
            </w:r>
          </w:p>
        </w:tc>
      </w:tr>
      <w:tr w14:paraId="665F0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57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4C93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1A9B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A57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2057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9B6C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609E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834C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14B37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tcBorders>
              <w:top w:val="nil"/>
              <w:left w:val="nil"/>
              <w:bottom w:val="nil"/>
              <w:right w:val="nil"/>
            </w:tcBorders>
            <w:shd w:val="clear" w:color="auto" w:fill="auto"/>
            <w:vAlign w:val="center"/>
          </w:tcPr>
          <w:p w14:paraId="240124B1">
            <w:pPr>
              <w:rPr>
                <w:rFonts w:hint="eastAsia" w:ascii="宋体" w:hAnsi="宋体" w:eastAsia="宋体" w:cs="宋体"/>
                <w:i w:val="0"/>
                <w:iCs w:val="0"/>
                <w:color w:val="000000"/>
                <w:sz w:val="18"/>
                <w:szCs w:val="18"/>
                <w:u w:val="none"/>
              </w:rPr>
            </w:pPr>
          </w:p>
        </w:tc>
        <w:tc>
          <w:tcPr>
            <w:tcW w:w="1905" w:type="dxa"/>
            <w:tcBorders>
              <w:top w:val="nil"/>
              <w:left w:val="nil"/>
              <w:bottom w:val="nil"/>
              <w:right w:val="nil"/>
            </w:tcBorders>
            <w:shd w:val="clear" w:color="auto" w:fill="auto"/>
            <w:vAlign w:val="center"/>
          </w:tcPr>
          <w:p w14:paraId="4744B5D2">
            <w:pPr>
              <w:rPr>
                <w:rFonts w:hint="eastAsia" w:ascii="宋体" w:hAnsi="宋体" w:eastAsia="宋体" w:cs="宋体"/>
                <w:i w:val="0"/>
                <w:iCs w:val="0"/>
                <w:color w:val="000000"/>
                <w:sz w:val="18"/>
                <w:szCs w:val="18"/>
                <w:u w:val="none"/>
              </w:rPr>
            </w:pPr>
          </w:p>
        </w:tc>
        <w:tc>
          <w:tcPr>
            <w:tcW w:w="1710" w:type="dxa"/>
            <w:tcBorders>
              <w:top w:val="nil"/>
              <w:left w:val="nil"/>
              <w:bottom w:val="nil"/>
              <w:right w:val="nil"/>
            </w:tcBorders>
            <w:shd w:val="clear" w:color="auto" w:fill="auto"/>
            <w:vAlign w:val="center"/>
          </w:tcPr>
          <w:p w14:paraId="046F16D2">
            <w:pPr>
              <w:rPr>
                <w:rFonts w:hint="eastAsia" w:ascii="宋体" w:hAnsi="宋体" w:eastAsia="宋体" w:cs="宋体"/>
                <w:i w:val="0"/>
                <w:iCs w:val="0"/>
                <w:color w:val="000000"/>
                <w:sz w:val="18"/>
                <w:szCs w:val="18"/>
                <w:u w:val="none"/>
              </w:rPr>
            </w:pPr>
          </w:p>
        </w:tc>
        <w:tc>
          <w:tcPr>
            <w:tcW w:w="2185" w:type="dxa"/>
            <w:tcBorders>
              <w:top w:val="nil"/>
              <w:left w:val="nil"/>
              <w:bottom w:val="nil"/>
              <w:right w:val="nil"/>
            </w:tcBorders>
            <w:shd w:val="clear" w:color="auto" w:fill="auto"/>
            <w:vAlign w:val="center"/>
          </w:tcPr>
          <w:p w14:paraId="22EEAA0D">
            <w:pPr>
              <w:rPr>
                <w:rFonts w:hint="eastAsia" w:ascii="宋体" w:hAnsi="宋体" w:eastAsia="宋体" w:cs="宋体"/>
                <w:i w:val="0"/>
                <w:iCs w:val="0"/>
                <w:color w:val="000000"/>
                <w:sz w:val="18"/>
                <w:szCs w:val="18"/>
                <w:u w:val="none"/>
              </w:rPr>
            </w:pPr>
          </w:p>
        </w:tc>
        <w:tc>
          <w:tcPr>
            <w:tcW w:w="514" w:type="dxa"/>
            <w:tcBorders>
              <w:top w:val="nil"/>
              <w:left w:val="nil"/>
              <w:bottom w:val="nil"/>
              <w:right w:val="nil"/>
            </w:tcBorders>
            <w:shd w:val="clear" w:color="auto" w:fill="auto"/>
            <w:vAlign w:val="center"/>
          </w:tcPr>
          <w:p w14:paraId="19F5CFA0">
            <w:pPr>
              <w:rPr>
                <w:rFonts w:hint="eastAsia" w:ascii="宋体" w:hAnsi="宋体" w:eastAsia="宋体" w:cs="宋体"/>
                <w:i w:val="0"/>
                <w:iCs w:val="0"/>
                <w:color w:val="000000"/>
                <w:sz w:val="18"/>
                <w:szCs w:val="18"/>
                <w:u w:val="none"/>
              </w:rPr>
            </w:pPr>
          </w:p>
        </w:tc>
        <w:tc>
          <w:tcPr>
            <w:tcW w:w="1584" w:type="dxa"/>
            <w:tcBorders>
              <w:top w:val="nil"/>
              <w:left w:val="nil"/>
              <w:bottom w:val="nil"/>
              <w:right w:val="nil"/>
            </w:tcBorders>
            <w:shd w:val="clear" w:color="auto" w:fill="auto"/>
            <w:vAlign w:val="center"/>
          </w:tcPr>
          <w:p w14:paraId="4205C74E">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3910454A">
            <w:pPr>
              <w:rPr>
                <w:rFonts w:hint="eastAsia" w:ascii="宋体" w:hAnsi="宋体" w:eastAsia="宋体" w:cs="宋体"/>
                <w:i w:val="0"/>
                <w:iCs w:val="0"/>
                <w:color w:val="000000"/>
                <w:sz w:val="18"/>
                <w:szCs w:val="18"/>
                <w:u w:val="none"/>
              </w:rPr>
            </w:pPr>
          </w:p>
        </w:tc>
        <w:tc>
          <w:tcPr>
            <w:tcW w:w="1087" w:type="dxa"/>
            <w:tcBorders>
              <w:top w:val="nil"/>
              <w:left w:val="nil"/>
              <w:bottom w:val="nil"/>
              <w:right w:val="nil"/>
            </w:tcBorders>
            <w:shd w:val="clear" w:color="auto" w:fill="auto"/>
            <w:vAlign w:val="center"/>
          </w:tcPr>
          <w:p w14:paraId="7BDF1357">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7D2C721A">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0A78A6E2">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0352D097">
            <w:pPr>
              <w:rPr>
                <w:rFonts w:hint="eastAsia" w:ascii="宋体" w:hAnsi="宋体" w:eastAsia="宋体" w:cs="宋体"/>
                <w:i w:val="0"/>
                <w:iCs w:val="0"/>
                <w:color w:val="000000"/>
                <w:sz w:val="18"/>
                <w:szCs w:val="18"/>
                <w:u w:val="none"/>
              </w:rPr>
            </w:pPr>
          </w:p>
        </w:tc>
      </w:tr>
      <w:tr w14:paraId="661E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66D3A4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70CC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175D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4D59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51320021T000000057630－市场监管业务知识培训及人力资源</w:t>
            </w:r>
          </w:p>
        </w:tc>
      </w:tr>
      <w:tr w14:paraId="417E4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9CAC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6B9A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7AE36D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28E7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9F95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74F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1637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FA08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1C2C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84C3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F0B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21A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F6B22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共3期《基层法治计量监管人员实操能力提升培训》《全州市场监管认证检验监管能力提升培训》《食品安全工作》《全州标准化工作业务培训》《强制性国家标准宣贯培训》，培训人次286人次3期，提高干部依法行政能力、业务水平和沟通协调能力，提高市场监管的效率和有效性，降低市场违法行为发生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88B3B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培训任务圆满完成：共举办培训3期，分别为《基层法治计量监管人员实操能力提升培训》《全州市场监管认证检验监管能力提升培训》《全州标准化工作暨强制性国家标准宣贯培训》，实际培训学员达292人次，超额完成286人次目标；培训合格率达100%；每期培训按时完成率100%，优于95%的目标值，项目于2025年12月按期完成</w:t>
            </w:r>
          </w:p>
        </w:tc>
      </w:tr>
      <w:tr w14:paraId="35163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693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D67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1B7CC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紧密围绕市场监管重点业务领域，分层分类组织开展干部教育培训工作。一是深入调研基层培训需求，科学设置《基层法治计量监管人员实操能力提升培训》《全州市场监管认证检验监管能力提升培训》《食品安全工作培训》《全州标准化工作业务培训》《强制性国家标准宣贯培训》等5个专题班次，整合为3期集中培训。二是精心设计培训课程，邀请省市场监管局业务专家、技术机构专业骨干、高校学者等进行授课，采取理论讲授、案例分析、现场实操、交流研讨相结合的方式，确保培训实效。三是严格培训管理，实行全流程考勤和结业考核制度，参训学员培训合格率达到100%。四是坚持厉行节约原则，严格控制培训经费支出，学员每天定额费用控制在400元以内。通过培训，基层监管人员依法行政能力、业务水平和沟通协调能力得到显著提升。</w:t>
            </w:r>
          </w:p>
        </w:tc>
      </w:tr>
      <w:tr w14:paraId="07B59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707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923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BC1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4B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23BB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F48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3E0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66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9B6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CB27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480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20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7B2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6D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29D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10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5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92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F2B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D71E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AA9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A9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61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F0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106A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12.16</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39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93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66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8D7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B5B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86C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958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770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49C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B032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376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70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0F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028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4F09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A36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54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EE6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90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C911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3CF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1D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40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912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0F2F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5B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C9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00B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59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C876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08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34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153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90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8550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6E9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5C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CA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370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97E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54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251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601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6FC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FA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6C6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A5D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044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8BB3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34B1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D50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培训期数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74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BF4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8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期</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58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D5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629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49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7CC9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B0F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361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503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0D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培训人次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F0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EC5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286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CB4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9A6E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08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6C3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C85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EEC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810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10B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493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20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培训合格率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D8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4B9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482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64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1B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036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D6C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BE2B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145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EA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478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2F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每期培训按时完成率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65F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B7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0C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C0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E2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E1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B2E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4C66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FE7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FAAD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C84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15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515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4D6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308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4DB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17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B8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7A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9B41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D27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5EC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420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05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监管能力水平</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E3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65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A51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7F8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BF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A8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818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D16F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BE1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C7F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2A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A66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干部综合素质</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52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C9C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CD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329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8D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D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9A5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4E63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B54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988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04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84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培训学员满意度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5E9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76A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5C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0CC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4FF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AF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543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E99C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99C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3BB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202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02B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学员每天定额费用（元/人。天。）</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AD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BE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704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DB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5D2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A0F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960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FD6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37E87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D5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74B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6E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0E9F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C21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366615">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通过系统化、专业化培训，全州市场监管系统干部队伍综合素质和业务能力得到全面提升，依法行政意识和监管执法规范化水平显著提升。培训课程设置合理、师资力量雄厚、组织管理规范、学员满意度达100%，实现了以培训促提升、以能力保监管的目标，为全州市场监管事业高质量发展提供了坚实的人才保障和智力支撑。</w:t>
            </w:r>
          </w:p>
        </w:tc>
      </w:tr>
      <w:tr w14:paraId="7A3AA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E32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7C57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4A23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D41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7023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83B3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3BA4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729A9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58FA5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tcBorders>
              <w:top w:val="nil"/>
              <w:left w:val="nil"/>
              <w:bottom w:val="nil"/>
              <w:right w:val="nil"/>
            </w:tcBorders>
            <w:shd w:val="clear" w:color="auto" w:fill="auto"/>
            <w:vAlign w:val="center"/>
          </w:tcPr>
          <w:p w14:paraId="5DD23B63">
            <w:pPr>
              <w:rPr>
                <w:rFonts w:hint="eastAsia" w:ascii="宋体" w:hAnsi="宋体" w:eastAsia="宋体" w:cs="宋体"/>
                <w:i w:val="0"/>
                <w:iCs w:val="0"/>
                <w:color w:val="000000"/>
                <w:sz w:val="18"/>
                <w:szCs w:val="18"/>
                <w:u w:val="none"/>
              </w:rPr>
            </w:pPr>
          </w:p>
        </w:tc>
        <w:tc>
          <w:tcPr>
            <w:tcW w:w="1905" w:type="dxa"/>
            <w:tcBorders>
              <w:top w:val="nil"/>
              <w:left w:val="nil"/>
              <w:bottom w:val="nil"/>
              <w:right w:val="nil"/>
            </w:tcBorders>
            <w:shd w:val="clear" w:color="auto" w:fill="auto"/>
            <w:vAlign w:val="center"/>
          </w:tcPr>
          <w:p w14:paraId="48D3E2D3">
            <w:pPr>
              <w:rPr>
                <w:rFonts w:hint="eastAsia" w:ascii="宋体" w:hAnsi="宋体" w:eastAsia="宋体" w:cs="宋体"/>
                <w:i w:val="0"/>
                <w:iCs w:val="0"/>
                <w:color w:val="000000"/>
                <w:sz w:val="18"/>
                <w:szCs w:val="18"/>
                <w:u w:val="none"/>
              </w:rPr>
            </w:pPr>
          </w:p>
        </w:tc>
        <w:tc>
          <w:tcPr>
            <w:tcW w:w="1710" w:type="dxa"/>
            <w:tcBorders>
              <w:top w:val="nil"/>
              <w:left w:val="nil"/>
              <w:bottom w:val="nil"/>
              <w:right w:val="nil"/>
            </w:tcBorders>
            <w:shd w:val="clear" w:color="auto" w:fill="auto"/>
            <w:vAlign w:val="center"/>
          </w:tcPr>
          <w:p w14:paraId="3F47C549">
            <w:pPr>
              <w:rPr>
                <w:rFonts w:hint="eastAsia" w:ascii="宋体" w:hAnsi="宋体" w:eastAsia="宋体" w:cs="宋体"/>
                <w:i w:val="0"/>
                <w:iCs w:val="0"/>
                <w:color w:val="000000"/>
                <w:sz w:val="18"/>
                <w:szCs w:val="18"/>
                <w:u w:val="none"/>
              </w:rPr>
            </w:pPr>
          </w:p>
        </w:tc>
        <w:tc>
          <w:tcPr>
            <w:tcW w:w="2185" w:type="dxa"/>
            <w:tcBorders>
              <w:top w:val="nil"/>
              <w:left w:val="nil"/>
              <w:bottom w:val="nil"/>
              <w:right w:val="nil"/>
            </w:tcBorders>
            <w:shd w:val="clear" w:color="auto" w:fill="auto"/>
            <w:vAlign w:val="center"/>
          </w:tcPr>
          <w:p w14:paraId="4CE30218">
            <w:pPr>
              <w:rPr>
                <w:rFonts w:hint="eastAsia" w:ascii="宋体" w:hAnsi="宋体" w:eastAsia="宋体" w:cs="宋体"/>
                <w:i w:val="0"/>
                <w:iCs w:val="0"/>
                <w:color w:val="000000"/>
                <w:sz w:val="18"/>
                <w:szCs w:val="18"/>
                <w:u w:val="none"/>
              </w:rPr>
            </w:pPr>
          </w:p>
        </w:tc>
        <w:tc>
          <w:tcPr>
            <w:tcW w:w="514" w:type="dxa"/>
            <w:tcBorders>
              <w:top w:val="nil"/>
              <w:left w:val="nil"/>
              <w:bottom w:val="nil"/>
              <w:right w:val="nil"/>
            </w:tcBorders>
            <w:shd w:val="clear" w:color="auto" w:fill="auto"/>
            <w:vAlign w:val="center"/>
          </w:tcPr>
          <w:p w14:paraId="43C78ADC">
            <w:pPr>
              <w:rPr>
                <w:rFonts w:hint="eastAsia" w:ascii="宋体" w:hAnsi="宋体" w:eastAsia="宋体" w:cs="宋体"/>
                <w:i w:val="0"/>
                <w:iCs w:val="0"/>
                <w:color w:val="000000"/>
                <w:sz w:val="18"/>
                <w:szCs w:val="18"/>
                <w:u w:val="none"/>
              </w:rPr>
            </w:pPr>
          </w:p>
        </w:tc>
        <w:tc>
          <w:tcPr>
            <w:tcW w:w="1584" w:type="dxa"/>
            <w:tcBorders>
              <w:top w:val="nil"/>
              <w:left w:val="nil"/>
              <w:bottom w:val="nil"/>
              <w:right w:val="nil"/>
            </w:tcBorders>
            <w:shd w:val="clear" w:color="auto" w:fill="auto"/>
            <w:vAlign w:val="center"/>
          </w:tcPr>
          <w:p w14:paraId="76265018">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0D913F16">
            <w:pPr>
              <w:rPr>
                <w:rFonts w:hint="eastAsia" w:ascii="宋体" w:hAnsi="宋体" w:eastAsia="宋体" w:cs="宋体"/>
                <w:i w:val="0"/>
                <w:iCs w:val="0"/>
                <w:color w:val="000000"/>
                <w:sz w:val="18"/>
                <w:szCs w:val="18"/>
                <w:u w:val="none"/>
              </w:rPr>
            </w:pPr>
          </w:p>
        </w:tc>
        <w:tc>
          <w:tcPr>
            <w:tcW w:w="1087" w:type="dxa"/>
            <w:tcBorders>
              <w:top w:val="nil"/>
              <w:left w:val="nil"/>
              <w:bottom w:val="nil"/>
              <w:right w:val="nil"/>
            </w:tcBorders>
            <w:shd w:val="clear" w:color="auto" w:fill="auto"/>
            <w:vAlign w:val="center"/>
          </w:tcPr>
          <w:p w14:paraId="78E98F56">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19E39547">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38A4210F">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12304381">
            <w:pPr>
              <w:rPr>
                <w:rFonts w:hint="eastAsia" w:ascii="宋体" w:hAnsi="宋体" w:eastAsia="宋体" w:cs="宋体"/>
                <w:i w:val="0"/>
                <w:iCs w:val="0"/>
                <w:color w:val="000000"/>
                <w:sz w:val="18"/>
                <w:szCs w:val="18"/>
                <w:u w:val="none"/>
              </w:rPr>
            </w:pPr>
          </w:p>
        </w:tc>
      </w:tr>
      <w:tr w14:paraId="2AFDF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3B7BA8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679E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DAF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4F9F3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51320021T000000057636-质量与安全监管</w:t>
            </w:r>
          </w:p>
        </w:tc>
      </w:tr>
      <w:tr w14:paraId="76397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E4A1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D7D4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6117A2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5B5F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38F3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E60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B55F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1BFA8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DCA4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3548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F8D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9C8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8A6ADC">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目前，我州检验检测机构39家，食品、机动车、生态环境共16家，需全覆盖监督检查，其他领域检测机构23家，按30%抽查应检查7家，共需检查23家。维护检验检测市场秩序，提升认证质效助力高质量发展。完成涉及我州民生、法制、能源计量审查工作。保障人民群众的利益。开展民生计量、能源计量和法制计量监督检查，加强对贸易结算、安全防护、医疗卫生、环境监测等在用强检计量器具的备案管理和监督检查。牵头在全州范围内开展特种设备安全专项整治，及时消除安全隐患、有效防范重特大安全事故的发生，确保全州经济社会稳定。</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B036EB">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全年质量与安全监管各项任务圆满完成：民生、能源、法制计量监督检查完成320台/套，超额完成300台/套目标，覆盖贸易结算、安全防护、医疗卫生、环境监测等四大领域；重点用能企业审查完成4家；认证及小微企业检查完成4家；检测机构检查完成23家（其中16家食品、机动车、生态环境类机构全覆盖检查，7家其他领域按30%抽查），超额完成10家目标。各类问题处置率、审查整改完成率、特种设备安全隐患排查率均达100%，项目于2025年12月按期完成。</w:t>
            </w:r>
          </w:p>
        </w:tc>
      </w:tr>
      <w:tr w14:paraId="38B4F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B25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B0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4873150">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围绕质量强州战略，全面推进计量、认证、检测和特种设备安全监管工作。一是组织开展民生计量、能源计量和法制计量专项监督检查，重点加强对贸易结算（加油加气机、电子秤等）、安全防护、医疗卫生、环境监测等在用强检计量器具的备案管理和现场检查，全年完成监督检查300余台/套。二是对全州4家重点用能企业开展能源计量审查，督促企业完善能源计量管理体系。三是按照检验检测机构监管要求，对全州39家检验检测机构实施分类监管，其中食品、机动车、生态环境等三大领域16家机构实现全覆盖监督检查，其他领域23家机构按30%比例随机抽查7家，实际共完成23家检测机构的监督检查。四是牵头在全州范围内开展特种设备安全专项整治，重点对电梯、锅炉、压力容器、起重机械等设备进行全面排查，及时发现并消除安全隐患，有效防范重特大安全事故发生。</w:t>
            </w:r>
          </w:p>
        </w:tc>
      </w:tr>
      <w:tr w14:paraId="464ED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A76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8DB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B13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2E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A680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17A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946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145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FA7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FCF1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42F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13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319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EF9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C640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55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2D2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7F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2F5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DF5D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4A2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746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506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5C4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2175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6C3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AF6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D7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9A0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C9F9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0A1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2B4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B58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87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E351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FD9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23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B68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DD5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0951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C49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99C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0F9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7F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8661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EDC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9B0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076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621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9E3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37F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6CC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EEC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908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93D5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E5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4F8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4E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2E8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F47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2B7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CE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B2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DD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CB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757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DAA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6E8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E84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437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C45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1026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98B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25C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81E1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182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民生、能源、法制计量监督检查数量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8B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502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D39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台/套</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433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5A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3AB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42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8621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764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74A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429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29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重点用能企业审查数量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94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8E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7E6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76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38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9F8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AD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863B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561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9C7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6E8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B20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认证及小微企业检查数量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E78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381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D1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F0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54B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E3D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4F9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1396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13A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54D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E63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6B4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检测机构检查数量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B9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FC4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CE7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969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572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C8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85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A50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3F7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AE2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6E8B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13F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民生、能源、法制计量问题处置率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C1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39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062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B4D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C7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C23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3FA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B3A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4E2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443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D3E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EE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审查整改完成率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B72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02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6B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67D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629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514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49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DD7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46E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4DB3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FB0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AB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特种设备安全隐患排查率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D99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A3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D19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A93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5E6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A21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6C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8114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300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C57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4F4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F0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B60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71D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F0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7E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18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9F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33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DFEA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CC1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62FD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526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F87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社会市场计量秩序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6C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C4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10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AAE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499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61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42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D9BD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FB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8A5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73B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152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重点用能企业能源计量管理水平</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371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9A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6D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35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CA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38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98D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3B54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BE4E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892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72F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B5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特种设备使用单位安全满意度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2E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D9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1D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7FB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BBC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B0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6B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88D3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842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FFC5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A65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36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重点用能企业审查单位成本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DE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704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EC2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A50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C1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E3E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F3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786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DD1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A9B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DB1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D0B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专家劳务费</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AF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46B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576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BB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070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ACB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41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DE9D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B2297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62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486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413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3DF8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7AAAD">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4381BF">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自评得分100分。计量监督管理工作成效明显，全州在用强检计量器具受检率和合格率稳步提升，能源计量管理水平得到加强，为节能减排工作提供了有力支撑。检验检测机构监管力度持续加大，认证活动不断规范，检验检测市场秩序得到有效维护。特种设备安全专项整治成效显著，全年未发生特种设备重特大安全事故，特种设备使用单位安全满意度达到95%以上，有力保障了人民群众生命财产安全和全州经济社会稳定发展。</w:t>
            </w:r>
          </w:p>
        </w:tc>
      </w:tr>
      <w:tr w14:paraId="2F0E5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BD1E8">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8FFE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7C05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FC6CB">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B90E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CEBD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CAEC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68582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20B7BD2">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0FDA6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95360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7ABF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4D34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CD42B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51320022R000005202861－追加州级部门一次性抚恤金及丧葬费</w:t>
            </w:r>
          </w:p>
        </w:tc>
      </w:tr>
      <w:tr w14:paraId="15330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FFE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0CFE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6AEED8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 xml:space="preserve">实施单位 </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C76B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1D33A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0E9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2F9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FC59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3CDD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77D5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816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1AB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BC9F7DD">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EAF5E8">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及时、足额完成了一次性抚恤金及丧葬费的核定与发放工作，发放覆盖率和保障率均达到100%，确保了去世职工家属的合法权益得到充分保障，预算执行率达到100%。</w:t>
            </w:r>
          </w:p>
        </w:tc>
      </w:tr>
      <w:tr w14:paraId="31082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B3B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31C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EB0546">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该项目为年中追加的一次性经费项目。在接到州级相关部门批复文件后，局人事科和财务科第一时间启动办理程序：一是核实去世职工人事档案，准确计算一次性抚恤金和丧葬费金额；二是按规定程序报请审批；三是通过预算管理一体化系统申报用款计划，及时将资金拨付至家属指定账户，确保各项待遇在政策规定时限内落实到位，体现了单位对去世职工家属的人文关怀。</w:t>
            </w:r>
          </w:p>
        </w:tc>
      </w:tr>
      <w:tr w14:paraId="5482C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E3F6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C29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3F4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E4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8EBF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C68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71D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701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3E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BF5D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F44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632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19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E2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F6CC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AFB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4C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701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FFEA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89A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479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2A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A13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83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DD98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D7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DF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9F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5EE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8B09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AF8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CD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05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A92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4D79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60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5EA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9C4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7A4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C49D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1A4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CEC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331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234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077D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B0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929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2D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966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BC5F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255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D54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237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66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5C0F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723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C99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394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8F1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A9BC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FA0D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66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2B3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50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D7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75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EEB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5A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62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19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498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8380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E48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C9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B37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F27D">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188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83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FD2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0F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7AB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9C0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11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DFF5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EC8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A20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1B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D842">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A32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FE6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D09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1B1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47C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0E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CCA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CA5C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639D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7FA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B1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C74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00B7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B6D99">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CD1C77">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项目资金管理规范、发放程序合规、拨付及时准确，充分保障了去世职工家属的合法权益，体现了组织的关怀和温暖，有效维护了社会和谐稳定，得到了职工家属和单位干部职工的一致肯定。</w:t>
            </w:r>
          </w:p>
        </w:tc>
      </w:tr>
      <w:tr w14:paraId="2688C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54009">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AF1BFB">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68DD1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877D">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B46AD6">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5E464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6AEC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CB78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3531F1B">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7B588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C2EF2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D52A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283E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3CB17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51320022R000005203810－追加州级部门建房补贴</w:t>
            </w:r>
          </w:p>
        </w:tc>
      </w:tr>
      <w:tr w14:paraId="016A9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52A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5ACF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134835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29C8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6D6B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4C1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CD06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9D81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6565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2A81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4FC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8DA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7DC01">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47A5DC">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及时、足额完成建房补贴的申报、审核和发放工作，发放覆盖率和足额保障率均达到100%，确保了符合条件职工的住房补贴待遇全面落实，预算执行率达到100%。</w:t>
            </w:r>
          </w:p>
        </w:tc>
      </w:tr>
      <w:tr w14:paraId="207AC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112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17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937062">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该项目为年中追加的一次性补贴经费项目。局财务科会同人事科严格按照州级建房补贴政策规定的适用范围、补贴标准和发放程序，对符合条件的人员进行全面梳理和资格审核，准确计算每位应享受人员的补贴金额。经公示无异议后，通过预算管理一体化系统申报用款计划，最终将所有建房补贴资金通过国库集中支付方式直接发放至个人账户，切实保障了干部职工的切身利益。</w:t>
            </w:r>
          </w:p>
        </w:tc>
      </w:tr>
      <w:tr w14:paraId="486CB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305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D2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74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A5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347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8B4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AA6E">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10537">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9B8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F674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3D4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BB4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86F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FEB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E718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AEA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ADF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26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04B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2BD3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C84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DAA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F1B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1C1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CB8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905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AD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548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C3D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8353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C18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D0947">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35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FC7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04CD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1F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CE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EA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1AD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2882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28B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C8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30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066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3D79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AC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E0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2E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E53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0F21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578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6B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429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96C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9D4F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D4B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B77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A4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607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6453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6C1F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4C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9A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1D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53CC6">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BA255">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0FA6">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6CC40">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077B0">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F076">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125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56FB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EE9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55A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1C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D23D8">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7B3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B90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CCD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ACE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0AE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A4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2BE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7A14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CD2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72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31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4164">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9F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8E7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82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6E7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FE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933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AD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C42A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B707A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E1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25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7F7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CCF3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12FEA">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DB1562E">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自评得分100分。建房补贴资金发放及时、精准、规范，有效缓解了干部职工购房压力，增强了干部职工的归属感和获得感。项目资金使用合规高效，政策落实到位，无任何违规违纪问题，得到了享受补贴职工的一致好评。</w:t>
            </w:r>
          </w:p>
        </w:tc>
      </w:tr>
      <w:tr w14:paraId="19F95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A1A21">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830FEF">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6B813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D7988">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BB6C5F">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2A1A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7295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20F9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5213B1E">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3C06B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D3F3C4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BA52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F550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B1918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51320022T000000326175－网络交易定向监督经费</w:t>
            </w:r>
          </w:p>
        </w:tc>
      </w:tr>
      <w:tr w14:paraId="1D285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1497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2FC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3C421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2BA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5E2AE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2DFA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8649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E1D43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FB8B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AD27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10E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8ED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003A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依据《中华人民共和国电子商务法》《网络交易监督管理办法》等法律法规，依法开展网络交易信息定向监测工作，不断规范电子商务经营行为，有效净化全州网络市场环境。</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579FF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网络交易定向监测任务圆满完成：共开展网络交易定向监测服务2次（上半年、下半年各1次），涵盖监测点5个（本地电商平台及重点网店），参与活动商家监测覆盖率达92%，超额完成90%目标。公平竞争的市场秩序呈现逐步提高态势，网络交易环境持续净化，项目于2025年12月按期完成。</w:t>
            </w:r>
          </w:p>
        </w:tc>
      </w:tr>
      <w:tr w14:paraId="3F459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6B9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CC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F7AE1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依据《中华人民共和国电子商务法》《网络交易监督管理办法》等法律法规，依托第三方专业技术监测平台，对辖区内主要网络交易平台和经营主体实施定向监测。一是科学确定监测对象，覆盖本地电商平台、大型网店、直播带货账号等5个监测点。二是明确监测重点内容，聚焦虚假宣传、假冒伪劣、价格欺诈、不正当竞争等网络交易突出问题，监测商品信息数千条。三是注重监测结果运用，对监测发现的涉嫌违法线索及时固定电子证据，移交执法部门依法查处，督促电商平台和经营者整改规范。四是开展网络交易相关法律法规宣传，引导经营者诚信守法经营，促进网络交易持续健康发展。</w:t>
            </w:r>
          </w:p>
        </w:tc>
      </w:tr>
      <w:tr w14:paraId="3C15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18B2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B08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AC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E71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0052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36A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ED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275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29D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5311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FB9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C2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C72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19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426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F6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DC0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3AD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9A1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8AAA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82D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DC5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CA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1A3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C489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4.97</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739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503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F7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E16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340D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AE8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4BF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3A9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44E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73D0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52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2F3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4A6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A1F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5CAF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264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ECD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2EB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1F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F4CF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55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B5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2E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3AB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92B2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D09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ACF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62D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134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D287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AB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15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878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660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A85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4BB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2A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B81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544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98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5DD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1F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B2A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DFB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46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E56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A21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6B6F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D66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BCF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09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涵盖监测点数量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231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BD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1CB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D9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C8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D8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50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12DE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E49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CBF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9ED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8F0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网络交易定向监测服务次数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317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AAC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84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8C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D1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FD7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B5A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C1BF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E0C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877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8F4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3FF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参与活动商监测覆盖率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CC6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9EA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931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3AF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B89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9A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CE6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E59B0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966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5BF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8C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E5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完成时限</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98B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7F4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B1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78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822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E0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405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ED59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07F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B9BA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D4C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37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6B0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1F5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4F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F9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64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1D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F33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01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13B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21D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D3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59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网络交易持续健康发展</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3D4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05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63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508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56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C4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B5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AB6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365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983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32B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984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消费者对网络交易环境的满意度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C6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044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C05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0FF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26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34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0E7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9B7C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8F8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3EF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B4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BAC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定向监测成本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81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95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AB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1A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65F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2C6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CA2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65CF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E098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D2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448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EB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AE7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17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52F2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网络交易定向监测工作的深入开展，有效规范了全州网络市场经营秩序，净化了网络交易环境，消费者对网络交易环境的满意度和安全感明显提升。项目经费控制在预算范围内，实现了以较小投入促进较大社会效益的目标，为构建公平竞争的网络市场秩序发挥了重要作用。</w:t>
            </w:r>
          </w:p>
        </w:tc>
      </w:tr>
      <w:tr w14:paraId="445E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8B2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A3E1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9BED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0C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F54A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E2D0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C8FF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1AE3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2D26EBC">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37378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BE869D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B00E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2A5A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50197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51320023R000009914893-工资性支出</w:t>
            </w:r>
          </w:p>
        </w:tc>
      </w:tr>
      <w:tr w14:paraId="06AC8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ABF6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41D4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1CE82B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C736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685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E0D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76A0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010F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F3BF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4A0B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9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98E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F12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86DDA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409146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按照国家和州级工资政策，全年按月及时、足额发放职工基本工资、津贴补贴等各项工资性待遇，发放覆盖率100%，足额保障率100%，未发生拖欠、错发、漏发等问题，预算执行率100%，有效保障了职工基本生活和队伍稳定。</w:t>
            </w:r>
          </w:p>
        </w:tc>
      </w:tr>
      <w:tr w14:paraId="068E3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AFE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BAD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8E777F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人员类基本支出项目，是保障单位正常运转的基础性经费。局人事科每月根据干部职工职务职级变动、工作年限调整、考核结果等情况，及时核定工资发放标准；财务科严格按照核定额编制工资发放表，通过财政工资统发系统按月申报，经财政审批后由银行代发至职工个人账户。全年工资发放做到“四个确保”：确保发放范围全覆盖、确保发放标准准确无误、确保发放时间不拖延、确保发放流程规范合规。</w:t>
            </w:r>
          </w:p>
        </w:tc>
      </w:tr>
      <w:tr w14:paraId="2FFDB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E7E2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1E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D71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22A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A44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2BA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1D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B09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A19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9F65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5C6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9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B9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1,059.42</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62A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9EEF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46E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D5C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FC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640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F60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61D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5ED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4A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1,059.42</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C1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E05A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1,054.37</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CD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15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67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4EB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744D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C80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5DF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755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14B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4BF5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40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75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221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E60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C89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60C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1D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37B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FD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CFFF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9A3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B8C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1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4BB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9814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466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8BE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8B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28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EC2B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6B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F7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D3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355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1A0D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EF53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1F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82D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945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88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CC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47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578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D7F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B2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4F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7D81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BBF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6D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A2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05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65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7E1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7DF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853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51B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A6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C4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692A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8A4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B5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8B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80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F7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D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DD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41B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EB9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7A2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0BF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700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7CC2B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86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238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39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F486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E7C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C1BC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项目自评得分100分，全年工资发放工作规范有序、准确及时，为全体干部职工提供了稳定的收入保障，有效调动了干部职工工作积极性，维护了队伍和谐稳定，预算编制科学合理，资金使用绩效显著。</w:t>
            </w:r>
          </w:p>
        </w:tc>
      </w:tr>
      <w:tr w14:paraId="6A5B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9E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0436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9CB9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4B6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0A9E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A41D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0003D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5A13F6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197F84E3">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1D424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76297D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8254C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EE65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DDA4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51320023R000009915221－单位缴费</w:t>
            </w:r>
          </w:p>
        </w:tc>
      </w:tr>
      <w:tr w14:paraId="0D521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8DC8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03C6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059411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361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6606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8F4E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C97F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75C1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82F3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3816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4"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D22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55A2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0423F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95E28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按照社保政策规定，全年按时、足额为在职职工和退休人员缴纳养老保险、职业年金、医疗保险、失业保险、工伤保险、生育保险等各项社会保险费，缴纳覆盖率100%，足额保障率100%，预算执行率100%，职工社保权益得到全面保障。</w:t>
            </w:r>
          </w:p>
        </w:tc>
      </w:tr>
      <w:tr w14:paraId="3F183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F63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4FC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951801">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人员类基本支出项目，涉及全体在职职工和退休人员的社会保障权益。局人事科和财务科密切配合，每月根据社保经办机构核定的缴费基数和缴费比例，精确计算单位应缴金额，及时通过预算管理一体化系统申报用款计划。全年各项社保缴费做到应缴尽缴、无一遗漏。同时，及时为发生变动的职工办理社保增员、减员、转移接续等手续，确保社保关系无缝衔接。</w:t>
            </w:r>
          </w:p>
        </w:tc>
      </w:tr>
      <w:tr w14:paraId="6BC1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8523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9D4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BA9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65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1E6B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18A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53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7B4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50B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7E3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467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DF2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93F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688.09</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7A6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A5BE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F3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82A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211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C3F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78E8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1CC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A3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24C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688.09</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8FE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0D6C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647.93</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C1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7D8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B48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DD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53C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F1A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A25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56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A6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0318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1D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E6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861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81B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08DD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52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4F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D1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542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4A6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0B5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72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46C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439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6A18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672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E5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8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F66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FB0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B6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AF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2DC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5EC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4180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2D7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9F2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020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11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F49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4C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291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E3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17F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2EA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312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4229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A37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D6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4EC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816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7F9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06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89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279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CB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C2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E77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9EA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258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1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44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0DA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80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273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D9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38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BE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72D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7B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D477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61A2A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65A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57C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B29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48F0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97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7C3A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社保缴费工作规范高效，无延迟、无欠缴、无漏缴情况发生，有效保障了干部职工的社保待遇权益，消除了干部职工后顾之忧，增强了队伍的凝聚力和向心力，体现了单位对干部职工的关心关爱和责任担当。</w:t>
            </w:r>
          </w:p>
        </w:tc>
      </w:tr>
      <w:tr w14:paraId="110E3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F50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FA5C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B7BC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724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F237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F019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267F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F9C01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633CACC">
      <w:pP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sz w:val="18"/>
          <w:szCs w:val="18"/>
          <w:u w:val="none"/>
        </w:rPr>
        <w:br w:type="page"/>
      </w: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06C8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EC0A61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37AC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BD4D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43B3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51320023R000009915925－聘用人员经费</w:t>
            </w:r>
          </w:p>
        </w:tc>
      </w:tr>
      <w:tr w14:paraId="7C1AD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37CD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CA3E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47734A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E4D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862E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18B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8A7F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5F5E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312D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05A6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ACF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596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8E3F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779A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总分100分。社保缴费工作规范高效，无延迟、无欠缴、无漏缴情况发生，有效保障了干部职工的社保待遇权益，消除了干部职工后顾之忧，增强了队伍的凝聚力和向心力，体现了单位对干部职工的关心关爱和责任担当。</w:t>
            </w:r>
          </w:p>
        </w:tc>
      </w:tr>
      <w:tr w14:paraId="64E1C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741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14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F8F5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人员类支出项目，主要用于保障局机关及所属单位聘用人员的薪酬待遇。局人事科按照聘用合同约定的工资标准和绩效办法，逐月核定聘用人员应发工资，代扣代缴个人所得税和社保个人部分后发放至个人账户；财务科按月申报缴纳单位应承担的社保费用。全年聘用人员经费管理做到“三个规范”：规范合同管理、规范工资核定、规范社保缴纳，有效维护了聘用人员的合法权益。</w:t>
            </w:r>
          </w:p>
        </w:tc>
      </w:tr>
      <w:tr w14:paraId="2FE9C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C53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82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60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3A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74F3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0C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AB0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09C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C8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587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120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316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8A1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56.39</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924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49A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6F0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A01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E1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EC9D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7C3D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36D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23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2FA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56.39</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4D5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BE1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46.76</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C1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22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A6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906D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97DF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E12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782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65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0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88AB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1F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E08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86F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82C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E2D2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9D0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507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AFF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A9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99D1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62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C4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0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CB6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D3AE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7B2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122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514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34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1830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71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DF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8E3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4E9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E1AD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E115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656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B1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B5D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E7B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ED6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257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D5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96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C0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3A5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6F3A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769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DB2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81F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FF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CF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B5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2E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AD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01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BB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18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1ED4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791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348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F0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1D7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FE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00A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C13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E59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2F6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4A6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93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C1E2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5ED0C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36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17F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B50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441C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357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4AB9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聘用人员工资和社保待遇保障到位，激发了聘用人员工作积极性和责任心，聘用人员队伍稳定性进一步增强，有效弥补了编制内力量不足，保障了机关各项工作的正常有序运转，资金使用效果良好。</w:t>
            </w:r>
          </w:p>
        </w:tc>
      </w:tr>
      <w:tr w14:paraId="3A472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235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1973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69AB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C3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6B3D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2E3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AB1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EF225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FC6CAFD">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77B01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E92723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2D76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E9B1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C4ABF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51320023T000007878971－民营商广及知识产权</w:t>
            </w:r>
          </w:p>
        </w:tc>
      </w:tr>
      <w:tr w14:paraId="264FF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D595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DB46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073E4C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2080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3F8F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D940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5F36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5081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D3FB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288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305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092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89E67E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推动市场主体积极、自觉年报。2.对全州市场监管领域相关部门开展联合“双随机、一公开”检查，实现监管全覆盖、常态化，抽查比例不低于5%”。3.省、州“十四五”知识产权保护和运用规划重点任务持续推进。4.全州营商环境知识产权指标评价得分明显提升。5.城市县域知识产权工作进一步深化，企事业单位知识产权创造质量、运用效益、保护效果、管理水平进一步提升。6、省、州“十四五”民营经济发展规划重点任务持续推进。7、优化民营经济营商环境。8、持续推进“小个专”党建工作，发展非公有制经济党员，党员数有所提高，基层党组织有所提高。投诉处理率达到95%以上</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B158638">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民营经济、知识产权及广告监管各项任务圆满完成：开展民营经济及“小个专”党建宣传3次（含非公经济组织党建指导），知识产权宣传活动2次；“每万人口高价值发明专利拥有量”达到0.52件，超额完成0.5件目标；“双随机、一公开”企业抽查率达5.2%，年报率达91%，投诉处理及时率达92%，均优于年度目标值；全州营商环境知识产权指标评价得分明显提升，项目于2025年12月按期完成。</w:t>
            </w:r>
          </w:p>
        </w:tc>
      </w:tr>
      <w:tr w14:paraId="34FC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6F8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9AB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2B9525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围绕民营经济发展、知识产权保护和广告监管三大领域协同推进。一是积极推动市场主体年报工作，通过线上线下多种渠道宣传提醒，全州企业年报率达到91%以上。二是深入推进“双随机、一公开”监管，联合相关部门对全州市场主体开展跨部门联合抽查，实现监管全覆盖、常态化。三是持续推进省、州“十四五”知识产权保护和运用规划重点任务，加大知识产权宣传力度，培育高价值发明专利，加强地理标志产品保护和运用。四是深入推进“小个专”党建工作，发展非公有制经济党员，基层党组织覆盖面进一步扩大。五是进一步优化民营经济营商环境，持续开展民营企业帮扶活动，畅通政企沟通渠道。六是及时处理民营企业和个体工商户投诉举报，投诉处理率达到92%以上。</w:t>
            </w:r>
          </w:p>
        </w:tc>
      </w:tr>
      <w:tr w14:paraId="75FE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FEDB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5E9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917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A1E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4A11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B7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2E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C2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698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82FD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170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E34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8F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D1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5BFC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9BB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731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C58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486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5F5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B06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DEF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C1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76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B2B2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7E7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BAD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926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5D9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47D6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37C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4E3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075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593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A2C9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10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5C1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A0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580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7DB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5E7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3EA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9DF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273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D15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68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CA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D5F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311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750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137C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03A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189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C7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FF1D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9A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24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55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11A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ECD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30EC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6F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29B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DD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6E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B8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BC7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17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8F0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67B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05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A2A9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322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1C94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00D3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38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民营经济、小个专党建宣传次数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93F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740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2EF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FF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862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F0A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F5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6D2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4AD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19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D2B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F3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 知识产权宣传数量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00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38B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E8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71E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D82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485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8F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2509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CB1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CDB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4281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A97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每万人口高价值发明专利拥有量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3B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CC9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ADE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4A8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61E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AB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123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3FC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D179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084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AB4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3E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“双随机、一公开”企业抽查率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12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35F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E11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922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F2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C22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BE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B51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5D1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BD6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A3E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CC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年报率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C7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620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C7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DE6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C5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A1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94E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51DF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1AC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D17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EDFE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9EF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投诉处理及时率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EA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90D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00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704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C58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A0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E1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EC62A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27E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5F3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952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108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E4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D3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2D2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23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0E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25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75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B33D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A64D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E79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B53D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0F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知识产权营商环境</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94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B2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明显优化</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70E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DA0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明显优化</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9F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F9C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1FA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11E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F47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752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E34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E1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196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5FA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23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BC6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44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979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E4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7407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B14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CB4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5C7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B5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企业满意度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A3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CA2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2C8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63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CF5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F3F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63A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757D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5F2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C41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AB4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46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C6C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186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D7D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7F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DA7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EF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04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DAD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6ACCD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37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027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637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BC97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AF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AA717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全州民营经济发展营商环境明显优化，市场主体活力进一步激发，“小个专”党建工作取得新成效。知识产权创造质量、运用效益、保护效果和管理水平全面提升，每万人口高价值发明专利拥有量稳步增长。企业满意度达到80%以上，公平竞争的市场秩序呈现稳中向好态势。或成果。（200字以内）</w:t>
            </w:r>
          </w:p>
        </w:tc>
      </w:tr>
      <w:tr w14:paraId="2C6CA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0F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EA57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48C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8E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F9ACF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7EBC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A784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079C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75CF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820CB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493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620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679E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51320023T000008054761－弥补消委会经费补助</w:t>
            </w:r>
          </w:p>
        </w:tc>
      </w:tr>
      <w:tr w14:paraId="0CB93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8341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EAD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296821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7FEB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20505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F6A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105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9FC0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EDB0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5407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DE2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754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6E7F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改善消费维权环境。坚持“有诉必接、快速反应、及时处置”的工作理念，受理咨询投诉举报6123件，投诉调解成功率77.96%，高于全国平均水平24.17%。2025年开展组织建设、宣传活动及到省、县（市）开展业务工作进一步完善组织建设，发挥桥梁纽带作用，通过宣传活动引导消费者科学、合理、环保消费，督促经营者诚信经营，及时化解消费纠纷，维护本州消费者及进州旅游消费者合法权益，营造安全放心的消费环境。</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FF4E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消费维权各项工作圆满完成：开展消费宣传教育、引导活动3次（含“3·15”国际消费者权益日纪念活动、消费维权进社区、进景区宣传活动），超额完成2次目标；受理消费投诉6123件，超额完成6000件目标；消费投诉调解成功率78.2%，高于77.96%的年度目标；消费者维权知识知晓率提升21%；项目于2025年12月按期完成，安全放心的消费环境得到明显改善。</w:t>
            </w:r>
          </w:p>
        </w:tc>
      </w:tr>
      <w:tr w14:paraId="1ED41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5C8B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24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199A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紧紧围绕“改善消费维权环境、保护消费者合法权益”这一主线，全面加强消委会组织建设和业务能力建设。一是持续完善消费维权组织体系，加强州、县（市）两级消委会组织建设，充实基层消费维权力量。二是坚持“有诉必接、快速反应、及时处置”的工作理念，畅通12315投诉举报热线和网络投诉平台，全年受理投诉举报咨询6000余件，做到件件有回音、事事有着落。三是积极开展消费宣传教育活动，围绕“3·15”国际消费者权益日、国庆中秋等重要时间节点，组织开展形式多样的消费维权知识宣传活动，引导消费者科学、理性、绿色消费，督促经营者诚信守法经营。四是及时化解消费纠纷，投诉调解成功率持续保持在较高水平，高于全国平均水平。五是加强与省消委会和县（市）消委会的沟通协调，积极开展业务交流和学习培训。</w:t>
            </w:r>
          </w:p>
        </w:tc>
      </w:tr>
      <w:tr w14:paraId="20A1A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203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25D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58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1C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B165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4A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6AF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00D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502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BDD9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864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B4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4C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FE8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82D3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F33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1E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F2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B834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CF55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B95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E6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D01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0A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7BB9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C07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484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AEF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3EF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CE5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FE5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C9B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508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252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275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6E2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33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79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1D6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6544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C1F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3B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F1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AF7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E4A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CBA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1C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E8D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79C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9AF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363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54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F95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D33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F52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24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99B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C62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4F2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C5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77D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65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8D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125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79C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D5B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37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2C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0E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37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1A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CC07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B28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3F1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B5D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1D9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消费宣传教育、引导活动次数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FD8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8E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731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ED5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F4B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0A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E2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F9A6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D7E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5F1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192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05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受理消费投诉数量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581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D54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0AE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631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A3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AC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E76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A6B0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2A2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88C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0FB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36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消费投诉调解成功率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A7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148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AE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E6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77.96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A7C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EA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F13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738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735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CE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A0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229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FC0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55C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F9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CCF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934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13B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F7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EA2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838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936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AA1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61F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消费者维权知识知晓率提升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082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2AB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13C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0E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CA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037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42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FDF8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C5E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839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334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516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安全放心的消费环境</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E80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EDC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明显改善</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E1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467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明显改善</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FB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C1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11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0B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664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245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63A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EA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消费者满意度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E5C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266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47A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8E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59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54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08B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D8FE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FE9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226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0FF8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45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宣传品成本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C98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D2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56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元/套</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8C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81B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DA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DDC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3D4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71E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833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648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91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宣传资料成本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37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179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17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元/张</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A7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82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3E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717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173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E66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19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51D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62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62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06E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D54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B55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17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6C6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1C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E03B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4D6A0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EB1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6B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41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1D3D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861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4558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全州消费维权工作成效显著，消费投诉调解成功率持续保持高位，高于全国平均水平，有效维护了消费者特别是进州旅游消费者的合法权益。消费宣传教育活动覆盖面广、影响力大，消费者维权知识知晓率明显提升，安全放心的消费环境得到明显改善，消费者满意度达到90%以上。</w:t>
            </w:r>
          </w:p>
        </w:tc>
      </w:tr>
      <w:tr w14:paraId="65D2E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B0E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EC3A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B107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78A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B2E4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1724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CD36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B659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47882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91BAC7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9500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3E56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4B45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51320023Y000009917272－日常公用经费</w:t>
            </w:r>
          </w:p>
        </w:tc>
      </w:tr>
      <w:tr w14:paraId="3B2EC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019C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1771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1EEABE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FE90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067C3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DAD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CC4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4482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9097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D226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D93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DFE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15EE2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EC828F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预算执行规范有序：科目调整次数3次，控制在5次以内；预算编制准确率为2.8%，优于5%的控制目标；“三公”经费控制率为95%，控制在100%以内；运转保障率达到100%，确保了局机关日常办公、后勤服务等各项工作正常运转，资金使用效益良好。</w:t>
            </w:r>
          </w:p>
        </w:tc>
      </w:tr>
      <w:tr w14:paraId="0E82A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FB8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EE1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526D65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机关运转类公用经费，主要用于保障局机关日常办公运转的基本支出，具体包括办公费、水费、电费、取暖费、物业管理费、差旅费、维修（护）费、租赁费、会议费、培训费、公务接待费、劳务费、委托业务费、工会经费、福利费、公务用车运行维护费以及其他商品和服务支出等。项目实施过程中，严格执行预算管理制度，强化经费审批流程，厉行节约、反对浪费，从严控制“三公”经费支出，确保每一分钱都用在刀刃上，有效保障了机关日常办公和各项业务工作的顺利开展。</w:t>
            </w:r>
          </w:p>
        </w:tc>
      </w:tr>
      <w:tr w14:paraId="73224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BC1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474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B61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1B5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06B1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A25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E72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CD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EF8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4AE4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5B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4E7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9A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8EE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83BA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D6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877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F01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87E9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10A2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CE2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F69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8F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0DC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D45A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299.74</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A8F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7C7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D6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90C0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652A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E5B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161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B6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BA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14E5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C68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25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244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67F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AE55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508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4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A0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1D6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7309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0C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E1D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59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EE5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984C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86F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1ED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3AF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B00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35D3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4B6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DAC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A8B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86F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0105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5D19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30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F9C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0B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8E0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7D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082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D1C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EF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73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6F4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2AB2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7AC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E88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C0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73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AF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1DA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2E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FED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4F8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A90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11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0998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AB5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5C82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B0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F88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F28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332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FC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FA6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AF0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363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98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CA18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768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E8E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958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76C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5BF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7AA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DC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F5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8AC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04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D18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7D6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F4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618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3C3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F6D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AD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96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7E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4BC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82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6F5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513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76F3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52245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4A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974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0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CB3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74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B29743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经费使用规范合理，“三公”经费得到有效控制，机关运转平稳有序，后勤保障有力高效，未发生因经费不足影响正常工作的情况。项目预算编制科学、执行严格、绩效显著，充分体现了财政资金的使用效益，为全局各项工作提供了坚实的经费保障。</w:t>
            </w:r>
          </w:p>
        </w:tc>
      </w:tr>
      <w:tr w14:paraId="36A23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0C6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A833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56D5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83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432E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5F8C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18A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838FF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0C1AD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tcBorders>
              <w:top w:val="nil"/>
              <w:left w:val="nil"/>
              <w:bottom w:val="nil"/>
              <w:right w:val="nil"/>
            </w:tcBorders>
            <w:shd w:val="clear" w:color="auto" w:fill="auto"/>
            <w:vAlign w:val="center"/>
          </w:tcPr>
          <w:p w14:paraId="008BB69C">
            <w:pPr>
              <w:rPr>
                <w:rFonts w:hint="eastAsia" w:ascii="宋体" w:hAnsi="宋体" w:eastAsia="宋体" w:cs="宋体"/>
                <w:i w:val="0"/>
                <w:iCs w:val="0"/>
                <w:color w:val="000000"/>
                <w:sz w:val="18"/>
                <w:szCs w:val="18"/>
                <w:u w:val="none"/>
              </w:rPr>
            </w:pPr>
          </w:p>
          <w:p w14:paraId="35B54A3F">
            <w:pPr>
              <w:ind w:left="0" w:leftChars="0" w:firstLine="0" w:firstLineChars="0"/>
              <w:rPr>
                <w:rFonts w:hint="eastAsia" w:ascii="宋体" w:hAnsi="宋体" w:eastAsia="宋体" w:cs="宋体"/>
                <w:i w:val="0"/>
                <w:iCs w:val="0"/>
                <w:color w:val="000000"/>
                <w:sz w:val="18"/>
                <w:szCs w:val="18"/>
                <w:u w:val="none"/>
              </w:rPr>
            </w:pPr>
          </w:p>
        </w:tc>
        <w:tc>
          <w:tcPr>
            <w:tcW w:w="1905" w:type="dxa"/>
            <w:tcBorders>
              <w:top w:val="nil"/>
              <w:left w:val="nil"/>
              <w:bottom w:val="nil"/>
              <w:right w:val="nil"/>
            </w:tcBorders>
            <w:shd w:val="clear" w:color="auto" w:fill="auto"/>
            <w:vAlign w:val="center"/>
          </w:tcPr>
          <w:p w14:paraId="7267B7BA">
            <w:pPr>
              <w:rPr>
                <w:rFonts w:hint="eastAsia" w:ascii="宋体" w:hAnsi="宋体" w:eastAsia="宋体" w:cs="宋体"/>
                <w:i w:val="0"/>
                <w:iCs w:val="0"/>
                <w:color w:val="000000"/>
                <w:sz w:val="18"/>
                <w:szCs w:val="18"/>
                <w:u w:val="none"/>
              </w:rPr>
            </w:pPr>
          </w:p>
        </w:tc>
        <w:tc>
          <w:tcPr>
            <w:tcW w:w="1710" w:type="dxa"/>
            <w:tcBorders>
              <w:top w:val="nil"/>
              <w:left w:val="nil"/>
              <w:bottom w:val="nil"/>
              <w:right w:val="nil"/>
            </w:tcBorders>
            <w:shd w:val="clear" w:color="auto" w:fill="auto"/>
            <w:vAlign w:val="center"/>
          </w:tcPr>
          <w:p w14:paraId="54DC52C1">
            <w:pPr>
              <w:rPr>
                <w:rFonts w:hint="eastAsia" w:ascii="宋体" w:hAnsi="宋体" w:eastAsia="宋体" w:cs="宋体"/>
                <w:i w:val="0"/>
                <w:iCs w:val="0"/>
                <w:color w:val="000000"/>
                <w:sz w:val="18"/>
                <w:szCs w:val="18"/>
                <w:u w:val="none"/>
              </w:rPr>
            </w:pPr>
          </w:p>
        </w:tc>
        <w:tc>
          <w:tcPr>
            <w:tcW w:w="2185" w:type="dxa"/>
            <w:tcBorders>
              <w:top w:val="nil"/>
              <w:left w:val="nil"/>
              <w:bottom w:val="nil"/>
              <w:right w:val="nil"/>
            </w:tcBorders>
            <w:shd w:val="clear" w:color="auto" w:fill="auto"/>
            <w:vAlign w:val="center"/>
          </w:tcPr>
          <w:p w14:paraId="7D3A4312">
            <w:pPr>
              <w:rPr>
                <w:rFonts w:hint="eastAsia" w:ascii="宋体" w:hAnsi="宋体" w:eastAsia="宋体" w:cs="宋体"/>
                <w:i w:val="0"/>
                <w:iCs w:val="0"/>
                <w:color w:val="000000"/>
                <w:sz w:val="18"/>
                <w:szCs w:val="18"/>
                <w:u w:val="none"/>
              </w:rPr>
            </w:pPr>
          </w:p>
        </w:tc>
        <w:tc>
          <w:tcPr>
            <w:tcW w:w="514" w:type="dxa"/>
            <w:tcBorders>
              <w:top w:val="nil"/>
              <w:left w:val="nil"/>
              <w:bottom w:val="nil"/>
              <w:right w:val="nil"/>
            </w:tcBorders>
            <w:shd w:val="clear" w:color="auto" w:fill="auto"/>
            <w:vAlign w:val="center"/>
          </w:tcPr>
          <w:p w14:paraId="2122FCBE">
            <w:pPr>
              <w:rPr>
                <w:rFonts w:hint="eastAsia" w:ascii="宋体" w:hAnsi="宋体" w:eastAsia="宋体" w:cs="宋体"/>
                <w:i w:val="0"/>
                <w:iCs w:val="0"/>
                <w:color w:val="000000"/>
                <w:sz w:val="18"/>
                <w:szCs w:val="18"/>
                <w:u w:val="none"/>
              </w:rPr>
            </w:pPr>
          </w:p>
        </w:tc>
        <w:tc>
          <w:tcPr>
            <w:tcW w:w="1584" w:type="dxa"/>
            <w:tcBorders>
              <w:top w:val="nil"/>
              <w:left w:val="nil"/>
              <w:bottom w:val="nil"/>
              <w:right w:val="nil"/>
            </w:tcBorders>
            <w:shd w:val="clear" w:color="auto" w:fill="auto"/>
            <w:vAlign w:val="center"/>
          </w:tcPr>
          <w:p w14:paraId="2872AE20">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1AEB2DD5">
            <w:pPr>
              <w:rPr>
                <w:rFonts w:hint="eastAsia" w:ascii="宋体" w:hAnsi="宋体" w:eastAsia="宋体" w:cs="宋体"/>
                <w:i w:val="0"/>
                <w:iCs w:val="0"/>
                <w:color w:val="000000"/>
                <w:sz w:val="18"/>
                <w:szCs w:val="18"/>
                <w:u w:val="none"/>
              </w:rPr>
            </w:pPr>
          </w:p>
        </w:tc>
        <w:tc>
          <w:tcPr>
            <w:tcW w:w="1087" w:type="dxa"/>
            <w:tcBorders>
              <w:top w:val="nil"/>
              <w:left w:val="nil"/>
              <w:bottom w:val="nil"/>
              <w:right w:val="nil"/>
            </w:tcBorders>
            <w:shd w:val="clear" w:color="auto" w:fill="auto"/>
            <w:vAlign w:val="center"/>
          </w:tcPr>
          <w:p w14:paraId="77385A87">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1C63D8AA">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60F65E4D">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74876C16">
            <w:pPr>
              <w:rPr>
                <w:rFonts w:hint="eastAsia" w:ascii="宋体" w:hAnsi="宋体" w:eastAsia="宋体" w:cs="宋体"/>
                <w:i w:val="0"/>
                <w:iCs w:val="0"/>
                <w:color w:val="000000"/>
                <w:sz w:val="18"/>
                <w:szCs w:val="18"/>
                <w:u w:val="none"/>
              </w:rPr>
            </w:pPr>
          </w:p>
        </w:tc>
      </w:tr>
      <w:tr w14:paraId="1AB00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08A47E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DFCD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8EA2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A6506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51320024R000010654621－退休人员经费</w:t>
            </w:r>
          </w:p>
        </w:tc>
      </w:tr>
      <w:tr w14:paraId="5CDF9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28F4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20C7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67DAE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4E46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B89A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683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E620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B628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FD1C2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125A7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915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306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F2F79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B4EBEC7">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按照退休人员相关政策规定，全年按月及时、足额发放退休人员基本养老金、生活补贴、节日慰问金等各项待遇，发放覆盖率100%，足额保障率100%，预算执行率100%，有效保障了退休人员晚年生活，维护了社会和谐稳定。</w:t>
            </w:r>
          </w:p>
        </w:tc>
      </w:tr>
      <w:tr w14:paraId="2CA47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72E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BF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0D271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人员类支出项目，主要用于保障局机关及所属单位退休人员的各项待遇。局人事科和财务科每月根据社保经办机构核定的发放标准和人员变动情况，及时编制退休人员待遇发放明细表，通过社保统发系统或单位代发方式，按月将各项待遇足额发放至退休人员个人账户。同时，做好退休人员管理服务工作，定期组织退休人员开展文体活动、健康体检、节日慰问等，丰富退休人员精神文化生活。</w:t>
            </w:r>
          </w:p>
        </w:tc>
      </w:tr>
      <w:tr w14:paraId="2AA10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7172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552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7A7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6EB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35C5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A3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EB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FC3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91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3F1F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CB9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56E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776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342.96</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15A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1B4B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445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7E6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6E0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986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2FDC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6B0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BE8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2E9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342.96</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7B1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D775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332.19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A17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53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BF6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310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9652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269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22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144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CF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566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4D3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505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F15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A9E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26D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E7F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9E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B74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1A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50D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463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4B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0F5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C49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1A00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A2F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E1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1D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D88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3F0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5D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CD3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FD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097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D650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54F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64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653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32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11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6F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57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55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5D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7BA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08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A0B9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643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14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A5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F02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32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934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7F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0FA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4F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9E9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221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488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19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6C8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D4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93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BC3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61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58F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BD7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0BA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123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6E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77BC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3C1C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DB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3F2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430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B27F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D23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F9ADC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退休人员各项待遇落实及时、准确、到位，得到全局退休人员的一致好评。退休人员管理服务工作细致周到，退休干部满意度持续保持高水平，有效维护了社会和谐稳定和单位良好形象。的成效或成果。（200字以内）</w:t>
            </w:r>
          </w:p>
        </w:tc>
      </w:tr>
      <w:tr w14:paraId="3CC64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471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4346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6D16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58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D838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3B13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B095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2AB0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4168A7C">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15914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6A5FC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6B3F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12A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C985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51320024R000010655518－目标绩效奖（行政按月随工资发放70%部分）</w:t>
            </w:r>
          </w:p>
        </w:tc>
      </w:tr>
      <w:tr w14:paraId="781B7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5BE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2F71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78400F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FA76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5996F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7707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1F07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B8BEE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DBC7F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F6FB9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0CF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7D0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42AA0C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E28BF3">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按照目标绩效考核和奖励政策规定，全年按月将目标绩效奖70%部分随工资同步发放，发放覆盖率100%，足额保障率100%，预算执行率100%，有效发挥了绩效奖的激励导向作用，促进了干部职工履职尽责、争优创先。</w:t>
            </w:r>
          </w:p>
        </w:tc>
      </w:tr>
      <w:tr w14:paraId="4A388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CB0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A5E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292474">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人员类支出项目，是干部职工目标绩效考核奖励的重要组成部分。局人事科根据年度目标绩效考核办法，结合每月工作任务完成情况，动态核定个人绩效奖发放标准；财务科将绩效奖纳入月度工资发放明细，同步申报、同步审核、同步发放。全年绩效奖发放做到“三个结合”：与岗位职责履行情况相结合、与平时考核结果相结合、与单位整体工作绩效相结合，充分体现多劳多得、优绩优酬的分配导向。</w:t>
            </w:r>
          </w:p>
        </w:tc>
      </w:tr>
      <w:tr w14:paraId="3CAA7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4860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8CC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93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854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927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80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13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77A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526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D1D2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77C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40A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8A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58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2D30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38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A1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91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A784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BBD0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FCD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8C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0C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5A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F40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425.48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0FC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6F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290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62F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DF5C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831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027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CD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9E5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0001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E3A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BC0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16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CEE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B960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7BB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A6F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B1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D0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1288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13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C09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82B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9C0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C7E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8E2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04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15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CAB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830D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AF3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5A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142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4DA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4DBE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9AA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117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B4D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2D1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ED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F73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2D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008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56B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34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3F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8566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442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B0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30C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033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AC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834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9CD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1B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55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7DA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86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6E4D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98D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424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BE0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05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47F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F4D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7C7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2A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75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DE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4D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1E16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D8EA2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E5D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96A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904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F163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D5A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8421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项目自评得分100分。绩效奖励按月及时兑现，有效增强了干部职工的绩效意识和责任意识，激发了全局上下干事创业、争创一流的工作热情，为推进各项市场监管重点工作提供了有力的制度激励和经费保障。</w:t>
            </w:r>
          </w:p>
        </w:tc>
      </w:tr>
      <w:tr w14:paraId="070C5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ECB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EDFA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F820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6D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10E5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8165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770C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91BBD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1B0BBBD">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5F47F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42D977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2B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B49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A5C8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51320024T000012032363-2024年市场监管专项资金</w:t>
            </w:r>
          </w:p>
        </w:tc>
      </w:tr>
      <w:tr w14:paraId="6B452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A188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68BD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7D28C4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C76D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7A1C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C01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B94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F4E8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FF60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A142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029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6E4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F5251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按照省市场监管局年度重点工作任务，完成食品抽检监测、工业产品质量安全监管、“铁拳”暨 “春雷”行动、市场监管综合业务等工作。</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8AC76A">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度省级市场监管专项资金任务全面完成：完成省级普通食品抽检监测458批次，覆盖全州13县（市）；特种设备安全现场检查完成52家，超额完成50家目标；“铁拳”暨“春雷”行动完成率达100%，查处了一批有影响力的典型案件；放心舒心消费示范单元提质升级现场核查完成210户，超额完成200户目标。食品抽检信息公布率100%，生产环节抽查合格率92%，抽检不合格食品核查处置率100%。辖区内未发生重大食品安全监管责任事故，项目于2024年12月按期完成。</w:t>
            </w:r>
          </w:p>
        </w:tc>
      </w:tr>
      <w:tr w14:paraId="149C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B05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44B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C5FDC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省级转移支付资金项目，严格按照省市场监管局年度重点工作任务安排，统筹推进以下工作：一是认真组织实施省级普通食品抽检监测计划，规范抽样、检验、结果报送和信息公布流程，确保458批次抽检任务圆满完成。二是深入开展“铁拳”暨“春雷”行动，聚焦民生领域群众反映强烈的突出问题，加大执法办案力度，查办了一批大案要案。三是加强特种设备安全现场检查，对人员密集场所电梯、游乐设施、压力容器等重点设备进行全面排查。四是持续推进放心舒心消费示范单元提质升级工作，对全州200余户申报单位开展现场核查验收。五是严格食品抽检不合格产品核查处置，做到件件有结果、事事有反馈，坚决守住食品安全底线。</w:t>
            </w:r>
          </w:p>
        </w:tc>
      </w:tr>
      <w:tr w14:paraId="31582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31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9A9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BE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FA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4822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B9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985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133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173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2684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CA3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2DC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8D2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22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BF05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C1A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1D0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6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8AB6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6E6D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134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DE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DE2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1F6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4DD3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6A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794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404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29D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24A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C3D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3E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CAB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E2A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63AC2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2E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523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82E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ED4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37C7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C5D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74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44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766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0335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7F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8E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F2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54B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AF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9AA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F78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41A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AD4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D0B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F59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8B5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FD2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667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1C3A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ED39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7A5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4F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977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4C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3C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2FF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FE0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A63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EC7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F8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101A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F9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A4D3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9A99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4FB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省级普通食品抽检监测任务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D66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36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458</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9DA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16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458</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9E4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53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60A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963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42E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E46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B94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CB3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特种设备安全现场检查</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96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FA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428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A0C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697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2F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27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E7FD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B02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13C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6C1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AB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“特拳”及“春雷”行动</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21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72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3E3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D2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E74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93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0BF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2760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661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67F6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6BF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C5E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放心舒心消费示范单元提质升级的现场核查数量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F6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96E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70E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户</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5AA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CE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E1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FC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D6496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916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87C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CAA7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4B4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食品抽检应公布信息公布率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4F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42D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74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407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096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CD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AE2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9DF4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0E2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D79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437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F1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生产环节抽查合格率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16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A7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25F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1FE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95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A7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69F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C081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93C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947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D70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84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抽检不合格食品核查处置率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109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245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132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1C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7E1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77A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4AC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4B36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8AF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B86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5F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AD6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58D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308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4B4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6E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E5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DB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746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52BB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50B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9E4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D628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025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辖区内与补助资金相关的重大食品安全监管责任事故发生数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AD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3FB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EB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DA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51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62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D2D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740E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900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3D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041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DA4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98E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F53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48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FC1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58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25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9DE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1FC2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847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DF0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A3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83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严守食品安全、工业产品安全、特种设备安全底线</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4B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A2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6C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52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E02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6B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B1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CA9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D55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87A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5F8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719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公众对食品安全的满意度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E46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11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9A6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分</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C8C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F8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7C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F8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B95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00E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266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32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1F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食品抽检检测成本（每批次）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B7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4E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CCD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CD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237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07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BC5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A49A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09A7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14C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68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15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5E20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3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1C9D82B">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省级市场监管专项资金使用规范高效，各项产出指标全部达成，三条安全底线（食品安全、工业产品安全、特种设备安全）守牢守稳，公平竞争市场秩序呈现稳中向好态势。放心舒心消费环境建设成效明显，公众对食品安全的满意度达到75分以上，项目社会效益显著。</w:t>
            </w:r>
          </w:p>
        </w:tc>
      </w:tr>
      <w:tr w14:paraId="7796D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C0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3B96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6807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40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D8CB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3695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3EDE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013C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032A0D9">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2E54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70E0B6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2AD0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3F7C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A1D0D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51320025R000012338995－追加人员工资性支出</w:t>
            </w:r>
          </w:p>
        </w:tc>
      </w:tr>
      <w:tr w14:paraId="09211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3D7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B730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754A1F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FAE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1DEE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424D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B609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C76A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9882F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3E89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2A2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4A5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AFBA2C">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EF4342B">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严格执行相关政策规定，及时、足额完成人员工资性支出的追加发放工作，发放覆盖率100%，足额保障率100%，预算执行率100%，保障了干部职工工资待遇的全面落实。</w:t>
            </w:r>
          </w:p>
        </w:tc>
      </w:tr>
      <w:tr w14:paraId="608AE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AB8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2A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6AD121">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该项目为年中追加的人员类支出项目，主要用于解决因政策性调资、人员新增、职务职级变动等因素产生的工资性支出需求。局人事科在收到相关政策文件和批复后，及时核实应享受人员名单、职务职级变动信息和调资标准，重新测算工资发放金额；财务科按照规定程序申报预算调整和用款计划，通过财政工资统发系统将追加资金补发至相关人员个人账户，确保各项工资待遇及时足额兑现。</w:t>
            </w:r>
          </w:p>
        </w:tc>
      </w:tr>
      <w:tr w14:paraId="1F64E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68D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CF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0FA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F41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007C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B97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CA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0B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40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6099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1ED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A2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A3D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9A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863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51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96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33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4ED7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4DC6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E87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229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27D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B4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AACC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74.93</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D5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89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17A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60F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B2BB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C54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BD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9C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61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1CEE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0DD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BD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8CA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C4D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9E5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097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DF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67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70E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B5D5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C04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A5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83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D03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E9D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6F2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AA7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68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C09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E294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AD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7CE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BD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E50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8267D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25C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18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8E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A2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19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23E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3C45">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BC22">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DBB3C">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27A70">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FEF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E0F7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648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99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4E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A9ADB">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0C2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776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BC8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F86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ABE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F90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F0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9F5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824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FDC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A6F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B6CC4">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C4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D18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F8A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ABF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EC6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184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15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2E63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9854B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81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9F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A4A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94C5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8C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5AD0EC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项目自评得分100分。追加资金使用规范合规，工资补发及时准确，有效保障了干部职工的合法权益，维护了队伍稳定，充分体现了财政部门对人员经费的优先保障和精准配置，资金使用效果良好。以内</w:t>
            </w:r>
            <w:r>
              <w:rPr>
                <w:rFonts w:hint="eastAsia" w:ascii="宋体" w:hAnsi="宋体" w:eastAsia="宋体" w:cs="宋体"/>
                <w:color w:val="000000"/>
                <w:kern w:val="0"/>
                <w:sz w:val="24"/>
                <w:lang w:val="en-US" w:eastAsia="zh-CN"/>
              </w:rPr>
              <w:t>）</w:t>
            </w:r>
          </w:p>
        </w:tc>
      </w:tr>
      <w:tr w14:paraId="2C1B7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CA7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945D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E739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E4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1E5D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FC4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A26B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7C26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4DB4E35">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65168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0C037F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D7A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8ED1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D1B8D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51320025R000012408768－年度考核奖（30%）</w:t>
            </w:r>
          </w:p>
        </w:tc>
      </w:tr>
      <w:tr w14:paraId="7CB5EC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5489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91F3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FDDF1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483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091B1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4C64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C46B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A080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55B9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0C64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47C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3B1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3C0DF5">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严格执行相关政策，保障工资及时、足额发放或社保及时、足额缴纳，预算编制科学合理，减少结余资金</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FFB94F">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按照年度考核结果和奖励政策规定，及时、足额发放年度考核奖30%部分，发放覆盖率100%，足额保障率100%，预算执行率100%，有效发挥了考核奖的激励导向作用。</w:t>
            </w:r>
          </w:p>
        </w:tc>
      </w:tr>
      <w:tr w14:paraId="0DF92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4A6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A27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F08C0A">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该项目为人员类支出项目，用于兑现年度考核结果确定的30%奖励部分。局人事科根据年度考核实施方案，在完成年度考核工作后，汇总各单位各岗位考核结果，按照优秀、称职（合格）等次对应的奖励标准，准确计算每位干部职工应发金额。经局党组审定并公示无异议后，财务科通过预算管理一体化系统申报用款计划，将考核奖剩余30%部分一次性发放至个人账户。</w:t>
            </w:r>
          </w:p>
        </w:tc>
      </w:tr>
      <w:tr w14:paraId="73085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1263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810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18"/>
                <w:szCs w:val="18"/>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915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F31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5D0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4E233">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DDF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C8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55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174F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40F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6BD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B7A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159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B24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6BD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38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4F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EFD9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F50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853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B3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3F5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209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BD71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198.28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48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C4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2BC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07C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DEDE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206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2E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2C4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6AC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49AA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A0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C9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F3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5CB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7D86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6AE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01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98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B02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543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1AE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5DF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DE7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C98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5793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8F5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489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168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EB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B526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28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189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2B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6E0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580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2B5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B96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2D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E37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432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A2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A567">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DF51">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CA81F">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E3077">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D5D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74C53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C13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46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7B2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066B">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发放（缴纳）覆盖率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F4E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762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DE3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BF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BF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9C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09C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F808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403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61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119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23D5A">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足额保障率（参保率）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7B0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B8F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F17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069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A6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283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1DB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3CD8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52C24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E81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AB8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FA9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44CE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6E9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4635C96">
            <w:pPr>
              <w:widowControl/>
              <w:spacing w:line="240" w:lineRule="exact"/>
              <w:ind w:firstLine="0" w:firstLineChars="0"/>
              <w:jc w:val="left"/>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项目自评得分100分。年度考核奖发放工作组织有序、程序规范、公开透明，充分体现了“奖优罚劣、激励先进”的考核导向，有效调动了干部职工干事创业、争先创优的积极性和主动性，进一步营造了比学赶超的良好工作氛围。</w:t>
            </w:r>
          </w:p>
        </w:tc>
      </w:tr>
      <w:tr w14:paraId="2F501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75EB5">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B976EA">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6ABA5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8E29">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A8E278">
            <w:pPr>
              <w:widowControl/>
              <w:spacing w:line="240" w:lineRule="exact"/>
              <w:ind w:firstLine="0" w:firstLineChars="0"/>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无</w:t>
            </w:r>
          </w:p>
        </w:tc>
      </w:tr>
      <w:tr w14:paraId="69759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BF03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57C8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2C656DF">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5B182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47AB43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A30D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3F2E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083A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51320025T000012488942－标准综合监管经费</w:t>
            </w:r>
          </w:p>
        </w:tc>
      </w:tr>
      <w:tr w14:paraId="08B3D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45E3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08D3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26B4F7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D348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B70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BBA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979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88AD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8F16F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FDB7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AB8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4A3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B76A8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督促开展对标准实施的监督检查、组织开展企业标准、团体标准双随机抽查、强制性标准宣传贯彻、开展标准实施信息调查反馈和效果评估工作、开展州级地方标准复审、开展地方标准审查备案工作、开展企业的对标达标工作。开展“天府名品”创建标准化、监督商品条码管理等工作。</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2706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标准综合监管各项任务圆满完成：完成标准双随机抽查3项，涵盖企业标准、团体标准等类型；复审地方标准22个，超额完成20个目标；标准抽查评价问题发现率12%，超额完成10%的目标；地方标准复审于2025年12月按期完成。标准引领产业高质量发展效果不断向好，标准化工作对全州经济社会发展的基础性、战略性支撑作用日益凸显。</w:t>
            </w:r>
          </w:p>
        </w:tc>
      </w:tr>
      <w:tr w14:paraId="41870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AC0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D4F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02C3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围绕标准化战略实施，系统推进以下工作：一是组织开展企业标准、团体标准“双随机、一公开”抽查，对抽取的3项标准进行合规性、规范性评价，发现并督促整改标准编写不规范、技术指标落后等问题。二是对州级已发布地方标准进行全面复审，完成22项地方标准的审查评估，对不适应经济社会发展需要的标准提出修订或废止建议。三是开展强制性国家标准宣传贯彻培训，推动相关部门和企业准确理解和严格执行强制性国家标准。四是积极开展“天府名品”创建标准化工作，指导优势企业参与品牌价值评价。五是加强商品条码管理，监督规范商品条码应用，维护消费者和生产企业合法权益。</w:t>
            </w:r>
          </w:p>
        </w:tc>
      </w:tr>
      <w:tr w14:paraId="28558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F977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421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8B5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C95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A90D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3A3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A2A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3BC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61E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E895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3C1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A34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156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BF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884B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E0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B1C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32F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578E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61D9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B59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D5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CB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C42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FBCD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9.45</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10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3A2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A4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896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050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46E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DFF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3E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71B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24F1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BC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AF2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0D9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DE6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8CCA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B20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CB3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DC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132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6C01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C55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E83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8D8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E6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BB1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389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54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E9F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5CD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F2CF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8B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9CD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9A9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DA4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F580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1EF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63A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9C6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B1E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9E0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C54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A1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5F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3E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265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81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BC01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549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2E1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2DA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27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标准双随机抽查数量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EF8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24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F3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521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78A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D71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1B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23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F0F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D09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5AC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0DF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复审地方标准数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94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CD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FBE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FB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C9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96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193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4CD8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4F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6A5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E9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9E6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标准抽查评价问题发现率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6C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B4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542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CA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EE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27D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89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152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A62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928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024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FC3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地方标准复审完成时间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B3E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3E8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645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E9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8C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B8B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4B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AAE6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E0B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CA4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920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DD0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标准引领产业高质量发展</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53C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57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不断向好</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7C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1B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不断向好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031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D8E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E7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9F6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7D9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8F0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085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4A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标准化监管工作满意度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B9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38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4C1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87B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0A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573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355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7FDD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7FD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DFD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2DE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7C6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标准评价成本（每项）</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49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234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C7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F46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17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F2B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D28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763FA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254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16F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DC6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826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项目总成本控制率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E9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BAD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13D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B2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5A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B3B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67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49FF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23DA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235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D68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C9C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90E2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722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7FDBD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标准综合监管工作深入推进，企业标准化意识不断增强，标准质量水平持续提升。地方标准复审清理工作有效解决了标准老化、指标落后等问题，标准体系更加科学合理。标准引领产业高质量发展的作用不断显现，为全州产业转型升级、质量品牌提升提供了有力标准支撑，标准化监管工作满意度达到50%以上。</w:t>
            </w:r>
          </w:p>
        </w:tc>
      </w:tr>
      <w:tr w14:paraId="0C6A7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29C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55B8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173D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4E2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88875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E7C0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081C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4E69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CC19BD0">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1B6A7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49A43B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37F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D5EA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8834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51320025T000012881881-2024年中央食品监管专项资金</w:t>
            </w:r>
          </w:p>
        </w:tc>
      </w:tr>
      <w:tr w14:paraId="1FA10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12D5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1B13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70E20E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23D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745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3552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219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F6C4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E3B0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0FF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9E3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2A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38A7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深入开展食品风险隐患排查；强化食品抽检监测工作；加强基层食品监管人员能力建设工作培训；                                        加强培训，提高监管人员专业水平和综合素质；监管及检验检测技术支持能力提升；委托聘请第三方机构开展2024年下半年食品生产企业许可现场核查工作。</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B9CB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度中央食品监管专项资金任务全面完成：完成食品生产企业许可现场核查17家，覆盖重点食品品类；抽检不合格食品核查处置率100%；食品安全投诉举报处置率100%；食品监管业务培训成本控制在400元/人·次以内；辖区内未发生与补助资金相关的重大食品安全监管责任事故，食品安全执法能力和监管水平逐步提高，项目于2024年12月按期完成。</w:t>
            </w:r>
          </w:p>
        </w:tc>
      </w:tr>
      <w:tr w14:paraId="189AA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795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97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A8CE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中央转移支付资金项目，围绕食品生产监管能力提升，重点开展了以下工作：一是委托第三方专业技术机构，对全州17家重点食品生产企业开展许可现场核查和生产条件合规性检查，严把食品生产准入关。二是持续加强抽检不合格食品的核查处置工作，对国抽、省抽发现的不合格产品，第一时间启动处置程序，督促企业查找原因、彻底整改、召回产品，100%完成核查处置任务。三是畅通食品安全投诉举报渠道，全年食品安全类投诉举报均在法定时限内办结，做到“件件有着落、事事有回音”。四是组织开展基层食品监管人员能力提升培训，培训内容涵盖食品安全法律法规、现场检查实务、抽样检验规范等，有效提升了基层监管队伍专业水平。五是加强食品检验检测技术能力建设，不断夯实食品安全监管技术支撑基础。</w:t>
            </w:r>
          </w:p>
        </w:tc>
      </w:tr>
      <w:tr w14:paraId="1672C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E4D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BE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3FA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0C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F67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8D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22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1F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F83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5C37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01A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2C0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82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0F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3115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97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B5F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3D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4451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86D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69E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B4B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33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C8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B620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1.27</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632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4B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57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16E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C402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C30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FD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CC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CE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C890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5F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32D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497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5F3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2743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2FB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6D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C8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F78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C92E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9C4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46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7EA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5A9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0D4F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78C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BC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710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B8B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9732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EC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3B5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BA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EC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02B0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250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D33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D6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B0B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2C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21E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F9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C32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55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26C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69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8B28C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A9E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4146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742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E25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生产核查数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163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28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79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7A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17</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E9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54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932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0141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9A5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CD6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947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364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抽检不合格食品核查处置率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E63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EB7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A2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4A7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81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AE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09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2070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207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450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46F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CC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食品安全投诉举报处置率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16A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8A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10D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86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9B7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BB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B2B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7D4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067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1DC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DB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52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食品监管专项工作整体完成时间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46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61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D9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65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3B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F5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5D8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8083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7B9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D94D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A65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FC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辖区内与补助资金相关的重大食品安全监管责任事故发生数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6A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411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6A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56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73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6A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7F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1DF1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E4E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050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C7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21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食品安全执法能力和监管能力</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2B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F6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6A3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4D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BDF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21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134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EFA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68A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EDC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713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39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重大活动食品安全保障对象满意度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A66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8F3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0B5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43D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43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999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400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D2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71D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B6D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DD8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25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食品监管业务培训成本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7B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0A0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8E1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元/人·次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BED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163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C10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B1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9F5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72D61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C0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29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72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C635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786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605A7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中央食品监管专项资金的高效使用，有力支撑了全州食品安全监管能力的持续提升，食品生产源头监管得到全面加强，企业主体责任意识明显增强，食品安全投诉举报处置高效规范，重大活动食品安全保障对象满意度达到85%以上，全州食品安全形势持续稳定向好。</w:t>
            </w:r>
          </w:p>
        </w:tc>
      </w:tr>
      <w:tr w14:paraId="786D2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79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A04AB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6D97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DDE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F5F3C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8F5E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2F9F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07314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220D6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820FED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BF0E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CE23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D9453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51320025T000013665248－职工交伙食费</w:t>
            </w:r>
          </w:p>
        </w:tc>
      </w:tr>
      <w:tr w14:paraId="67752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9ED2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496CF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6A42E0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7BC8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CB15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EFD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4F8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4221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AB23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2EA5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EB0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7BF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E5F1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0037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全年职工食堂伙食费管理规范有序：科目调整次数2次，控制在5次以内；预算编制准确率3%，优于5%的控制目标；支出率100%；运转保障率100%，确保了职工食堂的正常供餐和食品安全。</w:t>
            </w:r>
          </w:p>
        </w:tc>
      </w:tr>
      <w:tr w14:paraId="737A6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8C4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76B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F6037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单位资金项目，主要用于保障机关职工食堂的正常运营。食堂管理小组按季度编制食堂经费预算，严格执行经费审批和报销制度，确保伙食费收支平衡、公开透明。每月对食材采购价格、品种、数量进行公示，接受职工监督。同时，加强食堂食品安全管理，严格落实食品原料进货查验、索证索票、食品留样等制度，确保职工用餐安全。年终对全年伙食费收支情况进行全面核算，结余部分按规定结转或退还职工。</w:t>
            </w:r>
          </w:p>
        </w:tc>
      </w:tr>
      <w:tr w14:paraId="3C98F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BD1F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F6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19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80B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DFA0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BB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8D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27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DF9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9431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8D5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BE9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ABA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3F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AB32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85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3CA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32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8992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4A38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905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1CB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939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E6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4CC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195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FC9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72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E95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2D30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132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ED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692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BAA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5C7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AD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89E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B6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E59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5DFD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97F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306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F0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17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B938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7.45</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F4D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4CC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209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41A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475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E13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C6E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E3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ED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420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B3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795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56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C45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ECE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304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DC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0D5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43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AE7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6F9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6B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80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E28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8F7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6EE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D51A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583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5DF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556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84A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128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EA2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47A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8F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1FB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407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A5F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3495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CE2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095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02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1C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2E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AC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23E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AD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D92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00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A35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2CBB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D37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A84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6D8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8D3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支出率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3FE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98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EF5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88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973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03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5D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A33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FDC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D2A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A54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CB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31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DC9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3E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9EC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4FD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99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9D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54F6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A89A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7A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63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7A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A34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9"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2C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3796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职工食堂伙食费管理规范、收支透明、品质有保障，职工对食堂饭菜质量和食品安全状况普遍满意。项目资金使用合规高效，有效保障了机关职工基本生活需求，为全局干部职工集中精力投入工作提供了良好的后勤服务保障。</w:t>
            </w:r>
          </w:p>
        </w:tc>
      </w:tr>
      <w:tr w14:paraId="3384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E9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7634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3748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7F9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1253C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02AB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2"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065F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2AC8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49886986">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5123C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D88DBDB">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988E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4645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367F5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51320025T000013665298－代扣水费</w:t>
            </w:r>
          </w:p>
        </w:tc>
      </w:tr>
      <w:tr w14:paraId="44646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5532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8C59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3F1A0F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F069A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5C8E8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2B3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2E7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8B7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A77A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4E1C9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19F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204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8D5A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A8B37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全年代扣水费管理规范有序：科目调整次数1次，控制在5次以内；预算编制准确率2%，优于5%的控制目标；支出率100%；运转保障率100%，确保了局机关日常办公和职工生活用水的正常供应。</w:t>
            </w:r>
          </w:p>
        </w:tc>
      </w:tr>
      <w:tr w14:paraId="442D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4EB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B1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2FBC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单位资金项目，主要用于按月缴纳局机关办公区域和职工宿舍的公共用水费用。局机关服务中心每月与供水公司核对用水量和应缴金额，确认无误后通过预算管理一体化系统或财政代管账户办理水费代扣代缴手续。同时，加强节约用水宣传教育，推广节水器具，定期检查供水管网，及时发现和维修跑冒滴漏问题，有效降低了水资源消耗和用水成本。</w:t>
            </w:r>
          </w:p>
        </w:tc>
      </w:tr>
      <w:tr w14:paraId="502C9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7D2E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CB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B8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60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2AE1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F0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39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2B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51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B03E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F93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2A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37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3E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F221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F7D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81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4F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A4B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CB62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250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8DA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96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FB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DF07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AD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D0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C8C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633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390A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23B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A5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0D6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6F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11FB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62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A4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12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E64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6F3C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360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1D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9E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3FA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28CB5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0.59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838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E96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41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6A1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3525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80D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72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C6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0A7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A905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39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BEB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D4D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7AD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D7FF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989D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C9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9B4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FD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722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F8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92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D1B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8F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02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D1F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C35F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17F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9443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E2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3C5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EF6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96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4F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F88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10B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42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29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C50C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972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D06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8AD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D41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44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14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FC8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CF6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D5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66E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EC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EE0D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414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6B03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9FF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A0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支出率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3B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AF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84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81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1C2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A88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6C7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AEC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332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0F1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C0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59B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0F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FC4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A4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270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54F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F04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23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DF4D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1A03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44C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93E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4EC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3CE5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545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05B0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项目自评得分100分。水费缴纳工作规范及时，全年未发生停水欠费问题，有效保障了局机关正常运转和职工日常生活。节约用水措施落实到位，水资源利用效率明显提高，体现了绿色低碳的机关运行理念。</w:t>
            </w:r>
          </w:p>
        </w:tc>
      </w:tr>
      <w:tr w14:paraId="79EFC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24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AE36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FE57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7D6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2CA3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CE14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209D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BF50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A4B9D8B">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140BD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DCFBB1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6A13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CE1E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EC190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51320025T000013665363-质量保证金</w:t>
            </w:r>
          </w:p>
        </w:tc>
      </w:tr>
      <w:tr w14:paraId="010F8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7D41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E919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B1747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A9F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5C7CE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8D3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0D4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6C9A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8A5B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E657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C7B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A67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D319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开展单位办公室维修，抽检项目，信息化建设等项目质量保证金，上缴财政代管，从一体化中退付。</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0A8F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质量保证金管理规范有序：科目调整次数2次，控制在5次以内；预算编制准确率2.5%，优于5%的控制目标；支出率100%；运转保障率100%，确保了相关工程项目、信息化建设和抽检服务等项目质量保证金的规范收取、管理和退付。</w:t>
            </w:r>
          </w:p>
        </w:tc>
      </w:tr>
      <w:tr w14:paraId="1711B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83A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8EE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B0B0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单位资金项目，主要用于局机关办公楼维修、信息化建设、抽检业务等项目质量保证金的规范管理。局财务科根据合同约定，在项目竣工后按合同金额的一定比例扣留质量保证金，统一缴存至财政代管专户或单位指定账户。在质保期内，督促施工或服务单位认真履行质保责任，及时处理质量缺陷。质保期满且经验收合格后，按规定程序办理质量保证金退付手续。全年共涉及质量保证金管理项目6个，均做到“按约收取、专户管理、到期退付”。</w:t>
            </w:r>
          </w:p>
        </w:tc>
      </w:tr>
      <w:tr w14:paraId="5075F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24F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B3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0B7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93C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E4C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EE3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0F5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9DC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C20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00C2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301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F6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C0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C85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D001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7B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19B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BD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770E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AC24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87B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8E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71E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A6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E752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568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D0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1C2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7F6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FF3C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B56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998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CD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BD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147E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04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F3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469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130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A082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661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314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D7E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A68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4F7C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9.38</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A3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E53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37D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0A8E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E9C4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E41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56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5A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48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0AF2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483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B81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B44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8A4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F803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A91A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BA3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4A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4F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EAA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3CA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6A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4AB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79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E5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D8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1D52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148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F6B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4E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F58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B44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D0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21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8B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D3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A54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4E8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57DA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AF5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0F1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036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BC1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97F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95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3ED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29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44B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9F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1F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7D9F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F9D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8B8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BA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F5A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支出率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2F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2BE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A6F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0B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CBF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C3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38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7DD5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6CE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95C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357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3CD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E9E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217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26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F7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20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713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D4C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7DEA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B39F7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4C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41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C8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C5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A71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51050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项目自评得分100分。质量保证金管理规范、程序合法，有效发挥了质量约束和风险防控作用，保障了各类项目的建设和服务质量。资金退付及时合规，未发生因质量保证金管理不规范引发的合同纠纷或信访问题。</w:t>
            </w:r>
          </w:p>
        </w:tc>
      </w:tr>
      <w:tr w14:paraId="66601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8D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B23E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8F54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F72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F4C9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38D8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30271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42DE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EB83073">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0C21C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92951E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DE13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11A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979C9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51320025T000013666083-2025年中央药品监管补助资金</w:t>
            </w:r>
          </w:p>
        </w:tc>
      </w:tr>
      <w:tr w14:paraId="31CA5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157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17FD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0D41F2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D107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63959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2B4B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D9B3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D61C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C5E5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77995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E3D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3D7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11FE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通过组织实施药品（含医疗器械、化妆品）抽查检查、不良反应监测、专项整治（检查）等工作，严厉打击违规违法行为，切实落实强监管守底线目标任务。通过 组织实施培训宣传，提升监管人员能力水平和素质，提升监管对象遵纪守法意识，切实落实企业主体责任。组织实施各类重点专项整治、检查工作，严厉打击违法违规行为；完善监管规范和监督机制，提升监管水平；开展业务能力提升培训，不断提高业务水平和技能；落实风险防控、应急管理、科普知识宣传等工作。</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8314A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度中央药品监管补助资金任务全面完成：开展“两品一械”宣传培训3次（含监管能力提升培训2次、科普宣传活动1次），覆盖监管人员和从业人员300余人次；药品监督检查3次，覆盖药品经营使用单位150余家；专项整治3次，涵盖中药饮片、特殊药品、医疗器械“清网”行动等专项。不合格检验处置率100%，辖区全年未发生重大药品安全事故，各项任务均达到年度设定目标值。</w:t>
            </w:r>
          </w:p>
        </w:tc>
      </w:tr>
      <w:tr w14:paraId="2FAB6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712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E8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1831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中央转移支付资金项目，紧密围绕药品安全监管核心任务，重点推进以下工作：一是组织开展“两品一械”监管人员能力提升培训，邀请省级药品监管专家授课，提升基层监管人员专业水平。二是部署开展3次药品安全专项监督检查，对药品批发企业、零售药店、医疗机构药品使用环节进行全面检查，严厉打击违法违规行为。三是组织开展中药饮片质量、特殊药品管理、医疗器械网络销售等3项专项整治行动，排查消除药品质量安全隐患。四是强化药品不良反应监测和风险预警，全年药品不良反应报告数量和质量稳步提升，不合格检验报告全部在规定时限内完成核查处置。五是加强药品安全科普宣传工作，深入社区、学校、农村开展药品安全知识宣传，增强公众安全用药意识。</w:t>
            </w:r>
          </w:p>
        </w:tc>
      </w:tr>
      <w:tr w14:paraId="744EE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83A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EA3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F30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70D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03172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DC2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ED8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11C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52E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B89A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7D7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4F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AE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9C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94E8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379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A8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557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562F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001B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2DF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F0D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FC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C5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8EE0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11.00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A53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10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178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2A1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D534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65C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D2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56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3FF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1C41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A7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E9E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D72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3CB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555E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12E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6C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C4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FAB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46C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B15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AC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25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8C2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AABA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73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AE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47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DB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641C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249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CB9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C95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FED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DFEB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72C4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594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D0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46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F6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A8C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163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04B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CB2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53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7E0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05B8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F65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DDE2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E45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3A6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宣传培训数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DD0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A2C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25F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8DE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0B9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B57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C9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F20C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F0F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C3F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75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A97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药品监督检查数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071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FB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30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B1A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D53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3A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9D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82D2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226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7C8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63C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CC5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专项整治数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1BA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55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D15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32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3F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7B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FD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5AA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6E8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551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1CB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B66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不合格检验处置率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81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7F2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A02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DC6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971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BA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DD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7493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FAF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751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C03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52E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完成时限</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704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263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548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77F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00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BFD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A3C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9202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90A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095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882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A3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辖区发生重大药品安全事故数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449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70F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CB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8DF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8B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E92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71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1187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508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7E1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15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015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9B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84F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A5B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人/天</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D9E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AA5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909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CB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CD0E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609E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BF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F20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6E5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63DC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564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05C7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中央药品监管补助资金使用效益显著，全州药品安全监管能力持续提升，监督检查和专项整治力度不断加大，全年未发生重大药品安全事故，药品市场秩序进一步规范，群众用药安全得到有效保障，药品安全形势持续保持稳中向好态势。</w:t>
            </w:r>
          </w:p>
        </w:tc>
      </w:tr>
      <w:tr w14:paraId="1D534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3F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897B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ED4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9B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226B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5703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D3D7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97150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9EAB558">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5F432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76950E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8E17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1DF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DA53F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51320025T000013666124-2024年知识产权专项资金</w:t>
            </w:r>
          </w:p>
        </w:tc>
      </w:tr>
      <w:tr w14:paraId="62B3F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DFB0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0016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372B85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9164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B0CE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0A0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C98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B569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FDE1B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566FF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918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B72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211076">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主要用于知识产权行政执法体系和知识产权保护能力建设、国家级知识产权试点示范、地理标志产业发展、专利密集型产业培育、推动知识产权贯标、完善知识产权融资体系等。</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307D0C">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2024年度知识产权专项资金任务全面完成：成立专利裁决工作站2个，覆盖重点产业集聚区；知识产权质押融资登记金额达350万元，超额完成340万元目标；完善知识产权融资风险补偿金管理办法1份，已正式印发实施；知识产权行政保护案件10件，均已办结；项目验收合格率100%，项目完成率100%，各项指标均达到年度设定目标值，知识产权工作能力得到进一步提升。</w:t>
            </w:r>
          </w:p>
        </w:tc>
      </w:tr>
      <w:tr w14:paraId="6E369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41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9A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625329">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省级知识产权转移支付资金项目，主要用于全州知识产权保护和运用能力建设。一是设立2个专利裁决工作站，配备专兼职工作人员，开展专利侵权纠纷行政裁决工作，为创新主体提供便捷高效的知识产权保护渠道。二是积极推动知识产权质押融资工作，联合金融机构开展银企对接活动，全年完成知识产权质押融资登记金额350万元，帮助科技型中小企业缓解融资难题。三是修订完善知识产权融资风险补偿金管理办法，建立健全风险分担机制，为知识产权质押融资提供制度保障。四是加大知识产权行政保护力度，全年办理知识产权行政保护案件10件，有效维护了知识产权权利人的合法权益。五是持续推进地理标志产业发展和专利密集型产业培育工作，推动知识产权贯标认证。</w:t>
            </w:r>
          </w:p>
        </w:tc>
      </w:tr>
      <w:tr w14:paraId="307F8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7DB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801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94F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DDA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31D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DC3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31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D6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934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98A2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864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F92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61F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DE3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878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D1F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E66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4E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CA5A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E16C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D0D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69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62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CAA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E93D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F09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F83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3D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7A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BDAA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CAD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03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0B1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22D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AC1F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D1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C03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68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2C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50DC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40B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880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FA5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BC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182F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20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14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C0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63F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964E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328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CB3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52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99F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5B05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248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33E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DA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C64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2926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AA8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46D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A7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AE9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4DE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AA3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6AF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8BD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A7E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68A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345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1DD70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ACB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4516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A2B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7A5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成立专利裁决工作站</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A1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E2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07C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个</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53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5A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117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1AF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0426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01D0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E04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346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0B8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知识产权质押融资登记金额</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839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51B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46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万元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56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DF5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689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22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C0A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C5D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55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52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927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完善知识产权融资风险补偿金管理办法</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CA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22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1D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份</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F63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7E9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DCF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FB2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E26F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E53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891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E43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731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知识产权行政保护案件数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4F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760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6D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64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4B3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B9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D3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F10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23D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2F2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1C01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93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项目验收合格率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D2C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0E9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706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926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5C1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B8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B4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EAF9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5CD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A9A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66C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BA9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F1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D0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E96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160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277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646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801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2DA3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D6B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9D2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63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8FB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项目完成时限</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002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6F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9A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3E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B65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A4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D62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808F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FD5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D7E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7D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97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知识产权工作能力</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768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4BF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E7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689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4A1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374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20E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5882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1DAF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C3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04A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2C3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CC83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91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1FEF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知识产权专项资金的高效使用，有力推动了全州知识产权保护能力和运用水平双提升。专利裁决工作站的设立为创新主体提供了便捷高效的维权渠道，知识产权质押融资工作有效缓解了中小企业融资难题，知识产权行政保护力度持续加大，地理标志产业发展势头良好，全州知识产权营商环境明显优化。</w:t>
            </w:r>
          </w:p>
        </w:tc>
      </w:tr>
      <w:tr w14:paraId="51DF3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96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74147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776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D39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D959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77FD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0988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933B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r w14:paraId="008A7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tcBorders>
              <w:top w:val="nil"/>
              <w:left w:val="nil"/>
              <w:bottom w:val="nil"/>
              <w:right w:val="nil"/>
            </w:tcBorders>
            <w:shd w:val="clear" w:color="auto" w:fill="auto"/>
            <w:vAlign w:val="center"/>
          </w:tcPr>
          <w:p w14:paraId="50F88F96">
            <w:pPr>
              <w:rPr>
                <w:rFonts w:hint="eastAsia" w:ascii="宋体" w:hAnsi="宋体" w:eastAsia="宋体" w:cs="宋体"/>
                <w:i w:val="0"/>
                <w:iCs w:val="0"/>
                <w:color w:val="000000"/>
                <w:sz w:val="18"/>
                <w:szCs w:val="18"/>
                <w:u w:val="none"/>
              </w:rPr>
            </w:pPr>
          </w:p>
        </w:tc>
        <w:tc>
          <w:tcPr>
            <w:tcW w:w="1905" w:type="dxa"/>
            <w:tcBorders>
              <w:top w:val="nil"/>
              <w:left w:val="nil"/>
              <w:bottom w:val="nil"/>
              <w:right w:val="nil"/>
            </w:tcBorders>
            <w:shd w:val="clear" w:color="auto" w:fill="auto"/>
            <w:vAlign w:val="center"/>
          </w:tcPr>
          <w:p w14:paraId="54182A28">
            <w:pPr>
              <w:rPr>
                <w:rFonts w:hint="eastAsia" w:ascii="宋体" w:hAnsi="宋体" w:eastAsia="宋体" w:cs="宋体"/>
                <w:i w:val="0"/>
                <w:iCs w:val="0"/>
                <w:color w:val="000000"/>
                <w:sz w:val="18"/>
                <w:szCs w:val="18"/>
                <w:u w:val="none"/>
              </w:rPr>
            </w:pPr>
          </w:p>
        </w:tc>
        <w:tc>
          <w:tcPr>
            <w:tcW w:w="1710" w:type="dxa"/>
            <w:tcBorders>
              <w:top w:val="nil"/>
              <w:left w:val="nil"/>
              <w:bottom w:val="nil"/>
              <w:right w:val="nil"/>
            </w:tcBorders>
            <w:shd w:val="clear" w:color="auto" w:fill="auto"/>
            <w:vAlign w:val="center"/>
          </w:tcPr>
          <w:p w14:paraId="1C0DD5E9">
            <w:pPr>
              <w:rPr>
                <w:rFonts w:hint="eastAsia" w:ascii="宋体" w:hAnsi="宋体" w:eastAsia="宋体" w:cs="宋体"/>
                <w:i w:val="0"/>
                <w:iCs w:val="0"/>
                <w:color w:val="000000"/>
                <w:sz w:val="18"/>
                <w:szCs w:val="18"/>
                <w:u w:val="none"/>
              </w:rPr>
            </w:pPr>
          </w:p>
        </w:tc>
        <w:tc>
          <w:tcPr>
            <w:tcW w:w="2185" w:type="dxa"/>
            <w:tcBorders>
              <w:top w:val="nil"/>
              <w:left w:val="nil"/>
              <w:bottom w:val="nil"/>
              <w:right w:val="nil"/>
            </w:tcBorders>
            <w:shd w:val="clear" w:color="auto" w:fill="auto"/>
            <w:vAlign w:val="center"/>
          </w:tcPr>
          <w:p w14:paraId="2B93939A">
            <w:pPr>
              <w:rPr>
                <w:rFonts w:hint="eastAsia" w:ascii="宋体" w:hAnsi="宋体" w:eastAsia="宋体" w:cs="宋体"/>
                <w:i w:val="0"/>
                <w:iCs w:val="0"/>
                <w:color w:val="000000"/>
                <w:sz w:val="18"/>
                <w:szCs w:val="18"/>
                <w:u w:val="none"/>
              </w:rPr>
            </w:pPr>
          </w:p>
        </w:tc>
        <w:tc>
          <w:tcPr>
            <w:tcW w:w="514" w:type="dxa"/>
            <w:tcBorders>
              <w:top w:val="nil"/>
              <w:left w:val="nil"/>
              <w:bottom w:val="nil"/>
              <w:right w:val="nil"/>
            </w:tcBorders>
            <w:shd w:val="clear" w:color="auto" w:fill="auto"/>
            <w:vAlign w:val="center"/>
          </w:tcPr>
          <w:p w14:paraId="2C38717B">
            <w:pPr>
              <w:rPr>
                <w:rFonts w:hint="eastAsia" w:ascii="宋体" w:hAnsi="宋体" w:eastAsia="宋体" w:cs="宋体"/>
                <w:i w:val="0"/>
                <w:iCs w:val="0"/>
                <w:color w:val="000000"/>
                <w:sz w:val="18"/>
                <w:szCs w:val="18"/>
                <w:u w:val="none"/>
              </w:rPr>
            </w:pPr>
          </w:p>
        </w:tc>
        <w:tc>
          <w:tcPr>
            <w:tcW w:w="1584" w:type="dxa"/>
            <w:tcBorders>
              <w:top w:val="nil"/>
              <w:left w:val="nil"/>
              <w:bottom w:val="nil"/>
              <w:right w:val="nil"/>
            </w:tcBorders>
            <w:shd w:val="clear" w:color="auto" w:fill="auto"/>
            <w:vAlign w:val="center"/>
          </w:tcPr>
          <w:p w14:paraId="6DDB3E96">
            <w:pPr>
              <w:rPr>
                <w:rFonts w:hint="eastAsia" w:ascii="宋体" w:hAnsi="宋体" w:eastAsia="宋体" w:cs="宋体"/>
                <w:i w:val="0"/>
                <w:iCs w:val="0"/>
                <w:color w:val="000000"/>
                <w:sz w:val="18"/>
                <w:szCs w:val="18"/>
                <w:u w:val="none"/>
              </w:rPr>
            </w:pPr>
          </w:p>
        </w:tc>
        <w:tc>
          <w:tcPr>
            <w:tcW w:w="936" w:type="dxa"/>
            <w:tcBorders>
              <w:top w:val="nil"/>
              <w:left w:val="nil"/>
              <w:bottom w:val="nil"/>
              <w:right w:val="nil"/>
            </w:tcBorders>
            <w:shd w:val="clear" w:color="auto" w:fill="auto"/>
            <w:vAlign w:val="center"/>
          </w:tcPr>
          <w:p w14:paraId="1E2471E7">
            <w:pPr>
              <w:rPr>
                <w:rFonts w:hint="eastAsia" w:ascii="宋体" w:hAnsi="宋体" w:eastAsia="宋体" w:cs="宋体"/>
                <w:i w:val="0"/>
                <w:iCs w:val="0"/>
                <w:color w:val="000000"/>
                <w:sz w:val="18"/>
                <w:szCs w:val="18"/>
                <w:u w:val="none"/>
              </w:rPr>
            </w:pPr>
          </w:p>
        </w:tc>
        <w:tc>
          <w:tcPr>
            <w:tcW w:w="1087" w:type="dxa"/>
            <w:tcBorders>
              <w:top w:val="nil"/>
              <w:left w:val="nil"/>
              <w:bottom w:val="nil"/>
              <w:right w:val="nil"/>
            </w:tcBorders>
            <w:shd w:val="clear" w:color="auto" w:fill="auto"/>
            <w:vAlign w:val="center"/>
          </w:tcPr>
          <w:p w14:paraId="0A7DDCFD">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709136CD">
            <w:pPr>
              <w:rPr>
                <w:rFonts w:hint="eastAsia" w:ascii="宋体" w:hAnsi="宋体" w:eastAsia="宋体" w:cs="宋体"/>
                <w:i w:val="0"/>
                <w:iCs w:val="0"/>
                <w:color w:val="000000"/>
                <w:sz w:val="18"/>
                <w:szCs w:val="18"/>
                <w:u w:val="none"/>
              </w:rPr>
            </w:pPr>
          </w:p>
        </w:tc>
        <w:tc>
          <w:tcPr>
            <w:tcW w:w="576" w:type="dxa"/>
            <w:tcBorders>
              <w:top w:val="nil"/>
              <w:left w:val="nil"/>
              <w:bottom w:val="nil"/>
              <w:right w:val="nil"/>
            </w:tcBorders>
            <w:shd w:val="clear" w:color="auto" w:fill="auto"/>
            <w:vAlign w:val="center"/>
          </w:tcPr>
          <w:p w14:paraId="060BE5A3">
            <w:pPr>
              <w:rPr>
                <w:rFonts w:hint="eastAsia" w:ascii="宋体" w:hAnsi="宋体" w:eastAsia="宋体" w:cs="宋体"/>
                <w:i w:val="0"/>
                <w:iCs w:val="0"/>
                <w:color w:val="000000"/>
                <w:sz w:val="18"/>
                <w:szCs w:val="18"/>
                <w:u w:val="none"/>
              </w:rPr>
            </w:pPr>
          </w:p>
        </w:tc>
        <w:tc>
          <w:tcPr>
            <w:tcW w:w="2331" w:type="dxa"/>
            <w:tcBorders>
              <w:top w:val="nil"/>
              <w:left w:val="nil"/>
              <w:bottom w:val="nil"/>
              <w:right w:val="nil"/>
            </w:tcBorders>
            <w:shd w:val="clear" w:color="auto" w:fill="auto"/>
            <w:vAlign w:val="center"/>
          </w:tcPr>
          <w:p w14:paraId="073BD2EF">
            <w:pPr>
              <w:rPr>
                <w:rFonts w:hint="eastAsia" w:ascii="宋体" w:hAnsi="宋体" w:eastAsia="宋体" w:cs="宋体"/>
                <w:i w:val="0"/>
                <w:iCs w:val="0"/>
                <w:color w:val="000000"/>
                <w:sz w:val="18"/>
                <w:szCs w:val="18"/>
                <w:u w:val="none"/>
              </w:rPr>
            </w:pPr>
          </w:p>
        </w:tc>
      </w:tr>
      <w:tr w14:paraId="64C2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A1BFD6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9A7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38C0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C1609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51320025T000013697751-2025年省级市场监管专项资金</w:t>
            </w:r>
          </w:p>
        </w:tc>
      </w:tr>
      <w:tr w14:paraId="1E015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6649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A0E7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79C6B4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C28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70D91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4F78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694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CF6E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0613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2E04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FBD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76F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7A3635E">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紧紧围绕省、州市场监管局确定的年度重点工作，深入实施质量强省战略，全面提升全省市场监管能力。严守食品、重要工业产品质量、特种设备三条安全底线。强化消费引导、深入推进放心舒心消费环境建设。开展“铁拳”暨“春雷行动”、加强反垄断和反不正当竞争执法、价格监管、广告监管、网络和合同监管、开展基层市场监管局（所）标准化规范化建设示范创建，提高综合行政执法水平。</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B9D16F">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度省级市场监管专项资金任务全面完成：完成省级普通食品抽检监测520批次，覆盖生产、流通、餐饮全环节；“春雷行动”完成率100%，查办案件数量和质量均位居全省前列；小微企业质量提升完成2家，通过质量管理体系认证；认证活动监督检查完成5家，涵盖管理体系认证、产品认证等领域。生产环节抽检合格率100%，食品抽检信息公布率100%，抽检不合格食品核查处置率100%，辖区内未发生重大食品安全事故，项目于2025年12月按期完成。</w:t>
            </w:r>
          </w:p>
        </w:tc>
      </w:tr>
      <w:tr w14:paraId="60339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8A8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952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E77A20">
            <w:pPr>
              <w:widowControl/>
              <w:spacing w:line="240" w:lineRule="exact"/>
              <w:ind w:firstLine="0" w:firstLineChars="0"/>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省级转移支付资金项目，紧紧围绕省、州市场监管局确定的年度重点工作，全面深入推进市场监管各项工作。一是高质量完成省级普通食品抽检监测520批次任务，严格按照抽样检验规范操作，抽检结果全部录入信息系统并及时向社会公布。二是深入推进“春雷行动”，聚焦食品安全、药品安全、产品质量、知识产权等重点领域，集中查处了一批群众反映强烈、社会关注度高的违法违规案件。三是扎实开展小微企业质量提升帮扶行动，帮助2家小微企业建立完善质量管理体系，通过ISO9001质量管理体系认证，提升产品质量和市场竞争力。四是加强对认证活动的监督检查，对5家获证企业的认证有效性进行现场核查，严厉打击虚假认证、买证卖证等违法行为。五是严守食品安全、工业产品安全、特种设备安全三条底线，坚决防范重大安全事故发生。</w:t>
            </w:r>
          </w:p>
        </w:tc>
      </w:tr>
      <w:tr w14:paraId="3665D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5696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E1A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F03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1F5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FEC2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04D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159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6B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C3D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4A01A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BD5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F1C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5AB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B1F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8C03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7C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33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9D0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FEDB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E158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2482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155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31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573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8C8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134.19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986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CC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632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541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EA6E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270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499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2AF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69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15D7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A44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074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3FA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5B4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9921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00F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136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53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82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387A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F1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DC1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B62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E70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988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CCD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D3B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48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6F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DD86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145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D92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7A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EA4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EE5D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240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25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47B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B0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33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067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275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F72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40B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655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16C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7726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02A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4D7B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8C59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BB7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省级普通食品抽检监测数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33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21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520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79E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96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D7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7E0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4F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A14C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503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AC9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FCC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E6E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春雷行动</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20B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137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16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92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AC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98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5D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8D8C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4CA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EC9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069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A4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小微企业质量提升数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65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23E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4C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093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AD7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9C3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EF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6A26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971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583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AD2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B57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老旧化工特种设备和电站锅炉隐患专项整治（家）</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B68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F4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7B3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301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B3B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1CB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F99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2D32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C45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6A9D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274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80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认证活动监督检查数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198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A39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9E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79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759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C73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AB2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8AF4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972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F3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BE2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75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生产环节抽检合格率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2FB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55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E48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79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45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F4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75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DF2C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E85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C19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79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E7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食品抽检应公布信息公布率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F5C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61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432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23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13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155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246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AC99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13D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3EF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46F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D96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抽检不合格食品核查处置率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ED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0CD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504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56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D5A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510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90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A2A5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F5C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03F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69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25B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6E5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3BD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E7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41C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889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A4D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C61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28BC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ADC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CDD7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6BD3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C1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辖区内与补助资金相关的重大食品安全事故发生数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A5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CDE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D4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551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CC7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C2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9C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4C01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CEA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83B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F4F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07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公平竞争的市场秩序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0A6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CA6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41A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D09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稳中向好</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F7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3A5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117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ED7A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688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2F4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D7B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4F4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严守食品安全、工业产品安全、特种设备安全底线</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8A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117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E1A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C15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长期</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E7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A46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47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959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AD8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52A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F4F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C6D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公众对食品安全满意度</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0A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F4F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152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分</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D9A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AEF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0FE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EB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2B24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8F2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9A0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BF7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2B7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食品抽检监测成本（批次）</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BBD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66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1681</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CB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3EC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1681</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78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4EB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AA9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C7DE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50D0A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BF6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44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A5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EA25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4D9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5533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省级市场监管专项资金的高效使用，有力支撑了全州市场监管能力和监管水平现代化提升，食品安全、工业产品质量安全、特种设备安全三条底线守牢守稳。公平竞争的市场秩序呈现稳中向好态势，公众对食品安全的满意度达到80分以上，小微企业质量提升成效初显，项目综合效益显著。</w:t>
            </w:r>
          </w:p>
        </w:tc>
      </w:tr>
      <w:tr w14:paraId="6ED90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6E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B634F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3223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1E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7EE1A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E3CE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FD40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678DB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35E3E49">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540F0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9543DC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39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86BD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E62E5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51320025T000013986311-2025年省级药品监管专项资金</w:t>
            </w:r>
          </w:p>
        </w:tc>
      </w:tr>
      <w:tr w14:paraId="07F8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959C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A5B3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8D927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73A5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1CA8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518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807E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72DE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8DF8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0FE8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EA0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397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347E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切实加强药品安全监管，守牢药品安全底线，进一步规范药品经营使用秩序；强化监督检查，加大对制售假劣药品违法犯罪活动的打击力度；完成省级药品抽检任务，提高药品抽检质量，强化药品技术支撑；加强培训学习，提高监管人员专业水平和综合业务素质；加大“两品一械”科普宣传力度，增强公众识别防范风险意识；完善监督管理、应急管理等机制，提升风险防范能力和水平。化妆品抽样35批次，医疗器械抽样15批次</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A034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度省级药品监管专项资金任务全面完成：完成省级化妆品抽购样35批次，覆盖祛斑美白、染发、防晒等高风险品类；完成省级医疗器械抽样15批次，涵盖一次性使用输液器、医用口罩等常用品种；不合格检验报告处置率100%；辖区内未发生与补助资金相关的重大“两品一械”安全事故，全年药品安全形势保持稳定，项目于2025年12月按期完成。</w:t>
            </w:r>
          </w:p>
        </w:tc>
      </w:tr>
      <w:tr w14:paraId="5E42B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E1C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82F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129D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省级转移支付资金项目，重点围绕药品、医疗器械、化妆品“两品一械”安全监管开展工作。一是严格按照省级药品抽检计划要求，科学制定抽样方案，在全州范围内规范开展化妆品抽样35批次、医疗器械抽样15批次，抽样覆盖城市和农村、线上和线下等不同渠道。二是对抽样产品及时送检，对收到的抽检不合格报告第一时间启动核查处置程序，做到100%按时办结。三是加强抽检结果运用，对问题产品追根溯源，彻查违法链条，对相关生产经营单位依法予以查处。四是同步开展“两品一械”监管人员业务培训和安全科普宣传，不断提升监管队伍专业水平和公众安全用药用妆意识。</w:t>
            </w:r>
          </w:p>
        </w:tc>
      </w:tr>
      <w:tr w14:paraId="5BB9B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E40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FC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A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A1D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FC7A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C7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54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58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0A0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817C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1B30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7B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A11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B6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BDBC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B2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44D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0FE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2757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BFFC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557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54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96B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B0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CA0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9.91</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92B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A3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5B9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772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7BDE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6B7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6C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AB4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13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F63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085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A7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F2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4B3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67C5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424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640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16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6F0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8FE2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A61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8B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F6D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EBF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63FE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6E9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8A1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3AB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CF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0EBE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18B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BFE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D6D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0C2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D975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BC8B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7CC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C5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CD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29C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AF5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4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FC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45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171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51D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D148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26B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D4E2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1D6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D2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省级化妆品抽购样</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78C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06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7B3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5C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D70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8BD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50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491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AFA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7D6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648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28B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省级医疗器械抽样</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B8D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3AF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056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批次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410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786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18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50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F7E1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2DB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F82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FD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44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不合格检验报告处置率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45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27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F1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7F2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D8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328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879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3829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4B9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DC7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573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25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34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EE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101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3F0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C66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922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4B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1C24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E0C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8D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A7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21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辖区内发生与补助资金相关的重大“两品一械”安全事故</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EA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34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7C8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32B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A5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25D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91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8DAC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C3E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CC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B0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EA8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“两品一械”安全监管能力</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4F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B9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E8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CE2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逐步提高</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29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6A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72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9A06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28C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53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C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09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培训成本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72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A06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656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元/天</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9DD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C6C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2AB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66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EEBD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E19CB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93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7BA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AC8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BE4A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3D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EE66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省级药品监管专项资金使用规范高效，抽检任务全部按时保质完成，不合格产品全部依法处置，“两品一械”安全监管能力持续提升。全年未发生重大“两品一械”安全事故，有力维护了人民群众用药用妆安全，为全州药品安全形势持续稳定提供了坚实保障。</w:t>
            </w:r>
          </w:p>
        </w:tc>
      </w:tr>
      <w:tr w14:paraId="78745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6B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35EF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206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0A9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F01E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104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06B44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BCD8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7067BF09">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0B7B6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84BDD5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29F8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4DD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CBCBB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51320025T000013986378-2025年省级知识产权专项资金</w:t>
            </w:r>
          </w:p>
        </w:tc>
      </w:tr>
      <w:tr w14:paraId="3DBDC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558D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0FFA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03E85B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532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4BCF1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B14B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746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4143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70D2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18A7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B19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8F5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55F3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为进一步加强和规范省局下达我州省级财政知识产权专项资金绩效管理，促进专项资金高效益运用，根据《四川省市场监督管理局关于做好2025年度省级财政知识产权专项资金使用及项目管理的通知》（川市监函〔2025〕170号）、《省级财政知识产权专项资金管理办法》，主要用于地理标志产业发展、知识产权行政执法体系和知识产权保护能力建设。</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C979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度省级知识产权专项资金任务全面完成：知识产权行政保护案件完成20件，涉及专利、商标、地理标志等领域；年度专利产品备案完成12件，超额完成10件目标；每万人口高价值发明专利拥有量达0.62件，超额完成0.6件目标；开展知识产权宣传、培训等活动3次，超额完成2次目标；年地理标志专用标志使用核准增长率达6%，超额完成5%目标。专利实施项目新增产值年增长率、新增利税年增长率均不低于全州GDP增长率，项目于2025年12月按期完成，知识产权工作能力得到进一步提升。</w:t>
            </w:r>
          </w:p>
        </w:tc>
      </w:tr>
      <w:tr w14:paraId="4FAB7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54F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59F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D603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省级转移支付资金项目，主要用于地理标志产业发展、知识产权行政执法体系建设和知识产权保护能力提升。一是加大知识产权行政保护力度，全年办理专利、商标、地理标志等知识产权行政保护案件20件，有效维护了创新主体的合法权益。二是积极推动专利产品备案工作，全年完成专利产品备案12件，促进专利成果转化运用。三是大力培育高价值发明专利，全州每万人口高价值发明专利拥有量稳步提升至0.62件。四是广泛开展知识产权宣传培训活动，通过“4·26知识产权宣传周”等活动载体，深入企业、园区、高校开展政策宣讲和业务培训，营造尊重知识、崇尚创新的良好氛围。五是推动地理标志产业高质量发展，加强地理标志专用标志使用核准和日常监管，专用标志使用核准增长率达到6%，地理标志品牌效应持续释放。</w:t>
            </w:r>
          </w:p>
        </w:tc>
      </w:tr>
      <w:tr w14:paraId="40705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BECE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754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97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4E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D74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42C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6E3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1D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25E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C3ED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5B7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FDA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C6C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CE6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1A30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93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EE5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6B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152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7588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24F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4A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35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4F8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2323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3.49</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652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B9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1E9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5A4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973C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D5B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60E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E57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1DA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21D4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09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FEE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8A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1CCE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9BB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5D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567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6CA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4FD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B621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DF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386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3BC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A4D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A58F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401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942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270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2E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D7F5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689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D3C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01A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91D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BE97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356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FAD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687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01C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C95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BF0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83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514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99B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36C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BC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D69A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C09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0E3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ACB0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346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知识产权行政保护案件数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DD9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2C0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B0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03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FBE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1E1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FF3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DA65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854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383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B72A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008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年度专利产品备案数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38B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3E5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2EC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AF2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30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BC7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59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E758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B37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FBD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5A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EE1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每万人口高价值发明专利拥有量</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8C6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300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90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件</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3D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0.6</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D7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4E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500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1AA5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623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848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A4A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B5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开展知识产权宣传、培训等活动</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16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54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37B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86C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6CE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BF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F9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2D0C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FD9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CB3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E24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DEB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年地理标志专用标志使用核准增长率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9BF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670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D2C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97E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6DB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90B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90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4B0D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CCA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E9F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0CC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CA5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项目完成时间</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267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B4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1A0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D6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5E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083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19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C471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8C2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D2F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344B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946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专利实施项目新增产值年增长率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FA9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586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99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8A0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EB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370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DE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B8CC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A5D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98E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C8C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7B6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专利实施项目新增利税年增长率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49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E62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54D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1DE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不低于全州GDP增长率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36A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96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BA6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35C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BE5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D9E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FB8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可持续影响指标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70D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知识产权工作能力</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33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定性</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615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67C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56A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进一步提升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C64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482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4B8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27EC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5FC4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058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BA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3C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F198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413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647F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省级知识产权专项资金的高效使用，有力支撑了全州知识产权创造、运用、保护、管理、服务全链条能力提升。高价值发明专利培育成效明显，专利产品备案和质押融资工作稳步推进，地理标志产业发展势头强劲，知识产权保护环境持续优化，知识产权对全州经济社会高质量发展的支撑引领作用日益增强。</w:t>
            </w:r>
          </w:p>
        </w:tc>
      </w:tr>
      <w:tr w14:paraId="32BB6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AB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CD95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C17E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BC4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21CE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2D24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D94D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46504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AE67FE0">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6A4E0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AE7D6C">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1C5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C106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0D11C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51320025Y000012974203－日常公用经费（其他运转类）</w:t>
            </w:r>
          </w:p>
        </w:tc>
      </w:tr>
      <w:tr w14:paraId="3461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9868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DD2E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57EACE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9A87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29C25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21F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98C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3AF61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D077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70B7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1D9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AA1C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01DD3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CCF6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预算执行规范有序：科目调整次数4次，控制在5次以内；预算编制准确率为2.3%，优于5%的控制目标；“三公”经费控制率为94%，控制在100%以内；运转保障率达到100%，确保了局机关各项工作的正常运转和各类业务活动的顺利开展。</w:t>
            </w:r>
          </w:p>
        </w:tc>
      </w:tr>
      <w:tr w14:paraId="6ACF8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04E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CD4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E3F00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其他运转类公用经费，主要用于保障局机关除基本公用支出外的其他运转性支出，具体包括办公设备购置、信息网络及软件购置更新、专用材料费、被装购置费、专用燃料费、劳务费、委托业务费、其他交通费用等。项目实施过程中，坚持“先有预算、后有支出”的原则，严格执行各项经费开支标准和审批程序，加强经费使用全过程监管，确保资金使用合规、高效、透明。同时，积极落实过紧日子要求，大力压减非刚性、非急需支出，集中财力保障重点业务工作需求。</w:t>
            </w:r>
          </w:p>
        </w:tc>
      </w:tr>
      <w:tr w14:paraId="4DE12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21AD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2F7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AC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ABC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19D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D4D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97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AD2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01D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2636A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FF4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6B3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6E7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9C7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85B3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568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F4B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317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D96A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27B4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2BC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A4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46C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8F8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3A69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195.53</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904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92F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A6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39A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C3CB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BCA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B38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3E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3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8CB7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DC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CCE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E46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A23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13AA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DA80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A5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46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F4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6F8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8A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A5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6B6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9C1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C6A2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640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2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00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F66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8FAD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5D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22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98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088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34D3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BF7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0DC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60D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43D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5B2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78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FB3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18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81A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72F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7BF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327B8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1EC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D08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70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5E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D27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7B4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A3F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EC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081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FE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C3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F35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BEC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390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5C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B0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9DC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15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23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72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DD1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7E2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68C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6AE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9DE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20BB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786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E2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540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B3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C58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566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80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F6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65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67B6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4D8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3DC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9D6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B9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EE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FBE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659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61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C2A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AA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AE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5C56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9301A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1E9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E14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0E2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DCAD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4B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6A4F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总分100分。其他运转类公用经费使用规范高效，“三公”经费控制成效明显，有效保障了局机关各类业务工作的正常开展和机关运转的平稳有序。项目预算编制科学合理，执行率100%，充分体现了精细化预算管理要求，资金使用整体效益良好。</w:t>
            </w:r>
          </w:p>
        </w:tc>
      </w:tr>
      <w:tr w14:paraId="40891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22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6610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74309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640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7EB9C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ED98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18F0C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8D41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2C93671D">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04CDD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6E347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0FA7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B34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E0A6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51320025Y000013371712－财政代管资金</w:t>
            </w:r>
          </w:p>
        </w:tc>
      </w:tr>
      <w:tr w14:paraId="792C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622C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1D4B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7E2322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DB12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37BFF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3A5B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5A8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588B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BB7B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D35B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0EE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13A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2010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14FA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项目预算执行率为0%</w:t>
            </w:r>
          </w:p>
        </w:tc>
      </w:tr>
      <w:tr w14:paraId="05283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54C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FE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1A239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项目预算执行率为0%</w:t>
            </w:r>
          </w:p>
        </w:tc>
      </w:tr>
      <w:tr w14:paraId="64BA8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F962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386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3D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2B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E3BC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AC2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8AA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59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0B2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5C654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5CB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FD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9D0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F23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5B98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40A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AC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B3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A8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4CDC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C82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3B8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0FA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7BD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07E5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C6E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F3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9BD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563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6519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DA7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812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26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E8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228E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CB9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B0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E57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F7B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C442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5BF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A09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5CF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AD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1.44</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3B4D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766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39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369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254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92D5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24A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47D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0A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44E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EF5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1F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3E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25B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087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3EB4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0824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982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84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CA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27BB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088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E161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268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BBA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000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38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5691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D68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BFE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0D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EA9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3BD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542B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BD8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BDC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D0F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A07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CA9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C751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FEF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E00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88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B8F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768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1A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3A5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09E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043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299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623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761D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C63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578C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C19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9BE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BAD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13E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AA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C4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5C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895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D02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3F40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458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A00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06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22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C0E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638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F8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9D5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6C1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84F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C6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C2D5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F637A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7C3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E5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61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9943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4D7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EB22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项目自评得分0分</w:t>
            </w:r>
          </w:p>
        </w:tc>
      </w:tr>
      <w:tr w14:paraId="20778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A86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7E1F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AC9F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1C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55486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10A5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5FDE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A4F8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D990B23">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numberInDash"/>
          <w:cols w:space="425" w:num="1"/>
          <w:docGrid w:type="lines" w:linePitch="435" w:charSpace="0"/>
        </w:sectPr>
      </w:pPr>
    </w:p>
    <w:tbl>
      <w:tblPr>
        <w:tblStyle w:val="16"/>
        <w:tblW w:w="141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96"/>
        <w:gridCol w:w="1905"/>
        <w:gridCol w:w="1710"/>
        <w:gridCol w:w="2185"/>
        <w:gridCol w:w="514"/>
        <w:gridCol w:w="1584"/>
        <w:gridCol w:w="936"/>
        <w:gridCol w:w="1087"/>
        <w:gridCol w:w="576"/>
        <w:gridCol w:w="576"/>
        <w:gridCol w:w="2331"/>
      </w:tblGrid>
      <w:tr w14:paraId="7789D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41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73574A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B99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AA4B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0FA6D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51320025Y000013840672－工作经费</w:t>
            </w:r>
          </w:p>
        </w:tc>
      </w:tr>
      <w:tr w14:paraId="7AF55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6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71A6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FC9A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州市场监督管理局部门</w:t>
            </w:r>
          </w:p>
        </w:tc>
        <w:tc>
          <w:tcPr>
            <w:tcW w:w="1087" w:type="dxa"/>
            <w:tcBorders>
              <w:top w:val="nil"/>
              <w:left w:val="nil"/>
              <w:bottom w:val="nil"/>
              <w:right w:val="nil"/>
            </w:tcBorders>
            <w:shd w:val="clear" w:color="auto" w:fill="auto"/>
            <w:vAlign w:val="center"/>
          </w:tcPr>
          <w:p w14:paraId="0297A6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AA04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州市场监管局</w:t>
            </w:r>
          </w:p>
        </w:tc>
      </w:tr>
      <w:tr w14:paraId="00CFC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47B2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68B8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79A1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2604E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533E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BDD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A5B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6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D053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提高预算编制质量，严格执行预算，保障单位日常运转</w:t>
            </w:r>
          </w:p>
        </w:tc>
        <w:tc>
          <w:tcPr>
            <w:tcW w:w="457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C5CFD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全年预算执行规范高效：科目调整次数2次，控制在5次以内；预算编制准确率2%，优于5%的控制目标；“三公”经费控制率控制在100%以内；运转保障率100%，有效支撑了局机关临时性、专项性业务工作的顺利开展，为各项重点工作任务圆满完成提供了灵活高效的经费保障。</w:t>
            </w:r>
          </w:p>
        </w:tc>
      </w:tr>
      <w:tr w14:paraId="09A88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035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A7D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149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6B3C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该项目为工作经费类项目，主要用于保障局机关年度工作中新增的、临时性的、未在年初预算中充分预计的专项业务支出需求。具体支出范围涵盖会议费、差旅费、邮电费、印刷费、咨询费、租赁费、其他商品和服务支出等。项目实施过程中，严格遵循预算管理规定，按照“一事一议、从严控制”的原则，对每一笔支出进行必要性、合规性审核，确保工作经费用在刀刃上。全年累计保障各类临时性业务工作20余项，有效弥补了年初预算无法预见的工作需求。</w:t>
            </w:r>
          </w:p>
        </w:tc>
      </w:tr>
      <w:tr w14:paraId="48643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243A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EC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63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D9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55FB4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4C7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59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3E7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DB5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07C86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043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9CE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BB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356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811C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637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0B1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09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23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004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4021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221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7F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639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7F1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A598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24.76</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305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CDF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7DC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02F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2996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990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208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BBC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56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D8CC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AA9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36C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47F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B89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BB86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E04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20C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86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96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EF78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03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FE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A1B1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5B60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073C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E2D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F4F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EB7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27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03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FBC4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D9B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D3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06F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23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B5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9090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994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D25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08B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2CA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39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58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E96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254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48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C3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A1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7B77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861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932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C12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F2F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科目调整次数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EE7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A05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456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次</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2EB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05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9E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8EA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EA61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6BB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136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F4A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199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预算编制准确率（计算方法为：∣（执行数－预算数）/预算数∣）</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36C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F8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943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0CD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92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5DD7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154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53A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433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D56B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158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A1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“三公”经费控制率[计算方法为：（“三公”经费实际支出数/预算安排数]×100%）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D8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0ED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A6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D0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68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BA3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6F7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441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D05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9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D91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688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21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A4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运转保障率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E4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5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80C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9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0D8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0B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5A4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61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C76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732B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17"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043C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BB4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5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CEA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23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F0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41D1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F9A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ABC8F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总分100分。工作经费使用灵活高效，有效弥补了年度预算中不可预见的工作经费缺口，有力保障了各项临时性、突击性业务任务的顺利完成，资金使用效益显著。项目预算编制和执行均符合规范要求，“三公”经费控制有效，充分体现了财政资金的精准保障作用。</w:t>
            </w:r>
          </w:p>
        </w:tc>
      </w:tr>
      <w:tr w14:paraId="25E64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16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A8FC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2DB6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AF8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3404"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461F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8BFE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0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D520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09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E4FC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1D4AC1E6">
      <w:r>
        <w:br w:type="page"/>
      </w:r>
    </w:p>
    <w:p w14:paraId="1958208D">
      <w:pPr>
        <w:ind w:left="0" w:leftChars="0" w:firstLine="0" w:firstLineChars="0"/>
        <w:sectPr>
          <w:pgSz w:w="16838" w:h="11906" w:orient="landscape"/>
          <w:pgMar w:top="1587" w:right="2098" w:bottom="1474" w:left="1984" w:header="851" w:footer="992" w:gutter="0"/>
          <w:pgNumType w:fmt="numberInDash"/>
          <w:cols w:space="425" w:num="1"/>
          <w:docGrid w:type="lines" w:linePitch="435" w:charSpace="0"/>
        </w:sectPr>
      </w:pPr>
    </w:p>
    <w:p w14:paraId="600F1B67">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r>
        <w:rPr>
          <w:rFonts w:hint="eastAsia" w:ascii="Times New Roman" w:hAnsi="Times New Roman" w:eastAsia="方正小标宋简体" w:cs="Times New Roman"/>
          <w:b w:val="0"/>
          <w:bCs w:val="0"/>
          <w:color w:val="auto"/>
          <w:kern w:val="2"/>
          <w:sz w:val="30"/>
          <w:szCs w:val="30"/>
          <w:highlight w:val="none"/>
          <w:lang w:val="en-US" w:eastAsia="zh-CN"/>
        </w:rPr>
        <w:t>附件2-1</w:t>
      </w:r>
    </w:p>
    <w:p w14:paraId="54B6A04D">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2025年省级市场监管专项资金项目</w:t>
      </w:r>
    </w:p>
    <w:p w14:paraId="718F77C8">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专项</w:t>
      </w:r>
      <w:r>
        <w:rPr>
          <w:rFonts w:hint="default" w:ascii="Times New Roman" w:hAnsi="Times New Roman" w:eastAsia="方正小标宋简体" w:cs="Times New Roman"/>
          <w:color w:val="auto"/>
          <w:kern w:val="2"/>
          <w:sz w:val="44"/>
          <w:szCs w:val="44"/>
          <w:highlight w:val="none"/>
          <w:lang w:val="en-US" w:eastAsia="zh-CN"/>
        </w:rPr>
        <w:t>绩效自评报告</w:t>
      </w:r>
    </w:p>
    <w:p w14:paraId="622DDC81">
      <w:pPr>
        <w:pStyle w:val="2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14:paraId="7E6642BD">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4D634C5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44EFC49C">
      <w:pPr>
        <w:keepNext w:val="0"/>
        <w:keepLines w:val="0"/>
        <w:pageBreakBefore w:val="0"/>
        <w:kinsoku/>
        <w:wordWrap/>
        <w:overflowPunct/>
        <w:topLinePunct w:val="0"/>
        <w:autoSpaceDE/>
        <w:autoSpaceDN/>
        <w:bidi w:val="0"/>
        <w:spacing w:line="240" w:lineRule="auto"/>
        <w:ind w:firstLine="640" w:firstLineChars="200"/>
        <w:jc w:val="both"/>
        <w:textAlignment w:val="auto"/>
        <w:outlineLvl w:val="2"/>
        <w:rPr>
          <w:rFonts w:hint="default"/>
          <w:lang w:val="en-US" w:eastAsia="zh-CN"/>
        </w:rPr>
      </w:pPr>
      <w:r>
        <w:rPr>
          <w:rFonts w:hint="eastAsia"/>
          <w:lang w:val="en-US" w:eastAsia="zh-CN"/>
        </w:rPr>
        <w:t>1.</w:t>
      </w:r>
      <w:r>
        <w:rPr>
          <w:rFonts w:hint="default"/>
          <w:lang w:val="zh-CN"/>
        </w:rPr>
        <w:t>项目设立原因及背景</w:t>
      </w:r>
    </w:p>
    <w:p w14:paraId="508097BE">
      <w:pPr>
        <w:bidi w:val="0"/>
        <w:rPr>
          <w:rFonts w:hint="default"/>
          <w:lang w:val="zh-CN"/>
        </w:rPr>
      </w:pPr>
      <w:r>
        <w:rPr>
          <w:rFonts w:hint="eastAsia"/>
          <w:lang w:val="en-US" w:eastAsia="zh-CN"/>
        </w:rPr>
        <w:t>市场监管是维护市场秩序、保障民生安全、促进产业高质量发展的核心职能。当前阿坝州市场业态日趋多元，食品、工业产品、特种设备等领域安全风险防控压力持续加大，不正当竞争、违规广告等市场乱象仍有发生，基层市场监管所标准化建设滞后，综合执法能力亟待提升。为深入落实质量强省战略，严守三大安全底线，推进放心舒心消费环境建设，强化市场综合监管效能，依据省级市场监管专项资金管理相关要求，设立本项目，专项用于市场监管执法、抽检监测、基层规范化建设等工作，全面提升全州市场监管综合能力</w:t>
      </w:r>
      <w:r>
        <w:rPr>
          <w:rFonts w:hint="eastAsia"/>
          <w:lang w:val="zh-CN"/>
        </w:rPr>
        <w:t>。</w:t>
      </w:r>
    </w:p>
    <w:p w14:paraId="72FE21D7">
      <w:pPr>
        <w:bidi w:val="0"/>
        <w:ind w:firstLine="640" w:firstLineChars="200"/>
        <w:outlineLvl w:val="2"/>
        <w:rPr>
          <w:rFonts w:hint="default"/>
          <w:lang w:val="zh-CN"/>
        </w:rPr>
      </w:pPr>
      <w:r>
        <w:rPr>
          <w:rFonts w:hint="eastAsia"/>
          <w:lang w:val="en-US" w:eastAsia="zh-CN"/>
        </w:rPr>
        <w:t>2.</w:t>
      </w:r>
      <w:r>
        <w:rPr>
          <w:rFonts w:hint="default"/>
          <w:lang w:val="zh-CN"/>
        </w:rPr>
        <w:t>项目立项及资金申报的依据</w:t>
      </w:r>
    </w:p>
    <w:p w14:paraId="4C473283">
      <w:pPr>
        <w:bidi w:val="0"/>
        <w:rPr>
          <w:rFonts w:hint="default"/>
          <w:lang w:val="en-US" w:eastAsia="zh-CN"/>
        </w:rPr>
      </w:pPr>
      <w:r>
        <w:rPr>
          <w:rFonts w:hint="eastAsia"/>
          <w:lang w:val="en-US" w:eastAsia="zh-CN"/>
        </w:rPr>
        <w:t>本项目立项严格遵循《中华人民共和国食品安全法》《中华人民共和国特种设备安全法》《中华人民共和国反不正当竞争法》等法律法规，依据四川省市场监管局年度重点工作部署、阿坝州委、州政府关于市场监管和民生保障的决策安排，紧扣全州市场监管实际需求开展立项论证。资金申报基于“春雷行动”执法、食品抽检监测、认证活动监督、小微企业质量提升、基层监管所标准化建设等工作的实际成本科学测算，涵盖执法装备购置、抽检耗材、培训组织、场地建设等必要支出，经州财政局严格审核后纳入年度部门预算，资金来源为省级财政专项预算，全程符合财政资金使用管理及市场监管相关规范。</w:t>
      </w:r>
    </w:p>
    <w:p w14:paraId="3820F62C">
      <w:pPr>
        <w:bidi w:val="0"/>
        <w:ind w:firstLine="640" w:firstLineChars="200"/>
        <w:outlineLvl w:val="2"/>
        <w:rPr>
          <w:rFonts w:hint="default"/>
          <w:lang w:val="zh-CN"/>
        </w:rPr>
      </w:pPr>
      <w:r>
        <w:rPr>
          <w:rFonts w:hint="eastAsia"/>
          <w:lang w:val="en-US" w:eastAsia="zh-CN"/>
        </w:rPr>
        <w:t>3.</w:t>
      </w:r>
      <w:r>
        <w:rPr>
          <w:rFonts w:hint="default"/>
          <w:lang w:val="zh-CN"/>
        </w:rPr>
        <w:t>项目主要内容</w:t>
      </w:r>
    </w:p>
    <w:p w14:paraId="2CD078A4">
      <w:pPr>
        <w:bidi w:val="0"/>
        <w:rPr>
          <w:rFonts w:hint="default"/>
          <w:lang w:val="zh-CN"/>
        </w:rPr>
      </w:pPr>
      <w:r>
        <w:rPr>
          <w:rFonts w:hint="eastAsia"/>
          <w:lang w:val="en-US" w:eastAsia="zh-CN"/>
        </w:rPr>
        <w:t>本项目以“守底线、护公平、提效能、强基础”为核心，统筹开展六大重点工作：一是开展“春雷行动”等专项执法，强化反垄断和反不正当竞争、价格、广告、网络及合同监管，严厉打击违法违规行为；二是推进老旧化工特种设备和电站锅炉隐患专项整治，守牢特种设备安全底线；三是开展认证活动监督检查≥5家，规范认证市场秩序；四是完成省级普通食品抽检监测≥520批次，强化食品安全风险防控；五是推动小微企业质量提升≥2家，助力产业提质升级；六是开展基层市场监管局（所）标准规范化建设示范创建，提高综合行政执法水平</w:t>
      </w:r>
      <w:r>
        <w:rPr>
          <w:rFonts w:hint="eastAsia"/>
          <w:lang w:val="zh-CN"/>
        </w:rPr>
        <w:t>。</w:t>
      </w:r>
    </w:p>
    <w:p w14:paraId="5128972A">
      <w:pPr>
        <w:bidi w:val="0"/>
        <w:ind w:firstLine="640" w:firstLineChars="200"/>
        <w:outlineLvl w:val="2"/>
        <w:rPr>
          <w:rFonts w:hint="default"/>
          <w:lang w:val="zh-CN"/>
        </w:rPr>
      </w:pPr>
      <w:r>
        <w:rPr>
          <w:rFonts w:hint="eastAsia"/>
          <w:lang w:val="en-US" w:eastAsia="zh-CN"/>
        </w:rPr>
        <w:t>4.</w:t>
      </w:r>
      <w:r>
        <w:rPr>
          <w:rFonts w:hint="default"/>
          <w:lang w:val="zh-CN"/>
        </w:rPr>
        <w:t>主管部门职能</w:t>
      </w:r>
    </w:p>
    <w:p w14:paraId="22CBCAB0">
      <w:pPr>
        <w:bidi w:val="0"/>
        <w:rPr>
          <w:rFonts w:hint="default"/>
          <w:lang w:val="zh-CN"/>
        </w:rPr>
      </w:pPr>
      <w:r>
        <w:rPr>
          <w:rFonts w:hint="default"/>
          <w:lang w:val="zh-CN"/>
        </w:rPr>
        <w:t>阿坝藏族羌族自治州市场监督管理局作为本项目主管部门，依法履行全州市场综合监督管理、行政执法及公共服务职责，在本项目实施中承担顶层设计、统筹推进、全程监管及绩效落实核心职能。具体负责制定项目实施工作方案，统筹组织专项执法、抽检监测等工作；指导基层监管所标准化建设；统筹推进小微企业质量提升与安全隐患整治</w:t>
      </w:r>
      <w:r>
        <w:rPr>
          <w:rFonts w:hint="eastAsia"/>
          <w:lang w:val="zh-CN"/>
        </w:rPr>
        <w:t>。</w:t>
      </w:r>
    </w:p>
    <w:p w14:paraId="3175E70D">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14:paraId="12A1AB52">
      <w:pPr>
        <w:bidi w:val="0"/>
        <w:ind w:firstLine="640" w:firstLineChars="200"/>
        <w:outlineLvl w:val="2"/>
        <w:rPr>
          <w:rFonts w:hint="eastAsia"/>
          <w:lang w:val="en-US" w:eastAsia="zh-CN"/>
        </w:rPr>
      </w:pPr>
      <w:r>
        <w:rPr>
          <w:rFonts w:hint="eastAsia"/>
          <w:lang w:val="en-US" w:eastAsia="zh-CN"/>
        </w:rPr>
        <w:t>1.项目资金管理办法制定情况</w:t>
      </w:r>
    </w:p>
    <w:p w14:paraId="6B7BDD76">
      <w:pPr>
        <w:bidi w:val="0"/>
        <w:ind w:firstLine="640"/>
        <w:rPr>
          <w:rFonts w:hint="default"/>
          <w:lang w:val="en-US" w:eastAsia="zh-CN"/>
        </w:rPr>
      </w:pPr>
      <w:r>
        <w:rPr>
          <w:rFonts w:hint="eastAsia"/>
          <w:lang w:val="en-US" w:eastAsia="zh-CN"/>
        </w:rPr>
        <w:t>为保障2025年省级市场监管专项资金规范、高效、安全使用，我局严格遵照《四川省省级市场监管专项资金管理办法》及省、州财政专项资金管理相关规定，结合全州市场监管工作实际，制定《2025年省级市场监管专项资金使用实施细则》，实行专项资金专款专用、单独核算、闭环管理。明确资金使用范围涵盖专项执法、抽检监测、隐患整治、认证监督、基层建设、质量提升等与市场监管直接相关的必要支出，严格界定资金使用标准、审批流程及报销要求，预算调整严格履行州财政局审批备案程序。通过建立定期财务核查、常态化绩效监控机制，确保资金使用效益与预算既定目标高度契合，全程杜绝挤占、挪用、虚列支出等违规行为。</w:t>
      </w:r>
    </w:p>
    <w:p w14:paraId="6421410C">
      <w:pPr>
        <w:bidi w:val="0"/>
        <w:ind w:firstLine="640" w:firstLineChars="200"/>
        <w:outlineLvl w:val="2"/>
        <w:rPr>
          <w:rFonts w:hint="eastAsia"/>
          <w:lang w:val="en-US" w:eastAsia="zh-CN"/>
        </w:rPr>
      </w:pPr>
      <w:r>
        <w:rPr>
          <w:rFonts w:hint="eastAsia"/>
          <w:lang w:val="en-US" w:eastAsia="zh-CN"/>
        </w:rPr>
        <w:t>2.项目实施目的和主要工作任务</w:t>
      </w:r>
    </w:p>
    <w:p w14:paraId="6B5B7137">
      <w:pPr>
        <w:bidi w:val="0"/>
        <w:ind w:firstLine="640"/>
        <w:rPr>
          <w:rFonts w:hint="eastAsia"/>
          <w:lang w:val="en-US" w:eastAsia="zh-CN"/>
        </w:rPr>
      </w:pPr>
      <w:r>
        <w:rPr>
          <w:rFonts w:hint="eastAsia"/>
          <w:lang w:val="en-US" w:eastAsia="zh-CN"/>
        </w:rPr>
        <w:t>本项目以全面提升全州市场监管综合能力、严守食品、工业产品、特种设备安全底线、规范市场竞争秩序、优化消费环境为核心实施目的，通过省级专项资金精准保障，破解市场监管执法、风险防控、基层建设等环节的重点难点问题，推动市场监管工作标准化、专业化、规范化发展，切实维护群众合法权益，为全州市场环境持续向好、产业高质量发展提供坚实监管支撑。</w:t>
      </w:r>
    </w:p>
    <w:p w14:paraId="16A5403F">
      <w:pPr>
        <w:bidi w:val="0"/>
        <w:ind w:firstLine="640"/>
        <w:rPr>
          <w:rFonts w:hint="default"/>
          <w:lang w:val="en-US" w:eastAsia="zh-CN"/>
        </w:rPr>
      </w:pPr>
      <w:r>
        <w:rPr>
          <w:rFonts w:hint="eastAsia"/>
          <w:lang w:val="en-US" w:eastAsia="zh-CN"/>
        </w:rPr>
        <w:t>主要工作任务围绕“执法强化、风险防控、基础提升”要求开展：①完成“春雷行动”等专项执法全覆盖，规范市场竞争秩序；②完成省级普通食品抽检监测≥520批次，抽检不合格食品核查处置率100%；③开展认证活动监督检查≥5家，推动小微企业质量提升≥2家；④完成老旧化工特种设备和电站锅炉隐患专项整治；⑤开展基层市场监管所标准化规范化建设示范创建；⑥确保生产环节抽检合格率100%、食品抽检应公布信息公布率100%，辖区无重大食品安全事故发生，公众对食品安全满意度≥80分；⑦所有工作于2025年底前全面完成。</w:t>
      </w:r>
    </w:p>
    <w:p w14:paraId="1E00C0A9">
      <w:pPr>
        <w:bidi w:val="0"/>
        <w:ind w:firstLine="640" w:firstLineChars="200"/>
        <w:outlineLvl w:val="2"/>
        <w:rPr>
          <w:rFonts w:hint="default"/>
          <w:lang w:val="en-US" w:eastAsia="zh-CN"/>
        </w:rPr>
      </w:pPr>
      <w:r>
        <w:rPr>
          <w:rFonts w:hint="eastAsia"/>
          <w:lang w:val="en-US" w:eastAsia="zh-CN"/>
        </w:rPr>
        <w:t>3.项目支持方向</w:t>
      </w:r>
    </w:p>
    <w:p w14:paraId="482FAF4F">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楷体_GB2312" w:cs="Times New Roman"/>
          <w:b/>
          <w:color w:val="auto"/>
          <w:sz w:val="32"/>
          <w:szCs w:val="32"/>
          <w:highlight w:val="none"/>
          <w:u w:val="none"/>
          <w:lang w:val="zh-CN"/>
        </w:rPr>
      </w:pPr>
      <w:r>
        <w:rPr>
          <w:rFonts w:hint="eastAsia" w:cs="Times New Roman"/>
          <w:color w:val="auto"/>
          <w:kern w:val="0"/>
          <w:sz w:val="32"/>
          <w:szCs w:val="32"/>
          <w:highlight w:val="none"/>
          <w:u w:val="none"/>
          <w:shd w:val="clear" w:color="auto" w:fill="FFFFFF"/>
          <w:lang w:val="en-US" w:eastAsia="zh-CN"/>
        </w:rPr>
        <w:t>项目资金聚焦三大核心方向精准发力：一是筑牢安全监管防线，重点保障食品抽检监测、特种设备隐患整治等工作，及时发现和处置安全风险，守牢三大安全底线；二是强化市场秩序规范，支持“春雷行动”、反垄断反不正当竞争等专项执法，严厉打击违法违规行为，维护公平竞争的市场环境；三是提升基层监管能力，保障基层市场监管所标准化建设、执法装备升级及人员培训，推动小微企业质量提升，夯实市场监管基层基础，提升综合执法效能。</w:t>
      </w:r>
    </w:p>
    <w:p w14:paraId="396A201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5EEF179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本项目</w:t>
      </w:r>
      <w:r>
        <w:rPr>
          <w:rFonts w:hint="eastAsia" w:cs="Times New Roman"/>
          <w:color w:val="auto"/>
          <w:kern w:val="0"/>
          <w:sz w:val="32"/>
          <w:szCs w:val="32"/>
          <w:highlight w:val="none"/>
          <w:u w:val="none"/>
          <w:shd w:val="clear" w:color="auto" w:fill="FFFFFF"/>
          <w:lang w:val="en-US" w:eastAsia="zh-CN"/>
        </w:rPr>
        <w:t>年末追加13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default" w:ascii="Times New Roman" w:hAnsi="Times New Roman" w:cs="Times New Roman"/>
          <w:color w:val="auto"/>
          <w:kern w:val="0"/>
          <w:sz w:val="32"/>
          <w:szCs w:val="32"/>
          <w:highlight w:val="none"/>
          <w:u w:val="none"/>
          <w:shd w:val="clear" w:color="auto" w:fill="FFFFFF"/>
          <w:lang w:val="zh-CN" w:eastAsia="zh-CN"/>
        </w:rPr>
        <w:t>万元，均为</w:t>
      </w:r>
      <w:r>
        <w:rPr>
          <w:rFonts w:hint="eastAsia" w:cs="Times New Roman"/>
          <w:color w:val="auto"/>
          <w:kern w:val="0"/>
          <w:sz w:val="32"/>
          <w:szCs w:val="32"/>
          <w:highlight w:val="none"/>
          <w:u w:val="none"/>
          <w:shd w:val="clear" w:color="auto" w:fill="FFFFFF"/>
          <w:lang w:val="en-US" w:eastAsia="zh-CN"/>
        </w:rPr>
        <w:t>省级</w:t>
      </w:r>
      <w:r>
        <w:rPr>
          <w:rFonts w:hint="default" w:ascii="Times New Roman" w:hAnsi="Times New Roman" w:cs="Times New Roman"/>
          <w:color w:val="auto"/>
          <w:kern w:val="0"/>
          <w:sz w:val="32"/>
          <w:szCs w:val="32"/>
          <w:highlight w:val="none"/>
          <w:u w:val="none"/>
          <w:shd w:val="clear" w:color="auto" w:fill="FFFFFF"/>
          <w:lang w:val="zh-CN" w:eastAsia="zh-CN"/>
        </w:rPr>
        <w:t>财政资金，全年预算执行数为</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default" w:ascii="Times New Roman" w:hAnsi="Times New Roman" w:cs="Times New Roman"/>
          <w:color w:val="auto"/>
          <w:kern w:val="0"/>
          <w:sz w:val="32"/>
          <w:szCs w:val="32"/>
          <w:highlight w:val="none"/>
          <w:u w:val="none"/>
          <w:shd w:val="clear" w:color="auto" w:fill="FFFFFF"/>
          <w:lang w:val="zh-CN" w:eastAsia="zh-CN"/>
        </w:rPr>
        <w:t>万元，预算执行率为</w:t>
      </w:r>
      <w:r>
        <w:rPr>
          <w:rFonts w:hint="eastAsia" w:cs="Times New Roman"/>
          <w:color w:val="auto"/>
          <w:kern w:val="0"/>
          <w:sz w:val="32"/>
          <w:szCs w:val="32"/>
          <w:highlight w:val="none"/>
          <w:u w:val="none"/>
          <w:shd w:val="clear" w:color="auto" w:fill="FFFFFF"/>
          <w:lang w:val="en-US" w:eastAsia="zh-CN"/>
        </w:rPr>
        <w:t>100</w:t>
      </w:r>
      <w:r>
        <w:rPr>
          <w:rFonts w:hint="default" w:ascii="Times New Roman" w:hAnsi="Times New Roman" w:cs="Times New Roman"/>
          <w:color w:val="auto"/>
          <w:kern w:val="0"/>
          <w:sz w:val="32"/>
          <w:szCs w:val="32"/>
          <w:highlight w:val="none"/>
          <w:u w:val="none"/>
          <w:shd w:val="clear" w:color="auto" w:fill="FFFFFF"/>
          <w:lang w:val="zh-CN" w:eastAsia="zh-CN"/>
        </w:rPr>
        <w:t>.00%。资金分配遵循“合规优先、聚焦核心、效益最大化”原则</w:t>
      </w:r>
      <w:r>
        <w:rPr>
          <w:rFonts w:hint="eastAsia" w:cs="Times New Roman"/>
          <w:color w:val="auto"/>
          <w:kern w:val="0"/>
          <w:sz w:val="32"/>
          <w:szCs w:val="32"/>
          <w:highlight w:val="none"/>
          <w:u w:val="none"/>
          <w:shd w:val="clear" w:color="auto" w:fill="FFFFFF"/>
          <w:lang w:val="zh-CN" w:eastAsia="zh-CN"/>
        </w:rPr>
        <w:t>。</w:t>
      </w:r>
      <w:r>
        <w:rPr>
          <w:rFonts w:hint="default" w:ascii="Times New Roman" w:hAnsi="Times New Roman" w:cs="Times New Roman"/>
          <w:color w:val="auto"/>
          <w:kern w:val="0"/>
          <w:sz w:val="32"/>
          <w:szCs w:val="32"/>
          <w:highlight w:val="none"/>
          <w:u w:val="none"/>
          <w:shd w:val="clear" w:color="auto" w:fill="FFFFFF"/>
          <w:lang w:val="zh-CN" w:eastAsia="zh-CN"/>
        </w:rPr>
        <w:t>资金使用严格控制费用标准，全程接受财政、审计及上级监管部门监督，无资金滞留、分配不合理、低效配置等情况</w:t>
      </w:r>
      <w:r>
        <w:rPr>
          <w:rFonts w:hint="eastAsia" w:cs="Times New Roman"/>
          <w:color w:val="auto"/>
          <w:kern w:val="0"/>
          <w:sz w:val="32"/>
          <w:szCs w:val="32"/>
          <w:highlight w:val="none"/>
          <w:u w:val="none"/>
          <w:shd w:val="clear" w:color="auto" w:fill="FFFFFF"/>
          <w:lang w:val="en-US" w:eastAsia="zh-CN"/>
        </w:rPr>
        <w:t>。</w:t>
      </w:r>
    </w:p>
    <w:p w14:paraId="4714236D">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14:paraId="6F78E247">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cs="Times New Roman"/>
          <w:color w:val="auto"/>
          <w:kern w:val="0"/>
          <w:sz w:val="32"/>
          <w:szCs w:val="32"/>
          <w:highlight w:val="none"/>
          <w:u w:val="none"/>
          <w:shd w:val="clear" w:color="auto" w:fill="FFFFFF"/>
          <w:lang w:val="en-US" w:eastAsia="zh-CN"/>
        </w:rPr>
        <w:t>本项目整体目标：通过2025年省级市场监管专项资金的保障和使用，全面提升全州市场监管综合执法能力、风险防控能力及基层监管水平，严守三大安全底线，规范市场竞争秩序，优化消费环境，推动小微企业质量提升，构建规范高效、贴合地方实际的市场监管体系，切实维护群众合法权益，助力产业高质量发展。</w:t>
      </w:r>
    </w:p>
    <w:p w14:paraId="23A9C584">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cs="Times New Roman"/>
          <w:color w:val="auto"/>
          <w:kern w:val="0"/>
          <w:sz w:val="32"/>
          <w:szCs w:val="32"/>
          <w:highlight w:val="none"/>
          <w:u w:val="none"/>
          <w:shd w:val="clear" w:color="auto" w:fill="FFFFFF"/>
          <w:lang w:val="en-US" w:eastAsia="zh-CN"/>
        </w:rPr>
        <w:t>本项目自评工作严格依据年度绩效目标和指标体系开展，通过系统梳理预算执行情况、逐项核查任务完成进度、全面分析效益达成度等方式，对照量化指标逐一评估，结合资料审查、现场核查与实际监管成效，客观评价项目在目标完成、资金使用、监管效能等方面的实际表现，确保绩效自评结果真实、准确反映项目实施实际情况</w:t>
      </w:r>
      <w:r>
        <w:rPr>
          <w:rFonts w:hint="default" w:ascii="Times New Roman" w:hAnsi="Times New Roman" w:cs="Times New Roman"/>
          <w:color w:val="auto"/>
          <w:kern w:val="0"/>
          <w:sz w:val="32"/>
          <w:szCs w:val="32"/>
          <w:highlight w:val="none"/>
          <w:u w:val="none"/>
          <w:shd w:val="clear" w:color="auto" w:fill="FFFFFF"/>
          <w:lang w:val="zh-CN" w:eastAsia="zh-CN"/>
        </w:rPr>
        <w:t>。</w:t>
      </w:r>
    </w:p>
    <w:p w14:paraId="39B06A84">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31B47176">
      <w:pPr>
        <w:keepNext w:val="0"/>
        <w:keepLines w:val="0"/>
        <w:pageBreakBefore w:val="0"/>
        <w:widowControl w:val="0"/>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48F7564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rPr>
      </w:pPr>
      <w:r>
        <w:rPr>
          <w:rFonts w:hint="default" w:ascii="Times New Roman" w:hAnsi="Times New Roman" w:cs="Times New Roman"/>
          <w:szCs w:val="32"/>
          <w:lang w:eastAsia="zh-CN"/>
        </w:rPr>
        <w:t>通过项目绩效自评，旨在全面、客观地衡量项目实施效果，对照既定目标检查任务完成情况与资金使用效益，精准查找项目执行过程中在管理、实施、成效等方面存在的问题与不足。同时，总结经验做法，为优化项目设计、完善管理制度、提高资金配置效率提供依据，强化绩效意识与责任担当，提升</w:t>
      </w:r>
      <w:r>
        <w:rPr>
          <w:rFonts w:hint="eastAsia" w:cs="Times New Roman"/>
          <w:szCs w:val="32"/>
          <w:lang w:eastAsia="zh-CN"/>
        </w:rPr>
        <w:t>我局</w:t>
      </w:r>
      <w:r>
        <w:rPr>
          <w:rFonts w:hint="eastAsia" w:cs="Times New Roman"/>
          <w:szCs w:val="32"/>
          <w:lang w:val="en-US" w:eastAsia="zh-CN"/>
        </w:rPr>
        <w:t>项目</w:t>
      </w:r>
      <w:r>
        <w:rPr>
          <w:rFonts w:hint="default" w:ascii="Times New Roman" w:hAnsi="Times New Roman" w:cs="Times New Roman"/>
          <w:szCs w:val="32"/>
          <w:lang w:eastAsia="zh-CN"/>
        </w:rPr>
        <w:t>管理水平，确保项目目标可持续实现，为后续同类项目决策和改进提供参考，推动项目管理规范化、科学化发展。</w:t>
      </w:r>
    </w:p>
    <w:p w14:paraId="3560A7D0">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（二）预设问题及评价重点。</w:t>
      </w:r>
    </w:p>
    <w:p w14:paraId="67430BE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本项目绩效评价聚焦资金使用全流程及项目实施效果两大核心，重点关注六方面内容：一是项目决策程序是否严密合规，规划论证是否符合中省州相关要求、绩效目标设置是否科学合理；二是资金投向是否匹配项目整体规划，是否聚焦监管重点领域和关键环节；三是项目管理制度办法是否健全完善，资金分配是否科学合理，绩效监管是否到位有效；四是预算执行是否及时到位、资金使用是否合规规范；五是各项绩效目标是否按期完成、完成时效是否达标；六是项目实施的社会效益、产业效益是否充分发挥</w:t>
      </w:r>
      <w:r>
        <w:rPr>
          <w:rFonts w:hint="default" w:ascii="Times New Roman" w:hAnsi="Times New Roman" w:eastAsia="仿宋_GB2312" w:cs="Times New Roman"/>
          <w:szCs w:val="32"/>
          <w:lang w:eastAsia="zh-CN"/>
        </w:rPr>
        <w:t>。</w:t>
      </w:r>
    </w:p>
    <w:p w14:paraId="61E1D7F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63965C9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cs="Times New Roman"/>
          <w:szCs w:val="32"/>
          <w:lang w:val="zh-CN" w:eastAsia="zh-CN"/>
        </w:rPr>
      </w:pPr>
      <w:r>
        <w:rPr>
          <w:rFonts w:hint="eastAsia" w:cs="Times New Roman"/>
          <w:szCs w:val="32"/>
          <w:lang w:val="zh-CN" w:eastAsia="zh-CN"/>
        </w:rPr>
        <w:t>由于我局作为</w:t>
      </w:r>
      <w:r>
        <w:rPr>
          <w:rFonts w:hint="eastAsia" w:cs="Times New Roman"/>
          <w:szCs w:val="32"/>
          <w:lang w:val="en-US" w:eastAsia="zh-CN"/>
        </w:rPr>
        <w:t>本</w:t>
      </w:r>
      <w:r>
        <w:rPr>
          <w:rFonts w:hint="eastAsia" w:cs="Times New Roman"/>
          <w:szCs w:val="32"/>
          <w:lang w:val="zh-CN" w:eastAsia="zh-CN"/>
        </w:rPr>
        <w:t>项目资金的末端使用单位，项目实施地点集中在</w:t>
      </w:r>
      <w:r>
        <w:rPr>
          <w:rFonts w:hint="eastAsia" w:cs="Times New Roman"/>
          <w:szCs w:val="32"/>
          <w:lang w:val="en-US" w:eastAsia="zh-CN"/>
        </w:rPr>
        <w:t>本局</w:t>
      </w:r>
      <w:r>
        <w:rPr>
          <w:rFonts w:hint="eastAsia" w:cs="Times New Roman"/>
          <w:szCs w:val="32"/>
          <w:lang w:val="zh-CN" w:eastAsia="zh-CN"/>
        </w:rPr>
        <w:t>，资金使用范围及业务开展均围绕单一主体开展，无多个实施点位或子项目需要抽样评估。因此，本次绩效自评未涉及抽样点位相关工作，而是采取全面核查的方式，对资金使用台账、项目执行档案、服务成效数据等进行全口径梳理，结合现场勘查等手段，对项目整体实施情况及绩效目标完成度进行综合评价，确保自评工作覆盖所有关键环节，客观反映资金使用效益与项目实施效果。</w:t>
      </w:r>
    </w:p>
    <w:p w14:paraId="63F44362">
      <w:pPr>
        <w:keepNext w:val="0"/>
        <w:keepLines w:val="0"/>
        <w:pageBreakBefore w:val="0"/>
        <w:widowControl w:val="0"/>
        <w:numPr>
          <w:ilvl w:val="0"/>
          <w:numId w:val="3"/>
        </w:numPr>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60A8ACCE">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我局根据项目</w:t>
      </w:r>
      <w:r>
        <w:rPr>
          <w:rFonts w:hint="default" w:ascii="Times New Roman" w:hAnsi="Times New Roman" w:eastAsia="仿宋_GB2312" w:cs="Times New Roman"/>
          <w:szCs w:val="32"/>
        </w:rPr>
        <w:t>情况和评价重点，</w:t>
      </w:r>
      <w:r>
        <w:rPr>
          <w:rFonts w:hint="eastAsia" w:cs="Times New Roman"/>
          <w:szCs w:val="32"/>
          <w:lang w:val="en-US" w:eastAsia="zh-CN"/>
        </w:rPr>
        <w:t>主要</w:t>
      </w:r>
      <w:r>
        <w:rPr>
          <w:rFonts w:hint="default" w:ascii="Times New Roman" w:hAnsi="Times New Roman" w:eastAsia="仿宋_GB2312" w:cs="Times New Roman"/>
          <w:szCs w:val="32"/>
        </w:rPr>
        <w:t>采用成本效益分析法</w:t>
      </w:r>
      <w:r>
        <w:rPr>
          <w:rFonts w:eastAsia="仿宋_GB2312" w:cs="Times New Roman"/>
          <w:szCs w:val="32"/>
          <w:lang w:val="zh-CN"/>
        </w:rPr>
        <w:t>、比较法、因素分析法、询问查证法等</w:t>
      </w:r>
      <w:r>
        <w:rPr>
          <w:rFonts w:hint="eastAsia" w:cs="Times New Roman"/>
          <w:szCs w:val="32"/>
          <w:lang w:val="en-US" w:eastAsia="zh-CN"/>
        </w:rPr>
        <w:t>评价方法</w:t>
      </w:r>
      <w:r>
        <w:rPr>
          <w:rFonts w:eastAsia="仿宋_GB2312" w:cs="Times New Roman"/>
          <w:szCs w:val="32"/>
          <w:lang w:val="zh-CN"/>
        </w:rPr>
        <w:t>。</w:t>
      </w:r>
    </w:p>
    <w:p w14:paraId="5C1D4A4A">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ascii="Times New Roman" w:hAnsi="Times New Roman" w:eastAsia="仿宋_GB2312" w:cs="Times New Roman"/>
          <w:szCs w:val="32"/>
          <w:lang w:val="zh-CN"/>
        </w:rPr>
      </w:pPr>
      <w:r>
        <w:rPr>
          <w:rFonts w:ascii="Times New Roman" w:hAnsi="Times New Roman" w:cs="Times New Roman"/>
          <w:szCs w:val="32"/>
          <w:lang w:val="en-US" w:eastAsia="zh-CN"/>
        </w:rPr>
        <w:t>1.</w:t>
      </w:r>
      <w:r>
        <w:rPr>
          <w:rFonts w:ascii="Times New Roman" w:hAnsi="Times New Roman" w:eastAsia="仿宋_GB2312" w:cs="Times New Roman"/>
          <w:szCs w:val="32"/>
          <w:lang w:val="zh-CN"/>
        </w:rPr>
        <w:t>成本效益法。通过将一定时期内的支出所产生的效益与付出的成本进行对比分析，从而评价项目绩效的方法。</w:t>
      </w:r>
    </w:p>
    <w:p w14:paraId="6B71F94A">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ascii="Times New Roman" w:hAnsi="Times New Roman" w:cs="Times New Roman"/>
          <w:szCs w:val="32"/>
          <w:lang w:val="en-US" w:eastAsia="zh-CN"/>
        </w:rPr>
        <w:t>2.</w:t>
      </w:r>
      <w:r>
        <w:rPr>
          <w:rFonts w:ascii="Times New Roman" w:hAnsi="Times New Roman" w:eastAsia="仿宋_GB2312" w:cs="Times New Roman"/>
          <w:szCs w:val="32"/>
          <w:lang w:val="zh-CN"/>
        </w:rPr>
        <w:t>比较法。通过对绩效目标与实施效果、历史与当期情况、不同</w:t>
      </w:r>
      <w:r>
        <w:rPr>
          <w:rFonts w:eastAsia="仿宋_GB2312" w:cs="Times New Roman"/>
          <w:szCs w:val="32"/>
          <w:lang w:val="zh-CN"/>
        </w:rPr>
        <w:t>部门和地区同类支出的比较，综合分析绩效目标实现程度。</w:t>
      </w:r>
    </w:p>
    <w:p w14:paraId="070AF29F">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3.</w:t>
      </w:r>
      <w:r>
        <w:rPr>
          <w:rFonts w:eastAsia="仿宋_GB2312" w:cs="Times New Roman"/>
          <w:szCs w:val="32"/>
          <w:lang w:val="zh-CN"/>
        </w:rPr>
        <w:t>因素分析法。通过综合分析影响绩效目标实现、实施效果的内外因素，评价绩效目标实现程度；通过列举所有影响成本与收益的因素，进行全面、综合地分析，从而得出评价结果的方法。</w:t>
      </w:r>
    </w:p>
    <w:p w14:paraId="54CA097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4.</w:t>
      </w:r>
      <w:r>
        <w:rPr>
          <w:rFonts w:eastAsia="仿宋_GB2312" w:cs="Times New Roman"/>
          <w:szCs w:val="32"/>
          <w:lang w:val="zh-CN"/>
        </w:rPr>
        <w:t>询问查证法。通过与评价客体直接或间接，以口头、书面、座谈等方式了解有关情况，从而形成判断的方法</w:t>
      </w:r>
      <w:r>
        <w:rPr>
          <w:rFonts w:eastAsia="仿宋_GB2312" w:cs="Times New Roman"/>
          <w:szCs w:val="32"/>
          <w:lang w:eastAsia="zh-CN"/>
        </w:rPr>
        <w:t>。</w:t>
      </w:r>
    </w:p>
    <w:p w14:paraId="0CB85CBB">
      <w:pPr>
        <w:keepNext w:val="0"/>
        <w:keepLines w:val="0"/>
        <w:pageBreakBefore w:val="0"/>
        <w:widowControl w:val="0"/>
        <w:numPr>
          <w:ilvl w:val="0"/>
          <w:numId w:val="3"/>
        </w:numPr>
        <w:kinsoku/>
        <w:wordWrap/>
        <w:overflowPunct/>
        <w:topLinePunct w:val="0"/>
        <w:autoSpaceDE/>
        <w:autoSpaceDN/>
        <w:bidi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778827C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评价组由</w:t>
      </w:r>
      <w:r>
        <w:rPr>
          <w:rFonts w:hint="eastAsia" w:ascii="Times New Roman" w:hAnsi="Times New Roman" w:cs="Times New Roman"/>
          <w:szCs w:val="32"/>
          <w:lang w:val="en-US" w:eastAsia="zh-CN"/>
        </w:rPr>
        <w:t>我局</w:t>
      </w:r>
      <w:r>
        <w:rPr>
          <w:rFonts w:hint="default" w:ascii="Times New Roman" w:hAnsi="Times New Roman" w:cs="Times New Roman"/>
          <w:szCs w:val="32"/>
          <w:lang w:val="en-US" w:eastAsia="zh-CN"/>
        </w:rPr>
        <w:t>财务部门及业务部门人员共同组成，涵盖项目管理、资金监管、业务执行、绩效评估等多方面职能。其中，财务</w:t>
      </w:r>
      <w:r>
        <w:rPr>
          <w:rFonts w:hint="eastAsia" w:ascii="Times New Roman" w:hAnsi="Times New Roman" w:cs="Times New Roman"/>
          <w:szCs w:val="32"/>
          <w:lang w:val="en-US" w:eastAsia="zh-CN"/>
        </w:rPr>
        <w:t>部门</w:t>
      </w:r>
      <w:r>
        <w:rPr>
          <w:rFonts w:hint="default" w:ascii="Times New Roman" w:hAnsi="Times New Roman" w:cs="Times New Roman"/>
          <w:szCs w:val="32"/>
          <w:lang w:val="en-US" w:eastAsia="zh-CN"/>
        </w:rPr>
        <w:t>人员负责统筹自评工作，制定评价方案，把控整体进度与质量</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重点核查资金使用合规性，审查预算执行、财务台账及报销凭证，确保资金管理规范透明；业务部门人员聚焦项目实施成效，对具体任务完成情况进行现场勘查与数据核验，评估业务目标达成度；行政人员负责资料收集整理、会议记录及对外协调，保障自评工作各环节衔接顺畅。各组员按职责分工协同开展工作，确保自评结果客观、全面、科学。</w:t>
      </w:r>
    </w:p>
    <w:p w14:paraId="3B3D44B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08576EA8">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5EF594F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2"/>
        <w:rPr>
          <w:rFonts w:hint="default" w:ascii="Times New Roman" w:hAnsi="Times New Roman" w:cs="Times New Roman"/>
          <w:color w:val="auto"/>
          <w:szCs w:val="32"/>
          <w:highlight w:val="none"/>
          <w:lang w:eastAsia="zh-CN"/>
        </w:rPr>
      </w:pPr>
      <w:r>
        <w:rPr>
          <w:rFonts w:hint="eastAsia" w:cs="Times New Roman"/>
          <w:color w:val="auto"/>
          <w:szCs w:val="32"/>
          <w:highlight w:val="none"/>
          <w:lang w:eastAsia="zh-CN"/>
        </w:rPr>
        <w:t>（</w:t>
      </w:r>
      <w:r>
        <w:rPr>
          <w:rFonts w:hint="eastAsia" w:cs="Times New Roman"/>
          <w:color w:val="auto"/>
          <w:szCs w:val="32"/>
          <w:highlight w:val="none"/>
          <w:lang w:val="en-US" w:eastAsia="zh-CN"/>
        </w:rPr>
        <w:t>1</w:t>
      </w:r>
      <w:r>
        <w:rPr>
          <w:rFonts w:hint="eastAsia" w:cs="Times New Roman"/>
          <w:color w:val="auto"/>
          <w:szCs w:val="32"/>
          <w:highlight w:val="none"/>
          <w:lang w:eastAsia="zh-CN"/>
        </w:rPr>
        <w:t>）</w:t>
      </w:r>
      <w:r>
        <w:rPr>
          <w:rFonts w:hint="default" w:ascii="Times New Roman" w:hAnsi="Times New Roman" w:cs="Times New Roman"/>
          <w:color w:val="auto"/>
          <w:szCs w:val="32"/>
          <w:highlight w:val="none"/>
          <w:lang w:eastAsia="zh-CN"/>
        </w:rPr>
        <w:t>决策程序</w:t>
      </w:r>
    </w:p>
    <w:p w14:paraId="3D04E81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我局严格按照省级市场监管专项资金管理规定及项目立项相关要求，完成项目立项申请、规划论证、预算编制、审批报备等全流程工作，决策程序严密、合规，无程序疏漏、违规立项等问题，完全符合财政资金管理和项目决策规范。</w:t>
      </w:r>
    </w:p>
    <w:p w14:paraId="4EE4100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1264F2C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（2）规划论证</w:t>
      </w:r>
    </w:p>
    <w:p w14:paraId="04D0110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项目规划完全符合中央、省委、省政府及州委、州政府关于市场监管工作的决策部署和年度安排</w:t>
      </w:r>
      <w:r>
        <w:rPr>
          <w:rFonts w:hint="eastAsia" w:cs="Times New Roman"/>
          <w:color w:val="auto"/>
          <w:szCs w:val="32"/>
          <w:lang w:val="en-US" w:eastAsia="zh-CN"/>
        </w:rPr>
        <w:t>，在</w:t>
      </w:r>
      <w:r>
        <w:rPr>
          <w:rFonts w:hint="eastAsia" w:ascii="Times New Roman" w:hAnsi="Times New Roman" w:cs="Times New Roman"/>
          <w:color w:val="auto"/>
          <w:szCs w:val="32"/>
          <w:lang w:val="en-US" w:eastAsia="zh-CN"/>
        </w:rPr>
        <w:t>立项阶段充分开展了必要性、可行性、前瞻性评估论证，设置了整体绩效目标和具体量化指标，但存在部分可持续影响指标与基层监管实际结合不够紧密，对偏远区域监管差异化需求考量不足的问题。</w:t>
      </w:r>
    </w:p>
    <w:p w14:paraId="62878C9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综上，根据评分标准，该项指标扣1.5分，得4.5分。</w:t>
      </w:r>
    </w:p>
    <w:p w14:paraId="2142717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（3）资金投向</w:t>
      </w:r>
    </w:p>
    <w:p w14:paraId="71A8937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使用严格遵循国家市场监管相关政策及专项资金管理要求，投向属于市场监管法定职责范围，与财政事权支出责任界定完全匹配，优先保障安全监管、执法整治等核心工作；但存在少量基层建设经费与部分监管所实际改造需求衔接不够精准的问题，资金投放针对性有待进一步提升。</w:t>
      </w:r>
    </w:p>
    <w:p w14:paraId="18E2745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综上，根据评分标准，该项指标扣1分，得5分。</w:t>
      </w:r>
    </w:p>
    <w:p w14:paraId="4945EC4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p>
    <w:p w14:paraId="4E43285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制度办法</w:t>
      </w:r>
    </w:p>
    <w:p w14:paraId="1D114D0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构建完善项目资金管理制度体系，依据相关法规和财政预算管理要求、单位内部控制相关制度进行项目管理，制度覆盖资金管理全流程，定期更新并严格执行，无制度缺失或过期问题，形成“事前、事中、事后”规范管理机制，为资金安全及项目实施提供坚实制度保障。</w:t>
      </w:r>
    </w:p>
    <w:p w14:paraId="4EE458D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综上，根据评分标准，该项指标不扣分，得2分。</w:t>
      </w:r>
    </w:p>
    <w:p w14:paraId="32C88CB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（2）分配管理</w:t>
      </w:r>
    </w:p>
    <w:p w14:paraId="217C469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w:t>
      </w:r>
      <w:r>
        <w:rPr>
          <w:rFonts w:hint="default" w:ascii="Times New Roman" w:hAnsi="Times New Roman" w:cs="Times New Roman"/>
          <w:color w:val="auto"/>
          <w:szCs w:val="32"/>
          <w:lang w:val="en-US" w:eastAsia="zh-CN"/>
        </w:rPr>
        <w:t>作为本项目资金的末端使用单位，严格按管理办法及任务权重分配使用项目资金，分配因素充分考虑区域监管需求与工作重点，决策程序符合管理要求，资金支出及时高效，无分配不合理问题</w:t>
      </w:r>
      <w:r>
        <w:rPr>
          <w:rFonts w:hint="eastAsia" w:ascii="Times New Roman" w:hAnsi="Times New Roman" w:cs="Times New Roman"/>
          <w:color w:val="auto"/>
          <w:szCs w:val="32"/>
          <w:lang w:val="en-US" w:eastAsia="zh-CN"/>
        </w:rPr>
        <w:t>。</w:t>
      </w:r>
    </w:p>
    <w:p w14:paraId="25DCF0F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0050C68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（3）绩效监管</w:t>
      </w:r>
    </w:p>
    <w:p w14:paraId="3CEF9573">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落实中省预算绩效管理要求，全面完成绩效目标设定、事前评估、绩效评价及历史问题整改等预算绩效管理工作，构建全流程管理体系。上级主管部门对资金分配、项目管理指导到位，常态化开展监督评价，无履职缺位，但存在绩效监控数据动态更新不够及时的问题。</w:t>
      </w:r>
    </w:p>
    <w:p w14:paraId="6647D51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综上，根据评分标准，该项指标扣1分，得5分。</w:t>
      </w:r>
    </w:p>
    <w:p w14:paraId="4430D3A8">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3.项目实施</w:t>
      </w:r>
    </w:p>
    <w:p w14:paraId="4A2689B2">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预算</w:t>
      </w:r>
      <w:r>
        <w:rPr>
          <w:rFonts w:hint="default" w:ascii="Times New Roman" w:hAnsi="Times New Roman" w:eastAsia="仿宋_GB2312" w:cs="Times New Roman"/>
          <w:color w:val="auto"/>
          <w:szCs w:val="32"/>
          <w:lang w:val="zh-CN" w:eastAsia="zh-CN"/>
        </w:rPr>
        <w:t>执行</w:t>
      </w:r>
    </w:p>
    <w:p w14:paraId="1FB95593">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本</w:t>
      </w:r>
      <w:r>
        <w:rPr>
          <w:rFonts w:hint="eastAsia" w:cs="Times New Roman"/>
          <w:color w:val="auto"/>
          <w:szCs w:val="32"/>
          <w:lang w:val="en-US" w:eastAsia="zh-CN"/>
        </w:rPr>
        <w:t>项目于2025年</w:t>
      </w:r>
      <w:r>
        <w:rPr>
          <w:rFonts w:hint="eastAsia" w:ascii="Times New Roman" w:hAnsi="Times New Roman" w:cs="Times New Roman"/>
          <w:color w:val="auto"/>
          <w:szCs w:val="32"/>
          <w:lang w:val="en-US" w:eastAsia="zh-CN"/>
        </w:rPr>
        <w:t>预算安排</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eastAsia" w:ascii="Times New Roman" w:hAnsi="Times New Roman" w:cs="Times New Roman"/>
          <w:color w:val="auto"/>
          <w:szCs w:val="32"/>
          <w:lang w:val="en-US" w:eastAsia="zh-CN"/>
        </w:rPr>
        <w:t>万元，截至2025年12月31日，项目资金到位</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eastAsia" w:ascii="Times New Roman" w:hAnsi="Times New Roman" w:cs="Times New Roman"/>
          <w:color w:val="auto"/>
          <w:szCs w:val="32"/>
          <w:lang w:val="en-US" w:eastAsia="zh-CN"/>
        </w:rPr>
        <w:t>万元，预算执行金额为</w:t>
      </w:r>
      <w:r>
        <w:rPr>
          <w:rFonts w:hint="eastAsia" w:cs="Times New Roman"/>
          <w:color w:val="auto"/>
          <w:kern w:val="0"/>
          <w:sz w:val="32"/>
          <w:szCs w:val="32"/>
          <w:highlight w:val="none"/>
          <w:u w:val="none"/>
          <w:shd w:val="clear" w:color="auto" w:fill="FFFFFF"/>
          <w:lang w:val="en-US" w:eastAsia="zh-CN"/>
        </w:rPr>
        <w:t>13</w:t>
      </w:r>
      <w:r>
        <w:rPr>
          <w:rFonts w:hint="default" w:ascii="Times New Roman" w:hAnsi="Times New Roman" w:cs="Times New Roman"/>
          <w:color w:val="auto"/>
          <w:kern w:val="0"/>
          <w:sz w:val="32"/>
          <w:szCs w:val="32"/>
          <w:highlight w:val="none"/>
          <w:u w:val="none"/>
          <w:shd w:val="clear" w:color="auto" w:fill="FFFFFF"/>
          <w:lang w:val="zh-CN" w:eastAsia="zh-CN"/>
        </w:rPr>
        <w:t>4.</w:t>
      </w:r>
      <w:r>
        <w:rPr>
          <w:rFonts w:hint="eastAsia" w:cs="Times New Roman"/>
          <w:color w:val="auto"/>
          <w:kern w:val="0"/>
          <w:sz w:val="32"/>
          <w:szCs w:val="32"/>
          <w:highlight w:val="none"/>
          <w:u w:val="none"/>
          <w:shd w:val="clear" w:color="auto" w:fill="FFFFFF"/>
          <w:lang w:val="en-US" w:eastAsia="zh-CN"/>
        </w:rPr>
        <w:t>19</w:t>
      </w:r>
      <w:r>
        <w:rPr>
          <w:rFonts w:hint="eastAsia" w:ascii="Times New Roman" w:hAnsi="Times New Roman" w:cs="Times New Roman"/>
          <w:color w:val="auto"/>
          <w:szCs w:val="32"/>
          <w:lang w:val="en-US" w:eastAsia="zh-CN"/>
        </w:rPr>
        <w:t>万元，财政资金拨付率、单位资金使用率和地方资金到位率均为100%。</w:t>
      </w:r>
    </w:p>
    <w:p w14:paraId="59ABEC0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200E6267">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default" w:ascii="Times New Roman" w:hAnsi="Times New Roman" w:cs="Times New Roman"/>
          <w:color w:val="auto"/>
          <w:szCs w:val="32"/>
          <w:lang w:eastAsia="zh-CN"/>
        </w:rPr>
        <w:t>资金使用</w:t>
      </w:r>
    </w:p>
    <w:p w14:paraId="1259CEC6">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按照相关管理要求使用本项目资金，项目资金使用、拨付符合国家财经法规、财务管理制度及有关专项资金管理制度办法规定和审批程序，不存在超范围、超标准、超进度使用专项资金和资金损失浪费、长期沉淀、截留、挤占、挪用、虚列支出等情况，项目实施遵守相关法律法规。</w:t>
      </w:r>
    </w:p>
    <w:p w14:paraId="4D12712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3CC476E4">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4.项目结果</w:t>
      </w:r>
    </w:p>
    <w:p w14:paraId="0527E120">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目标完成</w:t>
      </w:r>
    </w:p>
    <w:p w14:paraId="0B4CDE6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我局严格对照预设绩效目标推进项目实施，专项执法、抽检监测、基层建设等各项工作任务均按计划完成，产出数量、质量及效益指标全面达标，核心指标完成度达100.00%，无目标偏离或未完成情况，但存在个别偏远区域食品抽检结果公布略有延迟的问题。</w:t>
      </w:r>
    </w:p>
    <w:p w14:paraId="6860897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综上，根据评分标准，该项指标扣1分，得5分。</w:t>
      </w:r>
    </w:p>
    <w:p w14:paraId="39DC67F6">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（2）完成时效</w:t>
      </w:r>
    </w:p>
    <w:p w14:paraId="6B83527C">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遵循项目计划时间节点，制定细化的进度推进方案并开展全程动态管控，通过合理调配资源、优化实施流程，各阶段工作任务均按期推进，项目所有工作于2025年12月底前全面完成，未出现任何延迟情况，时效管理规范有序。</w:t>
      </w:r>
    </w:p>
    <w:p w14:paraId="263BAC8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260CE8FD">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7337DF5A">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eastAsia" w:cs="Times New Roman"/>
          <w:color w:val="auto"/>
          <w:szCs w:val="32"/>
          <w:lang w:val="en-US" w:eastAsia="zh-CN"/>
        </w:rPr>
        <w:t>1.</w:t>
      </w:r>
      <w:r>
        <w:rPr>
          <w:rFonts w:hint="default" w:ascii="Times New Roman" w:hAnsi="Times New Roman" w:cs="Times New Roman"/>
          <w:color w:val="auto"/>
          <w:szCs w:val="32"/>
          <w:lang w:eastAsia="zh-CN"/>
        </w:rPr>
        <w:t>用途合规性</w:t>
      </w:r>
    </w:p>
    <w:p w14:paraId="1BEDA8E8">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严格遵循“专款专用、服务市场监管主业”原则，所有支出均直接用于专项执法、抽检监测、隐患整治、基层建设等项目核心工作，未出现挪用、截留、挤占或用于无关领域的情形，与项目申报时的资金使用目标高度契合，完全符合省级市场监管专项资金“精准投放、定向发力”的合规性要求。</w:t>
      </w:r>
    </w:p>
    <w:p w14:paraId="30ED503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4BC14D84">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2.程序合规性</w:t>
      </w:r>
    </w:p>
    <w:p w14:paraId="606D3168">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实施全程严守专项资金管理、市场监管及相关管理规范：专项执法严格按照法定程序开展；食品抽检监测遵循抽样、检测、结果公布全流程规范；基层监管所建设履行立项、设计、验收等规范程序；资金使用建立“申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审核</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审批</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公示”闭环机制，每笔费用报销均附完整凭证，资金流向可追溯、工作过程留痕迹，无任何程序违规问题。</w:t>
      </w:r>
    </w:p>
    <w:p w14:paraId="004268C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3657CBAA">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3.标准合规性</w:t>
      </w:r>
    </w:p>
    <w:p w14:paraId="7820310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资金分配标准整体符合专项资金管理要求，但受部分偏远区域抽检运输成本、监管所改造材料价格波动影响，少量经费实际支出标准与预设标准存在1.8%的偏差，未超出合理浮动范围。</w:t>
      </w:r>
    </w:p>
    <w:p w14:paraId="0CB0C66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综上，根据评分标准，该项指标扣1.5分，得8.5分。</w:t>
      </w:r>
    </w:p>
    <w:p w14:paraId="2DC57DCA">
      <w:pPr>
        <w:keepNext w:val="0"/>
        <w:keepLines w:val="0"/>
        <w:pageBreakBefore w:val="0"/>
        <w:widowControl w:val="0"/>
        <w:kinsoku/>
        <w:wordWrap/>
        <w:overflowPunct/>
        <w:topLinePunct w:val="0"/>
        <w:autoSpaceDE/>
        <w:autoSpaceDN/>
        <w:bidi w:val="0"/>
        <w:adjustRightInd/>
        <w:snapToGrid/>
        <w:spacing w:line="578" w:lineRule="exact"/>
        <w:ind w:firstLine="640" w:firstLineChars="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2CE12571">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1.基层监管规范化达标率</w:t>
      </w:r>
    </w:p>
    <w:p w14:paraId="09FFD43E">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通过基层市场监管所标准规范化建设，85%的示范创建监管所达到省级规范化标准，执法装备配置、办公环境、业务流程显著优化，但仍有15%的偏远区域监管所受场地条件限制，部分规范化指标达标不够彻底，达标率未达100%。</w:t>
      </w:r>
    </w:p>
    <w:p w14:paraId="7F43BEEB">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1.3</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6.7</w:t>
      </w:r>
      <w:r>
        <w:rPr>
          <w:rFonts w:hint="default" w:ascii="Times New Roman" w:hAnsi="Times New Roman" w:cs="Times New Roman"/>
          <w:color w:val="auto"/>
          <w:szCs w:val="32"/>
          <w:lang w:val="en-US" w:eastAsia="zh-CN"/>
        </w:rPr>
        <w:t>分。</w:t>
      </w:r>
    </w:p>
    <w:p w14:paraId="22482DFD">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w:t>
      </w:r>
      <w:r>
        <w:rPr>
          <w:rFonts w:hint="default" w:ascii="Times New Roman" w:hAnsi="Times New Roman" w:cs="Times New Roman"/>
          <w:color w:val="auto"/>
          <w:szCs w:val="32"/>
          <w:lang w:val="en-US" w:eastAsia="zh-CN"/>
        </w:rPr>
        <w:t>执法成果转化率</w:t>
      </w:r>
    </w:p>
    <w:p w14:paraId="0600572D">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专项执法查处的违法违规行为整改完成率达98%，市场秩序得到有效规范，但部分小微企业因经营规模小、合规意识薄弱，违法行为复发率略高于预期，执法成果长效转化有待加强。</w:t>
      </w:r>
    </w:p>
    <w:p w14:paraId="7705191B">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1</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7</w:t>
      </w:r>
      <w:r>
        <w:rPr>
          <w:rFonts w:hint="default" w:ascii="Times New Roman" w:hAnsi="Times New Roman" w:cs="Times New Roman"/>
          <w:color w:val="auto"/>
          <w:szCs w:val="32"/>
          <w:lang w:val="en-US" w:eastAsia="zh-CN"/>
        </w:rPr>
        <w:t>分。</w:t>
      </w:r>
    </w:p>
    <w:p w14:paraId="1123215E">
      <w:pPr>
        <w:pStyle w:val="8"/>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17306489">
      <w:pPr>
        <w:pStyle w:val="8"/>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经综合评价，</w:t>
      </w:r>
      <w:r>
        <w:rPr>
          <w:rFonts w:hint="eastAsia" w:ascii="Times New Roman" w:eastAsia="仿宋_GB2312" w:cs="Times New Roman"/>
          <w:b w:val="0"/>
          <w:bCs w:val="0"/>
          <w:kern w:val="0"/>
          <w:position w:val="0"/>
          <w:sz w:val="32"/>
          <w:szCs w:val="32"/>
          <w:highlight w:val="none"/>
          <w:lang w:val="en-US" w:eastAsia="zh-CN" w:bidi="ar-SA"/>
        </w:rPr>
        <w:t>本</w:t>
      </w:r>
      <w:r>
        <w:rPr>
          <w:rFonts w:hint="default" w:ascii="Times New Roman" w:hAnsi="Times New Roman" w:eastAsia="仿宋_GB2312" w:cs="Times New Roman"/>
          <w:b w:val="0"/>
          <w:bCs w:val="0"/>
          <w:kern w:val="0"/>
          <w:position w:val="0"/>
          <w:sz w:val="32"/>
          <w:szCs w:val="32"/>
          <w:highlight w:val="none"/>
          <w:lang w:val="en-US" w:eastAsia="zh-CN" w:bidi="ar-SA"/>
        </w:rPr>
        <w:t>项目绩效</w:t>
      </w:r>
      <w:r>
        <w:rPr>
          <w:rFonts w:hint="eastAsia" w:ascii="Times New Roman" w:eastAsia="仿宋_GB2312" w:cs="Times New Roman"/>
          <w:b w:val="0"/>
          <w:bCs w:val="0"/>
          <w:kern w:val="0"/>
          <w:position w:val="0"/>
          <w:sz w:val="32"/>
          <w:szCs w:val="32"/>
          <w:highlight w:val="none"/>
          <w:lang w:val="en-US" w:eastAsia="zh-CN" w:bidi="ar-SA"/>
        </w:rPr>
        <w:t>自评得91.7</w:t>
      </w:r>
      <w:r>
        <w:rPr>
          <w:rFonts w:hint="default" w:ascii="Times New Roman" w:hAnsi="Times New Roman" w:eastAsia="仿宋_GB2312" w:cs="Times New Roman"/>
          <w:b w:val="0"/>
          <w:bCs w:val="0"/>
          <w:kern w:val="0"/>
          <w:position w:val="0"/>
          <w:sz w:val="32"/>
          <w:szCs w:val="32"/>
          <w:highlight w:val="none"/>
          <w:lang w:val="en-US" w:eastAsia="zh-CN" w:bidi="ar-SA"/>
        </w:rPr>
        <w:t>分，</w:t>
      </w:r>
      <w:r>
        <w:rPr>
          <w:rFonts w:hint="eastAsia" w:ascii="Times New Roman" w:eastAsia="仿宋_GB2312" w:cs="Times New Roman"/>
          <w:b w:val="0"/>
          <w:bCs w:val="0"/>
          <w:kern w:val="0"/>
          <w:position w:val="0"/>
          <w:sz w:val="32"/>
          <w:szCs w:val="32"/>
          <w:highlight w:val="none"/>
          <w:lang w:val="en-US" w:eastAsia="zh-CN" w:bidi="ar-SA"/>
        </w:rPr>
        <w:t>等级为“优”，项目</w:t>
      </w:r>
      <w:r>
        <w:rPr>
          <w:rFonts w:hint="default" w:ascii="Times New Roman" w:hAnsi="Times New Roman" w:eastAsia="仿宋_GB2312" w:cs="Times New Roman"/>
          <w:b w:val="0"/>
          <w:bCs w:val="0"/>
          <w:kern w:val="0"/>
          <w:position w:val="0"/>
          <w:sz w:val="32"/>
          <w:szCs w:val="32"/>
          <w:highlight w:val="none"/>
          <w:lang w:val="en-US" w:eastAsia="zh-CN" w:bidi="ar-SA"/>
        </w:rPr>
        <w:t>实施情况良好。</w:t>
      </w:r>
      <w:r>
        <w:rPr>
          <w:rFonts w:hint="eastAsia" w:ascii="Times New Roman" w:eastAsia="仿宋_GB2312" w:cs="Times New Roman"/>
          <w:b w:val="0"/>
          <w:bCs w:val="0"/>
          <w:kern w:val="0"/>
          <w:position w:val="0"/>
          <w:sz w:val="32"/>
          <w:szCs w:val="32"/>
          <w:highlight w:val="none"/>
          <w:lang w:val="en-US" w:eastAsia="zh-CN" w:bidi="ar-SA"/>
        </w:rPr>
        <w:t>本项目严格落实财政预算管理要求，调整后预算134.19万元，执行率达100%，资金使用全程合规规范，无违规使用情况；全面完成了专项执法、食品抽检监测、特种设备隐患整治、基层监管所建设等所有既定工作任务，各项核心绩效指标均达标，有效守牢了三大安全底线，规范了市场竞争秩序，提升了基层监管能力，优化了消费环境，切实维护了群众合法权益，资金使用效益与社会效益双达标，与中央、省、州市场监管工作部署和民生保障要求高度契合。</w:t>
      </w:r>
    </w:p>
    <w:p w14:paraId="7986729F">
      <w:pPr>
        <w:pStyle w:val="8"/>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14:paraId="0A8313A2">
      <w:pPr>
        <w:pStyle w:val="8"/>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绩效指标梯度设计不够完善：部分可持续影响指标未充分结合城乡、区域监管差异设置梯度目标，如“基层监管规范化建设”未针对偏远区域监管所场地条件制定差异化标准，导致绩效评价难以精准反映不同场景下的工作成效。</w:t>
      </w:r>
    </w:p>
    <w:p w14:paraId="2DAAC586">
      <w:pPr>
        <w:pStyle w:val="8"/>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1C0D578D">
      <w:pPr>
        <w:tabs>
          <w:tab w:val="left" w:pos="1911"/>
        </w:tabs>
        <w:jc w:val="left"/>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cs="Times New Roman"/>
          <w:b w:val="0"/>
          <w:bCs w:val="0"/>
          <w:kern w:val="0"/>
          <w:position w:val="0"/>
          <w:sz w:val="32"/>
          <w:szCs w:val="32"/>
          <w:highlight w:val="none"/>
          <w:lang w:val="en-US" w:eastAsia="zh-CN" w:bidi="ar-SA"/>
        </w:rPr>
        <w:t>优化绩效指标梯度体系：重构绩效指标体系，按“城区－偏远区域”“规模企业-小微企业”分类设置差异化梯度目标，将“基层监管规范化建设”拆解为“城区监管所达标率”“偏远区域监管所达标率”等可量化子指标，明确数据收集标准与分级考核口径，提升绩效评价的精准性与公平性。</w:t>
      </w:r>
    </w:p>
    <w:p w14:paraId="4D693BC1">
      <w:pPr>
        <w:keepNext w:val="0"/>
        <w:keepLines w:val="0"/>
        <w:pageBreakBefore w:val="0"/>
        <w:kinsoku/>
        <w:wordWrap/>
        <w:overflowPunct/>
        <w:topLinePunct w:val="0"/>
        <w:autoSpaceDE/>
        <w:autoSpaceDN/>
        <w:bidi w:val="0"/>
        <w:adjustRightInd/>
        <w:snapToGrid w:val="0"/>
        <w:spacing w:line="578" w:lineRule="exact"/>
        <w:ind w:left="0" w:leftChars="0" w:firstLine="640" w:firstLineChars="200"/>
        <w:textAlignment w:val="auto"/>
        <w:outlineLvl w:val="9"/>
        <w:rPr>
          <w:rFonts w:hint="default" w:ascii="Times New Roman" w:hAnsi="Times New Roman" w:cs="Times New Roman"/>
          <w:color w:val="000000"/>
          <w:kern w:val="0"/>
          <w:szCs w:val="32"/>
          <w:highlight w:val="none"/>
          <w:shd w:val="clear" w:color="auto" w:fill="FFFFFF"/>
          <w:lang w:val="zh-CN" w:eastAsia="zh-CN"/>
        </w:rPr>
      </w:pPr>
    </w:p>
    <w:p w14:paraId="40A88C67">
      <w:pPr>
        <w:ind w:left="0" w:leftChars="0" w:firstLine="0" w:firstLineChars="0"/>
      </w:pPr>
    </w:p>
    <w:p w14:paraId="294E10C2">
      <w:pPr>
        <w:ind w:left="0" w:leftChars="0" w:firstLine="0" w:firstLineChars="0"/>
      </w:pPr>
    </w:p>
    <w:p w14:paraId="1F9E8A55">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eastAsia" w:ascii="Times New Roman" w:hAnsi="Times New Roman" w:eastAsia="方正小标宋简体" w:cs="Times New Roman"/>
          <w:b w:val="0"/>
          <w:bCs w:val="0"/>
          <w:color w:val="auto"/>
          <w:kern w:val="2"/>
          <w:sz w:val="30"/>
          <w:szCs w:val="30"/>
          <w:highlight w:val="none"/>
          <w:lang w:val="en-US" w:eastAsia="zh-CN"/>
        </w:rPr>
      </w:pPr>
      <w:r>
        <w:rPr>
          <w:rFonts w:hint="eastAsia" w:ascii="Times New Roman" w:hAnsi="Times New Roman" w:eastAsia="方正小标宋简体" w:cs="Times New Roman"/>
          <w:b w:val="0"/>
          <w:bCs w:val="0"/>
          <w:color w:val="auto"/>
          <w:kern w:val="2"/>
          <w:sz w:val="30"/>
          <w:szCs w:val="30"/>
          <w:highlight w:val="none"/>
          <w:lang w:val="en-US" w:eastAsia="zh-CN"/>
        </w:rPr>
        <w:t>附件2-2</w:t>
      </w:r>
    </w:p>
    <w:p w14:paraId="36A50A0F">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2025年省级药品监管专项资金项目</w:t>
      </w:r>
    </w:p>
    <w:p w14:paraId="61AC42F0">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center"/>
        <w:textAlignment w:val="auto"/>
        <w:rPr>
          <w:rFonts w:hint="default" w:ascii="Times New Roman" w:hAnsi="Times New Roman" w:eastAsia="方正小标宋简体" w:cs="Times New Roman"/>
          <w:color w:val="auto"/>
          <w:kern w:val="2"/>
          <w:sz w:val="44"/>
          <w:szCs w:val="44"/>
          <w:highlight w:val="none"/>
          <w:lang w:val="en-US" w:eastAsia="zh-CN"/>
        </w:rPr>
      </w:pPr>
      <w:r>
        <w:rPr>
          <w:rFonts w:hint="eastAsia" w:ascii="Times New Roman" w:hAnsi="Times New Roman" w:eastAsia="方正小标宋简体" w:cs="Times New Roman"/>
          <w:color w:val="auto"/>
          <w:kern w:val="2"/>
          <w:sz w:val="44"/>
          <w:szCs w:val="44"/>
          <w:highlight w:val="none"/>
          <w:lang w:val="en-US" w:eastAsia="zh-CN"/>
        </w:rPr>
        <w:t>专项</w:t>
      </w:r>
      <w:r>
        <w:rPr>
          <w:rFonts w:hint="default" w:ascii="Times New Roman" w:hAnsi="Times New Roman" w:eastAsia="方正小标宋简体" w:cs="Times New Roman"/>
          <w:color w:val="auto"/>
          <w:kern w:val="2"/>
          <w:sz w:val="44"/>
          <w:szCs w:val="44"/>
          <w:highlight w:val="none"/>
          <w:lang w:val="en-US" w:eastAsia="zh-CN"/>
        </w:rPr>
        <w:t>绩效自评报告</w:t>
      </w:r>
    </w:p>
    <w:p w14:paraId="41B3E5F1">
      <w:pPr>
        <w:pStyle w:val="23"/>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hint="default" w:ascii="Times New Roman" w:hAnsi="Times New Roman" w:cs="Times New Roman"/>
          <w:color w:val="auto"/>
          <w:kern w:val="2"/>
          <w:sz w:val="32"/>
          <w:szCs w:val="32"/>
          <w:highlight w:val="none"/>
        </w:rPr>
      </w:pPr>
    </w:p>
    <w:p w14:paraId="1F27556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val="zh-CN"/>
        </w:rPr>
      </w:pPr>
      <w:r>
        <w:rPr>
          <w:rFonts w:hint="default" w:ascii="Times New Roman" w:hAnsi="Times New Roman" w:eastAsia="黑体" w:cs="Times New Roman"/>
          <w:highlight w:val="none"/>
        </w:rPr>
        <w:t>一、</w:t>
      </w:r>
      <w:r>
        <w:rPr>
          <w:rFonts w:hint="default" w:ascii="Times New Roman" w:hAnsi="Times New Roman" w:eastAsia="黑体" w:cs="Times New Roman"/>
          <w:highlight w:val="none"/>
          <w:lang w:val="zh-CN"/>
        </w:rPr>
        <w:t>项目概况</w:t>
      </w:r>
    </w:p>
    <w:p w14:paraId="5D46E2F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（一）设立背景及基本情况。</w:t>
      </w:r>
    </w:p>
    <w:p w14:paraId="000F9429">
      <w:pPr>
        <w:keepNext w:val="0"/>
        <w:keepLines w:val="0"/>
        <w:pageBreakBefore w:val="0"/>
        <w:kinsoku/>
        <w:wordWrap/>
        <w:overflowPunct/>
        <w:topLinePunct w:val="0"/>
        <w:autoSpaceDE/>
        <w:autoSpaceDN/>
        <w:bidi w:val="0"/>
        <w:spacing w:line="240" w:lineRule="auto"/>
        <w:ind w:firstLine="640" w:firstLineChars="200"/>
        <w:jc w:val="both"/>
        <w:textAlignment w:val="auto"/>
        <w:outlineLvl w:val="2"/>
        <w:rPr>
          <w:rFonts w:hint="default"/>
          <w:lang w:val="en-US" w:eastAsia="zh-CN"/>
        </w:rPr>
      </w:pPr>
      <w:r>
        <w:rPr>
          <w:rFonts w:hint="eastAsia"/>
          <w:lang w:val="en-US" w:eastAsia="zh-CN"/>
        </w:rPr>
        <w:t>1.</w:t>
      </w:r>
      <w:r>
        <w:rPr>
          <w:rFonts w:hint="default"/>
          <w:lang w:val="zh-CN"/>
        </w:rPr>
        <w:t>项目设立原因及背景</w:t>
      </w:r>
    </w:p>
    <w:p w14:paraId="70361F1F">
      <w:pPr>
        <w:bidi w:val="0"/>
        <w:rPr>
          <w:rFonts w:hint="default"/>
          <w:lang w:val="zh-CN"/>
        </w:rPr>
      </w:pPr>
      <w:r>
        <w:rPr>
          <w:rFonts w:hint="eastAsia"/>
          <w:lang w:val="en-US" w:eastAsia="zh-CN"/>
        </w:rPr>
        <w:t>药品（含医疗器械、化妆品，以下简称“两品一械”）安全是公共卫生安全的核心防线，直接关系人民群众身体健康和生命安全。当前阿坝州“两品一械”经营使用业态日趋复杂，部分经营者合规意识薄弱，制售假劣产品等违法违规行为仍有发生，基层监管人员专业能力不足、技术支撑薄弱等问题制约监管效能提升。为切实守牢药品安全底线，规范经营使用秩序，强化技术支撑与监管能力，依据省级药品监管专项资金管理相关要求，设立本项目，专项用于“两品一械”抽检监测、执法打击、培训宣传等工作，全面提升全州药品安全监管水平</w:t>
      </w:r>
      <w:r>
        <w:rPr>
          <w:rFonts w:hint="eastAsia"/>
          <w:lang w:val="zh-CN"/>
        </w:rPr>
        <w:t>。</w:t>
      </w:r>
    </w:p>
    <w:p w14:paraId="55020F96">
      <w:pPr>
        <w:bidi w:val="0"/>
        <w:ind w:firstLine="640" w:firstLineChars="200"/>
        <w:outlineLvl w:val="2"/>
        <w:rPr>
          <w:rFonts w:hint="default"/>
          <w:lang w:val="zh-CN"/>
        </w:rPr>
      </w:pPr>
      <w:r>
        <w:rPr>
          <w:rFonts w:hint="eastAsia"/>
          <w:lang w:val="en-US" w:eastAsia="zh-CN"/>
        </w:rPr>
        <w:t>2.</w:t>
      </w:r>
      <w:r>
        <w:rPr>
          <w:rFonts w:hint="default"/>
          <w:lang w:val="zh-CN"/>
        </w:rPr>
        <w:t>项目立项及资金申报的依据</w:t>
      </w:r>
    </w:p>
    <w:p w14:paraId="04E77CBA">
      <w:pPr>
        <w:bidi w:val="0"/>
        <w:rPr>
          <w:rFonts w:hint="default"/>
          <w:lang w:val="en-US" w:eastAsia="zh-CN"/>
        </w:rPr>
      </w:pPr>
      <w:r>
        <w:rPr>
          <w:rFonts w:hint="eastAsia"/>
          <w:lang w:val="en-US" w:eastAsia="zh-CN"/>
        </w:rPr>
        <w:t>本项目立项严格遵循《中华人民共和国药品管理法》《医疗器械监督管理条例》《化妆品监督管理条例》等法律法规，依据四川省药品监督管理局年度重点工作部署、阿坝州委、州政府关于民生保障和市场监管的决策安排，紧扣全州药品安全监管实际需求开展立项论证。资金申报基于省级化妆品抽样、医疗器械抽样、监督检查、执法打击、人员培训、科普宣传等工作的实际成本科学测算，涵盖抽检耗材、执法装备、培训组织、宣传物料等必要支出，经州财政局严格审核后纳入年度部门预算，资金来源为省级财政专项预算，全程符合财政资金使用管理及药品监管相关规范。</w:t>
      </w:r>
    </w:p>
    <w:p w14:paraId="60EAAD7C">
      <w:pPr>
        <w:bidi w:val="0"/>
        <w:ind w:firstLine="640" w:firstLineChars="200"/>
        <w:outlineLvl w:val="2"/>
        <w:rPr>
          <w:rFonts w:hint="default"/>
          <w:lang w:val="zh-CN"/>
        </w:rPr>
      </w:pPr>
      <w:r>
        <w:rPr>
          <w:rFonts w:hint="eastAsia"/>
          <w:lang w:val="en-US" w:eastAsia="zh-CN"/>
        </w:rPr>
        <w:t>3.</w:t>
      </w:r>
      <w:r>
        <w:rPr>
          <w:rFonts w:hint="default"/>
          <w:lang w:val="zh-CN"/>
        </w:rPr>
        <w:t>项目主要内容</w:t>
      </w:r>
    </w:p>
    <w:p w14:paraId="583AE72F">
      <w:pPr>
        <w:bidi w:val="0"/>
        <w:rPr>
          <w:rFonts w:hint="default"/>
          <w:lang w:val="zh-CN"/>
        </w:rPr>
      </w:pPr>
      <w:r>
        <w:rPr>
          <w:rFonts w:hint="eastAsia"/>
          <w:lang w:val="en-US" w:eastAsia="zh-CN"/>
        </w:rPr>
        <w:t>本项目以“严监管、守底线、强能力、广科普”为核心，统筹开展六大重点工作：一是完成省级化妆品抽样≥35批次、医疗器械抽样≥15批次，强化质量安全风险防控；二是加大监督检查力度，严厉打击制售假劣“两品一械”违法犯罪活动，规范经营使用秩序；三是开展监管人员专业培训，提升综合业务素质和执法能力；四是加大“两品一械”科普宣传力度，增强公众风险识别与防范意识；五是完善监督管理与应急管理机制，提升风险防范与处置能力；六是强化不合格检验报告闭环处置，确保问题整改到位</w:t>
      </w:r>
      <w:r>
        <w:rPr>
          <w:rFonts w:hint="eastAsia"/>
          <w:lang w:val="zh-CN"/>
        </w:rPr>
        <w:t>。</w:t>
      </w:r>
    </w:p>
    <w:p w14:paraId="61B681FC">
      <w:pPr>
        <w:bidi w:val="0"/>
        <w:ind w:firstLine="640" w:firstLineChars="200"/>
        <w:outlineLvl w:val="2"/>
        <w:rPr>
          <w:rFonts w:hint="default"/>
          <w:lang w:val="zh-CN"/>
        </w:rPr>
      </w:pPr>
      <w:r>
        <w:rPr>
          <w:rFonts w:hint="eastAsia"/>
          <w:lang w:val="en-US" w:eastAsia="zh-CN"/>
        </w:rPr>
        <w:t>4.</w:t>
      </w:r>
      <w:r>
        <w:rPr>
          <w:rFonts w:hint="default"/>
          <w:lang w:val="zh-CN"/>
        </w:rPr>
        <w:t>主管部门职能</w:t>
      </w:r>
    </w:p>
    <w:p w14:paraId="7DC1B7D9">
      <w:pPr>
        <w:bidi w:val="0"/>
        <w:rPr>
          <w:rFonts w:hint="default"/>
          <w:lang w:val="zh-CN"/>
        </w:rPr>
      </w:pPr>
      <w:r>
        <w:rPr>
          <w:rFonts w:hint="default"/>
          <w:lang w:val="zh-CN"/>
        </w:rPr>
        <w:t>阿坝藏族羌族自治州市场监督管理局作为本项目主管部门，依法履行全州“两品一械”安全综合监督管理、行政执法及公共服务职责，在本项目实施中承担顶层设计、统筹推进、全程监管及绩效落实核心职能。具体负责制定项目实施工作方案，统筹组织抽检监测、执法打击等工作；组织开展监管人员培训和科普宣传；完善监管与应急机制；负责项目资金统筹管理与使用监督，确保项目实施与全州药品监管总体规划、民生保障需求同频共振</w:t>
      </w:r>
      <w:r>
        <w:rPr>
          <w:rFonts w:hint="eastAsia"/>
          <w:lang w:val="zh-CN"/>
        </w:rPr>
        <w:t>。</w:t>
      </w:r>
    </w:p>
    <w:p w14:paraId="6291C0F4">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p>
    <w:p w14:paraId="45071B8A">
      <w:pPr>
        <w:bidi w:val="0"/>
        <w:ind w:firstLine="640" w:firstLineChars="200"/>
        <w:outlineLvl w:val="2"/>
        <w:rPr>
          <w:rFonts w:hint="eastAsia"/>
          <w:lang w:val="en-US" w:eastAsia="zh-CN"/>
        </w:rPr>
      </w:pPr>
      <w:r>
        <w:rPr>
          <w:rFonts w:hint="eastAsia"/>
          <w:lang w:val="en-US" w:eastAsia="zh-CN"/>
        </w:rPr>
        <w:t>1.项目资金管理办法制定情况</w:t>
      </w:r>
    </w:p>
    <w:p w14:paraId="5DEAB5E4">
      <w:pPr>
        <w:bidi w:val="0"/>
        <w:ind w:firstLine="640"/>
        <w:rPr>
          <w:rFonts w:hint="default"/>
          <w:lang w:val="en-US" w:eastAsia="zh-CN"/>
        </w:rPr>
      </w:pPr>
      <w:r>
        <w:rPr>
          <w:rFonts w:hint="eastAsia"/>
          <w:lang w:val="en-US" w:eastAsia="zh-CN"/>
        </w:rPr>
        <w:t>为保障2025年省级药品监管专项资金规范、高效、安全使用，我局严格遵照《四川省省级药品监管专项资金管理办法》及省、州财政专项资金管理相关规定，结合全州药品监管工作实际，制定《2025年省级药品监管专项资金使用实施细则》，实行专项资金专款专用、单独核算、闭环管理。明确资金使用范围涵盖抽检监测、监督检查、执法打击、培训宣传、机制完善等与药品监管直接相关的必要支出，严格界定资金使用标准、审批流程及报销要求，预算调整严格履行州财政局审批备案程序。通过建立定期财务核查、常态化绩效监控机制，确保资金使用效益与预算既定目标高度契合，全程杜绝挤占、挪用、虚列支出等违规行为。</w:t>
      </w:r>
    </w:p>
    <w:p w14:paraId="3AADC999">
      <w:pPr>
        <w:bidi w:val="0"/>
        <w:ind w:firstLine="640" w:firstLineChars="200"/>
        <w:outlineLvl w:val="2"/>
        <w:rPr>
          <w:rFonts w:hint="eastAsia"/>
          <w:lang w:val="en-US" w:eastAsia="zh-CN"/>
        </w:rPr>
      </w:pPr>
      <w:r>
        <w:rPr>
          <w:rFonts w:hint="eastAsia"/>
          <w:lang w:val="en-US" w:eastAsia="zh-CN"/>
        </w:rPr>
        <w:t>2.项目实施目的和主要工作任务</w:t>
      </w:r>
    </w:p>
    <w:p w14:paraId="510FA0D8">
      <w:pPr>
        <w:bidi w:val="0"/>
        <w:ind w:firstLine="640"/>
        <w:rPr>
          <w:rFonts w:hint="eastAsia"/>
          <w:lang w:val="en-US" w:eastAsia="zh-CN"/>
        </w:rPr>
      </w:pPr>
      <w:r>
        <w:rPr>
          <w:rFonts w:hint="eastAsia"/>
          <w:lang w:val="en-US" w:eastAsia="zh-CN"/>
        </w:rPr>
        <w:t>本项目以全面提升全州“两品一械”安全监管能力、守牢药品安全底线、规范经营使用秩序、强化技术支撑、提升公众安全意识为核心实施目的，通过省级专项资金精准保障，破解药品监管执法、风险防控、能力建设等环节的重点难点问题，推动药品监管工作标准化、专业化、规范化发展，切实维护群众合法权益，为全州药品安全形势持续稳定提供坚实支撑。</w:t>
      </w:r>
    </w:p>
    <w:p w14:paraId="2F90A287">
      <w:pPr>
        <w:bidi w:val="0"/>
        <w:ind w:firstLine="640"/>
        <w:rPr>
          <w:rFonts w:hint="default"/>
          <w:lang w:val="en-US" w:eastAsia="zh-CN"/>
        </w:rPr>
      </w:pPr>
      <w:r>
        <w:rPr>
          <w:rFonts w:hint="eastAsia"/>
          <w:lang w:val="en-US" w:eastAsia="zh-CN"/>
        </w:rPr>
        <w:t>主要工作任务围绕“抽检全覆盖、执法零容忍、能力大提升、科普广覆盖”要求开展：①完成省级化妆品抽样≥35批次、医疗器械抽样≥15批次；②开展监督检查≥20家次，查处违法违规案件≥3件；③组织监管人员专业培训≥2期、科普宣传≥4场；④完善监管与应急管理机制≥1项；⑤确保不合格检验报告处置率100%，辖区无重大“两品一械”安全事故发生。</w:t>
      </w:r>
    </w:p>
    <w:p w14:paraId="658174CD">
      <w:pPr>
        <w:bidi w:val="0"/>
        <w:ind w:firstLine="640" w:firstLineChars="200"/>
        <w:outlineLvl w:val="2"/>
        <w:rPr>
          <w:rFonts w:hint="default"/>
          <w:lang w:val="en-US" w:eastAsia="zh-CN"/>
        </w:rPr>
      </w:pPr>
      <w:r>
        <w:rPr>
          <w:rFonts w:hint="eastAsia"/>
          <w:lang w:val="en-US" w:eastAsia="zh-CN"/>
        </w:rPr>
        <w:t>3.项目支持方向</w:t>
      </w:r>
    </w:p>
    <w:p w14:paraId="02E7A116">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楷体_GB2312" w:cs="Times New Roman"/>
          <w:b/>
          <w:color w:val="auto"/>
          <w:sz w:val="32"/>
          <w:szCs w:val="32"/>
          <w:highlight w:val="none"/>
          <w:u w:val="none"/>
          <w:lang w:val="zh-CN"/>
        </w:rPr>
      </w:pPr>
      <w:r>
        <w:rPr>
          <w:rFonts w:hint="eastAsia" w:cs="Times New Roman"/>
          <w:color w:val="auto"/>
          <w:kern w:val="0"/>
          <w:sz w:val="32"/>
          <w:szCs w:val="32"/>
          <w:highlight w:val="none"/>
          <w:u w:val="none"/>
          <w:shd w:val="clear" w:color="auto" w:fill="FFFFFF"/>
          <w:lang w:val="en-US" w:eastAsia="zh-CN"/>
        </w:rPr>
        <w:t>项目资金聚焦三大核心方向精准发力：一是筑牢质量安全防线，重点保障“两品一械”抽检监测、监督检查、执法打击等工作，及时发现和处置质量安全风险，严厉打击违法违规行为；二是提升监管专业能力，支持监管人员业务培训和监管机制完善，强化执法实操与风险处置能力，打造专业化监管队伍；三是强化科普宣传引导，保障“两品一械”安全科普宣传工作，提升公众安全意识和自我保护能力，营造社会共治良好氛围。</w:t>
      </w:r>
    </w:p>
    <w:p w14:paraId="754B813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default" w:ascii="Times New Roman" w:hAnsi="Times New Roman" w:eastAsia="楷体_GB2312" w:cs="Times New Roman"/>
          <w:b/>
          <w:color w:val="auto"/>
          <w:sz w:val="32"/>
          <w:szCs w:val="32"/>
          <w:highlight w:val="none"/>
          <w:u w:val="none"/>
          <w:lang w:val="zh-CN" w:eastAsia="zh-CN"/>
        </w:rPr>
        <w:t>。</w:t>
      </w:r>
    </w:p>
    <w:p w14:paraId="536DBD6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default" w:ascii="Times New Roman" w:hAnsi="Times New Roman" w:cs="Times New Roman"/>
          <w:color w:val="auto"/>
          <w:kern w:val="0"/>
          <w:sz w:val="32"/>
          <w:szCs w:val="32"/>
          <w:highlight w:val="none"/>
          <w:u w:val="none"/>
          <w:shd w:val="clear" w:color="auto" w:fill="FFFFFF"/>
          <w:lang w:val="zh-CN" w:eastAsia="zh-CN"/>
        </w:rPr>
        <w:t>本项目</w:t>
      </w:r>
      <w:r>
        <w:rPr>
          <w:rFonts w:hint="eastAsia" w:cs="Times New Roman"/>
          <w:color w:val="auto"/>
          <w:kern w:val="0"/>
          <w:sz w:val="32"/>
          <w:szCs w:val="32"/>
          <w:highlight w:val="none"/>
          <w:u w:val="none"/>
          <w:shd w:val="clear" w:color="auto" w:fill="FFFFFF"/>
          <w:lang w:val="en-US" w:eastAsia="zh-CN"/>
        </w:rPr>
        <w:t>年末追加9.91</w:t>
      </w:r>
      <w:r>
        <w:rPr>
          <w:rFonts w:hint="default" w:ascii="Times New Roman" w:hAnsi="Times New Roman" w:cs="Times New Roman"/>
          <w:color w:val="auto"/>
          <w:kern w:val="0"/>
          <w:sz w:val="32"/>
          <w:szCs w:val="32"/>
          <w:highlight w:val="none"/>
          <w:u w:val="none"/>
          <w:shd w:val="clear" w:color="auto" w:fill="FFFFFF"/>
          <w:lang w:val="zh-CN" w:eastAsia="zh-CN"/>
        </w:rPr>
        <w:t>万元，均为</w:t>
      </w:r>
      <w:r>
        <w:rPr>
          <w:rFonts w:hint="eastAsia" w:cs="Times New Roman"/>
          <w:color w:val="auto"/>
          <w:kern w:val="0"/>
          <w:sz w:val="32"/>
          <w:szCs w:val="32"/>
          <w:highlight w:val="none"/>
          <w:u w:val="none"/>
          <w:shd w:val="clear" w:color="auto" w:fill="FFFFFF"/>
          <w:lang w:val="en-US" w:eastAsia="zh-CN"/>
        </w:rPr>
        <w:t>省级</w:t>
      </w:r>
      <w:r>
        <w:rPr>
          <w:rFonts w:hint="default" w:ascii="Times New Roman" w:hAnsi="Times New Roman" w:cs="Times New Roman"/>
          <w:color w:val="auto"/>
          <w:kern w:val="0"/>
          <w:sz w:val="32"/>
          <w:szCs w:val="32"/>
          <w:highlight w:val="none"/>
          <w:u w:val="none"/>
          <w:shd w:val="clear" w:color="auto" w:fill="FFFFFF"/>
          <w:lang w:val="zh-CN" w:eastAsia="zh-CN"/>
        </w:rPr>
        <w:t>财政资金，全年预算执行数为</w:t>
      </w:r>
      <w:r>
        <w:rPr>
          <w:rFonts w:hint="eastAsia" w:cs="Times New Roman"/>
          <w:color w:val="auto"/>
          <w:kern w:val="0"/>
          <w:sz w:val="32"/>
          <w:szCs w:val="32"/>
          <w:highlight w:val="none"/>
          <w:u w:val="none"/>
          <w:shd w:val="clear" w:color="auto" w:fill="FFFFFF"/>
          <w:lang w:val="en-US" w:eastAsia="zh-CN"/>
        </w:rPr>
        <w:t>9.91</w:t>
      </w:r>
      <w:r>
        <w:rPr>
          <w:rFonts w:hint="default" w:ascii="Times New Roman" w:hAnsi="Times New Roman" w:cs="Times New Roman"/>
          <w:color w:val="auto"/>
          <w:kern w:val="0"/>
          <w:sz w:val="32"/>
          <w:szCs w:val="32"/>
          <w:highlight w:val="none"/>
          <w:u w:val="none"/>
          <w:shd w:val="clear" w:color="auto" w:fill="FFFFFF"/>
          <w:lang w:val="zh-CN" w:eastAsia="zh-CN"/>
        </w:rPr>
        <w:t>万元，预算执行率为</w:t>
      </w:r>
      <w:r>
        <w:rPr>
          <w:rFonts w:hint="eastAsia" w:cs="Times New Roman"/>
          <w:color w:val="auto"/>
          <w:kern w:val="0"/>
          <w:sz w:val="32"/>
          <w:szCs w:val="32"/>
          <w:highlight w:val="none"/>
          <w:u w:val="none"/>
          <w:shd w:val="clear" w:color="auto" w:fill="FFFFFF"/>
          <w:lang w:val="en-US" w:eastAsia="zh-CN"/>
        </w:rPr>
        <w:t>100</w:t>
      </w:r>
      <w:r>
        <w:rPr>
          <w:rFonts w:hint="default" w:ascii="Times New Roman" w:hAnsi="Times New Roman" w:cs="Times New Roman"/>
          <w:color w:val="auto"/>
          <w:kern w:val="0"/>
          <w:sz w:val="32"/>
          <w:szCs w:val="32"/>
          <w:highlight w:val="none"/>
          <w:u w:val="none"/>
          <w:shd w:val="clear" w:color="auto" w:fill="FFFFFF"/>
          <w:lang w:val="zh-CN" w:eastAsia="zh-CN"/>
        </w:rPr>
        <w:t>.00%。资金分配遵循“合规优先、聚焦核心、效益最大化”原则</w:t>
      </w:r>
      <w:r>
        <w:rPr>
          <w:rFonts w:hint="eastAsia" w:cs="Times New Roman"/>
          <w:color w:val="auto"/>
          <w:kern w:val="0"/>
          <w:sz w:val="32"/>
          <w:szCs w:val="32"/>
          <w:highlight w:val="none"/>
          <w:u w:val="none"/>
          <w:shd w:val="clear" w:color="auto" w:fill="FFFFFF"/>
          <w:lang w:val="zh-CN" w:eastAsia="zh-CN"/>
        </w:rPr>
        <w:t>。</w:t>
      </w:r>
      <w:r>
        <w:rPr>
          <w:rFonts w:hint="default" w:ascii="Times New Roman" w:hAnsi="Times New Roman" w:cs="Times New Roman"/>
          <w:color w:val="auto"/>
          <w:kern w:val="0"/>
          <w:sz w:val="32"/>
          <w:szCs w:val="32"/>
          <w:highlight w:val="none"/>
          <w:u w:val="none"/>
          <w:shd w:val="clear" w:color="auto" w:fill="FFFFFF"/>
          <w:lang w:val="zh-CN" w:eastAsia="zh-CN"/>
        </w:rPr>
        <w:t>资金使用严格控制费用标准，全程接受财政、审计及上级监管部门监督，无资金滞留、分配不合理、低效配置等情况</w:t>
      </w:r>
      <w:r>
        <w:rPr>
          <w:rFonts w:hint="eastAsia" w:cs="Times New Roman"/>
          <w:color w:val="auto"/>
          <w:kern w:val="0"/>
          <w:sz w:val="32"/>
          <w:szCs w:val="32"/>
          <w:highlight w:val="none"/>
          <w:u w:val="none"/>
          <w:shd w:val="clear" w:color="auto" w:fill="FFFFFF"/>
          <w:lang w:val="en-US" w:eastAsia="zh-CN"/>
        </w:rPr>
        <w:t>。</w:t>
      </w:r>
    </w:p>
    <w:p w14:paraId="2D7EC8C7">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zh-CN" w:eastAsia="zh-CN"/>
        </w:rPr>
        <w:t>（四）项目绩效目标设置。</w:t>
      </w:r>
    </w:p>
    <w:p w14:paraId="2D85C0D3">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cs="Times New Roman"/>
          <w:color w:val="auto"/>
          <w:kern w:val="0"/>
          <w:sz w:val="32"/>
          <w:szCs w:val="32"/>
          <w:highlight w:val="none"/>
          <w:u w:val="none"/>
          <w:shd w:val="clear" w:color="auto" w:fill="FFFFFF"/>
          <w:lang w:val="en-US" w:eastAsia="zh-CN"/>
        </w:rPr>
      </w:pPr>
      <w:r>
        <w:rPr>
          <w:rFonts w:hint="eastAsia" w:cs="Times New Roman"/>
          <w:color w:val="auto"/>
          <w:kern w:val="0"/>
          <w:sz w:val="32"/>
          <w:szCs w:val="32"/>
          <w:highlight w:val="none"/>
          <w:u w:val="none"/>
          <w:shd w:val="clear" w:color="auto" w:fill="FFFFFF"/>
          <w:lang w:val="en-US" w:eastAsia="zh-CN"/>
        </w:rPr>
        <w:t>本项目整体目标：通过2025年省级药品监管专项资金的保障和使用，全面提升全州“两品一械”安全监管能力、风险防控能力及公众安全意识，守牢药品安全底线，规范经营使用秩序，完善监管与应急机制，构建规范高效、贴合地方实际的药品安全监管体系，切实维护群众合法权益。</w:t>
      </w:r>
    </w:p>
    <w:p w14:paraId="470723FD">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cs="Times New Roman"/>
          <w:color w:val="auto"/>
          <w:kern w:val="0"/>
          <w:sz w:val="32"/>
          <w:szCs w:val="32"/>
          <w:highlight w:val="none"/>
          <w:u w:val="none"/>
          <w:shd w:val="clear" w:color="auto" w:fill="FFFFFF"/>
          <w:lang w:val="zh-CN" w:eastAsia="zh-CN"/>
        </w:rPr>
      </w:pPr>
      <w:r>
        <w:rPr>
          <w:rFonts w:hint="eastAsia" w:cs="Times New Roman"/>
          <w:color w:val="auto"/>
          <w:kern w:val="0"/>
          <w:sz w:val="32"/>
          <w:szCs w:val="32"/>
          <w:highlight w:val="none"/>
          <w:u w:val="none"/>
          <w:shd w:val="clear" w:color="auto" w:fill="FFFFFF"/>
          <w:lang w:val="en-US" w:eastAsia="zh-CN"/>
        </w:rPr>
        <w:t>本项目自评工作严格依据年度绩效目标和指标体系开展，通过系统梳理预算执行情况、逐项核查任务完成进度、全面分析效益达成度等方式，对照量化指标逐一评估，结合资料审查、现场核查与实际监管成效，客观评价项目在目标完成、资金使用、监管效能等方面的实际表现，确保绩效自评结果真实、准确反映项目实施实际情况</w:t>
      </w:r>
      <w:r>
        <w:rPr>
          <w:rFonts w:hint="default" w:ascii="Times New Roman" w:hAnsi="Times New Roman" w:cs="Times New Roman"/>
          <w:color w:val="auto"/>
          <w:kern w:val="0"/>
          <w:sz w:val="32"/>
          <w:szCs w:val="32"/>
          <w:highlight w:val="none"/>
          <w:u w:val="none"/>
          <w:shd w:val="clear" w:color="auto" w:fill="FFFFFF"/>
          <w:lang w:val="zh-CN" w:eastAsia="zh-CN"/>
        </w:rPr>
        <w:t>。</w:t>
      </w:r>
    </w:p>
    <w:p w14:paraId="520C208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eastAsia="黑体" w:cs="Times New Roman"/>
          <w:highlight w:val="none"/>
          <w:lang w:eastAsia="zh-CN"/>
        </w:rPr>
      </w:pPr>
      <w:r>
        <w:rPr>
          <w:rFonts w:hint="default" w:ascii="Times New Roman" w:hAnsi="Times New Roman" w:eastAsia="黑体" w:cs="Times New Roman"/>
          <w:highlight w:val="none"/>
        </w:rPr>
        <w:t>二、</w:t>
      </w:r>
      <w:r>
        <w:rPr>
          <w:rFonts w:hint="default" w:ascii="Times New Roman" w:hAnsi="Times New Roman" w:eastAsia="黑体" w:cs="Times New Roman"/>
          <w:highlight w:val="none"/>
          <w:lang w:eastAsia="zh-CN"/>
        </w:rPr>
        <w:t>评价实施</w:t>
      </w:r>
    </w:p>
    <w:p w14:paraId="2BDBAF20">
      <w:pPr>
        <w:keepNext w:val="0"/>
        <w:keepLines w:val="0"/>
        <w:pageBreakBefore w:val="0"/>
        <w:widowControl w:val="0"/>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（一）评价目的。</w:t>
      </w:r>
    </w:p>
    <w:p w14:paraId="7841D83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rPr>
      </w:pPr>
      <w:r>
        <w:rPr>
          <w:rFonts w:hint="default" w:ascii="Times New Roman" w:hAnsi="Times New Roman" w:cs="Times New Roman"/>
          <w:szCs w:val="32"/>
          <w:lang w:eastAsia="zh-CN"/>
        </w:rPr>
        <w:t>通过项目绩效自评，旨在全面、客观地衡量项目实施效果，对照既定目标检查任务完成情况与资金使用效益，精准查找项目执行过程中在管理、实施、成效等方面存在的问题与不足。同时，总结经验做法，为优化项目设计、完善管理制度、提高资金配置效率提供依据，强化绩效意识与责任担当，提升</w:t>
      </w:r>
      <w:r>
        <w:rPr>
          <w:rFonts w:hint="eastAsia" w:cs="Times New Roman"/>
          <w:szCs w:val="32"/>
          <w:lang w:eastAsia="zh-CN"/>
        </w:rPr>
        <w:t>我局</w:t>
      </w:r>
      <w:r>
        <w:rPr>
          <w:rFonts w:hint="eastAsia" w:cs="Times New Roman"/>
          <w:szCs w:val="32"/>
          <w:lang w:val="en-US" w:eastAsia="zh-CN"/>
        </w:rPr>
        <w:t>项目</w:t>
      </w:r>
      <w:r>
        <w:rPr>
          <w:rFonts w:hint="default" w:ascii="Times New Roman" w:hAnsi="Times New Roman" w:cs="Times New Roman"/>
          <w:szCs w:val="32"/>
          <w:lang w:eastAsia="zh-CN"/>
        </w:rPr>
        <w:t>管理水平，确保项目目标可持续实现，为后续同类项目决策和改进提供参考，推动项目管理规范化、科学化发展。</w:t>
      </w:r>
    </w:p>
    <w:p w14:paraId="68E5306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（二）预设问题及评价重点。</w:t>
      </w:r>
    </w:p>
    <w:p w14:paraId="271C72F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本项目绩效评价聚焦资金使用全流程及项目实施效果两大核心，重点关注六方面内容：一是项目决策程序是否严密合规，规划论证是否符合中省州相关要求、绩效目标设置是否科学合理；二是资金投向是否匹配项目整体规划，是否聚焦监管重点领域和关键环节；三是项目管理制度办法是否健全完善，资金分配是否科学合理，绩效监管是否到位有效；四是预算执行是否及时到位、资金使用是否合规规范；五是各项绩效目标是否按期完成、完成时效是否达标；六是项目实施的社会效益、产业效益是否充分发挥</w:t>
      </w:r>
      <w:r>
        <w:rPr>
          <w:rFonts w:hint="default" w:ascii="Times New Roman" w:hAnsi="Times New Roman" w:eastAsia="仿宋_GB2312" w:cs="Times New Roman"/>
          <w:szCs w:val="32"/>
          <w:lang w:eastAsia="zh-CN"/>
        </w:rPr>
        <w:t>。</w:t>
      </w:r>
    </w:p>
    <w:p w14:paraId="14A4EDB5">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（三）评价选点。</w:t>
      </w:r>
    </w:p>
    <w:p w14:paraId="26C67077">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0" w:firstLineChars="200"/>
        <w:textAlignment w:val="auto"/>
        <w:outlineLvl w:val="9"/>
        <w:rPr>
          <w:rFonts w:hint="default" w:ascii="Times New Roman" w:hAnsi="Times New Roman" w:cs="Times New Roman"/>
          <w:szCs w:val="32"/>
          <w:lang w:val="zh-CN" w:eastAsia="zh-CN"/>
        </w:rPr>
      </w:pPr>
      <w:r>
        <w:rPr>
          <w:rFonts w:hint="eastAsia" w:cs="Times New Roman"/>
          <w:szCs w:val="32"/>
          <w:lang w:val="zh-CN" w:eastAsia="zh-CN"/>
        </w:rPr>
        <w:t>由于我局作为</w:t>
      </w:r>
      <w:r>
        <w:rPr>
          <w:rFonts w:hint="eastAsia" w:cs="Times New Roman"/>
          <w:szCs w:val="32"/>
          <w:lang w:val="en-US" w:eastAsia="zh-CN"/>
        </w:rPr>
        <w:t>本</w:t>
      </w:r>
      <w:r>
        <w:rPr>
          <w:rFonts w:hint="eastAsia" w:cs="Times New Roman"/>
          <w:szCs w:val="32"/>
          <w:lang w:val="zh-CN" w:eastAsia="zh-CN"/>
        </w:rPr>
        <w:t>项目资金的末端使用单位，项目实施地点集中在</w:t>
      </w:r>
      <w:r>
        <w:rPr>
          <w:rFonts w:hint="eastAsia" w:cs="Times New Roman"/>
          <w:szCs w:val="32"/>
          <w:lang w:val="en-US" w:eastAsia="zh-CN"/>
        </w:rPr>
        <w:t>本局</w:t>
      </w:r>
      <w:r>
        <w:rPr>
          <w:rFonts w:hint="eastAsia" w:cs="Times New Roman"/>
          <w:szCs w:val="32"/>
          <w:lang w:val="zh-CN" w:eastAsia="zh-CN"/>
        </w:rPr>
        <w:t>，资金使用范围及业务开展均围绕单一主体开展，无多个实施点位或子项目需要抽样评估。因此，本次绩效自评未涉及抽样点位相关工作，而是采取全面核查的方式，对资金使用台账、项目执行档案、服务成效数据等进行全口径梳理，结合现场勘查等手段，对项目整体实施情况及绩效目标完成度进行综合评价，确保自评工作覆盖所有关键环节，客观反映资金使用效益与项目实施效果。</w:t>
      </w:r>
    </w:p>
    <w:p w14:paraId="6FFF47CC">
      <w:pPr>
        <w:keepNext w:val="0"/>
        <w:keepLines w:val="0"/>
        <w:pageBreakBefore w:val="0"/>
        <w:widowControl w:val="0"/>
        <w:numPr>
          <w:ilvl w:val="0"/>
          <w:numId w:val="3"/>
        </w:numPr>
        <w:kinsoku/>
        <w:wordWrap/>
        <w:overflowPunct/>
        <w:topLinePunct w:val="0"/>
        <w:autoSpaceDE/>
        <w:autoSpaceDN/>
        <w:bidi w:val="0"/>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评价方法。</w:t>
      </w:r>
    </w:p>
    <w:p w14:paraId="6F1F968F">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我局根据项目</w:t>
      </w:r>
      <w:r>
        <w:rPr>
          <w:rFonts w:hint="default" w:ascii="Times New Roman" w:hAnsi="Times New Roman" w:eastAsia="仿宋_GB2312" w:cs="Times New Roman"/>
          <w:szCs w:val="32"/>
        </w:rPr>
        <w:t>情况和评价重点，</w:t>
      </w:r>
      <w:r>
        <w:rPr>
          <w:rFonts w:hint="eastAsia" w:cs="Times New Roman"/>
          <w:szCs w:val="32"/>
          <w:lang w:val="en-US" w:eastAsia="zh-CN"/>
        </w:rPr>
        <w:t>主要</w:t>
      </w:r>
      <w:r>
        <w:rPr>
          <w:rFonts w:hint="default" w:ascii="Times New Roman" w:hAnsi="Times New Roman" w:eastAsia="仿宋_GB2312" w:cs="Times New Roman"/>
          <w:szCs w:val="32"/>
        </w:rPr>
        <w:t>采用成本效益分析法</w:t>
      </w:r>
      <w:r>
        <w:rPr>
          <w:rFonts w:eastAsia="仿宋_GB2312" w:cs="Times New Roman"/>
          <w:szCs w:val="32"/>
          <w:lang w:val="zh-CN"/>
        </w:rPr>
        <w:t>、比较法、因素分析法、询问查证法等</w:t>
      </w:r>
      <w:r>
        <w:rPr>
          <w:rFonts w:hint="eastAsia" w:cs="Times New Roman"/>
          <w:szCs w:val="32"/>
          <w:lang w:val="en-US" w:eastAsia="zh-CN"/>
        </w:rPr>
        <w:t>评价方法</w:t>
      </w:r>
      <w:r>
        <w:rPr>
          <w:rFonts w:eastAsia="仿宋_GB2312" w:cs="Times New Roman"/>
          <w:szCs w:val="32"/>
          <w:lang w:val="zh-CN"/>
        </w:rPr>
        <w:t>。</w:t>
      </w:r>
    </w:p>
    <w:p w14:paraId="607243BA">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ascii="Times New Roman" w:hAnsi="Times New Roman" w:eastAsia="仿宋_GB2312" w:cs="Times New Roman"/>
          <w:szCs w:val="32"/>
          <w:lang w:val="zh-CN"/>
        </w:rPr>
      </w:pPr>
      <w:r>
        <w:rPr>
          <w:rFonts w:ascii="Times New Roman" w:hAnsi="Times New Roman" w:cs="Times New Roman"/>
          <w:szCs w:val="32"/>
          <w:lang w:val="en-US" w:eastAsia="zh-CN"/>
        </w:rPr>
        <w:t>1.</w:t>
      </w:r>
      <w:r>
        <w:rPr>
          <w:rFonts w:ascii="Times New Roman" w:hAnsi="Times New Roman" w:eastAsia="仿宋_GB2312" w:cs="Times New Roman"/>
          <w:szCs w:val="32"/>
          <w:lang w:val="zh-CN"/>
        </w:rPr>
        <w:t>成本效益法。通过将一定时期内的支出所产生的效益与付出的成本进行对比分析，从而评价项目绩效的方法。</w:t>
      </w:r>
    </w:p>
    <w:p w14:paraId="7A2B5E0C">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ascii="Times New Roman" w:hAnsi="Times New Roman" w:cs="Times New Roman"/>
          <w:szCs w:val="32"/>
          <w:lang w:val="en-US" w:eastAsia="zh-CN"/>
        </w:rPr>
        <w:t>2.</w:t>
      </w:r>
      <w:r>
        <w:rPr>
          <w:rFonts w:ascii="Times New Roman" w:hAnsi="Times New Roman" w:eastAsia="仿宋_GB2312" w:cs="Times New Roman"/>
          <w:szCs w:val="32"/>
          <w:lang w:val="zh-CN"/>
        </w:rPr>
        <w:t>比较法。通过对绩效目标与实施效果、历史与当期情况、不同</w:t>
      </w:r>
      <w:r>
        <w:rPr>
          <w:rFonts w:eastAsia="仿宋_GB2312" w:cs="Times New Roman"/>
          <w:szCs w:val="32"/>
          <w:lang w:val="zh-CN"/>
        </w:rPr>
        <w:t>部门和地区同类支出的比较，综合分析绩效目标实现程度。</w:t>
      </w:r>
    </w:p>
    <w:p w14:paraId="51AFA2A6">
      <w:pPr>
        <w:keepNext w:val="0"/>
        <w:keepLines w:val="0"/>
        <w:pageBreakBefore w:val="0"/>
        <w:widowControl w:val="0"/>
        <w:kinsoku/>
        <w:wordWrap/>
        <w:overflowPunct/>
        <w:topLinePunct w:val="0"/>
        <w:autoSpaceDE/>
        <w:autoSpaceDN/>
        <w:bidi w:val="0"/>
        <w:spacing w:line="578" w:lineRule="exact"/>
        <w:ind w:firstLine="640" w:firstLineChars="200"/>
        <w:textAlignment w:val="auto"/>
        <w:outlineLvl w:val="9"/>
        <w:rPr>
          <w:rFonts w:eastAsia="仿宋_GB2312" w:cs="Times New Roman"/>
          <w:szCs w:val="32"/>
          <w:lang w:val="zh-CN"/>
        </w:rPr>
      </w:pPr>
      <w:r>
        <w:rPr>
          <w:rFonts w:hint="eastAsia" w:cs="Times New Roman"/>
          <w:szCs w:val="32"/>
          <w:lang w:val="en-US" w:eastAsia="zh-CN"/>
        </w:rPr>
        <w:t>3.</w:t>
      </w:r>
      <w:r>
        <w:rPr>
          <w:rFonts w:eastAsia="仿宋_GB2312" w:cs="Times New Roman"/>
          <w:szCs w:val="32"/>
          <w:lang w:val="zh-CN"/>
        </w:rPr>
        <w:t>因素分析法。通过综合分析影响绩效目标实现、实施效果的内外因素，评价绩效目标实现程度；通过列举所有影响成本与收益的因素，进行全面、综合地分析，从而得出评价结果的方法。</w:t>
      </w:r>
    </w:p>
    <w:p w14:paraId="19575C4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szCs w:val="32"/>
          <w:lang w:eastAsia="zh-CN"/>
        </w:rPr>
      </w:pPr>
      <w:r>
        <w:rPr>
          <w:rFonts w:hint="eastAsia" w:cs="Times New Roman"/>
          <w:szCs w:val="32"/>
          <w:lang w:val="en-US" w:eastAsia="zh-CN"/>
        </w:rPr>
        <w:t>4.</w:t>
      </w:r>
      <w:r>
        <w:rPr>
          <w:rFonts w:eastAsia="仿宋_GB2312" w:cs="Times New Roman"/>
          <w:szCs w:val="32"/>
          <w:lang w:val="zh-CN"/>
        </w:rPr>
        <w:t>询问查证法。通过与评价客体直接或间接，以口头、书面、座谈等方式了解有关情况，从而形成判断的方法</w:t>
      </w:r>
      <w:r>
        <w:rPr>
          <w:rFonts w:eastAsia="仿宋_GB2312" w:cs="Times New Roman"/>
          <w:szCs w:val="32"/>
          <w:lang w:eastAsia="zh-CN"/>
        </w:rPr>
        <w:t>。</w:t>
      </w:r>
    </w:p>
    <w:p w14:paraId="1310EA3C">
      <w:pPr>
        <w:keepNext w:val="0"/>
        <w:keepLines w:val="0"/>
        <w:pageBreakBefore w:val="0"/>
        <w:widowControl w:val="0"/>
        <w:numPr>
          <w:ilvl w:val="0"/>
          <w:numId w:val="3"/>
        </w:numPr>
        <w:kinsoku/>
        <w:wordWrap/>
        <w:overflowPunct/>
        <w:topLinePunct w:val="0"/>
        <w:autoSpaceDE/>
        <w:autoSpaceDN/>
        <w:bidi w:val="0"/>
        <w:spacing w:line="578" w:lineRule="exact"/>
        <w:ind w:left="0" w:leftChars="0" w:firstLine="643" w:firstLineChars="200"/>
        <w:textAlignment w:val="auto"/>
        <w:outlineLvl w:val="1"/>
        <w:rPr>
          <w:rFonts w:hint="default" w:ascii="Times New Roman" w:hAnsi="Times New Roman" w:eastAsia="楷体_GB2312" w:cs="Times New Roman"/>
          <w:b/>
          <w:color w:val="auto"/>
          <w:sz w:val="32"/>
          <w:szCs w:val="32"/>
          <w:highlight w:val="none"/>
          <w:u w:val="none"/>
          <w:lang w:val="zh-CN"/>
        </w:rPr>
      </w:pPr>
      <w:r>
        <w:rPr>
          <w:rFonts w:hint="default" w:ascii="Times New Roman" w:hAnsi="Times New Roman" w:eastAsia="楷体_GB2312" w:cs="Times New Roman"/>
          <w:b/>
          <w:color w:val="auto"/>
          <w:sz w:val="32"/>
          <w:szCs w:val="32"/>
          <w:highlight w:val="none"/>
          <w:u w:val="none"/>
          <w:lang w:val="zh-CN"/>
        </w:rPr>
        <w:t>评价组织。</w:t>
      </w:r>
    </w:p>
    <w:p w14:paraId="0B9A63A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cs="Times New Roman"/>
          <w:szCs w:val="32"/>
          <w:lang w:val="en-US" w:eastAsia="zh-CN"/>
        </w:rPr>
      </w:pPr>
      <w:r>
        <w:rPr>
          <w:rFonts w:hint="default" w:ascii="Times New Roman" w:hAnsi="Times New Roman" w:cs="Times New Roman"/>
          <w:szCs w:val="32"/>
          <w:lang w:val="en-US" w:eastAsia="zh-CN"/>
        </w:rPr>
        <w:t>评价组由</w:t>
      </w:r>
      <w:r>
        <w:rPr>
          <w:rFonts w:hint="eastAsia" w:ascii="Times New Roman" w:hAnsi="Times New Roman" w:cs="Times New Roman"/>
          <w:szCs w:val="32"/>
          <w:lang w:val="en-US" w:eastAsia="zh-CN"/>
        </w:rPr>
        <w:t>我局</w:t>
      </w:r>
      <w:r>
        <w:rPr>
          <w:rFonts w:hint="default" w:ascii="Times New Roman" w:hAnsi="Times New Roman" w:cs="Times New Roman"/>
          <w:szCs w:val="32"/>
          <w:lang w:val="en-US" w:eastAsia="zh-CN"/>
        </w:rPr>
        <w:t>财务部门及业务部门人员共同组成，涵盖项目管理、资金监管、业务执行、绩效评估等多方面职能。其中，财务</w:t>
      </w:r>
      <w:r>
        <w:rPr>
          <w:rFonts w:hint="eastAsia" w:ascii="Times New Roman" w:hAnsi="Times New Roman" w:cs="Times New Roman"/>
          <w:szCs w:val="32"/>
          <w:lang w:val="en-US" w:eastAsia="zh-CN"/>
        </w:rPr>
        <w:t>部门</w:t>
      </w:r>
      <w:r>
        <w:rPr>
          <w:rFonts w:hint="default" w:ascii="Times New Roman" w:hAnsi="Times New Roman" w:cs="Times New Roman"/>
          <w:szCs w:val="32"/>
          <w:lang w:val="en-US" w:eastAsia="zh-CN"/>
        </w:rPr>
        <w:t>人员负责统筹自评工作，制定评价方案，把控整体进度与质量</w:t>
      </w:r>
      <w:r>
        <w:rPr>
          <w:rFonts w:hint="eastAsia" w:ascii="Times New Roman" w:hAnsi="Times New Roman" w:cs="Times New Roman"/>
          <w:szCs w:val="32"/>
          <w:lang w:val="en-US" w:eastAsia="zh-CN"/>
        </w:rPr>
        <w:t>，</w:t>
      </w:r>
      <w:r>
        <w:rPr>
          <w:rFonts w:hint="default" w:ascii="Times New Roman" w:hAnsi="Times New Roman" w:cs="Times New Roman"/>
          <w:szCs w:val="32"/>
          <w:lang w:val="en-US" w:eastAsia="zh-CN"/>
        </w:rPr>
        <w:t>重点核查资金使用合规性，审查预算执行、财务台账及报销凭证，确保资金管理规范透明；业务部门人员聚焦项目实施成效，对具体任务完成情况进行现场勘查与数据核验，评估业务目标达成度；行政人员负责资料收集整理、会议记录及对外协调，保障自评工作各环节衔接顺畅。各组员按职责分工协同开展工作，确保自评结果客观、全面、科学。</w:t>
      </w:r>
    </w:p>
    <w:p w14:paraId="6E8F25D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outlineLvl w:val="0"/>
        <w:rPr>
          <w:rFonts w:hint="default" w:ascii="Times New Roman" w:hAnsi="Times New Roman" w:cs="Times New Roman"/>
          <w:color w:val="auto"/>
          <w:sz w:val="32"/>
          <w:szCs w:val="32"/>
          <w:highlight w:val="none"/>
          <w:u w:val="none"/>
          <w:lang w:val="zh-CN"/>
        </w:rPr>
      </w:pPr>
      <w:r>
        <w:rPr>
          <w:rFonts w:hint="default" w:ascii="Times New Roman" w:hAnsi="Times New Roman" w:eastAsia="黑体" w:cs="Times New Roman"/>
          <w:color w:val="auto"/>
          <w:sz w:val="32"/>
          <w:szCs w:val="32"/>
          <w:highlight w:val="none"/>
          <w:u w:val="none"/>
        </w:rPr>
        <w:t>三、</w:t>
      </w:r>
      <w:r>
        <w:rPr>
          <w:rFonts w:hint="default" w:ascii="Times New Roman" w:hAnsi="Times New Roman" w:eastAsia="黑体" w:cs="Times New Roman"/>
          <w:color w:val="auto"/>
          <w:sz w:val="32"/>
          <w:szCs w:val="32"/>
          <w:highlight w:val="none"/>
          <w:u w:val="none"/>
          <w:lang w:eastAsia="zh-CN"/>
        </w:rPr>
        <w:t>绩效分析</w:t>
      </w:r>
      <w:r>
        <w:rPr>
          <w:rFonts w:hint="default" w:ascii="Times New Roman" w:hAnsi="Times New Roman" w:cs="Times New Roman"/>
          <w:color w:val="auto"/>
          <w:sz w:val="32"/>
          <w:szCs w:val="32"/>
          <w:highlight w:val="none"/>
          <w:u w:val="none"/>
          <w:lang w:val="zh-CN"/>
        </w:rPr>
        <w:tab/>
      </w:r>
    </w:p>
    <w:p w14:paraId="2C02748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1"/>
        <w:rPr>
          <w:rFonts w:hint="default" w:ascii="Times New Roman" w:hAnsi="Times New Roman" w:eastAsia="楷体_GB2312" w:cs="Times New Roman"/>
          <w:b/>
          <w:color w:val="auto"/>
          <w:sz w:val="32"/>
          <w:szCs w:val="32"/>
          <w:highlight w:val="none"/>
          <w:u w:val="none"/>
          <w:lang w:val="en-US" w:eastAsia="zh-CN"/>
        </w:rPr>
      </w:pPr>
      <w:r>
        <w:rPr>
          <w:rFonts w:hint="default" w:ascii="Times New Roman" w:hAnsi="Times New Roman" w:eastAsia="楷体_GB2312" w:cs="Times New Roman"/>
          <w:b/>
          <w:color w:val="auto"/>
          <w:sz w:val="32"/>
          <w:szCs w:val="32"/>
          <w:highlight w:val="none"/>
          <w:u w:val="none"/>
          <w:lang w:val="zh-CN"/>
        </w:rPr>
        <w:t>（一）</w:t>
      </w:r>
      <w:r>
        <w:rPr>
          <w:rFonts w:hint="default"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52AB73C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2"/>
        <w:rPr>
          <w:rFonts w:hint="default" w:ascii="Times New Roman" w:hAnsi="Times New Roman" w:cs="Times New Roman"/>
          <w:color w:val="auto"/>
          <w:szCs w:val="32"/>
          <w:highlight w:val="none"/>
          <w:lang w:eastAsia="zh-CN"/>
        </w:rPr>
      </w:pPr>
      <w:r>
        <w:rPr>
          <w:rFonts w:hint="eastAsia" w:cs="Times New Roman"/>
          <w:color w:val="auto"/>
          <w:szCs w:val="32"/>
          <w:highlight w:val="none"/>
          <w:lang w:eastAsia="zh-CN"/>
        </w:rPr>
        <w:t>（</w:t>
      </w:r>
      <w:r>
        <w:rPr>
          <w:rFonts w:hint="eastAsia" w:cs="Times New Roman"/>
          <w:color w:val="auto"/>
          <w:szCs w:val="32"/>
          <w:highlight w:val="none"/>
          <w:lang w:val="en-US" w:eastAsia="zh-CN"/>
        </w:rPr>
        <w:t>1</w:t>
      </w:r>
      <w:r>
        <w:rPr>
          <w:rFonts w:hint="eastAsia" w:cs="Times New Roman"/>
          <w:color w:val="auto"/>
          <w:szCs w:val="32"/>
          <w:highlight w:val="none"/>
          <w:lang w:eastAsia="zh-CN"/>
        </w:rPr>
        <w:t>）</w:t>
      </w:r>
      <w:r>
        <w:rPr>
          <w:rFonts w:hint="default" w:ascii="Times New Roman" w:hAnsi="Times New Roman" w:cs="Times New Roman"/>
          <w:color w:val="auto"/>
          <w:szCs w:val="32"/>
          <w:highlight w:val="none"/>
          <w:lang w:eastAsia="zh-CN"/>
        </w:rPr>
        <w:t>决策程序</w:t>
      </w:r>
    </w:p>
    <w:p w14:paraId="1C99972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我局严格按照省级市场监管专项资金管理规定及项目立项相关要求，完成项目立项申请、规划论证、预算编制、审批报备等全流程工作，决策程序严密、合规，无程序疏漏、违规立项等问题，完全符合财政资金管理和项目决策规范。</w:t>
      </w:r>
    </w:p>
    <w:p w14:paraId="586B691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22EC894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（2）规划论证</w:t>
      </w:r>
    </w:p>
    <w:p w14:paraId="151515E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项目规划完全符合中央、省委、省政府及州委、州政府关于药品监管工作的决策部署和年度安排</w:t>
      </w:r>
      <w:r>
        <w:rPr>
          <w:rFonts w:hint="eastAsia" w:cs="Times New Roman"/>
          <w:color w:val="auto"/>
          <w:szCs w:val="32"/>
          <w:lang w:val="en-US" w:eastAsia="zh-CN"/>
        </w:rPr>
        <w:t>，在</w:t>
      </w:r>
      <w:r>
        <w:rPr>
          <w:rFonts w:hint="eastAsia" w:ascii="Times New Roman" w:hAnsi="Times New Roman" w:cs="Times New Roman"/>
          <w:color w:val="auto"/>
          <w:szCs w:val="32"/>
          <w:lang w:val="en-US" w:eastAsia="zh-CN"/>
        </w:rPr>
        <w:t>立项阶段充分开展了必要性、可行性、前瞻性评估论证，设置了整体绩效目标和具体量化指标，但存在部分可持续影响指标与基层监管实际结合不够紧密，对新业态监管需求考量不足的问题。</w:t>
      </w:r>
    </w:p>
    <w:p w14:paraId="786C971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综上，根据评分标准，该项指标扣1.2分，得4.8分。</w:t>
      </w:r>
    </w:p>
    <w:p w14:paraId="7BA5226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cs="Times New Roman"/>
          <w:color w:val="auto"/>
          <w:szCs w:val="32"/>
          <w:lang w:val="en-US" w:eastAsia="zh-CN"/>
        </w:rPr>
      </w:pPr>
      <w:r>
        <w:rPr>
          <w:rFonts w:hint="eastAsia" w:cs="Times New Roman"/>
          <w:color w:val="auto"/>
          <w:szCs w:val="32"/>
          <w:lang w:val="en-US" w:eastAsia="zh-CN"/>
        </w:rPr>
        <w:t>（3）资金投向</w:t>
      </w:r>
    </w:p>
    <w:p w14:paraId="05585A8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使用严格遵循国家药品监管相关政策及专项资金管理要求，投向属于药品监管法定职责范围，与财政事权支出责任界定完全匹配，优先保障抽检监测、执法打击等核心工作；但存在少量科普宣传经费与偏远区域群众实际需求衔接不够精准的问题，资金投放针对性有待进一步提升。</w:t>
      </w:r>
    </w:p>
    <w:p w14:paraId="4380F65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综上，根据评分标准，该项指标扣0.5分，得5.5分。</w:t>
      </w:r>
    </w:p>
    <w:p w14:paraId="6ECBC7CA">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eastAsia="楷体_GB2312" w:cs="Times New Roman"/>
          <w:color w:val="auto"/>
          <w:szCs w:val="32"/>
          <w:lang w:eastAsia="zh-CN"/>
        </w:rPr>
      </w:pPr>
      <w:r>
        <w:rPr>
          <w:rFonts w:hint="default" w:ascii="Times New Roman" w:hAnsi="Times New Roman" w:eastAsia="楷体_GB2312" w:cs="Times New Roman"/>
          <w:color w:val="auto"/>
          <w:szCs w:val="32"/>
          <w:lang w:val="en-US" w:eastAsia="zh-CN"/>
        </w:rPr>
        <w:t>2.</w:t>
      </w:r>
      <w:r>
        <w:rPr>
          <w:rFonts w:hint="default" w:ascii="Times New Roman" w:hAnsi="Times New Roman" w:eastAsia="楷体_GB2312" w:cs="Times New Roman"/>
          <w:color w:val="auto"/>
          <w:szCs w:val="32"/>
          <w:lang w:eastAsia="zh-CN"/>
        </w:rPr>
        <w:t>项目管理</w:t>
      </w:r>
    </w:p>
    <w:p w14:paraId="0D525EF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制度办法</w:t>
      </w:r>
    </w:p>
    <w:p w14:paraId="447EEF12">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构建完善项目资金管理制度体系，依据相关法规和财政预算管理要求、单位内部控制相关制度进行项目管理，制度覆盖资金管理全流程，定期更新并严格执行，无制度缺失或过期问题，形成“事前、事中、事后”规范管理机制，为资金安全及项目实施提供坚实制度保障。</w:t>
      </w:r>
    </w:p>
    <w:p w14:paraId="6353C9C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综上，根据评分标准，该项指标不扣分，得2分。</w:t>
      </w:r>
    </w:p>
    <w:p w14:paraId="1E22B44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（2）分配管理</w:t>
      </w:r>
    </w:p>
    <w:p w14:paraId="47BF1A0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w:t>
      </w:r>
      <w:r>
        <w:rPr>
          <w:rFonts w:hint="default" w:ascii="Times New Roman" w:hAnsi="Times New Roman" w:cs="Times New Roman"/>
          <w:color w:val="auto"/>
          <w:szCs w:val="32"/>
          <w:lang w:val="en-US" w:eastAsia="zh-CN"/>
        </w:rPr>
        <w:t>作为本项目资金的末端使用单位，严格按管理办法及任务权重分配使用项目资金，分配因素充分考虑区域监管需求与工作重点，决策程序符合管理要求，资金支出及时高效，无分配不合理问题</w:t>
      </w:r>
      <w:r>
        <w:rPr>
          <w:rFonts w:hint="eastAsia" w:ascii="Times New Roman" w:hAnsi="Times New Roman" w:cs="Times New Roman"/>
          <w:color w:val="auto"/>
          <w:szCs w:val="32"/>
          <w:lang w:val="en-US" w:eastAsia="zh-CN"/>
        </w:rPr>
        <w:t>。</w:t>
      </w:r>
    </w:p>
    <w:p w14:paraId="20207967">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2158983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（3）绩效监管</w:t>
      </w:r>
    </w:p>
    <w:p w14:paraId="3ED36C41">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落实中省预算绩效管理要求，全面完成绩效目标设定、事前评估、绩效评价及历史问题整改等预算绩效管理工作，构建全流程管理体系。上级主管部门对资金分配、项目管理指导到位，常态化开展监督评价，无履职缺位，但存在绩效监控数据动态更新频率不足的问题。</w:t>
      </w:r>
    </w:p>
    <w:p w14:paraId="18D0CBDC">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综上，根据评分标准，该项指标扣0.8分，得5.2分。</w:t>
      </w:r>
    </w:p>
    <w:p w14:paraId="1151F048">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3.项目实施</w:t>
      </w:r>
    </w:p>
    <w:p w14:paraId="216CC7B1">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预算</w:t>
      </w:r>
      <w:r>
        <w:rPr>
          <w:rFonts w:hint="default" w:ascii="Times New Roman" w:hAnsi="Times New Roman" w:eastAsia="仿宋_GB2312" w:cs="Times New Roman"/>
          <w:color w:val="auto"/>
          <w:szCs w:val="32"/>
          <w:lang w:val="zh-CN" w:eastAsia="zh-CN"/>
        </w:rPr>
        <w:t>执行</w:t>
      </w:r>
    </w:p>
    <w:p w14:paraId="69A51232">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本</w:t>
      </w:r>
      <w:r>
        <w:rPr>
          <w:rFonts w:hint="eastAsia" w:cs="Times New Roman"/>
          <w:color w:val="auto"/>
          <w:szCs w:val="32"/>
          <w:lang w:val="en-US" w:eastAsia="zh-CN"/>
        </w:rPr>
        <w:t>项目于2025年</w:t>
      </w:r>
      <w:r>
        <w:rPr>
          <w:rFonts w:hint="eastAsia" w:ascii="Times New Roman" w:hAnsi="Times New Roman" w:cs="Times New Roman"/>
          <w:color w:val="auto"/>
          <w:szCs w:val="32"/>
          <w:lang w:val="en-US" w:eastAsia="zh-CN"/>
        </w:rPr>
        <w:t>预算安排</w:t>
      </w:r>
      <w:r>
        <w:rPr>
          <w:rFonts w:hint="eastAsia" w:cs="Times New Roman"/>
          <w:color w:val="auto"/>
          <w:kern w:val="0"/>
          <w:sz w:val="32"/>
          <w:szCs w:val="32"/>
          <w:highlight w:val="none"/>
          <w:u w:val="none"/>
          <w:shd w:val="clear" w:color="auto" w:fill="FFFFFF"/>
          <w:lang w:val="en-US" w:eastAsia="zh-CN"/>
        </w:rPr>
        <w:t>9.91</w:t>
      </w:r>
      <w:r>
        <w:rPr>
          <w:rFonts w:hint="eastAsia" w:ascii="Times New Roman" w:hAnsi="Times New Roman" w:cs="Times New Roman"/>
          <w:color w:val="auto"/>
          <w:szCs w:val="32"/>
          <w:lang w:val="en-US" w:eastAsia="zh-CN"/>
        </w:rPr>
        <w:t>万元，截至2025年12月31日，项目资金到位</w:t>
      </w:r>
      <w:r>
        <w:rPr>
          <w:rFonts w:hint="eastAsia" w:cs="Times New Roman"/>
          <w:color w:val="auto"/>
          <w:kern w:val="0"/>
          <w:sz w:val="32"/>
          <w:szCs w:val="32"/>
          <w:highlight w:val="none"/>
          <w:u w:val="none"/>
          <w:shd w:val="clear" w:color="auto" w:fill="FFFFFF"/>
          <w:lang w:val="en-US" w:eastAsia="zh-CN"/>
        </w:rPr>
        <w:t>9.91</w:t>
      </w:r>
      <w:r>
        <w:rPr>
          <w:rFonts w:hint="eastAsia" w:ascii="Times New Roman" w:hAnsi="Times New Roman" w:cs="Times New Roman"/>
          <w:color w:val="auto"/>
          <w:szCs w:val="32"/>
          <w:lang w:val="en-US" w:eastAsia="zh-CN"/>
        </w:rPr>
        <w:t>万元，预算执行金额为</w:t>
      </w:r>
      <w:r>
        <w:rPr>
          <w:rFonts w:hint="eastAsia" w:cs="Times New Roman"/>
          <w:color w:val="auto"/>
          <w:kern w:val="0"/>
          <w:sz w:val="32"/>
          <w:szCs w:val="32"/>
          <w:highlight w:val="none"/>
          <w:u w:val="none"/>
          <w:shd w:val="clear" w:color="auto" w:fill="FFFFFF"/>
          <w:lang w:val="en-US" w:eastAsia="zh-CN"/>
        </w:rPr>
        <w:t>9.91</w:t>
      </w:r>
      <w:r>
        <w:rPr>
          <w:rFonts w:hint="eastAsia" w:ascii="Times New Roman" w:hAnsi="Times New Roman" w:cs="Times New Roman"/>
          <w:color w:val="auto"/>
          <w:szCs w:val="32"/>
          <w:lang w:val="en-US" w:eastAsia="zh-CN"/>
        </w:rPr>
        <w:t>万元，财政资金拨付率、单位资金使用率和地方资金到位率均为100%。</w:t>
      </w:r>
    </w:p>
    <w:p w14:paraId="05994774">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综上，根据评分标准，该项指标不扣分，得6分。</w:t>
      </w:r>
    </w:p>
    <w:p w14:paraId="28694408">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仿宋_GB2312" w:cs="Times New Roman"/>
          <w:color w:val="auto"/>
          <w:szCs w:val="32"/>
          <w:lang w:val="zh-CN" w:eastAsia="zh-CN"/>
        </w:rPr>
      </w:pPr>
      <w:r>
        <w:rPr>
          <w:rFonts w:hint="eastAsia" w:cs="Times New Roman"/>
          <w:color w:val="auto"/>
          <w:szCs w:val="32"/>
          <w:lang w:eastAsia="zh-CN"/>
        </w:rPr>
        <w:t>（</w:t>
      </w:r>
      <w:r>
        <w:rPr>
          <w:rFonts w:hint="eastAsia" w:cs="Times New Roman"/>
          <w:color w:val="auto"/>
          <w:szCs w:val="32"/>
          <w:lang w:val="en-US" w:eastAsia="zh-CN"/>
        </w:rPr>
        <w:t>2</w:t>
      </w:r>
      <w:r>
        <w:rPr>
          <w:rFonts w:hint="eastAsia" w:cs="Times New Roman"/>
          <w:color w:val="auto"/>
          <w:szCs w:val="32"/>
          <w:lang w:eastAsia="zh-CN"/>
        </w:rPr>
        <w:t>）</w:t>
      </w:r>
      <w:r>
        <w:rPr>
          <w:rFonts w:hint="default" w:ascii="Times New Roman" w:hAnsi="Times New Roman" w:cs="Times New Roman"/>
          <w:color w:val="auto"/>
          <w:szCs w:val="32"/>
          <w:lang w:eastAsia="zh-CN"/>
        </w:rPr>
        <w:t>资金使用</w:t>
      </w:r>
    </w:p>
    <w:p w14:paraId="25C7E573">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按照相关管理要求使用本项目资金，项目资金使用、拨付符合国家财经法规、财务管理制度及有关专项资金管理制度办法规定和审批程序，不存在超范围、超标准、超进度使用专项资金和资金损失浪费、长期沉淀、截留、挤占、挪用、虚列支出等情况，项目实施遵守相关法律法规。</w:t>
      </w:r>
    </w:p>
    <w:p w14:paraId="08D08E6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234E825E">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eastAsia="楷体_GB2312" w:cs="Times New Roman"/>
          <w:color w:val="auto"/>
          <w:szCs w:val="32"/>
          <w:lang w:val="en-US" w:eastAsia="zh-CN"/>
        </w:rPr>
      </w:pPr>
      <w:r>
        <w:rPr>
          <w:rFonts w:hint="default" w:ascii="Times New Roman" w:hAnsi="Times New Roman" w:eastAsia="楷体_GB2312" w:cs="Times New Roman"/>
          <w:color w:val="auto"/>
          <w:szCs w:val="32"/>
          <w:lang w:val="en-US" w:eastAsia="zh-CN"/>
        </w:rPr>
        <w:t>4.项目结果</w:t>
      </w:r>
    </w:p>
    <w:p w14:paraId="4EBF6E8B">
      <w:pPr>
        <w:keepNext w:val="0"/>
        <w:keepLines w:val="0"/>
        <w:pageBreakBefore w:val="0"/>
        <w:widowControl w:val="0"/>
        <w:kinsoku/>
        <w:wordWrap/>
        <w:overflowPunct/>
        <w:topLinePunct w:val="0"/>
        <w:autoSpaceDE/>
        <w:autoSpaceDN/>
        <w:bidi w:val="0"/>
        <w:adjustRightInd/>
        <w:snapToGrid/>
        <w:spacing w:line="578" w:lineRule="exact"/>
        <w:ind w:left="640" w:leftChars="200" w:firstLine="0" w:firstLineChars="0"/>
        <w:textAlignment w:val="auto"/>
        <w:outlineLvl w:val="9"/>
        <w:rPr>
          <w:rFonts w:hint="default" w:ascii="Times New Roman" w:hAnsi="Times New Roman" w:cs="Times New Roman"/>
          <w:color w:val="auto"/>
          <w:szCs w:val="32"/>
          <w:lang w:eastAsia="zh-CN"/>
        </w:rPr>
      </w:pPr>
      <w:r>
        <w:rPr>
          <w:rFonts w:hint="eastAsia" w:cs="Times New Roman"/>
          <w:color w:val="auto"/>
          <w:szCs w:val="32"/>
          <w:lang w:eastAsia="zh-CN"/>
        </w:rPr>
        <w:t>（</w:t>
      </w:r>
      <w:r>
        <w:rPr>
          <w:rFonts w:hint="eastAsia" w:cs="Times New Roman"/>
          <w:color w:val="auto"/>
          <w:szCs w:val="32"/>
          <w:lang w:val="en-US" w:eastAsia="zh-CN"/>
        </w:rPr>
        <w:t>1</w:t>
      </w:r>
      <w:r>
        <w:rPr>
          <w:rFonts w:hint="eastAsia" w:cs="Times New Roman"/>
          <w:color w:val="auto"/>
          <w:szCs w:val="32"/>
          <w:lang w:eastAsia="zh-CN"/>
        </w:rPr>
        <w:t>）</w:t>
      </w:r>
      <w:r>
        <w:rPr>
          <w:rFonts w:hint="default" w:ascii="Times New Roman" w:hAnsi="Times New Roman" w:cs="Times New Roman"/>
          <w:color w:val="auto"/>
          <w:szCs w:val="32"/>
          <w:lang w:eastAsia="zh-CN"/>
        </w:rPr>
        <w:t>目标完成</w:t>
      </w:r>
    </w:p>
    <w:p w14:paraId="4EEB2C3F">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我局严格对照预设绩效目标推进项目实施，抽检监测、执法打击、培训宣传等各项工作任务均按计划完成，产出数量、质量及效益指标全面达标，无目标偏离或未完成情况，但存在个别偏远区域科普宣传覆盖深度不足的问题。</w:t>
      </w:r>
    </w:p>
    <w:p w14:paraId="4ED38E0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综上，根据评分标准，该项指标扣0.7分，得5.3分。</w:t>
      </w:r>
    </w:p>
    <w:p w14:paraId="0DE70A52">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（2）完成时效</w:t>
      </w:r>
    </w:p>
    <w:p w14:paraId="174F2580">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我局严格遵循项目计划时间节点，制定细化的进度推进方案并开展全程动态管控，通过合理调配资源、优化实施流程，各阶段药品监管工作任务均按期推进，项目所有工作于2025年12月底前全面完成，未出现任何延迟情况，时效管理规范有序。</w:t>
      </w:r>
    </w:p>
    <w:p w14:paraId="7F2ADE0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综上，根据评分标准，该项指标不扣分，得3分。</w:t>
      </w:r>
    </w:p>
    <w:p w14:paraId="48A9CBCD">
      <w:pPr>
        <w:keepNext w:val="0"/>
        <w:keepLines w:val="0"/>
        <w:pageBreakBefore w:val="0"/>
        <w:widowControl w:val="0"/>
        <w:kinsoku/>
        <w:wordWrap/>
        <w:overflowPunct/>
        <w:topLinePunct w:val="0"/>
        <w:autoSpaceDE/>
        <w:autoSpaceDN/>
        <w:bidi w:val="0"/>
        <w:adjustRightInd/>
        <w:snapToGrid/>
        <w:spacing w:line="578" w:lineRule="exact"/>
        <w:ind w:left="0" w:leftChars="0" w:firstLine="643" w:firstLineChars="20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34B9D00E">
      <w:pPr>
        <w:keepNext w:val="0"/>
        <w:keepLines w:val="0"/>
        <w:pageBreakBefore w:val="0"/>
        <w:widowControl w:val="0"/>
        <w:kinsoku/>
        <w:wordWrap/>
        <w:overflowPunct/>
        <w:topLinePunct w:val="0"/>
        <w:autoSpaceDE/>
        <w:autoSpaceDN/>
        <w:bidi w:val="0"/>
        <w:adjustRightInd/>
        <w:snapToGrid/>
        <w:spacing w:line="578" w:lineRule="exact"/>
        <w:ind w:left="0" w:leftChars="0" w:firstLine="640" w:firstLineChars="200"/>
        <w:textAlignment w:val="auto"/>
        <w:outlineLvl w:val="9"/>
        <w:rPr>
          <w:rFonts w:hint="default" w:ascii="Times New Roman" w:hAnsi="Times New Roman" w:cs="Times New Roman"/>
          <w:color w:val="auto"/>
          <w:szCs w:val="32"/>
          <w:lang w:eastAsia="zh-CN"/>
        </w:rPr>
      </w:pPr>
      <w:r>
        <w:rPr>
          <w:rFonts w:hint="eastAsia" w:cs="Times New Roman"/>
          <w:color w:val="auto"/>
          <w:szCs w:val="32"/>
          <w:lang w:val="en-US" w:eastAsia="zh-CN"/>
        </w:rPr>
        <w:t>1.</w:t>
      </w:r>
      <w:r>
        <w:rPr>
          <w:rFonts w:hint="default" w:ascii="Times New Roman" w:hAnsi="Times New Roman" w:cs="Times New Roman"/>
          <w:color w:val="auto"/>
          <w:szCs w:val="32"/>
          <w:lang w:eastAsia="zh-CN"/>
        </w:rPr>
        <w:t>用途合规性</w:t>
      </w:r>
    </w:p>
    <w:p w14:paraId="35D0B2FE">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资金严格遵循“专款专用、服务药品监管主业”原则，所有支出均直接用于抽检监测、执法打击、培训宣传等项目核心工作，未出现挪用、截留、挤占或用于无关领域的情形，与项目申报时的资金使用目标高度契合，完全符合省级药品监管专项资金“精准投放、定向发力”的合规性要求。</w:t>
      </w:r>
    </w:p>
    <w:p w14:paraId="4FE59838">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266A3C66">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2.程序合规性</w:t>
      </w:r>
    </w:p>
    <w:p w14:paraId="597D48DE">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项目实施全程严守专项资金管理、药品监管及相关管理规范：抽检监测严格遵循抽样、检测、结果上报全流程规范；执法打击按照法定程序开展立案、调查、处罚等工作；培训宣传履行规范组织流程；资金使用建立“申请</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审核</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审批</w:t>
      </w:r>
      <w:r>
        <w:rPr>
          <w:rFonts w:hint="eastAsia" w:cs="Times New Roman"/>
          <w:color w:val="auto"/>
          <w:szCs w:val="32"/>
          <w:lang w:val="en-US" w:eastAsia="zh-CN"/>
        </w:rPr>
        <w:t>－</w:t>
      </w:r>
      <w:r>
        <w:rPr>
          <w:rFonts w:hint="eastAsia" w:ascii="Times New Roman" w:hAnsi="Times New Roman" w:cs="Times New Roman"/>
          <w:color w:val="auto"/>
          <w:szCs w:val="32"/>
          <w:lang w:val="en-US" w:eastAsia="zh-CN"/>
        </w:rPr>
        <w:t>公示”闭环机制，每笔费用报销均附完整凭证，资金流向可追溯、工作过程留痕迹，无任何程序违规问题。</w:t>
      </w:r>
    </w:p>
    <w:p w14:paraId="3294855B">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综上，根据评分标准，该项指标不扣分，得10分。</w:t>
      </w:r>
    </w:p>
    <w:p w14:paraId="7FA36286">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3.标准合规性</w:t>
      </w:r>
    </w:p>
    <w:p w14:paraId="096FA1C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资金分配标准整体符合专项资金管理要求，但受部分偏远区域抽检运输成本、宣传物料定制价格波动影响，少量经费实际支出标准与预设标准存在一定偏差，未超出合理浮动范围。</w:t>
      </w:r>
    </w:p>
    <w:p w14:paraId="01CE980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cs="Times New Roman"/>
          <w:color w:val="auto"/>
          <w:szCs w:val="32"/>
          <w:lang w:val="en-US" w:eastAsia="zh-CN"/>
        </w:rPr>
      </w:pPr>
      <w:r>
        <w:rPr>
          <w:rFonts w:hint="eastAsia" w:cs="Times New Roman"/>
          <w:color w:val="auto"/>
          <w:szCs w:val="32"/>
          <w:lang w:val="en-US" w:eastAsia="zh-CN"/>
        </w:rPr>
        <w:t>综上，根据评分标准，该项指标扣1.1分，得8.9分。</w:t>
      </w:r>
    </w:p>
    <w:p w14:paraId="40E0C6CB">
      <w:pPr>
        <w:keepNext w:val="0"/>
        <w:keepLines w:val="0"/>
        <w:pageBreakBefore w:val="0"/>
        <w:widowControl w:val="0"/>
        <w:kinsoku/>
        <w:wordWrap/>
        <w:overflowPunct/>
        <w:topLinePunct w:val="0"/>
        <w:autoSpaceDE/>
        <w:autoSpaceDN/>
        <w:bidi w:val="0"/>
        <w:adjustRightInd/>
        <w:snapToGrid/>
        <w:spacing w:line="578" w:lineRule="exact"/>
        <w:ind w:firstLine="640" w:firstLineChars="0"/>
        <w:textAlignment w:val="auto"/>
        <w:outlineLvl w:val="1"/>
        <w:rPr>
          <w:rFonts w:hint="default" w:ascii="Times New Roman" w:hAnsi="Times New Roman" w:eastAsia="楷体_GB2312" w:cs="Times New Roman"/>
          <w:b/>
          <w:bCs/>
          <w:color w:val="000000"/>
          <w:kern w:val="0"/>
          <w:szCs w:val="32"/>
          <w:highlight w:val="none"/>
          <w:shd w:val="clear" w:color="auto" w:fill="FFFFFF"/>
          <w:lang w:val="zh-CN"/>
        </w:rPr>
      </w:pPr>
      <w:r>
        <w:rPr>
          <w:rFonts w:hint="default" w:ascii="Times New Roman" w:hAnsi="Times New Roman" w:eastAsia="楷体_GB2312" w:cs="Times New Roman"/>
          <w:b/>
          <w:color w:val="auto"/>
          <w:sz w:val="32"/>
          <w:szCs w:val="32"/>
          <w:highlight w:val="none"/>
          <w:u w:val="none"/>
          <w:lang w:val="zh-CN"/>
        </w:rPr>
        <w:t>（三）</w:t>
      </w:r>
      <w:r>
        <w:rPr>
          <w:rFonts w:hint="default"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Cs w:val="32"/>
          <w:highlight w:val="none"/>
          <w:shd w:val="clear" w:color="auto" w:fill="FFFFFF"/>
          <w:lang w:val="zh-CN"/>
        </w:rPr>
        <w:t>绩效分析</w:t>
      </w:r>
    </w:p>
    <w:p w14:paraId="7F11DC09">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1.抽检结果应用转化率</w:t>
      </w:r>
    </w:p>
    <w:p w14:paraId="6FDA92A6">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通过抽检监测与执法联动，不合格产品核查处置率达100%，并形成风险防控清单，但部分抽检数据对新业态、新风险的预警支撑不足，数据应用的前瞻性有待提升。</w:t>
      </w:r>
    </w:p>
    <w:p w14:paraId="24EBD58A">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1.1</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6.9</w:t>
      </w:r>
      <w:r>
        <w:rPr>
          <w:rFonts w:hint="default" w:ascii="Times New Roman" w:hAnsi="Times New Roman" w:cs="Times New Roman"/>
          <w:color w:val="auto"/>
          <w:szCs w:val="32"/>
          <w:lang w:val="en-US" w:eastAsia="zh-CN"/>
        </w:rPr>
        <w:t>分。</w:t>
      </w:r>
    </w:p>
    <w:p w14:paraId="130191A9">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2.</w:t>
      </w:r>
      <w:r>
        <w:rPr>
          <w:rFonts w:hint="default" w:ascii="Times New Roman" w:hAnsi="Times New Roman" w:cs="Times New Roman"/>
          <w:color w:val="auto"/>
          <w:szCs w:val="32"/>
          <w:lang w:val="en-US" w:eastAsia="zh-CN"/>
        </w:rPr>
        <w:t>公众安全意识提升率</w:t>
      </w:r>
    </w:p>
    <w:p w14:paraId="3DC39D4B">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通过多场次科普宣传，公众“两品一械”安全知识知晓率较上年提升18个百分点，但偏远区域群众参与度较低，知识掌握程度与城区存在差距，整体提升不均衡。</w:t>
      </w:r>
    </w:p>
    <w:p w14:paraId="5C89DC1E">
      <w:pPr>
        <w:keepNext w:val="0"/>
        <w:keepLines w:val="0"/>
        <w:pageBreakBefore w:val="0"/>
        <w:widowControl w:val="0"/>
        <w:kinsoku/>
        <w:wordWrap/>
        <w:overflowPunct/>
        <w:topLinePunct w:val="0"/>
        <w:autoSpaceDE/>
        <w:autoSpaceDN/>
        <w:bidi w:val="0"/>
        <w:adjustRightInd/>
        <w:snapToGrid/>
        <w:spacing w:line="578" w:lineRule="exact"/>
        <w:textAlignment w:val="auto"/>
        <w:outlineLvl w:val="9"/>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综上，根据评分标准，该项指标扣</w:t>
      </w:r>
      <w:r>
        <w:rPr>
          <w:rFonts w:hint="eastAsia" w:ascii="Times New Roman" w:hAnsi="Times New Roman" w:cs="Times New Roman"/>
          <w:color w:val="auto"/>
          <w:szCs w:val="32"/>
          <w:lang w:val="en-US" w:eastAsia="zh-CN"/>
        </w:rPr>
        <w:t>0.7</w:t>
      </w:r>
      <w:r>
        <w:rPr>
          <w:rFonts w:hint="default" w:ascii="Times New Roman" w:hAnsi="Times New Roman" w:cs="Times New Roman"/>
          <w:color w:val="auto"/>
          <w:szCs w:val="32"/>
          <w:lang w:val="en-US" w:eastAsia="zh-CN"/>
        </w:rPr>
        <w:t>分，得</w:t>
      </w:r>
      <w:r>
        <w:rPr>
          <w:rFonts w:hint="eastAsia" w:ascii="Times New Roman" w:hAnsi="Times New Roman" w:cs="Times New Roman"/>
          <w:color w:val="auto"/>
          <w:szCs w:val="32"/>
          <w:lang w:val="en-US" w:eastAsia="zh-CN"/>
        </w:rPr>
        <w:t>7.3</w:t>
      </w:r>
      <w:r>
        <w:rPr>
          <w:rFonts w:hint="default" w:ascii="Times New Roman" w:hAnsi="Times New Roman" w:cs="Times New Roman"/>
          <w:color w:val="auto"/>
          <w:szCs w:val="32"/>
          <w:lang w:val="en-US" w:eastAsia="zh-CN"/>
        </w:rPr>
        <w:t>分。</w:t>
      </w:r>
    </w:p>
    <w:p w14:paraId="0727F553">
      <w:pPr>
        <w:pStyle w:val="8"/>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rPr>
      </w:pPr>
      <w:r>
        <w:rPr>
          <w:rFonts w:hint="default" w:ascii="Times New Roman" w:hAnsi="Times New Roman" w:eastAsia="黑体" w:cs="Times New Roman"/>
          <w:color w:val="auto"/>
          <w:sz w:val="32"/>
          <w:szCs w:val="32"/>
          <w:highlight w:val="none"/>
          <w:u w:val="none"/>
          <w:lang w:eastAsia="zh-CN"/>
        </w:rPr>
        <w:t>四</w:t>
      </w:r>
      <w:r>
        <w:rPr>
          <w:rFonts w:hint="default" w:ascii="Times New Roman" w:hAnsi="Times New Roman" w:eastAsia="黑体" w:cs="Times New Roman"/>
          <w:color w:val="auto"/>
          <w:sz w:val="32"/>
          <w:szCs w:val="32"/>
          <w:highlight w:val="none"/>
          <w:u w:val="none"/>
        </w:rPr>
        <w:t>、评价结论</w:t>
      </w:r>
    </w:p>
    <w:p w14:paraId="5EDE3C5B">
      <w:pPr>
        <w:pStyle w:val="8"/>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default" w:ascii="Times New Roman" w:hAnsi="Times New Roman" w:cs="Times New Roman"/>
          <w:b w:val="0"/>
          <w:bCs w:val="0"/>
          <w:kern w:val="2"/>
          <w:position w:val="0"/>
          <w:sz w:val="32"/>
          <w:szCs w:val="32"/>
          <w:highlight w:val="none"/>
          <w:lang w:val="en-US" w:eastAsia="zh-CN" w:bidi="ar-SA"/>
        </w:rPr>
      </w:pPr>
      <w:r>
        <w:rPr>
          <w:rFonts w:hint="default" w:ascii="Times New Roman" w:hAnsi="Times New Roman" w:eastAsia="仿宋_GB2312" w:cs="Times New Roman"/>
          <w:b w:val="0"/>
          <w:bCs w:val="0"/>
          <w:kern w:val="0"/>
          <w:position w:val="0"/>
          <w:sz w:val="32"/>
          <w:szCs w:val="32"/>
          <w:highlight w:val="none"/>
          <w:lang w:val="en-US" w:eastAsia="zh-CN" w:bidi="ar-SA"/>
        </w:rPr>
        <w:t>经综合评价，</w:t>
      </w:r>
      <w:r>
        <w:rPr>
          <w:rFonts w:hint="eastAsia" w:ascii="Times New Roman" w:eastAsia="仿宋_GB2312" w:cs="Times New Roman"/>
          <w:b w:val="0"/>
          <w:bCs w:val="0"/>
          <w:kern w:val="0"/>
          <w:position w:val="0"/>
          <w:sz w:val="32"/>
          <w:szCs w:val="32"/>
          <w:highlight w:val="none"/>
          <w:lang w:val="en-US" w:eastAsia="zh-CN" w:bidi="ar-SA"/>
        </w:rPr>
        <w:t>本</w:t>
      </w:r>
      <w:r>
        <w:rPr>
          <w:rFonts w:hint="default" w:ascii="Times New Roman" w:hAnsi="Times New Roman" w:eastAsia="仿宋_GB2312" w:cs="Times New Roman"/>
          <w:b w:val="0"/>
          <w:bCs w:val="0"/>
          <w:kern w:val="0"/>
          <w:position w:val="0"/>
          <w:sz w:val="32"/>
          <w:szCs w:val="32"/>
          <w:highlight w:val="none"/>
          <w:lang w:val="en-US" w:eastAsia="zh-CN" w:bidi="ar-SA"/>
        </w:rPr>
        <w:t>项目绩效</w:t>
      </w:r>
      <w:r>
        <w:rPr>
          <w:rFonts w:hint="eastAsia" w:ascii="Times New Roman" w:eastAsia="仿宋_GB2312" w:cs="Times New Roman"/>
          <w:b w:val="0"/>
          <w:bCs w:val="0"/>
          <w:kern w:val="0"/>
          <w:position w:val="0"/>
          <w:sz w:val="32"/>
          <w:szCs w:val="32"/>
          <w:highlight w:val="none"/>
          <w:lang w:val="en-US" w:eastAsia="zh-CN" w:bidi="ar-SA"/>
        </w:rPr>
        <w:t>自评得93.9</w:t>
      </w:r>
      <w:r>
        <w:rPr>
          <w:rFonts w:hint="default" w:ascii="Times New Roman" w:hAnsi="Times New Roman" w:eastAsia="仿宋_GB2312" w:cs="Times New Roman"/>
          <w:b w:val="0"/>
          <w:bCs w:val="0"/>
          <w:kern w:val="0"/>
          <w:position w:val="0"/>
          <w:sz w:val="32"/>
          <w:szCs w:val="32"/>
          <w:highlight w:val="none"/>
          <w:lang w:val="en-US" w:eastAsia="zh-CN" w:bidi="ar-SA"/>
        </w:rPr>
        <w:t>分，</w:t>
      </w:r>
      <w:r>
        <w:rPr>
          <w:rFonts w:hint="eastAsia" w:ascii="Times New Roman" w:eastAsia="仿宋_GB2312" w:cs="Times New Roman"/>
          <w:b w:val="0"/>
          <w:bCs w:val="0"/>
          <w:kern w:val="0"/>
          <w:position w:val="0"/>
          <w:sz w:val="32"/>
          <w:szCs w:val="32"/>
          <w:highlight w:val="none"/>
          <w:lang w:val="en-US" w:eastAsia="zh-CN" w:bidi="ar-SA"/>
        </w:rPr>
        <w:t>等级为“优”，项目</w:t>
      </w:r>
      <w:r>
        <w:rPr>
          <w:rFonts w:hint="default" w:ascii="Times New Roman" w:hAnsi="Times New Roman" w:eastAsia="仿宋_GB2312" w:cs="Times New Roman"/>
          <w:b w:val="0"/>
          <w:bCs w:val="0"/>
          <w:kern w:val="0"/>
          <w:position w:val="0"/>
          <w:sz w:val="32"/>
          <w:szCs w:val="32"/>
          <w:highlight w:val="none"/>
          <w:lang w:val="en-US" w:eastAsia="zh-CN" w:bidi="ar-SA"/>
        </w:rPr>
        <w:t>实施情况良好。</w:t>
      </w:r>
      <w:r>
        <w:rPr>
          <w:rFonts w:hint="eastAsia" w:ascii="Times New Roman" w:eastAsia="仿宋_GB2312" w:cs="Times New Roman"/>
          <w:b w:val="0"/>
          <w:bCs w:val="0"/>
          <w:kern w:val="0"/>
          <w:position w:val="0"/>
          <w:sz w:val="32"/>
          <w:szCs w:val="32"/>
          <w:highlight w:val="none"/>
          <w:lang w:val="en-US" w:eastAsia="zh-CN" w:bidi="ar-SA"/>
        </w:rPr>
        <w:t>本项目严格落实财政预算管理要求，调整后预算9.91万元，执行率达100%，资金使用全程合规规范，无违规使用情况；全面完成了“两品一械”抽检监测、执法打击、培训宣传等所有既定工作任务，各项核心绩效指标均达标，有效守牢了药品安全底线，规范了经营使用秩序，提升了监管队伍专业能力和公众安全意识，完善了监管与应急机制，资金使用效益与社会效益双达标，与中央、省、州药品监管工作部署和民生保障要求高度契合。</w:t>
      </w:r>
    </w:p>
    <w:p w14:paraId="6DF6FD4B">
      <w:pPr>
        <w:pStyle w:val="8"/>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sz w:val="32"/>
          <w:szCs w:val="32"/>
          <w:highlight w:val="none"/>
          <w:u w:val="none"/>
          <w:lang w:eastAsia="zh-CN"/>
        </w:rPr>
      </w:pPr>
      <w:r>
        <w:rPr>
          <w:rFonts w:hint="default" w:ascii="Times New Roman" w:hAnsi="Times New Roman" w:cs="Times New Roman"/>
          <w:color w:val="auto"/>
          <w:sz w:val="32"/>
          <w:szCs w:val="32"/>
          <w:highlight w:val="none"/>
          <w:u w:val="none"/>
          <w:lang w:eastAsia="zh-CN"/>
        </w:rPr>
        <w:t>五、</w:t>
      </w:r>
      <w:r>
        <w:rPr>
          <w:rFonts w:hint="default" w:ascii="Times New Roman" w:hAnsi="Times New Roman" w:eastAsia="黑体" w:cs="Times New Roman"/>
          <w:color w:val="auto"/>
          <w:sz w:val="32"/>
          <w:szCs w:val="32"/>
          <w:highlight w:val="none"/>
          <w:u w:val="none"/>
          <w:lang w:eastAsia="zh-CN"/>
        </w:rPr>
        <w:t>存在主要问题</w:t>
      </w:r>
    </w:p>
    <w:p w14:paraId="686859CA">
      <w:pPr>
        <w:pStyle w:val="8"/>
        <w:pageBreakBefore w:val="0"/>
        <w:numPr>
          <w:ilvl w:val="0"/>
          <w:numId w:val="0"/>
        </w:numPr>
        <w:tabs>
          <w:tab w:val="left" w:pos="2160"/>
        </w:tabs>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资金投放精准性有待提升：少量科普宣传经费在投放前，对偏远区域群众知识需求、接收习惯等调研不够充分，导致宣传内容与群众实际需求衔接不够精准，资金使用效益未能完全最大化。</w:t>
      </w:r>
    </w:p>
    <w:p w14:paraId="680716B9">
      <w:pPr>
        <w:pStyle w:val="8"/>
        <w:pageBreakBefore w:val="0"/>
        <w:numPr>
          <w:ilvl w:val="0"/>
          <w:numId w:val="0"/>
        </w:numPr>
        <w:tabs>
          <w:tab w:val="left" w:pos="2160"/>
        </w:tabs>
        <w:kinsoku/>
        <w:wordWrap/>
        <w:overflowPunct/>
        <w:topLinePunct w:val="0"/>
        <w:autoSpaceDE/>
        <w:autoSpaceDN/>
        <w:bidi w:val="0"/>
        <w:adjustRightInd/>
        <w:spacing w:line="600" w:lineRule="exact"/>
        <w:ind w:left="0" w:leftChars="0" w:firstLine="640" w:firstLineChars="200"/>
        <w:textAlignment w:val="auto"/>
        <w:outlineLvl w:val="0"/>
        <w:rPr>
          <w:rFonts w:hint="default" w:ascii="Times New Roman" w:hAnsi="Times New Roman" w:eastAsia="黑体" w:cs="Times New Roman"/>
          <w:color w:val="auto"/>
          <w:kern w:val="0"/>
          <w:position w:val="3"/>
          <w:sz w:val="32"/>
          <w:szCs w:val="32"/>
          <w:highlight w:val="none"/>
          <w:u w:val="none"/>
          <w:lang w:val="zh-CN" w:eastAsia="zh-CN" w:bidi="ar-SA"/>
        </w:rPr>
      </w:pPr>
      <w:r>
        <w:rPr>
          <w:rFonts w:hint="default" w:ascii="Times New Roman" w:hAnsi="Times New Roman" w:eastAsia="黑体" w:cs="Times New Roman"/>
          <w:color w:val="auto"/>
          <w:kern w:val="0"/>
          <w:position w:val="3"/>
          <w:sz w:val="32"/>
          <w:szCs w:val="32"/>
          <w:highlight w:val="none"/>
          <w:u w:val="none"/>
          <w:lang w:val="zh-CN" w:eastAsia="zh-CN" w:bidi="ar-SA"/>
        </w:rPr>
        <w:t>六、改进建议</w:t>
      </w:r>
    </w:p>
    <w:p w14:paraId="23779B4D">
      <w:pPr>
        <w:tabs>
          <w:tab w:val="left" w:pos="1911"/>
        </w:tabs>
        <w:jc w:val="both"/>
        <w:rPr>
          <w:rFonts w:hint="default" w:ascii="Times New Roman" w:hAnsi="Times New Roman" w:eastAsia="仿宋_GB2312" w:cs="Times New Roman"/>
          <w:b w:val="0"/>
          <w:bCs w:val="0"/>
          <w:kern w:val="0"/>
          <w:position w:val="0"/>
          <w:sz w:val="32"/>
          <w:szCs w:val="32"/>
          <w:highlight w:val="none"/>
          <w:lang w:val="en" w:eastAsia="zh-CN" w:bidi="ar-SA"/>
        </w:rPr>
      </w:pPr>
      <w:r>
        <w:rPr>
          <w:rFonts w:hint="eastAsia" w:cs="Times New Roman"/>
          <w:b w:val="0"/>
          <w:bCs w:val="0"/>
          <w:kern w:val="0"/>
          <w:position w:val="0"/>
          <w:sz w:val="32"/>
          <w:szCs w:val="32"/>
          <w:highlight w:val="none"/>
          <w:lang w:val="en-US" w:eastAsia="zh-CN" w:bidi="ar-SA"/>
        </w:rPr>
        <w:t>提升资金投放精准性：建立资金投放前的“需求精准调研”机制，通过实地走访、问卷调查等方式，全面掌握偏远区域群众知识需求和接收习惯，定制化设计宣传内容与形式，科学测算经费需求，优化资金分配方案，确保资金精准对接工作需求。</w:t>
      </w:r>
    </w:p>
    <w:p w14:paraId="4EC402E8">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107F3EEA">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5620DB8A">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4B31DD83">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53D685A1">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6E9D85F6">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47D741E3">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745892D9">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3F7EE26D">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76D61608">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13457C79">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46FDD260">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4E984D15">
      <w:pPr>
        <w:pStyle w:val="23"/>
        <w:keepNext w:val="0"/>
        <w:keepLines w:val="0"/>
        <w:pageBreakBefore w:val="0"/>
        <w:widowControl w:val="0"/>
        <w:kinsoku/>
        <w:wordWrap/>
        <w:overflowPunct/>
        <w:topLinePunct w:val="0"/>
        <w:autoSpaceDE/>
        <w:autoSpaceDN/>
        <w:bidi w:val="0"/>
        <w:adjustRightInd/>
        <w:snapToGrid/>
        <w:spacing w:line="578" w:lineRule="exact"/>
        <w:ind w:left="0" w:leftChars="0" w:firstLine="0" w:firstLineChars="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2D2E7459">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ind w:left="0" w:leftChars="0" w:firstLine="1988" w:firstLineChars="450"/>
        <w:jc w:val="both"/>
        <w:textAlignment w:val="auto"/>
        <w:rPr>
          <w:rFonts w:hint="eastAsia" w:ascii="Times New Roman" w:hAnsi="Times New Roman" w:eastAsia="仿宋_GB2312" w:cs="Times New Roman"/>
          <w:b/>
          <w:bCs/>
          <w:color w:val="auto"/>
          <w:kern w:val="0"/>
          <w:position w:val="0"/>
          <w:sz w:val="44"/>
          <w:szCs w:val="44"/>
          <w:highlight w:val="none"/>
          <w:lang w:val="en-US" w:eastAsia="zh-CN" w:bidi="ar-SA"/>
        </w:rPr>
      </w:pPr>
      <w:r>
        <w:rPr>
          <w:rFonts w:hint="eastAsia" w:ascii="Times New Roman" w:hAnsi="Times New Roman" w:eastAsia="仿宋_GB2312" w:cs="Times New Roman"/>
          <w:b/>
          <w:bCs/>
          <w:color w:val="auto"/>
          <w:kern w:val="0"/>
          <w:position w:val="0"/>
          <w:sz w:val="44"/>
          <w:szCs w:val="44"/>
          <w:lang w:val="en-US" w:eastAsia="zh-CN" w:bidi="ar-SA"/>
        </w:rPr>
        <w:t xml:space="preserve">第四部分  </w:t>
      </w:r>
      <w:r>
        <w:rPr>
          <w:rFonts w:hint="eastAsia" w:ascii="Times New Roman" w:hAnsi="Times New Roman" w:eastAsia="仿宋_GB2312" w:cs="Times New Roman"/>
          <w:b/>
          <w:bCs/>
          <w:color w:val="auto"/>
          <w:kern w:val="0"/>
          <w:position w:val="0"/>
          <w:sz w:val="44"/>
          <w:szCs w:val="44"/>
          <w:highlight w:val="none"/>
          <w:lang w:val="en-US" w:eastAsia="zh-CN" w:bidi="ar-SA"/>
        </w:rPr>
        <w:t>附表</w:t>
      </w:r>
    </w:p>
    <w:p w14:paraId="054D5B03">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p>
    <w:p w14:paraId="02164DEF">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一、收入支出决算总表</w:t>
      </w:r>
    </w:p>
    <w:p w14:paraId="604F14D9">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二、收入决算表</w:t>
      </w:r>
    </w:p>
    <w:p w14:paraId="2FA4D073">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三、支出决算表</w:t>
      </w:r>
    </w:p>
    <w:p w14:paraId="0F07E2A3">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四、财政拨款收入支出决算总表</w:t>
      </w:r>
    </w:p>
    <w:p w14:paraId="25FFC6D5">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五、财政拨款支出决算明细表</w:t>
      </w:r>
    </w:p>
    <w:p w14:paraId="150AFC26">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六、一般公共预算财政拨款支出决算表</w:t>
      </w:r>
    </w:p>
    <w:p w14:paraId="0BBE4BAC">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七、一般公共预算财政拨款支出决算明细表</w:t>
      </w:r>
    </w:p>
    <w:p w14:paraId="09D4D16F">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八、一般公共预算财政拨款基本支出决算明细表</w:t>
      </w:r>
    </w:p>
    <w:p w14:paraId="6725E3AB">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九、一般公共预算财政拨款项目支出决算明细表</w:t>
      </w:r>
    </w:p>
    <w:p w14:paraId="5E1C4987">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十、政府性基金预算财政拨款收入支出决算表</w:t>
      </w:r>
    </w:p>
    <w:p w14:paraId="0614BAAE">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十一、国有资本经营预算财政拨款收入支出决算表</w:t>
      </w:r>
    </w:p>
    <w:p w14:paraId="03DE4EF9">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十二、国有资本经营预算财政拨款支出决算表</w:t>
      </w:r>
    </w:p>
    <w:p w14:paraId="0B541AE6">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r>
        <w:rPr>
          <w:rFonts w:hint="eastAsia" w:ascii="Times New Roman" w:hAnsi="Times New Roman" w:eastAsia="仿宋_GB2312" w:cs="Times New Roman"/>
          <w:b w:val="0"/>
          <w:bCs w:val="0"/>
          <w:color w:val="auto"/>
          <w:kern w:val="0"/>
          <w:position w:val="0"/>
          <w:sz w:val="32"/>
          <w:szCs w:val="32"/>
          <w:highlight w:val="none"/>
          <w:lang w:val="en-US" w:eastAsia="zh-CN" w:bidi="ar-SA"/>
        </w:rPr>
        <w:t>十三、财政拨款“三公”经费支出决算表</w:t>
      </w:r>
    </w:p>
    <w:p w14:paraId="2B20FA51">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jc w:val="both"/>
        <w:textAlignment w:val="auto"/>
        <w:rPr>
          <w:rFonts w:hint="eastAsia" w:ascii="Times New Roman" w:hAnsi="Times New Roman" w:eastAsia="仿宋_GB2312" w:cs="Times New Roman"/>
          <w:b w:val="0"/>
          <w:bCs w:val="0"/>
          <w:color w:val="auto"/>
          <w:kern w:val="0"/>
          <w:position w:val="0"/>
          <w:sz w:val="32"/>
          <w:szCs w:val="32"/>
          <w:highlight w:val="none"/>
          <w:lang w:val="en-US" w:eastAsia="zh-CN" w:bidi="ar-SA"/>
        </w:rPr>
      </w:pPr>
    </w:p>
    <w:p w14:paraId="17E7C076">
      <w:pPr>
        <w:pStyle w:val="23"/>
        <w:keepNext w:val="0"/>
        <w:keepLines w:val="0"/>
        <w:pageBreakBefore w:val="0"/>
        <w:widowControl w:val="0"/>
        <w:numPr>
          <w:ilvl w:val="0"/>
          <w:numId w:val="0"/>
        </w:numPr>
        <w:kinsoku/>
        <w:wordWrap/>
        <w:overflowPunct/>
        <w:topLinePunct w:val="0"/>
        <w:autoSpaceDE/>
        <w:autoSpaceDN/>
        <w:bidi w:val="0"/>
        <w:adjustRightInd/>
        <w:snapToGrid/>
        <w:spacing w:line="578" w:lineRule="exact"/>
        <w:ind w:leftChars="150"/>
        <w:jc w:val="both"/>
        <w:textAlignment w:val="auto"/>
        <w:rPr>
          <w:rFonts w:hint="default" w:ascii="Times New Roman" w:hAnsi="Times New Roman" w:eastAsia="方正小标宋简体" w:cs="Times New Roman"/>
          <w:b w:val="0"/>
          <w:bCs w:val="0"/>
          <w:color w:val="auto"/>
          <w:kern w:val="2"/>
          <w:sz w:val="30"/>
          <w:szCs w:val="30"/>
          <w:highlight w:val="none"/>
          <w:lang w:val="en-US" w:eastAsia="zh-CN"/>
        </w:rPr>
      </w:pPr>
    </w:p>
    <w:p w14:paraId="285F39B0">
      <w:pPr>
        <w:ind w:left="0" w:leftChars="0" w:firstLine="0" w:firstLineChars="0"/>
      </w:pPr>
    </w:p>
    <w:sectPr>
      <w:pgSz w:w="11906" w:h="16838"/>
      <w:pgMar w:top="2098" w:right="1474" w:bottom="1984" w:left="1587" w:header="851" w:footer="992" w:gutter="0"/>
      <w:pgNumType w:fmt="numberInDash"/>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decorative"/>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_GB2312">
    <w:altName w:val="Times New Roman"/>
    <w:panose1 w:val="00000000000000000000"/>
    <w:charset w:val="00"/>
    <w:family w:val="auto"/>
    <w:pitch w:val="default"/>
    <w:sig w:usb0="00000000" w:usb1="00000000" w:usb2="00000000" w:usb3="00000000" w:csb0="00000001" w:csb1="00000000"/>
  </w:font>
  <w:font w:name="仿宋">
    <w:panose1 w:val="02010609060101010101"/>
    <w:charset w:val="86"/>
    <w:family w:val="modern"/>
    <w:pitch w:val="default"/>
    <w:sig w:usb0="800002BF" w:usb1="38CF7CFA"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C7512">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C35369">
                          <w:pPr>
                            <w:pStyle w:val="9"/>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268F35B5"/>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50C35369">
                    <w:pPr>
                      <w:pStyle w:val="9"/>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268F35B5"/>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3309A">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9EE972">
                          <w:pPr>
                            <w:pStyle w:val="9"/>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1389C97D"/>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19EE972">
                    <w:pPr>
                      <w:pStyle w:val="9"/>
                      <w:ind w:right="451" w:rightChars="141"/>
                      <w:jc w:val="right"/>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3 -</w:t>
                    </w:r>
                    <w:r>
                      <w:rPr>
                        <w:rFonts w:ascii="宋体" w:hAnsi="宋体"/>
                        <w:sz w:val="28"/>
                        <w:szCs w:val="28"/>
                      </w:rPr>
                      <w:fldChar w:fldCharType="end"/>
                    </w:r>
                  </w:p>
                  <w:p w14:paraId="1389C97D"/>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A8E99A">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3622">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056176F4"/>
    <w:multiLevelType w:val="singleLevel"/>
    <w:tmpl w:val="056176F4"/>
    <w:lvl w:ilvl="0" w:tentative="0">
      <w:start w:val="4"/>
      <w:numFmt w:val="chineseCounting"/>
      <w:suff w:val="nothing"/>
      <w:lvlText w:val="（%1）"/>
      <w:lvlJc w:val="left"/>
      <w:rPr>
        <w:rFonts w:hint="eastAsia"/>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bCs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E87EA8"/>
    <w:rsid w:val="006846F6"/>
    <w:rsid w:val="01E054EB"/>
    <w:rsid w:val="07B70A9C"/>
    <w:rsid w:val="07BC60B3"/>
    <w:rsid w:val="07EE1790"/>
    <w:rsid w:val="0A2F151F"/>
    <w:rsid w:val="0D0753D1"/>
    <w:rsid w:val="15C727F2"/>
    <w:rsid w:val="16FB5EE0"/>
    <w:rsid w:val="17755C17"/>
    <w:rsid w:val="179452BD"/>
    <w:rsid w:val="18576500"/>
    <w:rsid w:val="18734687"/>
    <w:rsid w:val="19011815"/>
    <w:rsid w:val="197001A9"/>
    <w:rsid w:val="1AEC3646"/>
    <w:rsid w:val="1B0E205F"/>
    <w:rsid w:val="1B50619C"/>
    <w:rsid w:val="1E042E4C"/>
    <w:rsid w:val="26331252"/>
    <w:rsid w:val="27096BC8"/>
    <w:rsid w:val="28CD1A76"/>
    <w:rsid w:val="2AB23979"/>
    <w:rsid w:val="2D2274E5"/>
    <w:rsid w:val="31B85219"/>
    <w:rsid w:val="31FB3AF8"/>
    <w:rsid w:val="3234463C"/>
    <w:rsid w:val="354441A7"/>
    <w:rsid w:val="37552570"/>
    <w:rsid w:val="37F15F6C"/>
    <w:rsid w:val="39F82C1F"/>
    <w:rsid w:val="41FD4D22"/>
    <w:rsid w:val="42FE7B16"/>
    <w:rsid w:val="43036368"/>
    <w:rsid w:val="436B7220"/>
    <w:rsid w:val="43DF63E5"/>
    <w:rsid w:val="43FE0AD1"/>
    <w:rsid w:val="45E72B44"/>
    <w:rsid w:val="47633879"/>
    <w:rsid w:val="47D6229D"/>
    <w:rsid w:val="4BE64A79"/>
    <w:rsid w:val="4F4519D9"/>
    <w:rsid w:val="4FEB6EDC"/>
    <w:rsid w:val="528B7630"/>
    <w:rsid w:val="533802B0"/>
    <w:rsid w:val="5592403A"/>
    <w:rsid w:val="567105B4"/>
    <w:rsid w:val="5FA81BBF"/>
    <w:rsid w:val="60662154"/>
    <w:rsid w:val="613B6EDB"/>
    <w:rsid w:val="63387548"/>
    <w:rsid w:val="64466BF9"/>
    <w:rsid w:val="656F4259"/>
    <w:rsid w:val="67F13F0D"/>
    <w:rsid w:val="6A266C5C"/>
    <w:rsid w:val="6A391F4E"/>
    <w:rsid w:val="6CCD741D"/>
    <w:rsid w:val="72AA363B"/>
    <w:rsid w:val="72E87EA8"/>
    <w:rsid w:val="73645D8E"/>
    <w:rsid w:val="76FA65C9"/>
    <w:rsid w:val="779A4BBD"/>
    <w:rsid w:val="7B796BD4"/>
    <w:rsid w:val="7D9F634D"/>
    <w:rsid w:val="7DC50996"/>
    <w:rsid w:val="7FF00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unhideWhenUsed="0" w:uiPriority="0" w:semiHidden="0" w:name="index 9"/>
    <w:lsdException w:qFormat="1" w:unhideWhenUsed="0" w:uiPriority="99" w:name="toc 1"/>
    <w:lsdException w:qFormat="1" w:unhideWhenUsed="0" w:uiPriority="99"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640" w:firstLineChars="20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22"/>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99"/>
    <w:pPr>
      <w:keepNext/>
      <w:keepLines/>
      <w:spacing w:before="260" w:after="260" w:line="416" w:lineRule="auto"/>
      <w:outlineLvl w:val="1"/>
    </w:pPr>
    <w:rPr>
      <w:rFonts w:ascii="Cambria" w:hAnsi="Cambria" w:cs="Cambria"/>
      <w:b/>
      <w:bCs/>
      <w:sz w:val="32"/>
      <w:szCs w:val="32"/>
    </w:rPr>
  </w:style>
  <w:style w:type="paragraph" w:styleId="4">
    <w:name w:val="heading 3"/>
    <w:basedOn w:val="1"/>
    <w:next w:val="1"/>
    <w:unhideWhenUsed/>
    <w:qFormat/>
    <w:uiPriority w:val="0"/>
    <w:pPr>
      <w:keepNext/>
      <w:keepLines/>
      <w:spacing w:beforeLines="0" w:beforeAutospacing="0" w:afterLines="0" w:afterAutospacing="0" w:line="578" w:lineRule="exact"/>
      <w:outlineLvl w:val="2"/>
    </w:pPr>
    <w:rPr>
      <w:rFonts w:eastAsia="楷体_GB2312"/>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index 8"/>
    <w:basedOn w:val="1"/>
    <w:next w:val="1"/>
    <w:qFormat/>
    <w:uiPriority w:val="0"/>
    <w:pPr>
      <w:widowControl w:val="0"/>
      <w:ind w:left="2940"/>
      <w:jc w:val="both"/>
    </w:pPr>
    <w:rPr>
      <w:rFonts w:ascii="Times New Roman" w:hAnsi="Times New Roman" w:eastAsia="仿宋_GB2312" w:cs="Times New Roman"/>
      <w:kern w:val="2"/>
      <w:sz w:val="21"/>
      <w:szCs w:val="24"/>
      <w:lang w:val="en-US" w:eastAsia="zh-CN" w:bidi="ar-SA"/>
    </w:rPr>
  </w:style>
  <w:style w:type="paragraph" w:styleId="6">
    <w:name w:val="annotation text"/>
    <w:basedOn w:val="1"/>
    <w:qFormat/>
    <w:uiPriority w:val="0"/>
    <w:pPr>
      <w:jc w:val="left"/>
    </w:pPr>
  </w:style>
  <w:style w:type="paragraph" w:styleId="7">
    <w:name w:val="index 6"/>
    <w:basedOn w:val="1"/>
    <w:next w:val="1"/>
    <w:qFormat/>
    <w:uiPriority w:val="0"/>
    <w:pPr>
      <w:keepNext w:val="0"/>
      <w:keepLines w:val="0"/>
      <w:widowControl w:val="0"/>
      <w:suppressLineNumbers w:val="0"/>
      <w:spacing w:before="0" w:beforeAutospacing="0" w:after="0" w:afterAutospacing="0" w:line="240" w:lineRule="auto"/>
      <w:ind w:left="2100" w:firstLine="0"/>
      <w:jc w:val="both"/>
    </w:pPr>
    <w:rPr>
      <w:rFonts w:hint="default" w:ascii="Calibri" w:hAnsi="Calibri" w:eastAsia="宋体" w:cs="Calibri"/>
      <w:kern w:val="2"/>
      <w:sz w:val="21"/>
      <w:szCs w:val="21"/>
      <w:lang w:val="en-US" w:eastAsia="zh-CN" w:bidi="ar"/>
    </w:rPr>
  </w:style>
  <w:style w:type="paragraph" w:styleId="8">
    <w:name w:val="Body Text"/>
    <w:basedOn w:val="1"/>
    <w:qFormat/>
    <w:uiPriority w:val="99"/>
    <w:pPr>
      <w:spacing w:beforeLines="30"/>
    </w:pPr>
    <w:rPr>
      <w:rFonts w:ascii="??_GB2312" w:eastAsia="Times New Roman" w:cs="??_GB2312"/>
      <w:kern w:val="0"/>
      <w:sz w:val="24"/>
      <w:szCs w:val="24"/>
    </w:rPr>
  </w:style>
  <w:style w:type="paragraph" w:styleId="9">
    <w:name w:val="footer"/>
    <w:basedOn w:val="1"/>
    <w:qFormat/>
    <w:uiPriority w:val="99"/>
    <w:pPr>
      <w:tabs>
        <w:tab w:val="center" w:pos="4153"/>
        <w:tab w:val="right" w:pos="8306"/>
      </w:tabs>
      <w:snapToGrid w:val="0"/>
      <w:jc w:val="left"/>
    </w:pPr>
    <w:rPr>
      <w:rFonts w:eastAsia="宋体"/>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rFonts w:eastAsia="宋体"/>
      <w:sz w:val="18"/>
      <w:szCs w:val="18"/>
    </w:rPr>
  </w:style>
  <w:style w:type="paragraph" w:styleId="11">
    <w:name w:val="toc 1"/>
    <w:basedOn w:val="1"/>
    <w:next w:val="1"/>
    <w:semiHidden/>
    <w:qFormat/>
    <w:uiPriority w:val="99"/>
    <w:pPr>
      <w:tabs>
        <w:tab w:val="right" w:leader="dot" w:pos="8296"/>
      </w:tabs>
      <w:spacing w:before="93"/>
      <w:jc w:val="center"/>
    </w:pPr>
    <w:rPr>
      <w:rFonts w:ascii="仿宋" w:hAnsi="仿宋" w:eastAsia="仿宋" w:cs="仿宋"/>
      <w:sz w:val="28"/>
      <w:szCs w:val="28"/>
    </w:rPr>
  </w:style>
  <w:style w:type="paragraph" w:styleId="12">
    <w:name w:val="index 7"/>
    <w:basedOn w:val="1"/>
    <w:next w:val="1"/>
    <w:qFormat/>
    <w:uiPriority w:val="0"/>
    <w:pPr>
      <w:ind w:left="2520"/>
    </w:pPr>
  </w:style>
  <w:style w:type="paragraph" w:styleId="13">
    <w:name w:val="table of figures"/>
    <w:basedOn w:val="1"/>
    <w:next w:val="1"/>
    <w:qFormat/>
    <w:uiPriority w:val="0"/>
    <w:pPr>
      <w:ind w:leftChars="200" w:hanging="200" w:hangingChars="200"/>
    </w:pPr>
  </w:style>
  <w:style w:type="paragraph" w:styleId="14">
    <w:name w:val="toc 2"/>
    <w:basedOn w:val="1"/>
    <w:next w:val="1"/>
    <w:semiHidden/>
    <w:qFormat/>
    <w:uiPriority w:val="99"/>
    <w:pPr>
      <w:tabs>
        <w:tab w:val="right" w:leader="dot" w:pos="8296"/>
      </w:tabs>
      <w:ind w:left="420" w:leftChars="200"/>
    </w:pPr>
  </w:style>
  <w:style w:type="paragraph" w:styleId="15">
    <w:name w:val="Normal (Web)"/>
    <w:basedOn w:val="1"/>
    <w:qFormat/>
    <w:uiPriority w:val="0"/>
    <w:rPr>
      <w:sz w:val="24"/>
    </w:rPr>
  </w:style>
  <w:style w:type="character" w:styleId="18">
    <w:name w:val="Strong"/>
    <w:basedOn w:val="17"/>
    <w:qFormat/>
    <w:uiPriority w:val="99"/>
    <w:rPr>
      <w:b/>
      <w:bCs/>
    </w:rPr>
  </w:style>
  <w:style w:type="character" w:styleId="19">
    <w:name w:val="Hyperlink"/>
    <w:basedOn w:val="17"/>
    <w:qFormat/>
    <w:uiPriority w:val="99"/>
    <w:rPr>
      <w:color w:val="0000FF"/>
      <w:u w:val="single"/>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font11"/>
    <w:basedOn w:val="17"/>
    <w:qFormat/>
    <w:uiPriority w:val="0"/>
    <w:rPr>
      <w:rFonts w:hint="eastAsia" w:ascii="宋体" w:hAnsi="宋体" w:eastAsia="宋体" w:cs="宋体"/>
      <w:color w:val="000000"/>
      <w:sz w:val="20"/>
      <w:szCs w:val="20"/>
      <w:u w:val="none"/>
    </w:rPr>
  </w:style>
  <w:style w:type="character" w:customStyle="1" w:styleId="22">
    <w:name w:val="Heading 1 Char"/>
    <w:basedOn w:val="17"/>
    <w:link w:val="2"/>
    <w:qFormat/>
    <w:locked/>
    <w:uiPriority w:val="99"/>
    <w:rPr>
      <w:b/>
      <w:bCs/>
      <w:kern w:val="44"/>
      <w:sz w:val="44"/>
      <w:szCs w:val="44"/>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 w:type="paragraph" w:styleId="24">
    <w:name w:val="List Paragraph"/>
    <w:basedOn w:val="1"/>
    <w:qFormat/>
    <w:uiPriority w:val="99"/>
    <w:pPr>
      <w:ind w:firstLine="420" w:firstLineChars="200"/>
    </w:pPr>
  </w:style>
  <w:style w:type="character" w:customStyle="1" w:styleId="25">
    <w:name w:val="Heading 2 Char"/>
    <w:basedOn w:val="17"/>
    <w:link w:val="3"/>
    <w:qFormat/>
    <w:locked/>
    <w:uiPriority w:val="99"/>
    <w:rPr>
      <w:rFonts w:ascii="Cambria" w:hAnsi="Cambria" w:cs="Cambria"/>
      <w:b/>
      <w:bCs/>
      <w:sz w:val="32"/>
      <w:szCs w:val="32"/>
    </w:rPr>
  </w:style>
  <w:style w:type="paragraph" w:customStyle="1" w:styleId="26">
    <w:name w:val="Default"/>
    <w:next w:val="12"/>
    <w:qFormat/>
    <w:uiPriority w:val="99"/>
    <w:pPr>
      <w:widowControl w:val="0"/>
      <w:autoSpaceDE w:val="0"/>
      <w:autoSpaceDN w:val="0"/>
      <w:adjustRightInd w:val="0"/>
    </w:pPr>
    <w:rPr>
      <w:rFonts w:ascii="仿宋" w:hAnsi="Calibri" w:eastAsia="仿宋" w:cs="仿宋"/>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Info spid="_x0000_s1031"/>
    <customShpInfo spid="_x0000_s1032"/>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e209b6-7368-4499-8e77-96a6344a07c1}">
  <ds:schemaRefs/>
</ds:datastoreItem>
</file>

<file path=docProps/app.xml><?xml version="1.0" encoding="utf-8"?>
<Properties xmlns="http://schemas.openxmlformats.org/officeDocument/2006/extended-properties" xmlns:vt="http://schemas.openxmlformats.org/officeDocument/2006/docPropsVTypes">
  <Template>Normal.dotm</Template>
  <Pages>152</Pages>
  <Words>13065</Words>
  <Characters>14025</Characters>
  <Lines>0</Lines>
  <Paragraphs>0</Paragraphs>
  <TotalTime>28</TotalTime>
  <ScaleCrop>false</ScaleCrop>
  <LinksUpToDate>false</LinksUpToDate>
  <CharactersWithSpaces>14117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2026-08-05T07:47:00Z</dcterms:created>
  <dc:creator>55%</dc:creator>
  <cp:lastModifiedBy>放飞心情</cp:lastModifiedBy>
  <cp:lastPrinted>2026-08-11T02:35:00Z</cp:lastPrinted>
  <dcterms:modified xsi:type="dcterms:W3CDTF">2026-09-09T09:13:40Z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0FA532B38C1B4FF4951E6644E692512B_13</vt:lpwstr>
  </property>
  <property fmtid="{D5CDD505-2E9C-101B-9397-08002B2CF9AE}" pid="4" name="KSOTemplateDocerSaveRecord">
    <vt:lpwstr>eyJoZGlkIjoiYmY0YTg2NTMzMmEyYTJmZWUxNzNjMGZkMmFhZGM3MTQiLCJ1c2VySWQiOiI2NjU5OTAwMDcifQ==</vt:lpwstr>
  </property>
</Properties>
</file>