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ECA113">
      <w:pPr>
        <w:spacing w:line="600" w:lineRule="exact"/>
        <w:jc w:val="center"/>
        <w:outlineLvl w:val="0"/>
        <w:rPr>
          <w:rFonts w:ascii="方正小标宋简体" w:hAnsi="宋体" w:eastAsia="方正小标宋简体"/>
          <w:color w:val="000000"/>
          <w:sz w:val="72"/>
          <w:szCs w:val="72"/>
        </w:rPr>
      </w:pPr>
      <w:bookmarkStart w:id="0" w:name="_Toc15306267"/>
    </w:p>
    <w:bookmarkEnd w:id="0"/>
    <w:p w14:paraId="2478AA71">
      <w:pPr>
        <w:pStyle w:val="21"/>
        <w:shd w:val="clear" w:color="auto" w:fill="FFFFFF"/>
        <w:spacing w:before="0" w:beforeAutospacing="0"/>
        <w:ind w:left="0"/>
        <w:jc w:val="center"/>
        <w:rPr>
          <w:sz w:val="44"/>
          <w:szCs w:val="44"/>
        </w:rPr>
      </w:pPr>
    </w:p>
    <w:p w14:paraId="7D7DA75C">
      <w:pPr>
        <w:pStyle w:val="21"/>
        <w:shd w:val="clear" w:color="auto" w:fill="FFFFFF"/>
        <w:spacing w:before="0" w:beforeAutospacing="0"/>
        <w:ind w:left="0"/>
        <w:jc w:val="center"/>
        <w:rPr>
          <w:sz w:val="44"/>
          <w:szCs w:val="44"/>
        </w:rPr>
      </w:pPr>
    </w:p>
    <w:p w14:paraId="76AF232D">
      <w:pPr>
        <w:pStyle w:val="21"/>
        <w:shd w:val="clear" w:color="auto" w:fill="FFFFFF"/>
        <w:spacing w:before="0" w:beforeAutospacing="0"/>
        <w:ind w:left="0"/>
        <w:jc w:val="center"/>
        <w:rPr>
          <w:sz w:val="44"/>
          <w:szCs w:val="44"/>
        </w:rPr>
      </w:pPr>
      <w:r>
        <w:rPr>
          <w:sz w:val="44"/>
          <w:szCs w:val="44"/>
        </w:rPr>
        <w:t>202</w:t>
      </w:r>
      <w:r>
        <w:rPr>
          <w:rFonts w:hint="eastAsia"/>
          <w:sz w:val="44"/>
          <w:szCs w:val="44"/>
          <w:lang w:val="en-US" w:eastAsia="zh-CN"/>
        </w:rPr>
        <w:t>5</w:t>
      </w:r>
      <w:r>
        <w:rPr>
          <w:sz w:val="44"/>
          <w:szCs w:val="44"/>
        </w:rPr>
        <w:t>年度阿坝州市场监督管理局（</w:t>
      </w:r>
      <w:r>
        <w:rPr>
          <w:rFonts w:hint="eastAsia"/>
          <w:sz w:val="44"/>
          <w:szCs w:val="44"/>
          <w:lang w:eastAsia="zh-CN"/>
        </w:rPr>
        <w:t>汇总</w:t>
      </w:r>
      <w:r>
        <w:rPr>
          <w:sz w:val="44"/>
          <w:szCs w:val="44"/>
        </w:rPr>
        <w:t>）</w:t>
      </w:r>
    </w:p>
    <w:p w14:paraId="6EE203A9">
      <w:pPr>
        <w:pStyle w:val="21"/>
        <w:shd w:val="clear" w:color="auto" w:fill="FFFFFF"/>
        <w:spacing w:before="0" w:beforeAutospacing="0"/>
        <w:ind w:left="0"/>
        <w:jc w:val="center"/>
        <w:rPr>
          <w:rFonts w:hint="eastAsia" w:eastAsia="宋体"/>
          <w:sz w:val="52"/>
          <w:szCs w:val="52"/>
          <w:lang w:eastAsia="zh-CN"/>
        </w:rPr>
      </w:pPr>
      <w:r>
        <w:rPr>
          <w:rFonts w:hint="eastAsia"/>
          <w:sz w:val="44"/>
          <w:szCs w:val="44"/>
          <w:lang w:eastAsia="zh-CN"/>
        </w:rPr>
        <w:t>部门</w:t>
      </w:r>
      <w:r>
        <w:rPr>
          <w:sz w:val="44"/>
          <w:szCs w:val="44"/>
        </w:rPr>
        <w:t>决算</w:t>
      </w:r>
    </w:p>
    <w:p w14:paraId="1A24D0C4">
      <w:pPr>
        <w:widowControl/>
        <w:jc w:val="both"/>
        <w:rPr>
          <w:rFonts w:ascii="方正小标宋简体" w:hAnsi="宋体" w:eastAsia="方正小标宋简体"/>
          <w:color w:val="000000"/>
          <w:sz w:val="36"/>
          <w:szCs w:val="36"/>
        </w:rPr>
      </w:pPr>
    </w:p>
    <w:p w14:paraId="07761CAD">
      <w:pPr>
        <w:widowControl/>
        <w:jc w:val="both"/>
        <w:rPr>
          <w:rFonts w:ascii="方正小标宋简体" w:hAnsi="宋体" w:eastAsia="方正小标宋简体"/>
          <w:color w:val="000000"/>
          <w:sz w:val="36"/>
          <w:szCs w:val="36"/>
        </w:rPr>
      </w:pPr>
    </w:p>
    <w:p w14:paraId="67B8B35D">
      <w:pPr>
        <w:widowControl/>
        <w:jc w:val="both"/>
        <w:rPr>
          <w:rFonts w:ascii="方正小标宋简体" w:hAnsi="宋体" w:eastAsia="方正小标宋简体"/>
          <w:color w:val="000000"/>
          <w:sz w:val="36"/>
          <w:szCs w:val="36"/>
        </w:rPr>
      </w:pPr>
    </w:p>
    <w:p w14:paraId="664E3AAB">
      <w:pPr>
        <w:widowControl/>
        <w:jc w:val="both"/>
        <w:rPr>
          <w:rFonts w:ascii="方正小标宋简体" w:hAnsi="宋体" w:eastAsia="方正小标宋简体"/>
          <w:color w:val="000000"/>
          <w:sz w:val="36"/>
          <w:szCs w:val="36"/>
        </w:rPr>
      </w:pPr>
    </w:p>
    <w:p w14:paraId="657ABB3C">
      <w:pPr>
        <w:widowControl/>
        <w:jc w:val="both"/>
        <w:rPr>
          <w:rFonts w:ascii="方正小标宋简体" w:hAnsi="宋体" w:eastAsia="方正小标宋简体"/>
          <w:color w:val="000000"/>
          <w:sz w:val="36"/>
          <w:szCs w:val="36"/>
        </w:rPr>
      </w:pPr>
    </w:p>
    <w:p w14:paraId="3BAFDAF1">
      <w:pPr>
        <w:widowControl/>
        <w:jc w:val="both"/>
        <w:rPr>
          <w:rFonts w:ascii="方正小标宋简体" w:hAnsi="宋体" w:eastAsia="方正小标宋简体"/>
          <w:color w:val="000000"/>
          <w:sz w:val="36"/>
          <w:szCs w:val="36"/>
        </w:rPr>
      </w:pPr>
    </w:p>
    <w:p w14:paraId="7115A024">
      <w:pPr>
        <w:widowControl/>
        <w:jc w:val="center"/>
        <w:rPr>
          <w:rFonts w:ascii="方正小标宋简体" w:hAnsi="宋体" w:eastAsia="方正小标宋简体"/>
          <w:color w:val="000000"/>
          <w:sz w:val="36"/>
          <w:szCs w:val="36"/>
        </w:rPr>
      </w:pPr>
      <w:bookmarkStart w:id="1" w:name="_Hlk113547609"/>
      <w:r>
        <w:rPr>
          <w:rFonts w:hint="eastAsia" w:cs="仿宋_GB2312"/>
          <w:sz w:val="32"/>
          <w:szCs w:val="32"/>
        </w:rPr>
        <w:t>已经保密审查、内容审定，同意对外公开</w:t>
      </w:r>
      <w:bookmarkEnd w:id="1"/>
    </w:p>
    <w:p w14:paraId="3C57C16B">
      <w:pPr>
        <w:widowControl/>
        <w:jc w:val="both"/>
        <w:rPr>
          <w:rFonts w:ascii="黑体" w:hAnsi="黑体" w:eastAsia="黑体"/>
          <w:color w:val="000000"/>
          <w:sz w:val="48"/>
          <w:szCs w:val="48"/>
        </w:rPr>
      </w:pPr>
      <w:r>
        <w:rPr>
          <w:rFonts w:ascii="方正小标宋简体" w:hAnsi="宋体" w:eastAsia="方正小标宋简体"/>
          <w:color w:val="000000"/>
          <w:sz w:val="36"/>
          <w:szCs w:val="36"/>
        </w:rPr>
        <w:br w:type="page"/>
      </w:r>
      <w:r>
        <w:rPr>
          <w:rFonts w:hint="eastAsia" w:ascii="方正小标宋简体" w:hAnsi="宋体" w:eastAsia="方正小标宋简体"/>
          <w:color w:val="000000"/>
          <w:sz w:val="36"/>
          <w:szCs w:val="36"/>
          <w:lang w:val="en-US" w:eastAsia="zh-CN"/>
        </w:rPr>
        <w:t xml:space="preserve">                </w:t>
      </w:r>
      <w:r>
        <w:rPr>
          <w:rFonts w:hint="eastAsia" w:ascii="黑体" w:hAnsi="黑体" w:eastAsia="黑体" w:cs="黑体"/>
          <w:color w:val="000000"/>
          <w:sz w:val="48"/>
          <w:szCs w:val="48"/>
        </w:rPr>
        <w:t>目录</w:t>
      </w:r>
    </w:p>
    <w:p w14:paraId="60F0649F">
      <w:pPr>
        <w:keepNext w:val="0"/>
        <w:keepLines w:val="0"/>
        <w:pageBreakBefore w:val="0"/>
        <w:widowControl/>
        <w:kinsoku/>
        <w:wordWrap/>
        <w:overflowPunct/>
        <w:topLinePunct w:val="0"/>
        <w:autoSpaceDE/>
        <w:autoSpaceDN/>
        <w:bidi w:val="0"/>
        <w:adjustRightInd/>
        <w:snapToGrid/>
        <w:jc w:val="center"/>
        <w:textAlignment w:val="auto"/>
        <w:rPr>
          <w:rFonts w:ascii="黑体" w:hAnsi="黑体" w:eastAsia="黑体"/>
          <w:sz w:val="30"/>
          <w:szCs w:val="30"/>
        </w:rPr>
      </w:pPr>
      <w:r>
        <w:rPr>
          <w:rFonts w:ascii="黑体" w:hAnsi="黑体" w:eastAsia="黑体" w:cs="黑体"/>
          <w:color w:val="000000"/>
          <w:sz w:val="48"/>
          <w:szCs w:val="48"/>
        </w:rPr>
        <w:fldChar w:fldCharType="begin"/>
      </w:r>
      <w:r>
        <w:rPr>
          <w:rFonts w:ascii="黑体" w:hAnsi="黑体" w:eastAsia="黑体" w:cs="黑体"/>
          <w:color w:val="000000"/>
          <w:sz w:val="48"/>
          <w:szCs w:val="48"/>
        </w:rPr>
        <w:instrText xml:space="preserve"> TOC \o "1-2" \h \z \u </w:instrText>
      </w:r>
      <w:r>
        <w:rPr>
          <w:rFonts w:ascii="黑体" w:hAnsi="黑体" w:eastAsia="黑体" w:cs="黑体"/>
          <w:color w:val="000000"/>
          <w:sz w:val="48"/>
          <w:szCs w:val="48"/>
        </w:rPr>
        <w:fldChar w:fldCharType="separate"/>
      </w:r>
    </w:p>
    <w:p w14:paraId="790FAAB7">
      <w:pPr>
        <w:pStyle w:val="16"/>
        <w:keepNext w:val="0"/>
        <w:keepLines w:val="0"/>
        <w:pageBreakBefore w:val="0"/>
        <w:tabs>
          <w:tab w:val="right" w:leader="dot" w:pos="8296"/>
        </w:tabs>
        <w:kinsoku/>
        <w:wordWrap/>
        <w:overflowPunct/>
        <w:topLinePunct w:val="0"/>
        <w:autoSpaceDE/>
        <w:autoSpaceDN/>
        <w:bidi w:val="0"/>
        <w:adjustRightInd/>
        <w:snapToGrid/>
        <w:ind w:firstLine="2100" w:firstLineChars="700"/>
        <w:textAlignment w:val="auto"/>
        <w:rPr>
          <w:rFonts w:cs="Times New Roman"/>
          <w:sz w:val="30"/>
          <w:szCs w:val="30"/>
        </w:rPr>
      </w:pPr>
      <w:r>
        <w:rPr>
          <w:rFonts w:hint="eastAsia"/>
          <w:sz w:val="30"/>
          <w:szCs w:val="30"/>
        </w:rPr>
        <w:t>公开时间：</w:t>
      </w:r>
      <w:r>
        <w:rPr>
          <w:sz w:val="30"/>
          <w:szCs w:val="30"/>
        </w:rPr>
        <w:t>20</w:t>
      </w:r>
      <w:r>
        <w:rPr>
          <w:rFonts w:hint="eastAsia"/>
          <w:sz w:val="30"/>
          <w:szCs w:val="30"/>
          <w:lang w:val="en-US" w:eastAsia="zh-CN"/>
        </w:rPr>
        <w:t>26</w:t>
      </w:r>
      <w:r>
        <w:rPr>
          <w:rFonts w:hint="eastAsia"/>
          <w:sz w:val="30"/>
          <w:szCs w:val="30"/>
        </w:rPr>
        <w:t>年</w:t>
      </w:r>
      <w:r>
        <w:rPr>
          <w:rFonts w:hint="eastAsia"/>
          <w:sz w:val="30"/>
          <w:szCs w:val="30"/>
          <w:lang w:val="en-US" w:eastAsia="zh-CN"/>
        </w:rPr>
        <w:t>9</w:t>
      </w:r>
      <w:r>
        <w:rPr>
          <w:rFonts w:hint="eastAsia"/>
          <w:sz w:val="30"/>
          <w:szCs w:val="30"/>
        </w:rPr>
        <w:t>月</w:t>
      </w:r>
      <w:r>
        <w:rPr>
          <w:rFonts w:hint="eastAsia"/>
          <w:sz w:val="30"/>
          <w:szCs w:val="30"/>
          <w:lang w:val="en-US" w:eastAsia="zh-CN"/>
        </w:rPr>
        <w:t>9</w:t>
      </w:r>
      <w:bookmarkStart w:id="51" w:name="_GoBack"/>
      <w:bookmarkEnd w:id="51"/>
      <w:r>
        <w:rPr>
          <w:rFonts w:hint="eastAsia"/>
          <w:sz w:val="30"/>
          <w:szCs w:val="30"/>
        </w:rPr>
        <w:t>日</w:t>
      </w:r>
    </w:p>
    <w:p w14:paraId="6C7407BA">
      <w:pPr>
        <w:keepNext w:val="0"/>
        <w:keepLines w:val="0"/>
        <w:pageBreakBefore w:val="0"/>
        <w:kinsoku/>
        <w:wordWrap/>
        <w:overflowPunct/>
        <w:topLinePunct w:val="0"/>
        <w:autoSpaceDE/>
        <w:autoSpaceDN/>
        <w:bidi w:val="0"/>
        <w:adjustRightInd/>
        <w:snapToGrid/>
        <w:textAlignment w:val="auto"/>
        <w:rPr>
          <w:sz w:val="30"/>
          <w:szCs w:val="30"/>
        </w:rPr>
      </w:pPr>
    </w:p>
    <w:p w14:paraId="2AB4F550">
      <w:pPr>
        <w:pStyle w:val="16"/>
        <w:keepNext w:val="0"/>
        <w:keepLines w:val="0"/>
        <w:pageBreakBefore w:val="0"/>
        <w:tabs>
          <w:tab w:val="right" w:leader="dot" w:pos="8296"/>
        </w:tabs>
        <w:kinsoku/>
        <w:wordWrap/>
        <w:overflowPunct/>
        <w:topLinePunct w:val="0"/>
        <w:autoSpaceDE/>
        <w:autoSpaceDN/>
        <w:bidi w:val="0"/>
        <w:adjustRightInd/>
        <w:snapToGrid/>
        <w:ind w:left="0" w:leftChars="0" w:firstLine="0" w:firstLineChars="0"/>
        <w:jc w:val="both"/>
        <w:textAlignment w:val="auto"/>
        <w:rPr>
          <w:sz w:val="30"/>
          <w:szCs w:val="30"/>
        </w:rPr>
      </w:pPr>
      <w:r>
        <w:rPr>
          <w:sz w:val="30"/>
          <w:szCs w:val="30"/>
        </w:rPr>
        <w:fldChar w:fldCharType="begin"/>
      </w:r>
      <w:r>
        <w:rPr>
          <w:sz w:val="30"/>
          <w:szCs w:val="30"/>
        </w:rPr>
        <w:instrText xml:space="preserve"> HYPERLINK \l "_Toc15396599" </w:instrText>
      </w:r>
      <w:r>
        <w:rPr>
          <w:sz w:val="30"/>
          <w:szCs w:val="30"/>
        </w:rPr>
        <w:fldChar w:fldCharType="separate"/>
      </w:r>
      <w:r>
        <w:rPr>
          <w:rStyle w:val="28"/>
          <w:rFonts w:hint="eastAsia"/>
          <w:sz w:val="30"/>
          <w:szCs w:val="30"/>
        </w:rPr>
        <w:t>第一部分</w:t>
      </w:r>
      <w:r>
        <w:rPr>
          <w:rStyle w:val="28"/>
          <w:rFonts w:hint="eastAsia"/>
          <w:sz w:val="30"/>
          <w:szCs w:val="30"/>
          <w:lang w:eastAsia="zh-CN"/>
        </w:rPr>
        <w:t>　部门</w:t>
      </w:r>
      <w:r>
        <w:rPr>
          <w:rStyle w:val="28"/>
          <w:rFonts w:hint="eastAsia"/>
          <w:sz w:val="30"/>
          <w:szCs w:val="30"/>
        </w:rPr>
        <w:t>概况</w:t>
      </w:r>
      <w:r>
        <w:rPr>
          <w:rStyle w:val="28"/>
          <w:rFonts w:hint="eastAsia"/>
          <w:sz w:val="30"/>
          <w:szCs w:val="30"/>
          <w:lang w:val="en-US" w:eastAsia="zh-CN"/>
        </w:rPr>
        <w:tab/>
      </w:r>
      <w:r>
        <w:rPr>
          <w:sz w:val="30"/>
          <w:szCs w:val="30"/>
        </w:rPr>
        <w:t>4</w:t>
      </w:r>
      <w:r>
        <w:rPr>
          <w:sz w:val="30"/>
          <w:szCs w:val="30"/>
        </w:rPr>
        <w:fldChar w:fldCharType="end"/>
      </w:r>
    </w:p>
    <w:p w14:paraId="0BE70ED9">
      <w:pPr>
        <w:pStyle w:val="16"/>
        <w:keepNext w:val="0"/>
        <w:keepLines w:val="0"/>
        <w:pageBreakBefore w:val="0"/>
        <w:tabs>
          <w:tab w:val="right" w:leader="dot" w:pos="8296"/>
        </w:tabs>
        <w:kinsoku/>
        <w:wordWrap/>
        <w:overflowPunct/>
        <w:topLinePunct w:val="0"/>
        <w:autoSpaceDE/>
        <w:autoSpaceDN/>
        <w:bidi w:val="0"/>
        <w:adjustRightInd/>
        <w:snapToGrid/>
        <w:ind w:left="0" w:leftChars="0" w:firstLine="0" w:firstLineChars="0"/>
        <w:jc w:val="both"/>
        <w:textAlignment w:val="auto"/>
        <w:rPr>
          <w:rFonts w:ascii="仿宋" w:hAnsi="仿宋" w:eastAsia="仿宋"/>
          <w:sz w:val="30"/>
          <w:szCs w:val="30"/>
        </w:rPr>
      </w:pPr>
      <w:r>
        <w:rPr>
          <w:sz w:val="30"/>
          <w:szCs w:val="30"/>
        </w:rPr>
        <w:fldChar w:fldCharType="begin"/>
      </w:r>
      <w:r>
        <w:rPr>
          <w:sz w:val="30"/>
          <w:szCs w:val="30"/>
        </w:rPr>
        <w:instrText xml:space="preserve"> HYPERLINK \l "_Toc15396600" </w:instrText>
      </w:r>
      <w:r>
        <w:rPr>
          <w:sz w:val="30"/>
          <w:szCs w:val="30"/>
        </w:rPr>
        <w:fldChar w:fldCharType="separate"/>
      </w:r>
      <w:r>
        <w:rPr>
          <w:rStyle w:val="28"/>
          <w:rFonts w:hint="eastAsia" w:ascii="仿宋" w:hAnsi="仿宋" w:eastAsia="仿宋" w:cs="仿宋"/>
          <w:sz w:val="30"/>
          <w:szCs w:val="30"/>
        </w:rPr>
        <w:t>一、</w:t>
      </w:r>
      <w:r>
        <w:rPr>
          <w:rStyle w:val="28"/>
          <w:rFonts w:hint="eastAsia" w:cs="仿宋"/>
          <w:sz w:val="30"/>
          <w:szCs w:val="30"/>
          <w:lang w:eastAsia="zh-CN"/>
        </w:rPr>
        <w:t>部门职责</w:t>
      </w:r>
      <w:r>
        <w:rPr>
          <w:rStyle w:val="28"/>
          <w:rFonts w:hint="eastAsia" w:cs="仿宋"/>
          <w:sz w:val="30"/>
          <w:szCs w:val="30"/>
          <w:lang w:val="en-US" w:eastAsia="zh-CN"/>
        </w:rPr>
        <w:tab/>
      </w:r>
      <w:r>
        <w:rPr>
          <w:rFonts w:ascii="仿宋" w:hAnsi="仿宋" w:eastAsia="仿宋" w:cs="仿宋"/>
          <w:sz w:val="30"/>
          <w:szCs w:val="30"/>
        </w:rPr>
        <w:t>4</w:t>
      </w:r>
      <w:r>
        <w:rPr>
          <w:rFonts w:ascii="仿宋" w:hAnsi="仿宋" w:eastAsia="仿宋" w:cs="仿宋"/>
          <w:sz w:val="30"/>
          <w:szCs w:val="30"/>
        </w:rPr>
        <w:fldChar w:fldCharType="end"/>
      </w:r>
    </w:p>
    <w:p w14:paraId="62455AA2">
      <w:pPr>
        <w:pStyle w:val="20"/>
        <w:keepNext w:val="0"/>
        <w:keepLines w:val="0"/>
        <w:pageBreakBefore w:val="0"/>
        <w:kinsoku/>
        <w:wordWrap/>
        <w:overflowPunct/>
        <w:topLinePunct w:val="0"/>
        <w:autoSpaceDE/>
        <w:autoSpaceDN/>
        <w:bidi w:val="0"/>
        <w:adjustRightInd/>
        <w:snapToGrid/>
        <w:ind w:left="0" w:leftChars="0" w:firstLine="0" w:firstLineChars="0"/>
        <w:textAlignment w:val="auto"/>
        <w:rPr>
          <w:rFonts w:hint="eastAsia" w:ascii="仿宋" w:hAnsi="仿宋" w:eastAsia="仿宋"/>
          <w:sz w:val="30"/>
          <w:szCs w:val="30"/>
          <w:lang w:val="en-US" w:eastAsia="zh-CN"/>
        </w:rPr>
      </w:pPr>
      <w:r>
        <w:rPr>
          <w:sz w:val="30"/>
          <w:szCs w:val="30"/>
        </w:rPr>
        <w:fldChar w:fldCharType="begin"/>
      </w:r>
      <w:r>
        <w:rPr>
          <w:sz w:val="30"/>
          <w:szCs w:val="30"/>
        </w:rPr>
        <w:instrText xml:space="preserve"> HYPERLINK \l "_Toc15396601" </w:instrText>
      </w:r>
      <w:r>
        <w:rPr>
          <w:sz w:val="30"/>
          <w:szCs w:val="30"/>
        </w:rPr>
        <w:fldChar w:fldCharType="separate"/>
      </w:r>
      <w:r>
        <w:rPr>
          <w:rStyle w:val="28"/>
          <w:rFonts w:hint="eastAsia" w:ascii="仿宋" w:hAnsi="仿宋" w:eastAsia="仿宋" w:cs="仿宋"/>
          <w:sz w:val="30"/>
          <w:szCs w:val="30"/>
        </w:rPr>
        <w:t>二、</w:t>
      </w:r>
      <w:r>
        <w:rPr>
          <w:rStyle w:val="28"/>
          <w:rFonts w:hint="eastAsia" w:ascii="仿宋" w:hAnsi="仿宋" w:eastAsia="仿宋" w:cs="仿宋"/>
          <w:sz w:val="30"/>
          <w:szCs w:val="30"/>
          <w:lang w:val="en-US" w:eastAsia="zh-CN"/>
        </w:rPr>
        <w:t>机构设置</w:t>
      </w:r>
      <w:r>
        <w:rPr>
          <w:rStyle w:val="28"/>
          <w:rFonts w:hint="eastAsia" w:ascii="仿宋" w:hAnsi="仿宋" w:eastAsia="仿宋" w:cs="仿宋"/>
          <w:sz w:val="30"/>
          <w:szCs w:val="30"/>
          <w:lang w:val="en-US" w:eastAsia="zh-CN"/>
        </w:rPr>
        <w:tab/>
      </w:r>
      <w:r>
        <w:rPr>
          <w:rFonts w:hint="eastAsia" w:ascii="仿宋" w:hAnsi="仿宋" w:eastAsia="仿宋" w:cs="仿宋"/>
          <w:sz w:val="30"/>
          <w:szCs w:val="30"/>
          <w:lang w:val="en-US" w:eastAsia="zh-CN"/>
        </w:rPr>
        <w:t>9</w:t>
      </w:r>
      <w:r>
        <w:rPr>
          <w:rFonts w:ascii="仿宋" w:hAnsi="仿宋" w:eastAsia="仿宋" w:cs="仿宋"/>
          <w:sz w:val="30"/>
          <w:szCs w:val="30"/>
        </w:rPr>
        <w:fldChar w:fldCharType="end"/>
      </w:r>
    </w:p>
    <w:p w14:paraId="39F5FC30">
      <w:pPr>
        <w:pStyle w:val="16"/>
        <w:keepNext w:val="0"/>
        <w:keepLines w:val="0"/>
        <w:pageBreakBefore w:val="0"/>
        <w:tabs>
          <w:tab w:val="right" w:leader="dot" w:pos="8296"/>
        </w:tabs>
        <w:kinsoku/>
        <w:wordWrap/>
        <w:overflowPunct/>
        <w:topLinePunct w:val="0"/>
        <w:autoSpaceDE/>
        <w:autoSpaceDN/>
        <w:bidi w:val="0"/>
        <w:adjustRightInd/>
        <w:snapToGrid/>
        <w:ind w:left="0" w:leftChars="0" w:firstLine="0" w:firstLineChars="0"/>
        <w:jc w:val="both"/>
        <w:textAlignment w:val="auto"/>
        <w:rPr>
          <w:rFonts w:hint="default" w:eastAsia="仿宋" w:cs="Times New Roman"/>
          <w:sz w:val="30"/>
          <w:szCs w:val="30"/>
          <w:lang w:val="en-US" w:eastAsia="zh-CN"/>
        </w:rPr>
      </w:pPr>
      <w:r>
        <w:rPr>
          <w:sz w:val="30"/>
          <w:szCs w:val="30"/>
        </w:rPr>
        <w:fldChar w:fldCharType="begin"/>
      </w:r>
      <w:r>
        <w:rPr>
          <w:sz w:val="30"/>
          <w:szCs w:val="30"/>
        </w:rPr>
        <w:instrText xml:space="preserve"> HYPERLINK \l "_Toc15396602" </w:instrText>
      </w:r>
      <w:r>
        <w:rPr>
          <w:sz w:val="30"/>
          <w:szCs w:val="30"/>
        </w:rPr>
        <w:fldChar w:fldCharType="separate"/>
      </w:r>
      <w:r>
        <w:rPr>
          <w:rStyle w:val="28"/>
          <w:rFonts w:hint="eastAsia"/>
          <w:sz w:val="30"/>
          <w:szCs w:val="30"/>
        </w:rPr>
        <w:t>第二部分</w:t>
      </w:r>
      <w:r>
        <w:rPr>
          <w:rStyle w:val="28"/>
          <w:rFonts w:hint="eastAsia"/>
          <w:sz w:val="30"/>
          <w:szCs w:val="30"/>
          <w:lang w:val="en-US" w:eastAsia="zh-CN"/>
        </w:rPr>
        <w:t xml:space="preserve"> </w:t>
      </w:r>
      <w:r>
        <w:rPr>
          <w:rStyle w:val="28"/>
          <w:sz w:val="30"/>
          <w:szCs w:val="30"/>
        </w:rPr>
        <w:t xml:space="preserve"> 20</w:t>
      </w:r>
      <w:r>
        <w:rPr>
          <w:rStyle w:val="28"/>
          <w:rFonts w:hint="eastAsia"/>
          <w:sz w:val="30"/>
          <w:szCs w:val="30"/>
          <w:lang w:val="en-US" w:eastAsia="zh-CN"/>
        </w:rPr>
        <w:t>25</w:t>
      </w:r>
      <w:r>
        <w:rPr>
          <w:rStyle w:val="28"/>
          <w:rFonts w:hint="eastAsia"/>
          <w:sz w:val="30"/>
          <w:szCs w:val="30"/>
        </w:rPr>
        <w:t>年度</w:t>
      </w:r>
      <w:r>
        <w:rPr>
          <w:rStyle w:val="28"/>
          <w:rFonts w:hint="eastAsia"/>
          <w:sz w:val="30"/>
          <w:szCs w:val="30"/>
          <w:lang w:eastAsia="zh-CN"/>
        </w:rPr>
        <w:t>单位</w:t>
      </w:r>
      <w:r>
        <w:rPr>
          <w:rStyle w:val="28"/>
          <w:rFonts w:hint="eastAsia"/>
          <w:sz w:val="30"/>
          <w:szCs w:val="30"/>
        </w:rPr>
        <w:t>决算情况说明</w:t>
      </w:r>
      <w:r>
        <w:rPr>
          <w:rStyle w:val="28"/>
          <w:rFonts w:hint="eastAsia"/>
          <w:sz w:val="30"/>
          <w:szCs w:val="30"/>
          <w:lang w:val="en-US" w:eastAsia="zh-CN"/>
        </w:rPr>
        <w:tab/>
      </w:r>
      <w:r>
        <w:rPr>
          <w:rFonts w:hint="eastAsia"/>
          <w:sz w:val="30"/>
          <w:szCs w:val="30"/>
          <w:lang w:val="en-US" w:eastAsia="zh-CN"/>
        </w:rPr>
        <w:t>1</w:t>
      </w:r>
      <w:r>
        <w:rPr>
          <w:sz w:val="30"/>
          <w:szCs w:val="30"/>
        </w:rPr>
        <w:fldChar w:fldCharType="end"/>
      </w:r>
      <w:r>
        <w:rPr>
          <w:rFonts w:hint="eastAsia"/>
          <w:sz w:val="30"/>
          <w:szCs w:val="30"/>
          <w:lang w:val="en-US" w:eastAsia="zh-CN"/>
        </w:rPr>
        <w:t>0</w:t>
      </w:r>
    </w:p>
    <w:p w14:paraId="77A0AF3A">
      <w:pPr>
        <w:pStyle w:val="20"/>
        <w:keepNext w:val="0"/>
        <w:keepLines w:val="0"/>
        <w:pageBreakBefore w:val="0"/>
        <w:kinsoku/>
        <w:wordWrap/>
        <w:overflowPunct/>
        <w:topLinePunct w:val="0"/>
        <w:autoSpaceDE/>
        <w:autoSpaceDN/>
        <w:bidi w:val="0"/>
        <w:adjustRightInd/>
        <w:snapToGrid/>
        <w:ind w:left="0" w:leftChars="0" w:firstLine="0" w:firstLineChars="0"/>
        <w:textAlignment w:val="auto"/>
        <w:rPr>
          <w:rFonts w:hint="eastAsia" w:ascii="仿宋" w:hAnsi="仿宋" w:eastAsia="仿宋"/>
          <w:sz w:val="30"/>
          <w:szCs w:val="30"/>
          <w:lang w:val="en-US" w:eastAsia="zh-CN"/>
        </w:rPr>
      </w:pPr>
      <w:r>
        <w:rPr>
          <w:sz w:val="30"/>
          <w:szCs w:val="30"/>
        </w:rPr>
        <w:fldChar w:fldCharType="begin"/>
      </w:r>
      <w:r>
        <w:rPr>
          <w:sz w:val="30"/>
          <w:szCs w:val="30"/>
        </w:rPr>
        <w:instrText xml:space="preserve"> HYPERLINK \l "_Toc15396603" </w:instrText>
      </w:r>
      <w:r>
        <w:rPr>
          <w:sz w:val="30"/>
          <w:szCs w:val="30"/>
        </w:rPr>
        <w:fldChar w:fldCharType="separate"/>
      </w:r>
      <w:r>
        <w:rPr>
          <w:rStyle w:val="28"/>
          <w:rFonts w:hint="eastAsia" w:ascii="仿宋" w:hAnsi="仿宋" w:eastAsia="仿宋" w:cs="仿宋"/>
          <w:sz w:val="30"/>
          <w:szCs w:val="30"/>
        </w:rPr>
        <w:t>一、收入支出决算总体情况说明</w:t>
      </w:r>
      <w:r>
        <w:rPr>
          <w:rStyle w:val="28"/>
          <w:rFonts w:hint="eastAsia" w:ascii="仿宋" w:hAnsi="仿宋" w:eastAsia="仿宋" w:cs="仿宋"/>
          <w:sz w:val="30"/>
          <w:szCs w:val="30"/>
          <w:lang w:val="en-US" w:eastAsia="zh-CN"/>
        </w:rPr>
        <w:tab/>
      </w:r>
      <w:r>
        <w:rPr>
          <w:rFonts w:hint="eastAsia" w:ascii="仿宋" w:hAnsi="仿宋" w:eastAsia="仿宋" w:cs="仿宋"/>
          <w:sz w:val="30"/>
          <w:szCs w:val="30"/>
          <w:lang w:val="en-US" w:eastAsia="zh-CN"/>
        </w:rPr>
        <w:t>1</w:t>
      </w:r>
      <w:r>
        <w:rPr>
          <w:rFonts w:ascii="仿宋" w:hAnsi="仿宋" w:eastAsia="仿宋" w:cs="仿宋"/>
          <w:sz w:val="30"/>
          <w:szCs w:val="30"/>
        </w:rPr>
        <w:fldChar w:fldCharType="end"/>
      </w:r>
      <w:r>
        <w:rPr>
          <w:rFonts w:hint="eastAsia" w:ascii="仿宋" w:hAnsi="仿宋" w:eastAsia="仿宋" w:cs="仿宋"/>
          <w:sz w:val="30"/>
          <w:szCs w:val="30"/>
          <w:lang w:val="en-US" w:eastAsia="zh-CN"/>
        </w:rPr>
        <w:t>0</w:t>
      </w:r>
    </w:p>
    <w:p w14:paraId="7F5F1216">
      <w:pPr>
        <w:pStyle w:val="20"/>
        <w:keepNext w:val="0"/>
        <w:keepLines w:val="0"/>
        <w:pageBreakBefore w:val="0"/>
        <w:kinsoku/>
        <w:wordWrap/>
        <w:overflowPunct/>
        <w:topLinePunct w:val="0"/>
        <w:autoSpaceDE/>
        <w:autoSpaceDN/>
        <w:bidi w:val="0"/>
        <w:adjustRightInd/>
        <w:snapToGrid/>
        <w:ind w:left="0" w:leftChars="0" w:firstLine="0" w:firstLineChars="0"/>
        <w:textAlignment w:val="auto"/>
        <w:rPr>
          <w:rFonts w:ascii="仿宋" w:hAnsi="仿宋" w:eastAsia="仿宋"/>
          <w:sz w:val="30"/>
          <w:szCs w:val="30"/>
        </w:rPr>
      </w:pPr>
      <w:r>
        <w:rPr>
          <w:sz w:val="30"/>
          <w:szCs w:val="30"/>
        </w:rPr>
        <w:fldChar w:fldCharType="begin"/>
      </w:r>
      <w:r>
        <w:rPr>
          <w:sz w:val="30"/>
          <w:szCs w:val="30"/>
        </w:rPr>
        <w:instrText xml:space="preserve"> HYPERLINK \l "_Toc15396604" </w:instrText>
      </w:r>
      <w:r>
        <w:rPr>
          <w:sz w:val="30"/>
          <w:szCs w:val="30"/>
        </w:rPr>
        <w:fldChar w:fldCharType="separate"/>
      </w:r>
      <w:r>
        <w:rPr>
          <w:rStyle w:val="28"/>
          <w:rFonts w:hint="eastAsia" w:ascii="仿宋" w:hAnsi="仿宋" w:eastAsia="仿宋" w:cs="仿宋"/>
          <w:sz w:val="30"/>
          <w:szCs w:val="30"/>
        </w:rPr>
        <w:t>二、收入决算情况说明</w:t>
      </w:r>
      <w:r>
        <w:rPr>
          <w:rStyle w:val="28"/>
          <w:rFonts w:hint="eastAsia" w:ascii="仿宋" w:hAnsi="仿宋" w:eastAsia="仿宋" w:cs="仿宋"/>
          <w:sz w:val="30"/>
          <w:szCs w:val="30"/>
          <w:lang w:val="en-US" w:eastAsia="zh-CN"/>
        </w:rPr>
        <w:tab/>
      </w:r>
      <w:r>
        <w:rPr>
          <w:rFonts w:ascii="仿宋" w:hAnsi="仿宋" w:eastAsia="仿宋" w:cs="仿宋"/>
          <w:sz w:val="30"/>
          <w:szCs w:val="30"/>
        </w:rPr>
        <w:fldChar w:fldCharType="begin"/>
      </w:r>
      <w:r>
        <w:rPr>
          <w:rFonts w:ascii="仿宋" w:hAnsi="仿宋" w:eastAsia="仿宋" w:cs="仿宋"/>
          <w:sz w:val="30"/>
          <w:szCs w:val="30"/>
        </w:rPr>
        <w:instrText xml:space="preserve"> PAGEREF _Toc15396604 \h </w:instrText>
      </w:r>
      <w:r>
        <w:rPr>
          <w:rFonts w:ascii="仿宋" w:hAnsi="仿宋" w:eastAsia="仿宋" w:cs="仿宋"/>
          <w:sz w:val="30"/>
          <w:szCs w:val="30"/>
        </w:rPr>
        <w:fldChar w:fldCharType="separate"/>
      </w:r>
      <w:r>
        <w:rPr>
          <w:rFonts w:ascii="仿宋" w:hAnsi="仿宋" w:eastAsia="仿宋" w:cs="仿宋"/>
          <w:sz w:val="30"/>
          <w:szCs w:val="30"/>
        </w:rPr>
        <w:t>1</w:t>
      </w:r>
      <w:r>
        <w:rPr>
          <w:rFonts w:hint="eastAsia" w:ascii="仿宋" w:hAnsi="仿宋" w:eastAsia="仿宋" w:cs="仿宋"/>
          <w:sz w:val="30"/>
          <w:szCs w:val="30"/>
          <w:lang w:val="en-US" w:eastAsia="zh-CN"/>
        </w:rPr>
        <w:t>0</w:t>
      </w:r>
      <w:r>
        <w:rPr>
          <w:rFonts w:ascii="仿宋" w:hAnsi="仿宋" w:eastAsia="仿宋" w:cs="仿宋"/>
          <w:sz w:val="30"/>
          <w:szCs w:val="30"/>
        </w:rPr>
        <w:fldChar w:fldCharType="end"/>
      </w:r>
      <w:r>
        <w:rPr>
          <w:rFonts w:ascii="仿宋" w:hAnsi="仿宋" w:eastAsia="仿宋" w:cs="仿宋"/>
          <w:sz w:val="30"/>
          <w:szCs w:val="30"/>
        </w:rPr>
        <w:fldChar w:fldCharType="end"/>
      </w:r>
    </w:p>
    <w:p w14:paraId="7F0A8D6D">
      <w:pPr>
        <w:pStyle w:val="20"/>
        <w:keepNext w:val="0"/>
        <w:keepLines w:val="0"/>
        <w:pageBreakBefore w:val="0"/>
        <w:kinsoku/>
        <w:wordWrap/>
        <w:overflowPunct/>
        <w:topLinePunct w:val="0"/>
        <w:autoSpaceDE/>
        <w:autoSpaceDN/>
        <w:bidi w:val="0"/>
        <w:adjustRightInd/>
        <w:snapToGrid/>
        <w:ind w:left="0" w:leftChars="0" w:firstLine="0" w:firstLineChars="0"/>
        <w:textAlignment w:val="auto"/>
        <w:rPr>
          <w:rFonts w:ascii="仿宋" w:hAnsi="仿宋" w:eastAsia="仿宋"/>
          <w:sz w:val="30"/>
          <w:szCs w:val="30"/>
        </w:rPr>
      </w:pPr>
      <w:r>
        <w:rPr>
          <w:sz w:val="30"/>
          <w:szCs w:val="30"/>
        </w:rPr>
        <w:fldChar w:fldCharType="begin"/>
      </w:r>
      <w:r>
        <w:rPr>
          <w:sz w:val="30"/>
          <w:szCs w:val="30"/>
        </w:rPr>
        <w:instrText xml:space="preserve"> HYPERLINK \l "_Toc15396605" </w:instrText>
      </w:r>
      <w:r>
        <w:rPr>
          <w:sz w:val="30"/>
          <w:szCs w:val="30"/>
        </w:rPr>
        <w:fldChar w:fldCharType="separate"/>
      </w:r>
      <w:r>
        <w:rPr>
          <w:rStyle w:val="28"/>
          <w:rFonts w:hint="eastAsia" w:ascii="仿宋" w:hAnsi="仿宋" w:eastAsia="仿宋" w:cs="仿宋"/>
          <w:sz w:val="30"/>
          <w:szCs w:val="30"/>
        </w:rPr>
        <w:t>三、支出决算情况说明</w:t>
      </w:r>
      <w:r>
        <w:rPr>
          <w:rStyle w:val="28"/>
          <w:rFonts w:hint="eastAsia" w:ascii="仿宋" w:hAnsi="仿宋" w:eastAsia="仿宋" w:cs="仿宋"/>
          <w:sz w:val="30"/>
          <w:szCs w:val="30"/>
          <w:lang w:val="en-US" w:eastAsia="zh-CN"/>
        </w:rPr>
        <w:tab/>
      </w:r>
      <w:r>
        <w:rPr>
          <w:rFonts w:ascii="仿宋" w:hAnsi="仿宋" w:eastAsia="仿宋" w:cs="仿宋"/>
          <w:sz w:val="30"/>
          <w:szCs w:val="30"/>
        </w:rPr>
        <w:fldChar w:fldCharType="begin"/>
      </w:r>
      <w:r>
        <w:rPr>
          <w:rFonts w:ascii="仿宋" w:hAnsi="仿宋" w:eastAsia="仿宋" w:cs="仿宋"/>
          <w:sz w:val="30"/>
          <w:szCs w:val="30"/>
        </w:rPr>
        <w:instrText xml:space="preserve"> PAGEREF _Toc15396605 \h </w:instrText>
      </w:r>
      <w:r>
        <w:rPr>
          <w:rFonts w:ascii="仿宋" w:hAnsi="仿宋" w:eastAsia="仿宋" w:cs="仿宋"/>
          <w:sz w:val="30"/>
          <w:szCs w:val="30"/>
        </w:rPr>
        <w:fldChar w:fldCharType="separate"/>
      </w:r>
      <w:r>
        <w:rPr>
          <w:rFonts w:ascii="仿宋" w:hAnsi="仿宋" w:eastAsia="仿宋" w:cs="仿宋"/>
          <w:sz w:val="30"/>
          <w:szCs w:val="30"/>
        </w:rPr>
        <w:t>1</w:t>
      </w:r>
      <w:r>
        <w:rPr>
          <w:rFonts w:hint="eastAsia" w:ascii="仿宋" w:hAnsi="仿宋" w:eastAsia="仿宋" w:cs="仿宋"/>
          <w:sz w:val="30"/>
          <w:szCs w:val="30"/>
          <w:lang w:val="en-US" w:eastAsia="zh-CN"/>
        </w:rPr>
        <w:t>1</w:t>
      </w:r>
      <w:r>
        <w:rPr>
          <w:rFonts w:ascii="仿宋" w:hAnsi="仿宋" w:eastAsia="仿宋" w:cs="仿宋"/>
          <w:sz w:val="30"/>
          <w:szCs w:val="30"/>
        </w:rPr>
        <w:fldChar w:fldCharType="end"/>
      </w:r>
      <w:r>
        <w:rPr>
          <w:rFonts w:ascii="仿宋" w:hAnsi="仿宋" w:eastAsia="仿宋" w:cs="仿宋"/>
          <w:sz w:val="30"/>
          <w:szCs w:val="30"/>
        </w:rPr>
        <w:fldChar w:fldCharType="end"/>
      </w:r>
    </w:p>
    <w:p w14:paraId="5040D466">
      <w:pPr>
        <w:pStyle w:val="20"/>
        <w:keepNext w:val="0"/>
        <w:keepLines w:val="0"/>
        <w:pageBreakBefore w:val="0"/>
        <w:kinsoku/>
        <w:wordWrap/>
        <w:overflowPunct/>
        <w:topLinePunct w:val="0"/>
        <w:autoSpaceDE/>
        <w:autoSpaceDN/>
        <w:bidi w:val="0"/>
        <w:adjustRightInd/>
        <w:snapToGrid/>
        <w:ind w:left="0" w:leftChars="0" w:firstLine="0" w:firstLineChars="0"/>
        <w:textAlignment w:val="auto"/>
        <w:rPr>
          <w:rFonts w:ascii="仿宋" w:hAnsi="仿宋" w:eastAsia="仿宋"/>
          <w:sz w:val="30"/>
          <w:szCs w:val="30"/>
        </w:rPr>
      </w:pPr>
      <w:r>
        <w:rPr>
          <w:sz w:val="30"/>
          <w:szCs w:val="30"/>
        </w:rPr>
        <w:fldChar w:fldCharType="begin"/>
      </w:r>
      <w:r>
        <w:rPr>
          <w:sz w:val="30"/>
          <w:szCs w:val="30"/>
        </w:rPr>
        <w:instrText xml:space="preserve"> HYPERLINK \l "_Toc15396606" </w:instrText>
      </w:r>
      <w:r>
        <w:rPr>
          <w:sz w:val="30"/>
          <w:szCs w:val="30"/>
        </w:rPr>
        <w:fldChar w:fldCharType="separate"/>
      </w:r>
      <w:r>
        <w:rPr>
          <w:rStyle w:val="28"/>
          <w:rFonts w:hint="eastAsia" w:ascii="仿宋" w:hAnsi="仿宋" w:eastAsia="仿宋" w:cs="仿宋"/>
          <w:sz w:val="30"/>
          <w:szCs w:val="30"/>
        </w:rPr>
        <w:t>四、财政拨款收入支出决算总体情况说明</w:t>
      </w:r>
      <w:r>
        <w:rPr>
          <w:rStyle w:val="28"/>
          <w:rFonts w:hint="eastAsia" w:ascii="仿宋" w:hAnsi="仿宋" w:eastAsia="仿宋" w:cs="仿宋"/>
          <w:sz w:val="30"/>
          <w:szCs w:val="30"/>
          <w:lang w:val="en-US" w:eastAsia="zh-CN"/>
        </w:rPr>
        <w:tab/>
      </w:r>
      <w:r>
        <w:rPr>
          <w:rFonts w:ascii="仿宋" w:hAnsi="仿宋" w:eastAsia="仿宋" w:cs="仿宋"/>
          <w:sz w:val="30"/>
          <w:szCs w:val="30"/>
        </w:rPr>
        <w:fldChar w:fldCharType="begin"/>
      </w:r>
      <w:r>
        <w:rPr>
          <w:rFonts w:ascii="仿宋" w:hAnsi="仿宋" w:eastAsia="仿宋" w:cs="仿宋"/>
          <w:sz w:val="30"/>
          <w:szCs w:val="30"/>
        </w:rPr>
        <w:instrText xml:space="preserve"> PAGEREF _Toc15396606 \h </w:instrText>
      </w:r>
      <w:r>
        <w:rPr>
          <w:rFonts w:ascii="仿宋" w:hAnsi="仿宋" w:eastAsia="仿宋" w:cs="仿宋"/>
          <w:sz w:val="30"/>
          <w:szCs w:val="30"/>
        </w:rPr>
        <w:fldChar w:fldCharType="separate"/>
      </w:r>
      <w:r>
        <w:rPr>
          <w:rFonts w:ascii="仿宋" w:hAnsi="仿宋" w:eastAsia="仿宋" w:cs="仿宋"/>
          <w:sz w:val="30"/>
          <w:szCs w:val="30"/>
        </w:rPr>
        <w:t>1</w:t>
      </w:r>
      <w:r>
        <w:rPr>
          <w:rFonts w:hint="eastAsia" w:ascii="仿宋" w:hAnsi="仿宋" w:eastAsia="仿宋" w:cs="仿宋"/>
          <w:sz w:val="30"/>
          <w:szCs w:val="30"/>
          <w:lang w:val="en-US" w:eastAsia="zh-CN"/>
        </w:rPr>
        <w:t>1</w:t>
      </w:r>
      <w:r>
        <w:rPr>
          <w:rFonts w:ascii="仿宋" w:hAnsi="仿宋" w:eastAsia="仿宋" w:cs="仿宋"/>
          <w:sz w:val="30"/>
          <w:szCs w:val="30"/>
        </w:rPr>
        <w:fldChar w:fldCharType="end"/>
      </w:r>
      <w:r>
        <w:rPr>
          <w:rFonts w:ascii="仿宋" w:hAnsi="仿宋" w:eastAsia="仿宋" w:cs="仿宋"/>
          <w:sz w:val="30"/>
          <w:szCs w:val="30"/>
        </w:rPr>
        <w:fldChar w:fldCharType="end"/>
      </w:r>
    </w:p>
    <w:p w14:paraId="50854FFD">
      <w:pPr>
        <w:pStyle w:val="20"/>
        <w:keepNext w:val="0"/>
        <w:keepLines w:val="0"/>
        <w:pageBreakBefore w:val="0"/>
        <w:kinsoku/>
        <w:wordWrap/>
        <w:overflowPunct/>
        <w:topLinePunct w:val="0"/>
        <w:autoSpaceDE/>
        <w:autoSpaceDN/>
        <w:bidi w:val="0"/>
        <w:adjustRightInd/>
        <w:snapToGrid/>
        <w:ind w:left="0" w:leftChars="0" w:firstLine="0" w:firstLineChars="0"/>
        <w:textAlignment w:val="auto"/>
        <w:rPr>
          <w:rFonts w:hint="eastAsia" w:ascii="仿宋" w:hAnsi="仿宋" w:eastAsia="仿宋"/>
          <w:sz w:val="30"/>
          <w:szCs w:val="30"/>
          <w:lang w:val="en-US" w:eastAsia="zh-CN"/>
        </w:rPr>
      </w:pPr>
      <w:r>
        <w:rPr>
          <w:sz w:val="30"/>
          <w:szCs w:val="30"/>
        </w:rPr>
        <w:fldChar w:fldCharType="begin"/>
      </w:r>
      <w:r>
        <w:rPr>
          <w:sz w:val="30"/>
          <w:szCs w:val="30"/>
        </w:rPr>
        <w:instrText xml:space="preserve"> HYPERLINK \l "_Toc15396607" </w:instrText>
      </w:r>
      <w:r>
        <w:rPr>
          <w:sz w:val="30"/>
          <w:szCs w:val="30"/>
        </w:rPr>
        <w:fldChar w:fldCharType="separate"/>
      </w:r>
      <w:r>
        <w:rPr>
          <w:rStyle w:val="28"/>
          <w:rFonts w:hint="eastAsia" w:ascii="仿宋" w:hAnsi="仿宋" w:eastAsia="仿宋" w:cs="仿宋"/>
          <w:sz w:val="30"/>
          <w:szCs w:val="30"/>
        </w:rPr>
        <w:t>五、一般公共预算财政拨款支出决算情况说明</w:t>
      </w:r>
      <w:r>
        <w:rPr>
          <w:rStyle w:val="28"/>
          <w:rFonts w:hint="eastAsia" w:ascii="仿宋" w:hAnsi="仿宋" w:eastAsia="仿宋" w:cs="仿宋"/>
          <w:sz w:val="30"/>
          <w:szCs w:val="30"/>
          <w:lang w:val="en-US" w:eastAsia="zh-CN"/>
        </w:rPr>
        <w:tab/>
      </w:r>
      <w:r>
        <w:rPr>
          <w:rFonts w:hint="eastAsia" w:ascii="仿宋" w:hAnsi="仿宋" w:eastAsia="仿宋" w:cs="仿宋"/>
          <w:sz w:val="30"/>
          <w:szCs w:val="30"/>
          <w:lang w:val="en-US" w:eastAsia="zh-CN"/>
        </w:rPr>
        <w:t>1</w:t>
      </w:r>
      <w:r>
        <w:rPr>
          <w:rFonts w:ascii="仿宋" w:hAnsi="仿宋" w:eastAsia="仿宋" w:cs="仿宋"/>
          <w:sz w:val="30"/>
          <w:szCs w:val="30"/>
        </w:rPr>
        <w:fldChar w:fldCharType="end"/>
      </w:r>
      <w:r>
        <w:rPr>
          <w:rFonts w:hint="eastAsia" w:ascii="仿宋" w:hAnsi="仿宋" w:eastAsia="仿宋" w:cs="仿宋"/>
          <w:sz w:val="30"/>
          <w:szCs w:val="30"/>
          <w:lang w:val="en-US" w:eastAsia="zh-CN"/>
        </w:rPr>
        <w:t>2</w:t>
      </w:r>
    </w:p>
    <w:p w14:paraId="5A61C251">
      <w:pPr>
        <w:pStyle w:val="20"/>
        <w:keepNext w:val="0"/>
        <w:keepLines w:val="0"/>
        <w:pageBreakBefore w:val="0"/>
        <w:kinsoku/>
        <w:wordWrap/>
        <w:overflowPunct/>
        <w:topLinePunct w:val="0"/>
        <w:autoSpaceDE/>
        <w:autoSpaceDN/>
        <w:bidi w:val="0"/>
        <w:adjustRightInd/>
        <w:snapToGrid/>
        <w:ind w:left="0" w:leftChars="0" w:firstLine="0" w:firstLineChars="0"/>
        <w:textAlignment w:val="auto"/>
        <w:rPr>
          <w:rFonts w:hint="default" w:ascii="仿宋" w:hAnsi="仿宋" w:eastAsia="仿宋"/>
          <w:sz w:val="30"/>
          <w:szCs w:val="30"/>
          <w:lang w:val="en-US" w:eastAsia="zh-CN"/>
        </w:rPr>
      </w:pPr>
      <w:r>
        <w:rPr>
          <w:sz w:val="30"/>
          <w:szCs w:val="30"/>
        </w:rPr>
        <w:fldChar w:fldCharType="begin"/>
      </w:r>
      <w:r>
        <w:rPr>
          <w:sz w:val="30"/>
          <w:szCs w:val="30"/>
        </w:rPr>
        <w:instrText xml:space="preserve"> HYPERLINK \l "_Toc15396608" </w:instrText>
      </w:r>
      <w:r>
        <w:rPr>
          <w:sz w:val="30"/>
          <w:szCs w:val="30"/>
        </w:rPr>
        <w:fldChar w:fldCharType="separate"/>
      </w:r>
      <w:r>
        <w:rPr>
          <w:rStyle w:val="28"/>
          <w:rFonts w:hint="eastAsia" w:ascii="仿宋" w:hAnsi="仿宋" w:eastAsia="仿宋" w:cs="仿宋"/>
          <w:sz w:val="30"/>
          <w:szCs w:val="30"/>
        </w:rPr>
        <w:t>六、一般公共预算财政拨款基本支出决算情况说明</w:t>
      </w:r>
      <w:r>
        <w:rPr>
          <w:rFonts w:ascii="仿宋" w:hAnsi="仿宋" w:eastAsia="仿宋" w:cs="仿宋"/>
          <w:sz w:val="30"/>
          <w:szCs w:val="30"/>
        </w:rPr>
        <w:fldChar w:fldCharType="end"/>
      </w:r>
      <w:r>
        <w:rPr>
          <w:rFonts w:hint="eastAsia" w:ascii="仿宋" w:hAnsi="仿宋" w:eastAsia="仿宋" w:cs="仿宋"/>
          <w:sz w:val="30"/>
          <w:szCs w:val="30"/>
          <w:lang w:val="en-US" w:eastAsia="zh-CN"/>
        </w:rPr>
        <w:tab/>
      </w:r>
      <w:r>
        <w:rPr>
          <w:rFonts w:hint="eastAsia" w:ascii="仿宋" w:hAnsi="仿宋" w:eastAsia="仿宋" w:cs="仿宋"/>
          <w:sz w:val="30"/>
          <w:szCs w:val="30"/>
          <w:lang w:val="en-US" w:eastAsia="zh-CN"/>
        </w:rPr>
        <w:t>16</w:t>
      </w:r>
    </w:p>
    <w:p w14:paraId="5CBD5B6D">
      <w:pPr>
        <w:pStyle w:val="20"/>
        <w:keepNext w:val="0"/>
        <w:keepLines w:val="0"/>
        <w:pageBreakBefore w:val="0"/>
        <w:kinsoku/>
        <w:wordWrap/>
        <w:overflowPunct/>
        <w:topLinePunct w:val="0"/>
        <w:autoSpaceDE/>
        <w:autoSpaceDN/>
        <w:bidi w:val="0"/>
        <w:adjustRightInd/>
        <w:snapToGrid/>
        <w:ind w:left="0" w:leftChars="0" w:firstLine="0" w:firstLineChars="0"/>
        <w:textAlignment w:val="auto"/>
        <w:rPr>
          <w:rFonts w:hint="eastAsia" w:ascii="仿宋" w:hAnsi="仿宋" w:eastAsia="仿宋"/>
          <w:sz w:val="30"/>
          <w:szCs w:val="30"/>
          <w:lang w:val="en-US" w:eastAsia="zh-CN"/>
        </w:rPr>
      </w:pPr>
      <w:r>
        <w:rPr>
          <w:sz w:val="30"/>
          <w:szCs w:val="30"/>
        </w:rPr>
        <w:fldChar w:fldCharType="begin"/>
      </w:r>
      <w:r>
        <w:rPr>
          <w:sz w:val="30"/>
          <w:szCs w:val="30"/>
        </w:rPr>
        <w:instrText xml:space="preserve"> HYPERLINK \l "_Toc15396609" </w:instrText>
      </w:r>
      <w:r>
        <w:rPr>
          <w:sz w:val="30"/>
          <w:szCs w:val="30"/>
        </w:rPr>
        <w:fldChar w:fldCharType="separate"/>
      </w:r>
      <w:r>
        <w:rPr>
          <w:rStyle w:val="28"/>
          <w:rFonts w:hint="eastAsia" w:ascii="仿宋" w:hAnsi="仿宋" w:eastAsia="仿宋" w:cs="仿宋"/>
          <w:sz w:val="30"/>
          <w:szCs w:val="30"/>
        </w:rPr>
        <w:t>七、“三公”经费财政拨款支出决算情况说明</w:t>
      </w:r>
      <w:r>
        <w:rPr>
          <w:rStyle w:val="28"/>
          <w:rFonts w:hint="eastAsia" w:ascii="仿宋" w:hAnsi="仿宋" w:eastAsia="仿宋" w:cs="仿宋"/>
          <w:sz w:val="30"/>
          <w:szCs w:val="30"/>
          <w:lang w:val="en-US" w:eastAsia="zh-CN"/>
        </w:rPr>
        <w:tab/>
      </w:r>
      <w:r>
        <w:rPr>
          <w:rStyle w:val="28"/>
          <w:rFonts w:hint="eastAsia" w:ascii="仿宋" w:hAnsi="仿宋" w:eastAsia="仿宋" w:cs="仿宋"/>
          <w:sz w:val="30"/>
          <w:szCs w:val="30"/>
          <w:lang w:val="en-US" w:eastAsia="zh-CN"/>
        </w:rPr>
        <w:t>1</w:t>
      </w:r>
      <w:r>
        <w:rPr>
          <w:rFonts w:ascii="仿宋" w:hAnsi="仿宋" w:eastAsia="仿宋" w:cs="仿宋"/>
          <w:sz w:val="30"/>
          <w:szCs w:val="30"/>
        </w:rPr>
        <w:fldChar w:fldCharType="end"/>
      </w:r>
      <w:r>
        <w:rPr>
          <w:rFonts w:hint="eastAsia" w:ascii="仿宋" w:hAnsi="仿宋" w:eastAsia="仿宋" w:cs="仿宋"/>
          <w:sz w:val="30"/>
          <w:szCs w:val="30"/>
          <w:lang w:val="en-US" w:eastAsia="zh-CN"/>
        </w:rPr>
        <w:t>7</w:t>
      </w:r>
    </w:p>
    <w:p w14:paraId="3037894F">
      <w:pPr>
        <w:pStyle w:val="20"/>
        <w:keepNext w:val="0"/>
        <w:keepLines w:val="0"/>
        <w:pageBreakBefore w:val="0"/>
        <w:kinsoku/>
        <w:wordWrap/>
        <w:overflowPunct/>
        <w:topLinePunct w:val="0"/>
        <w:autoSpaceDE/>
        <w:autoSpaceDN/>
        <w:bidi w:val="0"/>
        <w:adjustRightInd/>
        <w:snapToGrid/>
        <w:ind w:left="0" w:leftChars="0" w:firstLine="0" w:firstLineChars="0"/>
        <w:textAlignment w:val="auto"/>
        <w:rPr>
          <w:rFonts w:ascii="仿宋" w:hAnsi="仿宋" w:eastAsia="仿宋"/>
          <w:sz w:val="30"/>
          <w:szCs w:val="30"/>
        </w:rPr>
      </w:pPr>
      <w:r>
        <w:rPr>
          <w:sz w:val="30"/>
          <w:szCs w:val="30"/>
        </w:rPr>
        <w:fldChar w:fldCharType="begin"/>
      </w:r>
      <w:r>
        <w:rPr>
          <w:sz w:val="30"/>
          <w:szCs w:val="30"/>
        </w:rPr>
        <w:instrText xml:space="preserve"> HYPERLINK \l "_Toc15396610" </w:instrText>
      </w:r>
      <w:r>
        <w:rPr>
          <w:sz w:val="30"/>
          <w:szCs w:val="30"/>
        </w:rPr>
        <w:fldChar w:fldCharType="separate"/>
      </w:r>
      <w:r>
        <w:rPr>
          <w:rStyle w:val="28"/>
          <w:rFonts w:hint="eastAsia" w:ascii="仿宋" w:hAnsi="仿宋" w:eastAsia="仿宋" w:cs="仿宋"/>
          <w:sz w:val="30"/>
          <w:szCs w:val="30"/>
        </w:rPr>
        <w:t>八、政府性基金预算支出决算情况说明</w:t>
      </w:r>
      <w:r>
        <w:rPr>
          <w:rStyle w:val="28"/>
          <w:rFonts w:hint="eastAsia" w:ascii="仿宋" w:hAnsi="仿宋" w:eastAsia="仿宋" w:cs="仿宋"/>
          <w:sz w:val="30"/>
          <w:szCs w:val="30"/>
          <w:lang w:val="en-US" w:eastAsia="zh-CN"/>
        </w:rPr>
        <w:tab/>
      </w:r>
      <w:r>
        <w:rPr>
          <w:rFonts w:ascii="仿宋" w:hAnsi="仿宋" w:eastAsia="仿宋" w:cs="仿宋"/>
          <w:sz w:val="30"/>
          <w:szCs w:val="30"/>
        </w:rPr>
        <w:fldChar w:fldCharType="begin"/>
      </w:r>
      <w:r>
        <w:rPr>
          <w:rFonts w:ascii="仿宋" w:hAnsi="仿宋" w:eastAsia="仿宋" w:cs="仿宋"/>
          <w:sz w:val="30"/>
          <w:szCs w:val="30"/>
        </w:rPr>
        <w:instrText xml:space="preserve"> PAGEREF _Toc15396610 \h </w:instrText>
      </w:r>
      <w:r>
        <w:rPr>
          <w:rFonts w:ascii="仿宋" w:hAnsi="仿宋" w:eastAsia="仿宋" w:cs="仿宋"/>
          <w:sz w:val="30"/>
          <w:szCs w:val="30"/>
        </w:rPr>
        <w:fldChar w:fldCharType="separate"/>
      </w:r>
      <w:r>
        <w:rPr>
          <w:rFonts w:hint="eastAsia" w:ascii="仿宋" w:hAnsi="仿宋" w:eastAsia="仿宋" w:cs="仿宋"/>
          <w:sz w:val="30"/>
          <w:szCs w:val="30"/>
          <w:lang w:val="en-US" w:eastAsia="zh-CN"/>
        </w:rPr>
        <w:t>17</w:t>
      </w:r>
      <w:r>
        <w:rPr>
          <w:rFonts w:ascii="仿宋" w:hAnsi="仿宋" w:eastAsia="仿宋" w:cs="仿宋"/>
          <w:sz w:val="30"/>
          <w:szCs w:val="30"/>
        </w:rPr>
        <w:fldChar w:fldCharType="end"/>
      </w:r>
      <w:r>
        <w:rPr>
          <w:rFonts w:ascii="仿宋" w:hAnsi="仿宋" w:eastAsia="仿宋" w:cs="仿宋"/>
          <w:sz w:val="30"/>
          <w:szCs w:val="30"/>
        </w:rPr>
        <w:fldChar w:fldCharType="end"/>
      </w:r>
    </w:p>
    <w:p w14:paraId="2E4D5BF5">
      <w:pPr>
        <w:pStyle w:val="20"/>
        <w:keepNext w:val="0"/>
        <w:keepLines w:val="0"/>
        <w:pageBreakBefore w:val="0"/>
        <w:kinsoku/>
        <w:wordWrap/>
        <w:overflowPunct/>
        <w:topLinePunct w:val="0"/>
        <w:autoSpaceDE/>
        <w:autoSpaceDN/>
        <w:bidi w:val="0"/>
        <w:adjustRightInd/>
        <w:snapToGrid/>
        <w:ind w:left="0" w:leftChars="0" w:firstLine="0" w:firstLineChars="0"/>
        <w:textAlignment w:val="auto"/>
        <w:rPr>
          <w:rFonts w:hint="eastAsia" w:eastAsia="仿宋"/>
          <w:sz w:val="30"/>
          <w:szCs w:val="30"/>
          <w:lang w:val="en-US" w:eastAsia="zh-CN"/>
        </w:rPr>
      </w:pPr>
      <w:r>
        <w:rPr>
          <w:sz w:val="30"/>
          <w:szCs w:val="30"/>
        </w:rPr>
        <w:fldChar w:fldCharType="begin"/>
      </w:r>
      <w:r>
        <w:rPr>
          <w:sz w:val="30"/>
          <w:szCs w:val="30"/>
        </w:rPr>
        <w:instrText xml:space="preserve"> HYPERLINK \l "_Toc15396611" </w:instrText>
      </w:r>
      <w:r>
        <w:rPr>
          <w:sz w:val="30"/>
          <w:szCs w:val="30"/>
        </w:rPr>
        <w:fldChar w:fldCharType="separate"/>
      </w:r>
      <w:r>
        <w:rPr>
          <w:rStyle w:val="28"/>
          <w:rFonts w:hint="eastAsia" w:ascii="仿宋" w:hAnsi="仿宋" w:eastAsia="仿宋" w:cs="仿宋"/>
          <w:sz w:val="30"/>
          <w:szCs w:val="30"/>
        </w:rPr>
        <w:t>九、国有资本经营预算支出决算情况说明</w:t>
      </w:r>
      <w:r>
        <w:rPr>
          <w:rStyle w:val="28"/>
          <w:rFonts w:hint="eastAsia" w:ascii="仿宋" w:hAnsi="仿宋" w:eastAsia="仿宋" w:cs="仿宋"/>
          <w:sz w:val="30"/>
          <w:szCs w:val="30"/>
          <w:lang w:val="en-US" w:eastAsia="zh-CN"/>
        </w:rPr>
        <w:tab/>
      </w:r>
      <w:r>
        <w:rPr>
          <w:rFonts w:ascii="仿宋" w:hAnsi="仿宋" w:eastAsia="仿宋" w:cs="仿宋"/>
          <w:sz w:val="30"/>
          <w:szCs w:val="30"/>
        </w:rPr>
        <w:fldChar w:fldCharType="begin"/>
      </w:r>
      <w:r>
        <w:rPr>
          <w:rFonts w:ascii="仿宋" w:hAnsi="仿宋" w:eastAsia="仿宋" w:cs="仿宋"/>
          <w:sz w:val="30"/>
          <w:szCs w:val="30"/>
        </w:rPr>
        <w:instrText xml:space="preserve"> PAGEREF _Toc15396611 \h </w:instrText>
      </w:r>
      <w:r>
        <w:rPr>
          <w:rFonts w:ascii="仿宋" w:hAnsi="仿宋" w:eastAsia="仿宋" w:cs="仿宋"/>
          <w:sz w:val="30"/>
          <w:szCs w:val="30"/>
        </w:rPr>
        <w:fldChar w:fldCharType="separate"/>
      </w:r>
      <w:r>
        <w:rPr>
          <w:rFonts w:hint="eastAsia" w:ascii="仿宋" w:hAnsi="仿宋" w:eastAsia="仿宋" w:cs="仿宋"/>
          <w:sz w:val="30"/>
          <w:szCs w:val="30"/>
          <w:lang w:val="en-US" w:eastAsia="zh-CN"/>
        </w:rPr>
        <w:t>17</w:t>
      </w:r>
      <w:r>
        <w:rPr>
          <w:rFonts w:ascii="仿宋" w:hAnsi="仿宋" w:eastAsia="仿宋" w:cs="仿宋"/>
          <w:sz w:val="30"/>
          <w:szCs w:val="30"/>
        </w:rPr>
        <w:fldChar w:fldCharType="end"/>
      </w:r>
      <w:r>
        <w:rPr>
          <w:rFonts w:ascii="仿宋" w:hAnsi="仿宋" w:eastAsia="仿宋" w:cs="仿宋"/>
          <w:sz w:val="30"/>
          <w:szCs w:val="30"/>
        </w:rPr>
        <w:fldChar w:fldCharType="end"/>
      </w:r>
    </w:p>
    <w:p w14:paraId="505AFC61">
      <w:pPr>
        <w:pStyle w:val="20"/>
        <w:keepNext w:val="0"/>
        <w:keepLines w:val="0"/>
        <w:pageBreakBefore w:val="0"/>
        <w:kinsoku/>
        <w:wordWrap/>
        <w:overflowPunct/>
        <w:topLinePunct w:val="0"/>
        <w:autoSpaceDE/>
        <w:autoSpaceDN/>
        <w:bidi w:val="0"/>
        <w:adjustRightInd/>
        <w:snapToGrid/>
        <w:ind w:left="0" w:leftChars="0" w:firstLine="0" w:firstLineChars="0"/>
        <w:textAlignment w:val="auto"/>
        <w:rPr>
          <w:rFonts w:ascii="仿宋" w:hAnsi="仿宋" w:eastAsia="仿宋"/>
          <w:sz w:val="30"/>
          <w:szCs w:val="30"/>
        </w:rPr>
      </w:pPr>
      <w:r>
        <w:rPr>
          <w:sz w:val="30"/>
          <w:szCs w:val="30"/>
        </w:rPr>
        <w:fldChar w:fldCharType="begin"/>
      </w:r>
      <w:r>
        <w:rPr>
          <w:sz w:val="30"/>
          <w:szCs w:val="30"/>
        </w:rPr>
        <w:instrText xml:space="preserve"> HYPERLINK \l "_Toc15396612" </w:instrText>
      </w:r>
      <w:r>
        <w:rPr>
          <w:sz w:val="30"/>
          <w:szCs w:val="30"/>
        </w:rPr>
        <w:fldChar w:fldCharType="separate"/>
      </w:r>
      <w:r>
        <w:rPr>
          <w:rStyle w:val="28"/>
          <w:rFonts w:hint="eastAsia" w:ascii="仿宋" w:hAnsi="仿宋" w:eastAsia="仿宋" w:cs="仿宋"/>
          <w:sz w:val="30"/>
          <w:szCs w:val="30"/>
        </w:rPr>
        <w:t>十、其他重要事项的情况说明</w:t>
      </w:r>
      <w:r>
        <w:rPr>
          <w:rStyle w:val="28"/>
          <w:rFonts w:hint="eastAsia" w:ascii="仿宋" w:hAnsi="仿宋" w:eastAsia="仿宋" w:cs="仿宋"/>
          <w:sz w:val="30"/>
          <w:szCs w:val="30"/>
          <w:lang w:val="en-US" w:eastAsia="zh-CN"/>
        </w:rPr>
        <w:tab/>
      </w:r>
      <w:r>
        <w:rPr>
          <w:rFonts w:ascii="仿宋" w:hAnsi="仿宋" w:eastAsia="仿宋" w:cs="仿宋"/>
          <w:sz w:val="30"/>
          <w:szCs w:val="30"/>
        </w:rPr>
        <w:fldChar w:fldCharType="begin"/>
      </w:r>
      <w:r>
        <w:rPr>
          <w:rFonts w:ascii="仿宋" w:hAnsi="仿宋" w:eastAsia="仿宋" w:cs="仿宋"/>
          <w:sz w:val="30"/>
          <w:szCs w:val="30"/>
        </w:rPr>
        <w:instrText xml:space="preserve"> PAGEREF _Toc15396612 \h </w:instrText>
      </w:r>
      <w:r>
        <w:rPr>
          <w:rFonts w:ascii="仿宋" w:hAnsi="仿宋" w:eastAsia="仿宋" w:cs="仿宋"/>
          <w:sz w:val="30"/>
          <w:szCs w:val="30"/>
        </w:rPr>
        <w:fldChar w:fldCharType="separate"/>
      </w:r>
      <w:r>
        <w:rPr>
          <w:rFonts w:hint="eastAsia" w:ascii="仿宋" w:hAnsi="仿宋" w:eastAsia="仿宋" w:cs="仿宋"/>
          <w:sz w:val="30"/>
          <w:szCs w:val="30"/>
          <w:lang w:val="en-US" w:eastAsia="zh-CN"/>
        </w:rPr>
        <w:t>19</w:t>
      </w:r>
      <w:r>
        <w:rPr>
          <w:rFonts w:ascii="仿宋" w:hAnsi="仿宋" w:eastAsia="仿宋" w:cs="仿宋"/>
          <w:sz w:val="30"/>
          <w:szCs w:val="30"/>
        </w:rPr>
        <w:fldChar w:fldCharType="end"/>
      </w:r>
      <w:r>
        <w:rPr>
          <w:rFonts w:ascii="仿宋" w:hAnsi="仿宋" w:eastAsia="仿宋" w:cs="仿宋"/>
          <w:sz w:val="30"/>
          <w:szCs w:val="30"/>
        </w:rPr>
        <w:fldChar w:fldCharType="end"/>
      </w:r>
    </w:p>
    <w:p w14:paraId="63ECF269">
      <w:pPr>
        <w:pStyle w:val="16"/>
        <w:keepNext w:val="0"/>
        <w:keepLines w:val="0"/>
        <w:pageBreakBefore w:val="0"/>
        <w:tabs>
          <w:tab w:val="right" w:leader="dot" w:pos="8296"/>
        </w:tabs>
        <w:kinsoku/>
        <w:wordWrap/>
        <w:overflowPunct/>
        <w:topLinePunct w:val="0"/>
        <w:autoSpaceDE/>
        <w:autoSpaceDN/>
        <w:bidi w:val="0"/>
        <w:adjustRightInd/>
        <w:snapToGrid/>
        <w:ind w:left="0" w:leftChars="0" w:firstLine="0" w:firstLineChars="0"/>
        <w:jc w:val="both"/>
        <w:textAlignment w:val="auto"/>
        <w:rPr>
          <w:rFonts w:hint="default"/>
          <w:sz w:val="30"/>
          <w:szCs w:val="30"/>
          <w:lang w:val="en-US" w:eastAsia="zh-CN"/>
        </w:rPr>
      </w:pPr>
      <w:r>
        <w:rPr>
          <w:sz w:val="30"/>
          <w:szCs w:val="30"/>
        </w:rPr>
        <w:fldChar w:fldCharType="begin"/>
      </w:r>
      <w:r>
        <w:rPr>
          <w:sz w:val="30"/>
          <w:szCs w:val="30"/>
        </w:rPr>
        <w:instrText xml:space="preserve"> HYPERLINK \l "_Toc15396613" </w:instrText>
      </w:r>
      <w:r>
        <w:rPr>
          <w:sz w:val="30"/>
          <w:szCs w:val="30"/>
        </w:rPr>
        <w:fldChar w:fldCharType="separate"/>
      </w:r>
      <w:r>
        <w:rPr>
          <w:rStyle w:val="28"/>
          <w:rFonts w:hint="eastAsia"/>
          <w:kern w:val="44"/>
          <w:sz w:val="30"/>
          <w:szCs w:val="30"/>
        </w:rPr>
        <w:t>第三部分</w:t>
      </w:r>
      <w:r>
        <w:rPr>
          <w:rStyle w:val="28"/>
          <w:rFonts w:hint="eastAsia"/>
          <w:kern w:val="44"/>
          <w:sz w:val="30"/>
          <w:szCs w:val="30"/>
          <w:lang w:val="en-US" w:eastAsia="zh-CN"/>
        </w:rPr>
        <w:t xml:space="preserve">  </w:t>
      </w:r>
      <w:r>
        <w:rPr>
          <w:rStyle w:val="28"/>
          <w:rFonts w:hint="eastAsia"/>
          <w:sz w:val="30"/>
          <w:szCs w:val="30"/>
        </w:rPr>
        <w:t>名</w:t>
      </w:r>
      <w:r>
        <w:rPr>
          <w:rStyle w:val="28"/>
          <w:rFonts w:hint="eastAsia"/>
          <w:kern w:val="44"/>
          <w:sz w:val="30"/>
          <w:szCs w:val="30"/>
        </w:rPr>
        <w:t>词解释</w:t>
      </w:r>
      <w:r>
        <w:rPr>
          <w:sz w:val="30"/>
          <w:szCs w:val="30"/>
        </w:rPr>
        <w:fldChar w:fldCharType="end"/>
      </w:r>
      <w:r>
        <w:rPr>
          <w:rFonts w:hint="eastAsia"/>
          <w:sz w:val="30"/>
          <w:szCs w:val="30"/>
          <w:lang w:val="en-US" w:eastAsia="zh-CN"/>
        </w:rPr>
        <w:tab/>
      </w:r>
      <w:r>
        <w:rPr>
          <w:rFonts w:hint="eastAsia"/>
          <w:sz w:val="30"/>
          <w:szCs w:val="30"/>
          <w:lang w:val="en-US" w:eastAsia="zh-CN"/>
        </w:rPr>
        <w:t>21</w:t>
      </w:r>
    </w:p>
    <w:p w14:paraId="32D63C6F">
      <w:pPr>
        <w:pStyle w:val="16"/>
        <w:keepNext w:val="0"/>
        <w:keepLines w:val="0"/>
        <w:pageBreakBefore w:val="0"/>
        <w:tabs>
          <w:tab w:val="right" w:leader="dot" w:pos="8296"/>
        </w:tabs>
        <w:kinsoku/>
        <w:wordWrap/>
        <w:overflowPunct/>
        <w:topLinePunct w:val="0"/>
        <w:autoSpaceDE/>
        <w:autoSpaceDN/>
        <w:bidi w:val="0"/>
        <w:adjustRightInd/>
        <w:snapToGrid/>
        <w:ind w:left="0" w:leftChars="0" w:firstLine="0" w:firstLineChars="0"/>
        <w:jc w:val="both"/>
        <w:textAlignment w:val="auto"/>
        <w:rPr>
          <w:rFonts w:hint="default" w:eastAsia="仿宋" w:cs="Times New Roman"/>
          <w:sz w:val="30"/>
          <w:szCs w:val="30"/>
          <w:lang w:val="en-US" w:eastAsia="zh-CN"/>
        </w:rPr>
      </w:pPr>
      <w:r>
        <w:rPr>
          <w:sz w:val="30"/>
          <w:szCs w:val="30"/>
        </w:rPr>
        <w:fldChar w:fldCharType="begin"/>
      </w:r>
      <w:r>
        <w:rPr>
          <w:sz w:val="30"/>
          <w:szCs w:val="30"/>
        </w:rPr>
        <w:instrText xml:space="preserve"> HYPERLINK \l "_Toc15396614" </w:instrText>
      </w:r>
      <w:r>
        <w:rPr>
          <w:sz w:val="30"/>
          <w:szCs w:val="30"/>
        </w:rPr>
        <w:fldChar w:fldCharType="separate"/>
      </w:r>
      <w:r>
        <w:rPr>
          <w:rStyle w:val="28"/>
          <w:rFonts w:hint="eastAsia"/>
          <w:sz w:val="30"/>
          <w:szCs w:val="30"/>
        </w:rPr>
        <w:t>第</w:t>
      </w:r>
      <w:r>
        <w:rPr>
          <w:rStyle w:val="28"/>
          <w:rFonts w:hint="eastAsia"/>
          <w:kern w:val="44"/>
          <w:sz w:val="30"/>
          <w:szCs w:val="30"/>
        </w:rPr>
        <w:t>四部分</w:t>
      </w:r>
      <w:r>
        <w:rPr>
          <w:rStyle w:val="28"/>
          <w:rFonts w:hint="eastAsia"/>
          <w:kern w:val="44"/>
          <w:sz w:val="30"/>
          <w:szCs w:val="30"/>
          <w:lang w:val="en-US" w:eastAsia="zh-CN"/>
        </w:rPr>
        <w:t xml:space="preserve">  </w:t>
      </w:r>
      <w:r>
        <w:rPr>
          <w:rStyle w:val="28"/>
          <w:rFonts w:hint="eastAsia"/>
          <w:kern w:val="44"/>
          <w:sz w:val="30"/>
          <w:szCs w:val="30"/>
        </w:rPr>
        <w:t>附件</w:t>
      </w:r>
      <w:r>
        <w:rPr>
          <w:sz w:val="30"/>
          <w:szCs w:val="30"/>
        </w:rPr>
        <w:fldChar w:fldCharType="end"/>
      </w:r>
      <w:r>
        <w:rPr>
          <w:rFonts w:hint="eastAsia"/>
          <w:sz w:val="30"/>
          <w:szCs w:val="30"/>
          <w:lang w:val="en-US" w:eastAsia="zh-CN"/>
        </w:rPr>
        <w:tab/>
      </w:r>
      <w:r>
        <w:rPr>
          <w:rFonts w:hint="eastAsia"/>
          <w:sz w:val="30"/>
          <w:szCs w:val="30"/>
          <w:lang w:val="en-US" w:eastAsia="zh-CN"/>
        </w:rPr>
        <w:t>26</w:t>
      </w:r>
    </w:p>
    <w:p w14:paraId="4B93C5B1">
      <w:pPr>
        <w:pStyle w:val="16"/>
        <w:keepNext w:val="0"/>
        <w:keepLines w:val="0"/>
        <w:pageBreakBefore w:val="0"/>
        <w:tabs>
          <w:tab w:val="right" w:leader="dot" w:pos="8296"/>
        </w:tabs>
        <w:kinsoku/>
        <w:wordWrap/>
        <w:overflowPunct/>
        <w:topLinePunct w:val="0"/>
        <w:autoSpaceDE/>
        <w:autoSpaceDN/>
        <w:bidi w:val="0"/>
        <w:adjustRightInd/>
        <w:snapToGrid/>
        <w:ind w:left="0" w:leftChars="0" w:firstLine="0" w:firstLineChars="0"/>
        <w:jc w:val="both"/>
        <w:textAlignment w:val="auto"/>
        <w:rPr>
          <w:rFonts w:hint="default" w:eastAsia="仿宋" w:cs="Times New Roman"/>
          <w:sz w:val="30"/>
          <w:szCs w:val="30"/>
          <w:lang w:val="en-US" w:eastAsia="zh-CN"/>
        </w:rPr>
      </w:pPr>
      <w:r>
        <w:rPr>
          <w:sz w:val="30"/>
          <w:szCs w:val="30"/>
        </w:rPr>
        <w:fldChar w:fldCharType="begin"/>
      </w:r>
      <w:r>
        <w:rPr>
          <w:sz w:val="30"/>
          <w:szCs w:val="30"/>
        </w:rPr>
        <w:instrText xml:space="preserve"> HYPERLINK \l "_Toc15396618" </w:instrText>
      </w:r>
      <w:r>
        <w:rPr>
          <w:sz w:val="30"/>
          <w:szCs w:val="30"/>
        </w:rPr>
        <w:fldChar w:fldCharType="separate"/>
      </w:r>
      <w:r>
        <w:rPr>
          <w:rStyle w:val="28"/>
          <w:rFonts w:hint="eastAsia"/>
          <w:sz w:val="30"/>
          <w:szCs w:val="30"/>
        </w:rPr>
        <w:t>第</w:t>
      </w:r>
      <w:r>
        <w:rPr>
          <w:rStyle w:val="28"/>
          <w:rFonts w:hint="eastAsia"/>
          <w:kern w:val="44"/>
          <w:sz w:val="30"/>
          <w:szCs w:val="30"/>
        </w:rPr>
        <w:t>五部分</w:t>
      </w:r>
      <w:r>
        <w:rPr>
          <w:rStyle w:val="28"/>
          <w:rFonts w:hint="eastAsia"/>
          <w:kern w:val="44"/>
          <w:sz w:val="30"/>
          <w:szCs w:val="30"/>
          <w:lang w:val="en-US" w:eastAsia="zh-CN"/>
        </w:rPr>
        <w:t xml:space="preserve">  </w:t>
      </w:r>
      <w:r>
        <w:rPr>
          <w:rStyle w:val="28"/>
          <w:rFonts w:hint="eastAsia"/>
          <w:kern w:val="44"/>
          <w:sz w:val="30"/>
          <w:szCs w:val="30"/>
        </w:rPr>
        <w:t>附表</w:t>
      </w:r>
      <w:r>
        <w:rPr>
          <w:sz w:val="30"/>
          <w:szCs w:val="30"/>
        </w:rPr>
        <w:fldChar w:fldCharType="end"/>
      </w:r>
      <w:r>
        <w:rPr>
          <w:rFonts w:hint="eastAsia"/>
          <w:sz w:val="30"/>
          <w:szCs w:val="30"/>
          <w:lang w:val="en-US" w:eastAsia="zh-CN"/>
        </w:rPr>
        <w:tab/>
      </w:r>
      <w:r>
        <w:rPr>
          <w:rFonts w:hint="eastAsia"/>
          <w:sz w:val="30"/>
          <w:szCs w:val="30"/>
          <w:lang w:val="en-US" w:eastAsia="zh-CN"/>
        </w:rPr>
        <w:t>278</w:t>
      </w:r>
    </w:p>
    <w:p w14:paraId="5FE246BA">
      <w:pPr>
        <w:pStyle w:val="20"/>
        <w:keepNext w:val="0"/>
        <w:keepLines w:val="0"/>
        <w:pageBreakBefore w:val="0"/>
        <w:kinsoku/>
        <w:wordWrap/>
        <w:overflowPunct/>
        <w:topLinePunct w:val="0"/>
        <w:autoSpaceDE/>
        <w:autoSpaceDN/>
        <w:bidi w:val="0"/>
        <w:adjustRightInd/>
        <w:snapToGrid/>
        <w:ind w:left="0" w:leftChars="0" w:firstLine="0" w:firstLineChars="0"/>
        <w:textAlignment w:val="auto"/>
        <w:rPr>
          <w:rFonts w:hint="default" w:ascii="仿宋" w:hAnsi="仿宋" w:eastAsia="仿宋"/>
          <w:sz w:val="30"/>
          <w:szCs w:val="30"/>
          <w:lang w:val="en-US" w:eastAsia="zh-CN"/>
        </w:rPr>
      </w:pPr>
      <w:r>
        <w:rPr>
          <w:rFonts w:hint="eastAsia" w:ascii="仿宋" w:hAnsi="仿宋" w:eastAsia="仿宋" w:cs="仿宋"/>
          <w:sz w:val="30"/>
          <w:szCs w:val="30"/>
        </w:rPr>
        <w:t>一、</w:t>
      </w:r>
      <w:r>
        <w:rPr>
          <w:sz w:val="30"/>
          <w:szCs w:val="30"/>
        </w:rPr>
        <w:fldChar w:fldCharType="begin"/>
      </w:r>
      <w:r>
        <w:rPr>
          <w:sz w:val="30"/>
          <w:szCs w:val="30"/>
        </w:rPr>
        <w:instrText xml:space="preserve"> HYPERLINK \l "_Toc15396619" </w:instrText>
      </w:r>
      <w:r>
        <w:rPr>
          <w:sz w:val="30"/>
          <w:szCs w:val="30"/>
        </w:rPr>
        <w:fldChar w:fldCharType="separate"/>
      </w:r>
      <w:r>
        <w:rPr>
          <w:rStyle w:val="28"/>
          <w:rFonts w:hint="eastAsia" w:ascii="仿宋" w:hAnsi="仿宋" w:eastAsia="仿宋" w:cs="仿宋"/>
          <w:sz w:val="30"/>
          <w:szCs w:val="30"/>
        </w:rPr>
        <w:t>收入支出决算总表</w:t>
      </w:r>
      <w:r>
        <w:rPr>
          <w:rFonts w:ascii="仿宋" w:hAnsi="仿宋" w:eastAsia="仿宋" w:cs="仿宋"/>
          <w:sz w:val="30"/>
          <w:szCs w:val="30"/>
        </w:rPr>
        <w:fldChar w:fldCharType="end"/>
      </w:r>
      <w:r>
        <w:rPr>
          <w:rFonts w:hint="eastAsia" w:ascii="仿宋" w:hAnsi="仿宋" w:eastAsia="仿宋" w:cs="仿宋"/>
          <w:sz w:val="30"/>
          <w:szCs w:val="30"/>
          <w:lang w:val="en-US" w:eastAsia="zh-CN"/>
        </w:rPr>
        <w:tab/>
      </w:r>
      <w:r>
        <w:rPr>
          <w:rFonts w:hint="eastAsia" w:ascii="仿宋" w:hAnsi="仿宋" w:eastAsia="仿宋" w:cs="仿宋"/>
          <w:sz w:val="30"/>
          <w:szCs w:val="30"/>
          <w:lang w:val="en-US" w:eastAsia="zh-CN"/>
        </w:rPr>
        <w:t>278</w:t>
      </w:r>
    </w:p>
    <w:p w14:paraId="225170CF">
      <w:pPr>
        <w:pStyle w:val="20"/>
        <w:keepNext w:val="0"/>
        <w:keepLines w:val="0"/>
        <w:pageBreakBefore w:val="0"/>
        <w:kinsoku/>
        <w:wordWrap/>
        <w:overflowPunct/>
        <w:topLinePunct w:val="0"/>
        <w:autoSpaceDE/>
        <w:autoSpaceDN/>
        <w:bidi w:val="0"/>
        <w:adjustRightInd/>
        <w:snapToGrid/>
        <w:ind w:left="0" w:leftChars="0" w:firstLine="0" w:firstLineChars="0"/>
        <w:textAlignment w:val="auto"/>
        <w:rPr>
          <w:rFonts w:hint="default" w:ascii="仿宋" w:hAnsi="仿宋" w:eastAsia="仿宋"/>
          <w:sz w:val="30"/>
          <w:szCs w:val="30"/>
          <w:lang w:val="en-US" w:eastAsia="zh-CN"/>
        </w:rPr>
      </w:pPr>
      <w:r>
        <w:rPr>
          <w:rFonts w:hint="eastAsia" w:ascii="仿宋" w:hAnsi="仿宋" w:eastAsia="仿宋" w:cs="仿宋"/>
          <w:sz w:val="30"/>
          <w:szCs w:val="30"/>
        </w:rPr>
        <w:t>二、</w:t>
      </w:r>
      <w:r>
        <w:rPr>
          <w:sz w:val="30"/>
          <w:szCs w:val="30"/>
        </w:rPr>
        <w:fldChar w:fldCharType="begin"/>
      </w:r>
      <w:r>
        <w:rPr>
          <w:sz w:val="30"/>
          <w:szCs w:val="30"/>
        </w:rPr>
        <w:instrText xml:space="preserve"> HYPERLINK \l "_Toc15396620" </w:instrText>
      </w:r>
      <w:r>
        <w:rPr>
          <w:sz w:val="30"/>
          <w:szCs w:val="30"/>
        </w:rPr>
        <w:fldChar w:fldCharType="separate"/>
      </w:r>
      <w:r>
        <w:rPr>
          <w:rStyle w:val="28"/>
          <w:rFonts w:hint="eastAsia" w:ascii="仿宋" w:hAnsi="仿宋" w:eastAsia="仿宋" w:cs="仿宋"/>
          <w:sz w:val="30"/>
          <w:szCs w:val="30"/>
        </w:rPr>
        <w:t>收入</w:t>
      </w:r>
      <w:r>
        <w:rPr>
          <w:rStyle w:val="28"/>
          <w:rFonts w:hint="eastAsia" w:ascii="仿宋" w:hAnsi="仿宋" w:eastAsia="仿宋" w:cs="仿宋"/>
          <w:sz w:val="30"/>
          <w:szCs w:val="30"/>
          <w:lang w:eastAsia="zh-CN"/>
        </w:rPr>
        <w:t>决算</w:t>
      </w:r>
      <w:r>
        <w:rPr>
          <w:rStyle w:val="28"/>
          <w:rFonts w:hint="eastAsia" w:ascii="仿宋" w:hAnsi="仿宋" w:eastAsia="仿宋" w:cs="仿宋"/>
          <w:sz w:val="30"/>
          <w:szCs w:val="30"/>
        </w:rPr>
        <w:t>表</w:t>
      </w:r>
      <w:r>
        <w:rPr>
          <w:rFonts w:ascii="仿宋" w:hAnsi="仿宋" w:eastAsia="仿宋" w:cs="仿宋"/>
          <w:sz w:val="30"/>
          <w:szCs w:val="30"/>
        </w:rPr>
        <w:fldChar w:fldCharType="end"/>
      </w:r>
      <w:r>
        <w:rPr>
          <w:rFonts w:hint="eastAsia" w:ascii="仿宋" w:hAnsi="仿宋" w:eastAsia="仿宋" w:cs="仿宋"/>
          <w:sz w:val="30"/>
          <w:szCs w:val="30"/>
          <w:lang w:val="en-US" w:eastAsia="zh-CN"/>
        </w:rPr>
        <w:tab/>
      </w:r>
      <w:r>
        <w:rPr>
          <w:rFonts w:hint="eastAsia" w:ascii="仿宋" w:hAnsi="仿宋" w:eastAsia="仿宋" w:cs="仿宋"/>
          <w:sz w:val="30"/>
          <w:szCs w:val="30"/>
          <w:lang w:val="en-US" w:eastAsia="zh-CN"/>
        </w:rPr>
        <w:t>278</w:t>
      </w:r>
    </w:p>
    <w:p w14:paraId="5C65C255">
      <w:pPr>
        <w:pStyle w:val="20"/>
        <w:keepNext w:val="0"/>
        <w:keepLines w:val="0"/>
        <w:pageBreakBefore w:val="0"/>
        <w:kinsoku/>
        <w:wordWrap/>
        <w:overflowPunct/>
        <w:topLinePunct w:val="0"/>
        <w:autoSpaceDE/>
        <w:autoSpaceDN/>
        <w:bidi w:val="0"/>
        <w:adjustRightInd/>
        <w:snapToGrid/>
        <w:ind w:left="0" w:leftChars="0" w:firstLine="0" w:firstLineChars="0"/>
        <w:textAlignment w:val="auto"/>
        <w:rPr>
          <w:rFonts w:hint="default" w:ascii="仿宋" w:hAnsi="仿宋" w:eastAsia="仿宋"/>
          <w:sz w:val="30"/>
          <w:szCs w:val="30"/>
          <w:lang w:val="en-US" w:eastAsia="zh-CN"/>
        </w:rPr>
      </w:pPr>
      <w:r>
        <w:rPr>
          <w:rFonts w:hint="eastAsia" w:ascii="仿宋" w:hAnsi="仿宋" w:eastAsia="仿宋" w:cs="仿宋"/>
          <w:sz w:val="30"/>
          <w:szCs w:val="30"/>
        </w:rPr>
        <w:t>三、</w:t>
      </w:r>
      <w:r>
        <w:rPr>
          <w:sz w:val="30"/>
          <w:szCs w:val="30"/>
        </w:rPr>
        <w:fldChar w:fldCharType="begin"/>
      </w:r>
      <w:r>
        <w:rPr>
          <w:sz w:val="30"/>
          <w:szCs w:val="30"/>
        </w:rPr>
        <w:instrText xml:space="preserve"> HYPERLINK \l "_Toc15396621" </w:instrText>
      </w:r>
      <w:r>
        <w:rPr>
          <w:sz w:val="30"/>
          <w:szCs w:val="30"/>
        </w:rPr>
        <w:fldChar w:fldCharType="separate"/>
      </w:r>
      <w:r>
        <w:rPr>
          <w:rStyle w:val="28"/>
          <w:rFonts w:hint="eastAsia" w:ascii="仿宋" w:hAnsi="仿宋" w:eastAsia="仿宋" w:cs="仿宋"/>
          <w:sz w:val="30"/>
          <w:szCs w:val="30"/>
        </w:rPr>
        <w:t>支出</w:t>
      </w:r>
      <w:r>
        <w:rPr>
          <w:rStyle w:val="28"/>
          <w:rFonts w:hint="eastAsia" w:ascii="仿宋" w:hAnsi="仿宋" w:eastAsia="仿宋" w:cs="仿宋"/>
          <w:sz w:val="30"/>
          <w:szCs w:val="30"/>
          <w:lang w:eastAsia="zh-CN"/>
        </w:rPr>
        <w:t>决算</w:t>
      </w:r>
      <w:r>
        <w:rPr>
          <w:rStyle w:val="28"/>
          <w:rFonts w:hint="eastAsia" w:ascii="仿宋" w:hAnsi="仿宋" w:eastAsia="仿宋" w:cs="仿宋"/>
          <w:sz w:val="30"/>
          <w:szCs w:val="30"/>
        </w:rPr>
        <w:t>表</w:t>
      </w:r>
      <w:r>
        <w:rPr>
          <w:rFonts w:ascii="仿宋" w:hAnsi="仿宋" w:eastAsia="仿宋" w:cs="仿宋"/>
          <w:sz w:val="30"/>
          <w:szCs w:val="30"/>
        </w:rPr>
        <w:fldChar w:fldCharType="end"/>
      </w:r>
      <w:r>
        <w:rPr>
          <w:rFonts w:hint="eastAsia" w:ascii="仿宋" w:hAnsi="仿宋" w:eastAsia="仿宋" w:cs="仿宋"/>
          <w:sz w:val="30"/>
          <w:szCs w:val="30"/>
          <w:lang w:val="en-US" w:eastAsia="zh-CN"/>
        </w:rPr>
        <w:tab/>
      </w:r>
      <w:r>
        <w:rPr>
          <w:rFonts w:hint="eastAsia" w:ascii="仿宋" w:hAnsi="仿宋" w:eastAsia="仿宋" w:cs="仿宋"/>
          <w:sz w:val="30"/>
          <w:szCs w:val="30"/>
          <w:lang w:val="en-US" w:eastAsia="zh-CN"/>
        </w:rPr>
        <w:t>278</w:t>
      </w:r>
    </w:p>
    <w:p w14:paraId="29F0BC07">
      <w:pPr>
        <w:pStyle w:val="20"/>
        <w:keepNext w:val="0"/>
        <w:keepLines w:val="0"/>
        <w:pageBreakBefore w:val="0"/>
        <w:kinsoku/>
        <w:wordWrap/>
        <w:overflowPunct/>
        <w:topLinePunct w:val="0"/>
        <w:autoSpaceDE/>
        <w:autoSpaceDN/>
        <w:bidi w:val="0"/>
        <w:adjustRightInd/>
        <w:snapToGrid/>
        <w:ind w:left="0" w:leftChars="0" w:firstLine="0" w:firstLineChars="0"/>
        <w:textAlignment w:val="auto"/>
        <w:rPr>
          <w:rFonts w:hint="default" w:ascii="仿宋" w:hAnsi="仿宋" w:eastAsia="仿宋"/>
          <w:sz w:val="30"/>
          <w:szCs w:val="30"/>
          <w:lang w:val="en-US" w:eastAsia="zh-CN"/>
        </w:rPr>
      </w:pPr>
      <w:r>
        <w:rPr>
          <w:rFonts w:hint="eastAsia" w:ascii="仿宋" w:hAnsi="仿宋" w:eastAsia="仿宋" w:cs="仿宋"/>
          <w:sz w:val="30"/>
          <w:szCs w:val="30"/>
        </w:rPr>
        <w:t>四、</w:t>
      </w:r>
      <w:r>
        <w:rPr>
          <w:sz w:val="30"/>
          <w:szCs w:val="30"/>
        </w:rPr>
        <w:fldChar w:fldCharType="begin"/>
      </w:r>
      <w:r>
        <w:rPr>
          <w:sz w:val="30"/>
          <w:szCs w:val="30"/>
        </w:rPr>
        <w:instrText xml:space="preserve"> HYPERLINK \l "_Toc15396622" </w:instrText>
      </w:r>
      <w:r>
        <w:rPr>
          <w:sz w:val="30"/>
          <w:szCs w:val="30"/>
        </w:rPr>
        <w:fldChar w:fldCharType="separate"/>
      </w:r>
      <w:r>
        <w:rPr>
          <w:rStyle w:val="28"/>
          <w:rFonts w:hint="eastAsia" w:ascii="仿宋" w:hAnsi="仿宋" w:eastAsia="仿宋" w:cs="仿宋"/>
          <w:sz w:val="30"/>
          <w:szCs w:val="30"/>
        </w:rPr>
        <w:t>财政拨款收入支出决算总表</w:t>
      </w:r>
      <w:r>
        <w:rPr>
          <w:rFonts w:ascii="仿宋" w:hAnsi="仿宋" w:eastAsia="仿宋" w:cs="仿宋"/>
          <w:sz w:val="30"/>
          <w:szCs w:val="30"/>
        </w:rPr>
        <w:fldChar w:fldCharType="end"/>
      </w:r>
      <w:r>
        <w:rPr>
          <w:rFonts w:hint="eastAsia" w:ascii="仿宋" w:hAnsi="仿宋" w:eastAsia="仿宋" w:cs="仿宋"/>
          <w:sz w:val="30"/>
          <w:szCs w:val="30"/>
          <w:lang w:val="en-US" w:eastAsia="zh-CN"/>
        </w:rPr>
        <w:tab/>
      </w:r>
      <w:r>
        <w:rPr>
          <w:rFonts w:hint="eastAsia" w:ascii="仿宋" w:hAnsi="仿宋" w:eastAsia="仿宋" w:cs="仿宋"/>
          <w:sz w:val="30"/>
          <w:szCs w:val="30"/>
          <w:lang w:val="en-US" w:eastAsia="zh-CN"/>
        </w:rPr>
        <w:t>278</w:t>
      </w:r>
    </w:p>
    <w:p w14:paraId="0F90A208">
      <w:pPr>
        <w:pStyle w:val="20"/>
        <w:keepNext w:val="0"/>
        <w:keepLines w:val="0"/>
        <w:pageBreakBefore w:val="0"/>
        <w:kinsoku/>
        <w:wordWrap/>
        <w:overflowPunct/>
        <w:topLinePunct w:val="0"/>
        <w:autoSpaceDE/>
        <w:autoSpaceDN/>
        <w:bidi w:val="0"/>
        <w:adjustRightInd/>
        <w:snapToGrid/>
        <w:ind w:left="0" w:leftChars="0" w:firstLine="0" w:firstLineChars="0"/>
        <w:textAlignment w:val="auto"/>
        <w:rPr>
          <w:rFonts w:hint="default" w:ascii="仿宋" w:hAnsi="仿宋" w:eastAsia="仿宋"/>
          <w:sz w:val="30"/>
          <w:szCs w:val="30"/>
          <w:lang w:val="en-US" w:eastAsia="zh-CN"/>
        </w:rPr>
      </w:pPr>
      <w:r>
        <w:rPr>
          <w:rFonts w:hint="eastAsia" w:ascii="仿宋" w:hAnsi="仿宋" w:eastAsia="仿宋" w:cs="仿宋"/>
          <w:sz w:val="30"/>
          <w:szCs w:val="30"/>
        </w:rPr>
        <w:t>五、</w:t>
      </w:r>
      <w:r>
        <w:rPr>
          <w:sz w:val="30"/>
          <w:szCs w:val="30"/>
        </w:rPr>
        <w:fldChar w:fldCharType="begin"/>
      </w:r>
      <w:r>
        <w:rPr>
          <w:sz w:val="30"/>
          <w:szCs w:val="30"/>
        </w:rPr>
        <w:instrText xml:space="preserve"> HYPERLINK \l "_Toc15396623" </w:instrText>
      </w:r>
      <w:r>
        <w:rPr>
          <w:sz w:val="30"/>
          <w:szCs w:val="30"/>
        </w:rPr>
        <w:fldChar w:fldCharType="separate"/>
      </w:r>
      <w:r>
        <w:rPr>
          <w:rFonts w:hint="eastAsia" w:ascii="仿宋" w:hAnsi="仿宋" w:eastAsia="仿宋" w:cs="仿宋"/>
          <w:sz w:val="30"/>
          <w:szCs w:val="30"/>
        </w:rPr>
        <w:t>财政拨款支出决算明细表</w:t>
      </w:r>
      <w:r>
        <w:rPr>
          <w:rFonts w:ascii="仿宋" w:hAnsi="仿宋" w:eastAsia="仿宋" w:cs="仿宋"/>
          <w:sz w:val="30"/>
          <w:szCs w:val="30"/>
        </w:rPr>
        <w:fldChar w:fldCharType="end"/>
      </w:r>
      <w:r>
        <w:rPr>
          <w:rFonts w:hint="eastAsia" w:ascii="仿宋" w:hAnsi="仿宋" w:eastAsia="仿宋" w:cs="仿宋"/>
          <w:sz w:val="30"/>
          <w:szCs w:val="30"/>
          <w:lang w:val="en-US" w:eastAsia="zh-CN"/>
        </w:rPr>
        <w:tab/>
      </w:r>
      <w:r>
        <w:rPr>
          <w:rFonts w:hint="eastAsia" w:ascii="仿宋" w:hAnsi="仿宋" w:eastAsia="仿宋" w:cs="仿宋"/>
          <w:sz w:val="30"/>
          <w:szCs w:val="30"/>
          <w:lang w:val="en-US" w:eastAsia="zh-CN"/>
        </w:rPr>
        <w:t>278</w:t>
      </w:r>
    </w:p>
    <w:p w14:paraId="6D2130C4">
      <w:pPr>
        <w:pStyle w:val="20"/>
        <w:keepNext w:val="0"/>
        <w:keepLines w:val="0"/>
        <w:pageBreakBefore w:val="0"/>
        <w:kinsoku/>
        <w:wordWrap/>
        <w:overflowPunct/>
        <w:topLinePunct w:val="0"/>
        <w:autoSpaceDE/>
        <w:autoSpaceDN/>
        <w:bidi w:val="0"/>
        <w:adjustRightInd/>
        <w:snapToGrid/>
        <w:ind w:left="0" w:leftChars="0" w:firstLine="0" w:firstLineChars="0"/>
        <w:textAlignment w:val="auto"/>
        <w:rPr>
          <w:rFonts w:hint="default" w:ascii="仿宋" w:hAnsi="仿宋" w:eastAsia="仿宋"/>
          <w:sz w:val="30"/>
          <w:szCs w:val="30"/>
          <w:lang w:val="en-US" w:eastAsia="zh-CN"/>
        </w:rPr>
      </w:pPr>
      <w:r>
        <w:rPr>
          <w:rFonts w:hint="eastAsia" w:ascii="仿宋" w:hAnsi="仿宋" w:eastAsia="仿宋" w:cs="仿宋"/>
          <w:sz w:val="30"/>
          <w:szCs w:val="30"/>
        </w:rPr>
        <w:t>六、</w:t>
      </w:r>
      <w:r>
        <w:rPr>
          <w:sz w:val="30"/>
          <w:szCs w:val="30"/>
        </w:rPr>
        <w:fldChar w:fldCharType="begin"/>
      </w:r>
      <w:r>
        <w:rPr>
          <w:sz w:val="30"/>
          <w:szCs w:val="30"/>
        </w:rPr>
        <w:instrText xml:space="preserve"> HYPERLINK \l "_Toc15396624" </w:instrText>
      </w:r>
      <w:r>
        <w:rPr>
          <w:sz w:val="30"/>
          <w:szCs w:val="30"/>
        </w:rPr>
        <w:fldChar w:fldCharType="separate"/>
      </w:r>
      <w:r>
        <w:rPr>
          <w:rStyle w:val="28"/>
          <w:rFonts w:hint="eastAsia" w:ascii="仿宋" w:hAnsi="仿宋" w:eastAsia="仿宋" w:cs="仿宋"/>
          <w:sz w:val="30"/>
          <w:szCs w:val="30"/>
        </w:rPr>
        <w:t>一般公共预算财政拨款支出决算表</w:t>
      </w:r>
      <w:r>
        <w:rPr>
          <w:rFonts w:ascii="仿宋" w:hAnsi="仿宋" w:eastAsia="仿宋" w:cs="仿宋"/>
          <w:sz w:val="30"/>
          <w:szCs w:val="30"/>
        </w:rPr>
        <w:fldChar w:fldCharType="end"/>
      </w:r>
      <w:r>
        <w:rPr>
          <w:rFonts w:hint="eastAsia" w:ascii="仿宋" w:hAnsi="仿宋" w:eastAsia="仿宋" w:cs="仿宋"/>
          <w:sz w:val="30"/>
          <w:szCs w:val="30"/>
          <w:lang w:val="en-US" w:eastAsia="zh-CN"/>
        </w:rPr>
        <w:tab/>
      </w:r>
      <w:r>
        <w:rPr>
          <w:rFonts w:hint="eastAsia" w:ascii="仿宋" w:hAnsi="仿宋" w:eastAsia="仿宋" w:cs="仿宋"/>
          <w:sz w:val="30"/>
          <w:szCs w:val="30"/>
          <w:lang w:val="en-US" w:eastAsia="zh-CN"/>
        </w:rPr>
        <w:t>278</w:t>
      </w:r>
    </w:p>
    <w:p w14:paraId="07F1334F">
      <w:pPr>
        <w:pStyle w:val="20"/>
        <w:keepNext w:val="0"/>
        <w:keepLines w:val="0"/>
        <w:pageBreakBefore w:val="0"/>
        <w:kinsoku/>
        <w:wordWrap/>
        <w:overflowPunct/>
        <w:topLinePunct w:val="0"/>
        <w:autoSpaceDE/>
        <w:autoSpaceDN/>
        <w:bidi w:val="0"/>
        <w:adjustRightInd/>
        <w:snapToGrid/>
        <w:ind w:left="0" w:leftChars="0" w:firstLine="0" w:firstLineChars="0"/>
        <w:textAlignment w:val="auto"/>
        <w:rPr>
          <w:rFonts w:hint="default" w:ascii="仿宋" w:hAnsi="仿宋" w:eastAsia="仿宋"/>
          <w:sz w:val="30"/>
          <w:szCs w:val="30"/>
          <w:lang w:val="en-US" w:eastAsia="zh-CN"/>
        </w:rPr>
      </w:pPr>
      <w:r>
        <w:rPr>
          <w:rFonts w:hint="eastAsia" w:ascii="仿宋" w:hAnsi="仿宋" w:eastAsia="仿宋" w:cs="仿宋"/>
          <w:sz w:val="30"/>
          <w:szCs w:val="30"/>
        </w:rPr>
        <w:t>七、</w:t>
      </w:r>
      <w:r>
        <w:rPr>
          <w:sz w:val="30"/>
          <w:szCs w:val="30"/>
        </w:rPr>
        <w:fldChar w:fldCharType="begin"/>
      </w:r>
      <w:r>
        <w:rPr>
          <w:sz w:val="30"/>
          <w:szCs w:val="30"/>
        </w:rPr>
        <w:instrText xml:space="preserve"> HYPERLINK \l "_Toc15396625" </w:instrText>
      </w:r>
      <w:r>
        <w:rPr>
          <w:sz w:val="30"/>
          <w:szCs w:val="30"/>
        </w:rPr>
        <w:fldChar w:fldCharType="separate"/>
      </w:r>
      <w:r>
        <w:rPr>
          <w:rStyle w:val="28"/>
          <w:rFonts w:hint="eastAsia" w:ascii="仿宋" w:hAnsi="仿宋" w:eastAsia="仿宋" w:cs="仿宋"/>
          <w:sz w:val="30"/>
          <w:szCs w:val="30"/>
        </w:rPr>
        <w:t>一般公共预算财政拨款支出决算明细表</w:t>
      </w:r>
      <w:r>
        <w:rPr>
          <w:rFonts w:ascii="仿宋" w:hAnsi="仿宋" w:eastAsia="仿宋" w:cs="仿宋"/>
          <w:sz w:val="30"/>
          <w:szCs w:val="30"/>
        </w:rPr>
        <w:fldChar w:fldCharType="end"/>
      </w:r>
      <w:r>
        <w:rPr>
          <w:rFonts w:hint="eastAsia" w:ascii="仿宋" w:hAnsi="仿宋" w:eastAsia="仿宋" w:cs="仿宋"/>
          <w:sz w:val="30"/>
          <w:szCs w:val="30"/>
          <w:lang w:val="en-US" w:eastAsia="zh-CN"/>
        </w:rPr>
        <w:tab/>
      </w:r>
      <w:r>
        <w:rPr>
          <w:rFonts w:hint="eastAsia" w:ascii="仿宋" w:hAnsi="仿宋" w:eastAsia="仿宋" w:cs="仿宋"/>
          <w:sz w:val="30"/>
          <w:szCs w:val="30"/>
          <w:lang w:val="en-US" w:eastAsia="zh-CN"/>
        </w:rPr>
        <w:t>278</w:t>
      </w:r>
    </w:p>
    <w:p w14:paraId="7BE5AE8E">
      <w:pPr>
        <w:pStyle w:val="20"/>
        <w:keepNext w:val="0"/>
        <w:keepLines w:val="0"/>
        <w:pageBreakBefore w:val="0"/>
        <w:kinsoku/>
        <w:wordWrap/>
        <w:overflowPunct/>
        <w:topLinePunct w:val="0"/>
        <w:autoSpaceDE/>
        <w:autoSpaceDN/>
        <w:bidi w:val="0"/>
        <w:adjustRightInd/>
        <w:snapToGrid/>
        <w:ind w:left="0" w:leftChars="0" w:firstLine="0" w:firstLineChars="0"/>
        <w:textAlignment w:val="auto"/>
        <w:rPr>
          <w:rFonts w:hint="default" w:ascii="仿宋" w:hAnsi="仿宋" w:eastAsia="仿宋"/>
          <w:sz w:val="30"/>
          <w:szCs w:val="30"/>
          <w:lang w:val="en-US" w:eastAsia="zh-CN"/>
        </w:rPr>
      </w:pPr>
      <w:r>
        <w:rPr>
          <w:rFonts w:hint="eastAsia" w:ascii="仿宋" w:hAnsi="仿宋" w:eastAsia="仿宋" w:cs="仿宋"/>
          <w:sz w:val="30"/>
          <w:szCs w:val="30"/>
        </w:rPr>
        <w:t>八、</w:t>
      </w:r>
      <w:r>
        <w:rPr>
          <w:sz w:val="30"/>
          <w:szCs w:val="30"/>
        </w:rPr>
        <w:fldChar w:fldCharType="begin"/>
      </w:r>
      <w:r>
        <w:rPr>
          <w:sz w:val="30"/>
          <w:szCs w:val="30"/>
        </w:rPr>
        <w:instrText xml:space="preserve"> HYPERLINK \l "_Toc15396626" </w:instrText>
      </w:r>
      <w:r>
        <w:rPr>
          <w:sz w:val="30"/>
          <w:szCs w:val="30"/>
        </w:rPr>
        <w:fldChar w:fldCharType="separate"/>
      </w:r>
      <w:r>
        <w:rPr>
          <w:rStyle w:val="28"/>
          <w:rFonts w:hint="eastAsia" w:ascii="仿宋" w:hAnsi="仿宋" w:eastAsia="仿宋" w:cs="仿宋"/>
          <w:sz w:val="30"/>
          <w:szCs w:val="30"/>
        </w:rPr>
        <w:t>一般公共预算财政拨款基本支出决算表</w:t>
      </w:r>
      <w:r>
        <w:rPr>
          <w:rFonts w:ascii="仿宋" w:hAnsi="仿宋" w:eastAsia="仿宋" w:cs="仿宋"/>
          <w:sz w:val="30"/>
          <w:szCs w:val="30"/>
        </w:rPr>
        <w:fldChar w:fldCharType="end"/>
      </w:r>
      <w:r>
        <w:rPr>
          <w:rFonts w:hint="eastAsia" w:ascii="仿宋" w:hAnsi="仿宋" w:eastAsia="仿宋" w:cs="仿宋"/>
          <w:sz w:val="30"/>
          <w:szCs w:val="30"/>
          <w:lang w:val="en-US" w:eastAsia="zh-CN"/>
        </w:rPr>
        <w:tab/>
      </w:r>
      <w:r>
        <w:rPr>
          <w:rFonts w:hint="eastAsia" w:ascii="仿宋" w:hAnsi="仿宋" w:eastAsia="仿宋" w:cs="仿宋"/>
          <w:sz w:val="30"/>
          <w:szCs w:val="30"/>
          <w:lang w:val="en-US" w:eastAsia="zh-CN"/>
        </w:rPr>
        <w:t>278</w:t>
      </w:r>
    </w:p>
    <w:p w14:paraId="5DBE8FEC">
      <w:pPr>
        <w:pStyle w:val="20"/>
        <w:keepNext w:val="0"/>
        <w:keepLines w:val="0"/>
        <w:pageBreakBefore w:val="0"/>
        <w:kinsoku/>
        <w:wordWrap/>
        <w:overflowPunct/>
        <w:topLinePunct w:val="0"/>
        <w:autoSpaceDE/>
        <w:autoSpaceDN/>
        <w:bidi w:val="0"/>
        <w:adjustRightInd/>
        <w:snapToGrid/>
        <w:ind w:left="0" w:leftChars="0" w:firstLine="0" w:firstLineChars="0"/>
        <w:textAlignment w:val="auto"/>
        <w:rPr>
          <w:rFonts w:hint="default" w:ascii="仿宋" w:hAnsi="仿宋" w:eastAsia="仿宋"/>
          <w:sz w:val="30"/>
          <w:szCs w:val="30"/>
          <w:lang w:val="en-US" w:eastAsia="zh-CN"/>
        </w:rPr>
      </w:pPr>
      <w:r>
        <w:rPr>
          <w:rFonts w:hint="eastAsia" w:ascii="仿宋" w:hAnsi="仿宋" w:eastAsia="仿宋" w:cs="仿宋"/>
          <w:sz w:val="30"/>
          <w:szCs w:val="30"/>
        </w:rPr>
        <w:t>九、</w:t>
      </w:r>
      <w:r>
        <w:rPr>
          <w:sz w:val="30"/>
          <w:szCs w:val="30"/>
        </w:rPr>
        <w:fldChar w:fldCharType="begin"/>
      </w:r>
      <w:r>
        <w:rPr>
          <w:sz w:val="30"/>
          <w:szCs w:val="30"/>
        </w:rPr>
        <w:instrText xml:space="preserve"> HYPERLINK \l "_Toc15396627" </w:instrText>
      </w:r>
      <w:r>
        <w:rPr>
          <w:sz w:val="30"/>
          <w:szCs w:val="30"/>
        </w:rPr>
        <w:fldChar w:fldCharType="separate"/>
      </w:r>
      <w:r>
        <w:rPr>
          <w:rStyle w:val="28"/>
          <w:rFonts w:hint="eastAsia" w:ascii="仿宋" w:hAnsi="仿宋" w:eastAsia="仿宋" w:cs="仿宋"/>
          <w:sz w:val="30"/>
          <w:szCs w:val="30"/>
        </w:rPr>
        <w:t>一般公共预算财政拨款项目支出决算表</w:t>
      </w:r>
      <w:r>
        <w:rPr>
          <w:rFonts w:ascii="仿宋" w:hAnsi="仿宋" w:eastAsia="仿宋" w:cs="仿宋"/>
          <w:sz w:val="30"/>
          <w:szCs w:val="30"/>
        </w:rPr>
        <w:fldChar w:fldCharType="end"/>
      </w:r>
      <w:r>
        <w:rPr>
          <w:rFonts w:hint="eastAsia" w:ascii="仿宋" w:hAnsi="仿宋" w:eastAsia="仿宋" w:cs="仿宋"/>
          <w:sz w:val="30"/>
          <w:szCs w:val="30"/>
          <w:lang w:val="en-US" w:eastAsia="zh-CN"/>
        </w:rPr>
        <w:tab/>
      </w:r>
      <w:r>
        <w:rPr>
          <w:rFonts w:hint="eastAsia" w:ascii="仿宋" w:hAnsi="仿宋" w:eastAsia="仿宋" w:cs="仿宋"/>
          <w:sz w:val="30"/>
          <w:szCs w:val="30"/>
          <w:lang w:val="en-US" w:eastAsia="zh-CN"/>
        </w:rPr>
        <w:t>278</w:t>
      </w:r>
    </w:p>
    <w:p w14:paraId="216F6B18">
      <w:pPr>
        <w:pStyle w:val="20"/>
        <w:keepNext w:val="0"/>
        <w:keepLines w:val="0"/>
        <w:pageBreakBefore w:val="0"/>
        <w:kinsoku/>
        <w:wordWrap/>
        <w:overflowPunct/>
        <w:topLinePunct w:val="0"/>
        <w:autoSpaceDE/>
        <w:autoSpaceDN/>
        <w:bidi w:val="0"/>
        <w:adjustRightInd/>
        <w:snapToGrid/>
        <w:ind w:left="0" w:leftChars="0" w:firstLine="0" w:firstLineChars="0"/>
        <w:textAlignment w:val="auto"/>
        <w:rPr>
          <w:rFonts w:hint="default" w:ascii="仿宋" w:hAnsi="仿宋" w:eastAsia="仿宋" w:cs="仿宋"/>
          <w:sz w:val="30"/>
          <w:szCs w:val="30"/>
          <w:lang w:val="en-US" w:eastAsia="zh-CN"/>
        </w:rPr>
      </w:pPr>
      <w:r>
        <w:rPr>
          <w:rFonts w:hint="eastAsia" w:ascii="仿宋" w:hAnsi="仿宋" w:eastAsia="仿宋" w:cs="仿宋"/>
          <w:sz w:val="30"/>
          <w:szCs w:val="30"/>
        </w:rPr>
        <w:t>十、</w:t>
      </w:r>
      <w:r>
        <w:rPr>
          <w:rFonts w:hint="eastAsia" w:eastAsia="仿宋"/>
          <w:sz w:val="30"/>
          <w:szCs w:val="30"/>
          <w:lang w:eastAsia="zh-CN"/>
        </w:rPr>
        <w:t>政府性基金预算财政拨款收支出决算表</w:t>
      </w:r>
      <w:r>
        <w:rPr>
          <w:rFonts w:hint="eastAsia" w:ascii="仿宋" w:hAnsi="仿宋" w:eastAsia="仿宋" w:cs="仿宋"/>
          <w:sz w:val="30"/>
          <w:szCs w:val="30"/>
          <w:lang w:val="en-US" w:eastAsia="zh-CN"/>
        </w:rPr>
        <w:tab/>
      </w:r>
      <w:r>
        <w:rPr>
          <w:rFonts w:hint="eastAsia" w:ascii="仿宋" w:hAnsi="仿宋" w:eastAsia="仿宋" w:cs="仿宋"/>
          <w:sz w:val="30"/>
          <w:szCs w:val="30"/>
          <w:lang w:val="en-US" w:eastAsia="zh-CN"/>
        </w:rPr>
        <w:t>278</w:t>
      </w:r>
    </w:p>
    <w:p w14:paraId="230973BD">
      <w:pPr>
        <w:pStyle w:val="20"/>
        <w:keepNext w:val="0"/>
        <w:keepLines w:val="0"/>
        <w:pageBreakBefore w:val="0"/>
        <w:kinsoku/>
        <w:wordWrap/>
        <w:overflowPunct/>
        <w:topLinePunct w:val="0"/>
        <w:autoSpaceDE/>
        <w:autoSpaceDN/>
        <w:bidi w:val="0"/>
        <w:adjustRightInd/>
        <w:snapToGrid/>
        <w:ind w:left="0" w:leftChars="0" w:firstLine="0" w:firstLineChars="0"/>
        <w:textAlignment w:val="auto"/>
        <w:rPr>
          <w:rFonts w:hint="default" w:ascii="仿宋" w:hAnsi="仿宋" w:eastAsia="仿宋"/>
          <w:sz w:val="30"/>
          <w:szCs w:val="30"/>
          <w:lang w:val="en-US" w:eastAsia="zh-CN"/>
        </w:rPr>
      </w:pPr>
      <w:r>
        <w:rPr>
          <w:rFonts w:hint="eastAsia" w:ascii="仿宋" w:hAnsi="仿宋" w:eastAsia="仿宋" w:cs="仿宋"/>
          <w:sz w:val="30"/>
          <w:szCs w:val="30"/>
        </w:rPr>
        <w:t>十一、</w:t>
      </w:r>
      <w:r>
        <w:rPr>
          <w:sz w:val="30"/>
          <w:szCs w:val="30"/>
        </w:rPr>
        <w:fldChar w:fldCharType="begin"/>
      </w:r>
      <w:r>
        <w:rPr>
          <w:sz w:val="30"/>
          <w:szCs w:val="30"/>
        </w:rPr>
        <w:instrText xml:space="preserve"> HYPERLINK \l "_Toc15396629" </w:instrText>
      </w:r>
      <w:r>
        <w:rPr>
          <w:sz w:val="30"/>
          <w:szCs w:val="30"/>
        </w:rPr>
        <w:fldChar w:fldCharType="separate"/>
      </w:r>
      <w:r>
        <w:rPr>
          <w:rStyle w:val="28"/>
          <w:rFonts w:hint="eastAsia" w:ascii="仿宋" w:hAnsi="仿宋" w:eastAsia="仿宋" w:cs="仿宋"/>
          <w:sz w:val="30"/>
          <w:szCs w:val="30"/>
          <w:lang w:eastAsia="zh-CN"/>
        </w:rPr>
        <w:t>国有资本经营预算财政拨款收支出决算表</w:t>
      </w:r>
      <w:r>
        <w:rPr>
          <w:rStyle w:val="28"/>
          <w:rFonts w:hint="eastAsia" w:ascii="仿宋" w:hAnsi="仿宋" w:eastAsia="仿宋" w:cs="仿宋"/>
          <w:sz w:val="30"/>
          <w:szCs w:val="30"/>
          <w:lang w:val="en-US" w:eastAsia="zh-CN"/>
        </w:rPr>
        <w:tab/>
      </w:r>
      <w:r>
        <w:rPr>
          <w:rStyle w:val="28"/>
          <w:rFonts w:hint="eastAsia" w:ascii="仿宋" w:hAnsi="仿宋" w:eastAsia="仿宋" w:cs="仿宋"/>
          <w:sz w:val="30"/>
          <w:szCs w:val="30"/>
          <w:lang w:val="en-US" w:eastAsia="zh-CN"/>
        </w:rPr>
        <w:t>2</w:t>
      </w:r>
      <w:r>
        <w:rPr>
          <w:rFonts w:ascii="仿宋" w:hAnsi="仿宋" w:eastAsia="仿宋" w:cs="仿宋"/>
          <w:sz w:val="30"/>
          <w:szCs w:val="30"/>
        </w:rPr>
        <w:fldChar w:fldCharType="end"/>
      </w:r>
      <w:r>
        <w:rPr>
          <w:rFonts w:hint="eastAsia" w:ascii="仿宋" w:hAnsi="仿宋" w:eastAsia="仿宋" w:cs="仿宋"/>
          <w:sz w:val="30"/>
          <w:szCs w:val="30"/>
          <w:lang w:val="en-US" w:eastAsia="zh-CN"/>
        </w:rPr>
        <w:t>78</w:t>
      </w:r>
    </w:p>
    <w:p w14:paraId="73DA90C6">
      <w:pPr>
        <w:pStyle w:val="20"/>
        <w:keepNext w:val="0"/>
        <w:keepLines w:val="0"/>
        <w:pageBreakBefore w:val="0"/>
        <w:kinsoku/>
        <w:wordWrap/>
        <w:overflowPunct/>
        <w:topLinePunct w:val="0"/>
        <w:autoSpaceDE/>
        <w:autoSpaceDN/>
        <w:bidi w:val="0"/>
        <w:adjustRightInd/>
        <w:snapToGrid/>
        <w:ind w:left="0" w:leftChars="0" w:firstLine="0" w:firstLineChars="0"/>
        <w:textAlignment w:val="auto"/>
        <w:rPr>
          <w:rFonts w:hint="default" w:ascii="仿宋" w:hAnsi="仿宋" w:eastAsia="仿宋"/>
          <w:sz w:val="30"/>
          <w:szCs w:val="30"/>
          <w:lang w:val="en-US" w:eastAsia="zh-CN"/>
        </w:rPr>
      </w:pPr>
      <w:r>
        <w:rPr>
          <w:rFonts w:hint="eastAsia" w:ascii="仿宋" w:hAnsi="仿宋" w:eastAsia="仿宋" w:cs="仿宋"/>
          <w:sz w:val="30"/>
          <w:szCs w:val="30"/>
        </w:rPr>
        <w:t>十二、</w:t>
      </w:r>
      <w:r>
        <w:rPr>
          <w:rFonts w:hint="eastAsia" w:eastAsia="仿宋"/>
          <w:sz w:val="30"/>
          <w:szCs w:val="30"/>
          <w:lang w:eastAsia="zh-CN"/>
        </w:rPr>
        <w:t>国有资本经营预算财政拨款支出决算表</w:t>
      </w:r>
      <w:r>
        <w:rPr>
          <w:rFonts w:hint="eastAsia" w:ascii="仿宋" w:hAnsi="仿宋" w:eastAsia="仿宋" w:cs="仿宋"/>
          <w:sz w:val="30"/>
          <w:szCs w:val="30"/>
          <w:lang w:val="en-US" w:eastAsia="zh-CN"/>
        </w:rPr>
        <w:tab/>
      </w:r>
      <w:r>
        <w:rPr>
          <w:rFonts w:hint="eastAsia" w:ascii="仿宋" w:hAnsi="仿宋" w:eastAsia="仿宋" w:cs="仿宋"/>
          <w:sz w:val="30"/>
          <w:szCs w:val="30"/>
          <w:lang w:val="en-US" w:eastAsia="zh-CN"/>
        </w:rPr>
        <w:t>278</w:t>
      </w:r>
    </w:p>
    <w:p w14:paraId="6B2F9C3F">
      <w:pPr>
        <w:pStyle w:val="20"/>
        <w:keepNext w:val="0"/>
        <w:keepLines w:val="0"/>
        <w:pageBreakBefore w:val="0"/>
        <w:kinsoku/>
        <w:wordWrap/>
        <w:overflowPunct/>
        <w:topLinePunct w:val="0"/>
        <w:autoSpaceDE/>
        <w:autoSpaceDN/>
        <w:bidi w:val="0"/>
        <w:adjustRightInd/>
        <w:snapToGrid/>
        <w:ind w:left="0" w:leftChars="0" w:firstLine="0" w:firstLineChars="0"/>
        <w:textAlignment w:val="auto"/>
        <w:rPr>
          <w:rFonts w:hint="default" w:ascii="等线" w:hAnsi="等线" w:eastAsia="等线" w:cs="Times New Roman"/>
          <w:smallCaps w:val="0"/>
          <w:kern w:val="2"/>
          <w:sz w:val="30"/>
          <w:szCs w:val="30"/>
          <w:lang w:val="en-US" w:eastAsia="zh-CN" w:bidi="ar-SA"/>
        </w:rPr>
      </w:pPr>
      <w:r>
        <w:rPr>
          <w:rFonts w:hint="eastAsia" w:ascii="仿宋" w:hAnsi="仿宋" w:eastAsia="仿宋" w:cs="仿宋"/>
          <w:sz w:val="30"/>
          <w:szCs w:val="30"/>
        </w:rPr>
        <w:t>十三、</w:t>
      </w:r>
      <w:r>
        <w:rPr>
          <w:rFonts w:hint="eastAsia" w:eastAsia="仿宋"/>
          <w:sz w:val="30"/>
          <w:szCs w:val="30"/>
          <w:lang w:eastAsia="zh-CN"/>
        </w:rPr>
        <w:t>财政拨款“三公”经费支出决算表</w:t>
      </w:r>
      <w:r>
        <w:rPr>
          <w:rFonts w:hint="eastAsia" w:ascii="仿宋" w:hAnsi="仿宋" w:eastAsia="仿宋" w:cs="仿宋"/>
          <w:sz w:val="30"/>
          <w:szCs w:val="30"/>
          <w:lang w:val="en-US" w:eastAsia="zh-CN"/>
        </w:rPr>
        <w:tab/>
      </w:r>
      <w:r>
        <w:rPr>
          <w:rFonts w:hint="eastAsia" w:ascii="仿宋" w:hAnsi="仿宋" w:eastAsia="仿宋" w:cs="仿宋"/>
          <w:sz w:val="30"/>
          <w:szCs w:val="30"/>
          <w:lang w:val="en-US" w:eastAsia="zh-CN"/>
        </w:rPr>
        <w:t>278</w:t>
      </w:r>
    </w:p>
    <w:p w14:paraId="43D62AA6">
      <w:pPr>
        <w:keepNext w:val="0"/>
        <w:keepLines w:val="0"/>
        <w:pageBreakBefore w:val="0"/>
        <w:kinsoku/>
        <w:wordWrap/>
        <w:overflowPunct/>
        <w:topLinePunct w:val="0"/>
        <w:autoSpaceDE/>
        <w:autoSpaceDN/>
        <w:bidi w:val="0"/>
        <w:adjustRightInd/>
        <w:snapToGrid/>
        <w:textAlignment w:val="auto"/>
        <w:rPr>
          <w:rFonts w:hint="eastAsia"/>
          <w:lang w:val="en-US" w:eastAsia="zh-CN"/>
        </w:rPr>
      </w:pPr>
    </w:p>
    <w:p w14:paraId="616009FD">
      <w:pPr>
        <w:keepNext w:val="0"/>
        <w:keepLines w:val="0"/>
        <w:pageBreakBefore w:val="0"/>
        <w:widowControl/>
        <w:kinsoku/>
        <w:wordWrap/>
        <w:overflowPunct/>
        <w:topLinePunct w:val="0"/>
        <w:autoSpaceDE/>
        <w:autoSpaceDN/>
        <w:bidi w:val="0"/>
        <w:adjustRightInd/>
        <w:snapToGrid/>
        <w:jc w:val="left"/>
        <w:textAlignment w:val="auto"/>
        <w:rPr>
          <w:rFonts w:ascii="仿宋" w:hAnsi="仿宋" w:eastAsia="仿宋"/>
          <w:color w:val="000000"/>
          <w:sz w:val="24"/>
          <w:szCs w:val="24"/>
        </w:rPr>
      </w:pPr>
      <w:r>
        <w:rPr>
          <w:rFonts w:ascii="黑体" w:hAnsi="黑体" w:eastAsia="黑体" w:cs="黑体"/>
          <w:color w:val="000000"/>
          <w:sz w:val="48"/>
          <w:szCs w:val="48"/>
        </w:rPr>
        <w:fldChar w:fldCharType="end"/>
      </w:r>
    </w:p>
    <w:p w14:paraId="1CEBE575">
      <w:pPr>
        <w:keepNext w:val="0"/>
        <w:keepLines w:val="0"/>
        <w:pageBreakBefore w:val="0"/>
        <w:widowControl/>
        <w:kinsoku/>
        <w:wordWrap/>
        <w:overflowPunct/>
        <w:topLinePunct w:val="0"/>
        <w:autoSpaceDE/>
        <w:autoSpaceDN/>
        <w:bidi w:val="0"/>
        <w:adjustRightInd/>
        <w:snapToGrid/>
        <w:jc w:val="left"/>
        <w:textAlignment w:val="auto"/>
        <w:rPr>
          <w:rFonts w:ascii="黑体" w:hAnsi="黑体" w:eastAsia="黑体"/>
          <w:kern w:val="44"/>
          <w:sz w:val="44"/>
          <w:szCs w:val="44"/>
        </w:rPr>
      </w:pPr>
      <w:bookmarkStart w:id="2" w:name="_Toc15396599"/>
      <w:bookmarkStart w:id="3" w:name="_Toc15377196"/>
      <w:r>
        <w:rPr>
          <w:rFonts w:ascii="黑体" w:hAnsi="黑体" w:eastAsia="黑体"/>
          <w:b/>
          <w:bCs/>
        </w:rPr>
        <w:br w:type="page"/>
      </w:r>
    </w:p>
    <w:bookmarkEnd w:id="2"/>
    <w:bookmarkEnd w:id="3"/>
    <w:p w14:paraId="75B4CBC5">
      <w:pPr>
        <w:keepNext w:val="0"/>
        <w:keepLines w:val="0"/>
        <w:pageBreakBefore w:val="0"/>
        <w:widowControl w:val="0"/>
        <w:numPr>
          <w:ilvl w:val="0"/>
          <w:numId w:val="1"/>
        </w:numPr>
        <w:kinsoku/>
        <w:wordWrap/>
        <w:overflowPunct/>
        <w:topLinePunct w:val="0"/>
        <w:autoSpaceDE/>
        <w:autoSpaceDN/>
        <w:bidi w:val="0"/>
        <w:adjustRightInd/>
        <w:snapToGrid/>
        <w:jc w:val="center"/>
        <w:textAlignment w:val="auto"/>
        <w:rPr>
          <w:rFonts w:hint="eastAsia" w:ascii="仿宋" w:hAnsi="仿宋" w:eastAsia="仿宋" w:cs="仿宋"/>
          <w:b/>
          <w:bCs/>
          <w:color w:val="000000"/>
          <w:kern w:val="0"/>
          <w:sz w:val="32"/>
          <w:szCs w:val="32"/>
          <w:lang w:val="en-US" w:eastAsia="zh-CN" w:bidi="ar-SA"/>
        </w:rPr>
      </w:pPr>
      <w:r>
        <w:rPr>
          <w:rFonts w:hint="eastAsia" w:ascii="仿宋" w:hAnsi="仿宋" w:eastAsia="仿宋" w:cs="仿宋"/>
          <w:b/>
          <w:bCs/>
          <w:color w:val="000000"/>
          <w:kern w:val="0"/>
          <w:sz w:val="36"/>
          <w:szCs w:val="36"/>
          <w:lang w:val="en-US" w:eastAsia="zh-CN" w:bidi="ar-SA"/>
        </w:rPr>
        <w:t>部门概况</w:t>
      </w:r>
    </w:p>
    <w:p w14:paraId="5EEAA4E3">
      <w:pPr>
        <w:keepNext w:val="0"/>
        <w:keepLines w:val="0"/>
        <w:pageBreakBefore w:val="0"/>
        <w:widowControl w:val="0"/>
        <w:numPr>
          <w:ilvl w:val="0"/>
          <w:numId w:val="2"/>
        </w:numPr>
        <w:kinsoku/>
        <w:wordWrap/>
        <w:overflowPunct/>
        <w:topLinePunct w:val="0"/>
        <w:autoSpaceDE/>
        <w:autoSpaceDN/>
        <w:bidi w:val="0"/>
        <w:adjustRightInd/>
        <w:snapToGrid/>
        <w:ind w:firstLine="643" w:firstLineChars="200"/>
        <w:textAlignment w:val="auto"/>
        <w:rPr>
          <w:rFonts w:hint="eastAsia" w:ascii="仿宋" w:hAnsi="仿宋" w:eastAsia="仿宋" w:cs="仿宋"/>
          <w:b/>
          <w:bCs/>
          <w:color w:val="000000"/>
          <w:kern w:val="0"/>
          <w:sz w:val="32"/>
          <w:szCs w:val="32"/>
          <w:lang w:val="en-US" w:eastAsia="zh-CN" w:bidi="ar-SA"/>
        </w:rPr>
      </w:pPr>
      <w:r>
        <w:rPr>
          <w:rFonts w:hint="eastAsia" w:ascii="仿宋" w:hAnsi="仿宋" w:eastAsia="仿宋" w:cs="仿宋"/>
          <w:b/>
          <w:bCs/>
          <w:color w:val="000000"/>
          <w:kern w:val="0"/>
          <w:sz w:val="32"/>
          <w:szCs w:val="32"/>
          <w:lang w:val="en-US" w:eastAsia="zh-CN" w:bidi="ar-SA"/>
        </w:rPr>
        <w:t>部门职责</w:t>
      </w:r>
    </w:p>
    <w:p w14:paraId="189D2811">
      <w:pPr>
        <w:keepNext w:val="0"/>
        <w:keepLines w:val="0"/>
        <w:pageBreakBefore w:val="0"/>
        <w:widowControl w:val="0"/>
        <w:numPr>
          <w:ilvl w:val="0"/>
          <w:numId w:val="0"/>
        </w:numPr>
        <w:kinsoku/>
        <w:wordWrap/>
        <w:overflowPunct/>
        <w:topLinePunct w:val="0"/>
        <w:autoSpaceDE/>
        <w:autoSpaceDN/>
        <w:bidi w:val="0"/>
        <w:adjustRightInd/>
        <w:snapToGrid/>
        <w:ind w:firstLine="643" w:firstLineChars="200"/>
        <w:textAlignment w:val="auto"/>
        <w:rPr>
          <w:rFonts w:hint="default" w:ascii="仿宋" w:hAnsi="仿宋" w:eastAsia="仿宋" w:cs="仿宋"/>
          <w:b/>
          <w:bCs/>
          <w:color w:val="000000"/>
          <w:kern w:val="0"/>
          <w:sz w:val="32"/>
          <w:szCs w:val="32"/>
          <w:lang w:val="en-US" w:eastAsia="zh-CN" w:bidi="ar-SA"/>
        </w:rPr>
      </w:pPr>
      <w:r>
        <w:rPr>
          <w:rFonts w:hint="eastAsia" w:ascii="仿宋" w:hAnsi="仿宋" w:eastAsia="仿宋" w:cs="仿宋"/>
          <w:b/>
          <w:bCs/>
          <w:color w:val="000000"/>
          <w:kern w:val="0"/>
          <w:sz w:val="32"/>
          <w:szCs w:val="32"/>
          <w:lang w:val="en-US" w:eastAsia="zh-CN" w:bidi="ar-SA"/>
        </w:rPr>
        <w:t>（一）主要职能</w:t>
      </w:r>
    </w:p>
    <w:p w14:paraId="28FC640F">
      <w:pPr>
        <w:pStyle w:val="10"/>
        <w:adjustRightInd w:val="0"/>
        <w:snapToGrid w:val="0"/>
        <w:spacing w:before="93" w:line="600" w:lineRule="exact"/>
        <w:ind w:firstLine="672" w:firstLineChars="210"/>
        <w:outlineLvl w:val="2"/>
        <w:rPr>
          <w:rFonts w:hint="eastAsia" w:ascii="仿宋" w:hAnsi="仿宋" w:eastAsia="仿宋" w:cs="仿宋"/>
          <w:color w:val="000000"/>
          <w:sz w:val="32"/>
          <w:szCs w:val="32"/>
        </w:rPr>
      </w:pPr>
      <w:bookmarkStart w:id="4" w:name="_Toc15377199"/>
      <w:bookmarkStart w:id="5" w:name="_Toc15378446"/>
      <w:r>
        <w:rPr>
          <w:rFonts w:hint="eastAsia" w:ascii="仿宋" w:hAnsi="仿宋" w:eastAsia="仿宋" w:cs="仿宋"/>
          <w:color w:val="000000"/>
          <w:sz w:val="32"/>
          <w:szCs w:val="32"/>
        </w:rPr>
        <w:t>根</w:t>
      </w:r>
      <w:r>
        <w:rPr>
          <w:rFonts w:hint="eastAsia" w:ascii="仿宋_GB2312" w:eastAsia="仿宋_GB2312"/>
          <w:sz w:val="32"/>
          <w:szCs w:val="32"/>
        </w:rPr>
        <w:t>据</w:t>
      </w:r>
      <w:r>
        <w:rPr>
          <w:rFonts w:hint="eastAsia" w:ascii="仿宋_GB2312" w:eastAsia="仿宋_GB2312"/>
          <w:sz w:val="32"/>
          <w:szCs w:val="32"/>
          <w:lang w:eastAsia="zh-CN"/>
        </w:rPr>
        <w:t>《中国共产党机构编制工作条例》和《阿坝州机构改革方案》（阿委发</w:t>
      </w:r>
      <w:r>
        <w:rPr>
          <w:rFonts w:hint="eastAsia" w:ascii="仿宋_GB2312" w:eastAsia="仿宋_GB2312"/>
          <w:sz w:val="32"/>
          <w:szCs w:val="32"/>
        </w:rPr>
        <w:t>〔20</w:t>
      </w:r>
      <w:r>
        <w:rPr>
          <w:rFonts w:hint="eastAsia" w:ascii="仿宋_GB2312" w:eastAsia="仿宋_GB2312"/>
          <w:sz w:val="32"/>
          <w:szCs w:val="32"/>
          <w:lang w:val="en-US" w:eastAsia="zh-CN"/>
        </w:rPr>
        <w:t>24</w:t>
      </w:r>
      <w:r>
        <w:rPr>
          <w:rFonts w:hint="eastAsia" w:ascii="仿宋_GB2312" w:eastAsia="仿宋_GB2312"/>
          <w:sz w:val="32"/>
          <w:szCs w:val="32"/>
        </w:rPr>
        <w:t>〕</w:t>
      </w:r>
      <w:r>
        <w:rPr>
          <w:rFonts w:hint="eastAsia" w:ascii="仿宋_GB2312" w:eastAsia="仿宋_GB2312"/>
          <w:sz w:val="32"/>
          <w:szCs w:val="32"/>
          <w:lang w:val="en-US" w:eastAsia="zh-CN"/>
        </w:rPr>
        <w:t>1</w:t>
      </w:r>
      <w:r>
        <w:rPr>
          <w:rFonts w:hint="eastAsia" w:ascii="仿宋_GB2312" w:eastAsia="仿宋_GB2312"/>
          <w:sz w:val="32"/>
          <w:szCs w:val="32"/>
        </w:rPr>
        <w:t>号</w:t>
      </w:r>
      <w:r>
        <w:rPr>
          <w:rFonts w:hint="eastAsia" w:ascii="仿宋_GB2312" w:eastAsia="仿宋_GB2312"/>
          <w:sz w:val="32"/>
          <w:szCs w:val="32"/>
          <w:lang w:eastAsia="zh-CN"/>
        </w:rPr>
        <w:t>以及</w:t>
      </w:r>
      <w:r>
        <w:rPr>
          <w:rFonts w:hint="eastAsia" w:ascii="仿宋_GB2312" w:eastAsia="仿宋_GB2312"/>
          <w:sz w:val="32"/>
          <w:szCs w:val="32"/>
        </w:rPr>
        <w:t>《</w:t>
      </w:r>
      <w:r>
        <w:rPr>
          <w:rFonts w:hint="eastAsia" w:ascii="仿宋_GB2312" w:eastAsia="仿宋_GB2312"/>
          <w:sz w:val="32"/>
          <w:szCs w:val="32"/>
          <w:lang w:eastAsia="zh-CN"/>
        </w:rPr>
        <w:t>中共阿坝州委办公室</w:t>
      </w:r>
      <w:r>
        <w:rPr>
          <w:rFonts w:hint="eastAsia" w:ascii="仿宋_GB2312" w:eastAsia="仿宋_GB2312"/>
          <w:sz w:val="32"/>
          <w:szCs w:val="32"/>
          <w:lang w:val="en-US" w:eastAsia="zh-CN"/>
        </w:rPr>
        <w:t xml:space="preserve"> 阿坝州人民政府办公室关于印发阿坝州市场监督管理局职能配置、内设机构和人员编制规定的通知》</w:t>
      </w:r>
      <w:r>
        <w:rPr>
          <w:rFonts w:hint="eastAsia" w:ascii="仿宋_GB2312" w:eastAsia="仿宋_GB2312"/>
          <w:sz w:val="32"/>
          <w:szCs w:val="32"/>
        </w:rPr>
        <w:t>（阿委</w:t>
      </w:r>
      <w:r>
        <w:rPr>
          <w:rFonts w:hint="eastAsia" w:ascii="仿宋_GB2312" w:eastAsia="仿宋_GB2312"/>
          <w:sz w:val="32"/>
          <w:szCs w:val="32"/>
          <w:lang w:eastAsia="zh-CN"/>
        </w:rPr>
        <w:t>办</w:t>
      </w:r>
      <w:r>
        <w:rPr>
          <w:rFonts w:hint="eastAsia" w:ascii="仿宋_GB2312" w:eastAsia="仿宋_GB2312"/>
          <w:sz w:val="32"/>
          <w:szCs w:val="32"/>
        </w:rPr>
        <w:t>发〔20</w:t>
      </w:r>
      <w:r>
        <w:rPr>
          <w:rFonts w:hint="eastAsia" w:ascii="仿宋_GB2312" w:eastAsia="仿宋_GB2312"/>
          <w:sz w:val="32"/>
          <w:szCs w:val="32"/>
          <w:lang w:val="en-US" w:eastAsia="zh-CN"/>
        </w:rPr>
        <w:t>24</w:t>
      </w:r>
      <w:r>
        <w:rPr>
          <w:rFonts w:hint="eastAsia" w:ascii="仿宋_GB2312" w:eastAsia="仿宋_GB2312"/>
          <w:sz w:val="32"/>
          <w:szCs w:val="32"/>
        </w:rPr>
        <w:t>〕</w:t>
      </w:r>
      <w:r>
        <w:rPr>
          <w:rFonts w:hint="eastAsia" w:ascii="仿宋_GB2312" w:eastAsia="仿宋_GB2312"/>
          <w:sz w:val="32"/>
          <w:szCs w:val="32"/>
          <w:lang w:val="en-US" w:eastAsia="zh-CN"/>
        </w:rPr>
        <w:t>29</w:t>
      </w:r>
      <w:r>
        <w:rPr>
          <w:rFonts w:hint="eastAsia" w:ascii="仿宋_GB2312" w:eastAsia="仿宋_GB2312"/>
          <w:sz w:val="32"/>
          <w:szCs w:val="32"/>
        </w:rPr>
        <w:t>号）</w:t>
      </w:r>
      <w:r>
        <w:rPr>
          <w:rFonts w:hint="eastAsia" w:ascii="仿宋_GB2312" w:eastAsia="仿宋_GB2312"/>
          <w:sz w:val="32"/>
          <w:szCs w:val="32"/>
          <w:lang w:eastAsia="zh-CN"/>
        </w:rPr>
        <w:t>，成立</w:t>
      </w:r>
      <w:r>
        <w:rPr>
          <w:rFonts w:hint="eastAsia" w:ascii="仿宋_GB2312" w:eastAsia="仿宋_GB2312"/>
          <w:sz w:val="32"/>
          <w:szCs w:val="32"/>
        </w:rPr>
        <w:t>阿坝州市场监督管理局（简称州市场监管局）是阿坝州人民政府工作部门，为正县级。</w:t>
      </w:r>
      <w:r>
        <w:rPr>
          <w:rFonts w:hint="eastAsia" w:ascii="仿宋" w:hAnsi="仿宋" w:eastAsia="仿宋" w:cs="仿宋"/>
          <w:color w:val="000000"/>
          <w:sz w:val="32"/>
          <w:szCs w:val="32"/>
        </w:rPr>
        <w:t>主要职</w:t>
      </w:r>
      <w:r>
        <w:rPr>
          <w:rFonts w:hint="eastAsia" w:ascii="仿宋" w:hAnsi="仿宋" w:eastAsia="仿宋" w:cs="仿宋"/>
          <w:color w:val="000000"/>
          <w:sz w:val="32"/>
          <w:szCs w:val="32"/>
          <w:lang w:eastAsia="zh-CN"/>
        </w:rPr>
        <w:t>能</w:t>
      </w:r>
      <w:r>
        <w:rPr>
          <w:rFonts w:hint="eastAsia" w:ascii="仿宋" w:hAnsi="仿宋" w:eastAsia="仿宋" w:cs="仿宋"/>
          <w:color w:val="000000"/>
          <w:sz w:val="32"/>
          <w:szCs w:val="32"/>
        </w:rPr>
        <w:t>是：</w:t>
      </w:r>
    </w:p>
    <w:p w14:paraId="3D307401">
      <w:pPr>
        <w:snapToGrid w:val="0"/>
        <w:spacing w:line="52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1.</w:t>
      </w:r>
      <w:r>
        <w:rPr>
          <w:rFonts w:hint="eastAsia" w:ascii="仿宋_GB2312" w:eastAsia="仿宋_GB2312"/>
          <w:sz w:val="32"/>
          <w:szCs w:val="32"/>
        </w:rPr>
        <w:t>负责全州市场综合监督管理工作。起草市场监督管理有关地方性法规规章草案和规范性文件。组织实施质量强州、食品安全、标准化和知识产权战略，拟订并组织实施全州食品安全等规划，规范和维护市场秩序，推进科技信息化建设和新闻宣传工作，营造诚实守信、公平竞争的市场环境。</w:t>
      </w:r>
    </w:p>
    <w:p w14:paraId="781F848E">
      <w:pPr>
        <w:snapToGrid w:val="0"/>
        <w:spacing w:line="52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2.</w:t>
      </w:r>
      <w:r>
        <w:rPr>
          <w:rFonts w:hint="eastAsia" w:ascii="仿宋_GB2312" w:eastAsia="仿宋_GB2312"/>
          <w:sz w:val="32"/>
          <w:szCs w:val="32"/>
        </w:rPr>
        <w:t>负责全州市场主体统一登记注册。负责全州各类企业、农民专业合作社和从事经营活动的单位、个体工商户以及外国（地区）企业、常驻代表机构等经营主体的登记注册和监督管理工作。承担审批服务便民化有关工作。建立市场主体信息公示和共享机制，依法公示和共享有关信息，加强信用监管，推动市场主体信用体系建设。指导监督各县（市）市场监管行政审批工作。</w:t>
      </w:r>
    </w:p>
    <w:p w14:paraId="43CF3C3B">
      <w:pPr>
        <w:snapToGrid w:val="0"/>
        <w:spacing w:line="52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3.</w:t>
      </w:r>
      <w:r>
        <w:rPr>
          <w:rFonts w:hint="eastAsia" w:ascii="仿宋_GB2312" w:eastAsia="仿宋_GB2312"/>
          <w:sz w:val="32"/>
          <w:szCs w:val="32"/>
        </w:rPr>
        <w:t>负责组织和指导全州市场监督管理综合行政执法工作。指导全州市场监管综合执法队伍建设，推动实行统一的市场监管。组织查处和督办大案要案、疑难案件、跨区域案件。规范市场监督管理行政执法行为。指导监督各县（市）综合行政执法局市场监管综合行政执法工作。</w:t>
      </w:r>
    </w:p>
    <w:p w14:paraId="23A07707">
      <w:pPr>
        <w:snapToGrid w:val="0"/>
        <w:spacing w:line="52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4.</w:t>
      </w:r>
      <w:r>
        <w:rPr>
          <w:rFonts w:hint="eastAsia" w:ascii="仿宋_GB2312" w:eastAsia="仿宋_GB2312"/>
          <w:sz w:val="32"/>
          <w:szCs w:val="32"/>
        </w:rPr>
        <w:t>负责全州反垄断统一执法。统筹推进竞争政策实施，组织实施公平竞争审查制度；依委托协助开展垄断协议、滥用市场支配地位和滥用行政权力排除、限制竞争等反垄断执法调查工作。指导在州企业在国外的反垄断应诉工作。</w:t>
      </w:r>
    </w:p>
    <w:p w14:paraId="41FF90DE">
      <w:pPr>
        <w:snapToGrid w:val="0"/>
        <w:spacing w:line="52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5.</w:t>
      </w:r>
      <w:r>
        <w:rPr>
          <w:rFonts w:hint="eastAsia" w:ascii="仿宋_GB2312" w:eastAsia="仿宋_GB2312"/>
          <w:sz w:val="32"/>
          <w:szCs w:val="32"/>
        </w:rPr>
        <w:t>负责监督管理全州市场秩序。依法监督管理市场交易、网络商品交易及有关服务的行为。组织指导查处价格收费违法违规、不正当竞争、违法直销、传销、侵犯知识产权和制售假冒伪劣行为。指导广告业发展，监督管理广告活动。依法查处无照生产经营和相关无证生产经营行为。依法开展消费者权益保护工作。指导州保护消费者权益委员会开展消费维权工作。</w:t>
      </w:r>
    </w:p>
    <w:p w14:paraId="477318B5">
      <w:pPr>
        <w:snapToGrid w:val="0"/>
        <w:spacing w:line="52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6.</w:t>
      </w:r>
      <w:r>
        <w:rPr>
          <w:rFonts w:hint="eastAsia" w:ascii="仿宋_GB2312" w:eastAsia="仿宋_GB2312"/>
          <w:sz w:val="32"/>
          <w:szCs w:val="32"/>
        </w:rPr>
        <w:t>负责全州宏观质量管理。拟订并组织实施质量发展的制度措施。统筹全州质量基础设施建设与应用。会同有关部门组织实施重大工程设备质量监理制度，组织产品质量事故调查，贯彻实施缺陷产品召回制度，监督管理产品防伪工作。</w:t>
      </w:r>
    </w:p>
    <w:p w14:paraId="45B1D654">
      <w:pPr>
        <w:snapToGrid w:val="0"/>
        <w:spacing w:line="52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7.</w:t>
      </w:r>
      <w:r>
        <w:rPr>
          <w:rFonts w:hint="eastAsia" w:ascii="仿宋_GB2312" w:eastAsia="仿宋_GB2312"/>
          <w:sz w:val="32"/>
          <w:szCs w:val="32"/>
        </w:rPr>
        <w:t>负责全州产品质量安全监督管理。负责产品质量监督抽查和风险监控工作，组织实施质量分级制度、质量安全追溯制度。负责工业产品生产许可的证后管理。负责纤维质量监督工作。</w:t>
      </w:r>
    </w:p>
    <w:p w14:paraId="30288E1B">
      <w:pPr>
        <w:snapToGrid w:val="0"/>
        <w:spacing w:line="52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8.</w:t>
      </w:r>
      <w:r>
        <w:rPr>
          <w:rFonts w:hint="eastAsia" w:ascii="仿宋_GB2312" w:eastAsia="仿宋_GB2312"/>
          <w:sz w:val="32"/>
          <w:szCs w:val="32"/>
        </w:rPr>
        <w:t>负责全州特种设备安全监督管理。综合管理特种设备安全监察、监督工作，监督检查高耗能特种设备节能标准和锅炉产品环境保护标准的执行情况。</w:t>
      </w:r>
    </w:p>
    <w:p w14:paraId="70F6A556">
      <w:pPr>
        <w:snapToGrid w:val="0"/>
        <w:spacing w:line="52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9.</w:t>
      </w:r>
      <w:r>
        <w:rPr>
          <w:rFonts w:hint="eastAsia" w:ascii="仿宋_GB2312" w:eastAsia="仿宋_GB2312"/>
          <w:sz w:val="32"/>
          <w:szCs w:val="32"/>
        </w:rPr>
        <w:t>负责全州食品安全监督管理及综合协调。统筹指导全州食品安全工作。负责食品安全应急体系建设，组织指导重大食品安全事件应急处置和调查处理工作。承担州食品安全委员会日常工作。指导督促食品生产经营企业落实食品安全主体责任，组织开展食品安全监督抽检、风险监测、核查处置和风险预警工作。</w:t>
      </w:r>
    </w:p>
    <w:p w14:paraId="53410F76">
      <w:pPr>
        <w:snapToGrid w:val="0"/>
        <w:spacing w:line="52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10.</w:t>
      </w:r>
      <w:r>
        <w:rPr>
          <w:rFonts w:hint="eastAsia" w:ascii="仿宋_GB2312" w:eastAsia="仿宋_GB2312"/>
          <w:sz w:val="32"/>
          <w:szCs w:val="32"/>
        </w:rPr>
        <w:t>负责药品（含中药、民族药，下同）、医疗器械、化妆品的质量安全监督管理及上市后风险管理。依法依授权组织实施药品、医疗器械、化妆品的许可、备案、检查、安全监测和处罚。掌握分析药品安全形势并提出改进工作的建议。参与省药监局组织的监督检查。指导县（市）药品、医疗器械和化妆品监督管理工作。依法依授权承担我州执业药师注册管理工作，贯彻执行执业药师其他相关管理制度。</w:t>
      </w:r>
    </w:p>
    <w:p w14:paraId="41F5D84B">
      <w:pPr>
        <w:snapToGrid w:val="0"/>
        <w:spacing w:line="52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11.</w:t>
      </w:r>
      <w:r>
        <w:rPr>
          <w:rFonts w:hint="eastAsia" w:ascii="仿宋_GB2312" w:eastAsia="仿宋_GB2312"/>
          <w:sz w:val="32"/>
          <w:szCs w:val="32"/>
        </w:rPr>
        <w:t>负责统一管理全州计量工作。推行法定计量单位，执行国家计量制度，管理计量器具及量值传递和比对工作。规范、监督商品量和计量行为。</w:t>
      </w:r>
    </w:p>
    <w:p w14:paraId="3D797979">
      <w:pPr>
        <w:snapToGrid w:val="0"/>
        <w:spacing w:line="52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12.</w:t>
      </w:r>
      <w:r>
        <w:rPr>
          <w:rFonts w:hint="eastAsia" w:ascii="仿宋_GB2312" w:eastAsia="仿宋_GB2312"/>
          <w:sz w:val="32"/>
          <w:szCs w:val="32"/>
        </w:rPr>
        <w:t>负责统一管理全州标准化工作。依法承担地方标准立项、编号和发布等工作，协调指导地方标准、团体标准、企业标准制定工作，依法对标准制定和实施情况开展监督检查。</w:t>
      </w:r>
    </w:p>
    <w:p w14:paraId="3BAF4EC6">
      <w:pPr>
        <w:snapToGrid w:val="0"/>
        <w:spacing w:line="52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13.</w:t>
      </w:r>
      <w:r>
        <w:rPr>
          <w:rFonts w:hint="eastAsia" w:ascii="仿宋_GB2312" w:eastAsia="仿宋_GB2312"/>
          <w:sz w:val="32"/>
          <w:szCs w:val="32"/>
        </w:rPr>
        <w:t>负责统一管理全州检验检测工作。规范检验检测市场，完善检验检测体系，指导协调检验检测行业发展。</w:t>
      </w:r>
    </w:p>
    <w:p w14:paraId="676C4203">
      <w:pPr>
        <w:snapToGrid w:val="0"/>
        <w:spacing w:line="52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14.</w:t>
      </w:r>
      <w:r>
        <w:rPr>
          <w:rFonts w:hint="eastAsia" w:ascii="仿宋_GB2312" w:eastAsia="仿宋_GB2312"/>
          <w:sz w:val="32"/>
          <w:szCs w:val="32"/>
        </w:rPr>
        <w:t>负责统一管理全州认证认可工作。监督管理认证认可和合格评定工作。</w:t>
      </w:r>
    </w:p>
    <w:p w14:paraId="7A458D6B">
      <w:pPr>
        <w:snapToGrid w:val="0"/>
        <w:spacing w:line="52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15.</w:t>
      </w:r>
      <w:r>
        <w:rPr>
          <w:rFonts w:hint="eastAsia" w:ascii="仿宋_GB2312" w:eastAsia="仿宋_GB2312"/>
          <w:sz w:val="32"/>
          <w:szCs w:val="32"/>
        </w:rPr>
        <w:t>负责全州知识产权监督管理。贯彻落实国家、省知识产权战略、政策和法规规章，负责知识产权强州体系建设，制定全州知识产权规划，负责知识产权的创造、运用、保护、管理和服务工作。培育知识产权文化。负责组织实施指导知识产权行政执法工作。</w:t>
      </w:r>
    </w:p>
    <w:p w14:paraId="4591AAA4">
      <w:pPr>
        <w:snapToGrid w:val="0"/>
        <w:spacing w:line="52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16.</w:t>
      </w:r>
      <w:r>
        <w:rPr>
          <w:rFonts w:hint="eastAsia" w:ascii="仿宋_GB2312" w:eastAsia="仿宋_GB2312"/>
          <w:sz w:val="32"/>
          <w:szCs w:val="32"/>
        </w:rPr>
        <w:t>负责促进全州民营经济发展。负责全州民营经济发展工作的任务制定、调查研究、统筹协调、督促落实及民营企业合法权益维护。在州委社会工作部指导下，指导全州市场监督管理部门配合党委社会工作部门开展小微企业、个体工商户、专业市场的党建工作。</w:t>
      </w:r>
    </w:p>
    <w:p w14:paraId="6E398064">
      <w:pPr>
        <w:snapToGrid w:val="0"/>
        <w:spacing w:line="52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17.</w:t>
      </w:r>
      <w:r>
        <w:rPr>
          <w:rFonts w:hint="eastAsia" w:ascii="仿宋_GB2312" w:eastAsia="仿宋_GB2312"/>
          <w:sz w:val="32"/>
          <w:szCs w:val="32"/>
        </w:rPr>
        <w:t>负责职责范围内的安全生产和职业健康、生态环境保护、应急联动等工作。</w:t>
      </w:r>
    </w:p>
    <w:p w14:paraId="3028A364">
      <w:pPr>
        <w:snapToGrid w:val="0"/>
        <w:spacing w:line="52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18.</w:t>
      </w:r>
      <w:r>
        <w:rPr>
          <w:rFonts w:hint="eastAsia" w:ascii="仿宋_GB2312" w:eastAsia="仿宋_GB2312"/>
          <w:sz w:val="32"/>
          <w:szCs w:val="32"/>
        </w:rPr>
        <w:t>完成州委、州政府交办的其他任务。</w:t>
      </w:r>
    </w:p>
    <w:p w14:paraId="693CFE2D">
      <w:pPr>
        <w:pStyle w:val="10"/>
        <w:adjustRightInd w:val="0"/>
        <w:snapToGrid w:val="0"/>
        <w:spacing w:before="93" w:line="600" w:lineRule="exact"/>
        <w:ind w:firstLine="672" w:firstLineChars="210"/>
        <w:outlineLvl w:val="2"/>
        <w:rPr>
          <w:rFonts w:hint="eastAsia" w:ascii="仿宋_GB2312" w:eastAsia="仿宋_GB2312"/>
          <w:sz w:val="32"/>
          <w:szCs w:val="32"/>
        </w:rPr>
      </w:pPr>
      <w:r>
        <w:rPr>
          <w:rFonts w:hint="eastAsia" w:ascii="仿宋_GB2312" w:eastAsia="仿宋_GB2312"/>
          <w:sz w:val="32"/>
          <w:szCs w:val="32"/>
        </w:rPr>
        <w:t>负责全州市场综合监督管理工作。起草市场监督管理有关自治法规规章和规范性文件草案。组织实施质量强州、食品安全、标准化和知识产权战略，拟订并组织实施全州食品安全等规划，规范和维护市场秩序，营造诚实守信、公平竞争的市场环境。</w:t>
      </w:r>
    </w:p>
    <w:p w14:paraId="32D81974">
      <w:pPr>
        <w:pStyle w:val="10"/>
        <w:adjustRightInd w:val="0"/>
        <w:snapToGrid w:val="0"/>
        <w:spacing w:before="93" w:line="600" w:lineRule="exact"/>
        <w:ind w:firstLine="675" w:firstLineChars="210"/>
        <w:outlineLvl w:val="2"/>
        <w:rPr>
          <w:rFonts w:ascii="仿宋" w:hAnsi="仿宋" w:eastAsia="仿宋" w:cs="Times New Roman"/>
          <w:b/>
          <w:bCs/>
          <w:color w:val="000000"/>
          <w:sz w:val="32"/>
          <w:szCs w:val="32"/>
        </w:rPr>
      </w:pPr>
      <w:r>
        <w:rPr>
          <w:rFonts w:hint="eastAsia" w:ascii="仿宋" w:hAnsi="仿宋" w:eastAsia="仿宋" w:cs="仿宋"/>
          <w:b/>
          <w:bCs/>
          <w:color w:val="000000"/>
          <w:sz w:val="32"/>
          <w:szCs w:val="32"/>
          <w:lang w:eastAsia="zh-CN"/>
        </w:rPr>
        <w:t>（二）</w:t>
      </w:r>
      <w:r>
        <w:rPr>
          <w:rFonts w:ascii="仿宋" w:hAnsi="仿宋" w:eastAsia="仿宋" w:cs="仿宋"/>
          <w:b/>
          <w:bCs/>
          <w:color w:val="000000"/>
          <w:sz w:val="32"/>
          <w:szCs w:val="32"/>
        </w:rPr>
        <w:t>20</w:t>
      </w:r>
      <w:r>
        <w:rPr>
          <w:rFonts w:hint="eastAsia" w:ascii="仿宋" w:hAnsi="仿宋" w:eastAsia="仿宋" w:cs="仿宋"/>
          <w:b/>
          <w:bCs/>
          <w:color w:val="000000"/>
          <w:sz w:val="32"/>
          <w:szCs w:val="32"/>
          <w:lang w:val="en-US" w:eastAsia="zh-CN"/>
        </w:rPr>
        <w:t>25</w:t>
      </w:r>
      <w:r>
        <w:rPr>
          <w:rFonts w:hint="eastAsia" w:ascii="仿宋" w:hAnsi="仿宋" w:eastAsia="仿宋" w:cs="仿宋"/>
          <w:b/>
          <w:bCs/>
          <w:color w:val="000000"/>
          <w:sz w:val="32"/>
          <w:szCs w:val="32"/>
        </w:rPr>
        <w:t>年重点工作完成情况</w:t>
      </w:r>
      <w:bookmarkEnd w:id="4"/>
      <w:bookmarkEnd w:id="5"/>
    </w:p>
    <w:p w14:paraId="57D1D289">
      <w:pPr>
        <w:snapToGrid w:val="0"/>
        <w:spacing w:line="520" w:lineRule="exact"/>
        <w:ind w:firstLine="640" w:firstLineChars="200"/>
        <w:rPr>
          <w:rFonts w:hint="eastAsia" w:ascii="仿宋_GB2312" w:hAnsi="Times New Roman" w:eastAsia="仿宋_GB2312" w:cs="Times New Roman"/>
          <w:sz w:val="32"/>
          <w:szCs w:val="32"/>
          <w:lang w:eastAsia="zh-CN"/>
        </w:rPr>
      </w:pPr>
      <w:bookmarkStart w:id="6" w:name="_Toc15377204"/>
      <w:bookmarkStart w:id="7" w:name="_Toc15396602"/>
      <w:r>
        <w:rPr>
          <w:rFonts w:hint="eastAsia" w:ascii="仿宋_GB2312" w:hAnsi="Times New Roman" w:eastAsia="仿宋_GB2312" w:cs="Times New Roman"/>
          <w:sz w:val="32"/>
          <w:szCs w:val="32"/>
          <w:lang w:val="en-US" w:eastAsia="zh-CN"/>
        </w:rPr>
        <w:t>1.</w:t>
      </w:r>
      <w:r>
        <w:rPr>
          <w:rFonts w:hint="eastAsia" w:ascii="仿宋_GB2312" w:hAnsi="Times New Roman" w:eastAsia="仿宋_GB2312" w:cs="Times New Roman"/>
          <w:sz w:val="32"/>
          <w:szCs w:val="32"/>
          <w:lang w:eastAsia="zh-CN"/>
        </w:rPr>
        <w:t>稳主体、激活力，营商环境更加优质。聚力深化“高效办成一件事”“重点企业事前服务”等改革，开展事前服务和上门指导，推动经营主体办事更加便利。制定出台《阿坝州培育壮大市场主体促进经济高质量发展若干措施》，不断做大增量、壮大体量，全州市场主体突破9万大关，完成“个转企”111户。创新实施公平竞争审查网上抽查，深入开展整治滥用行政权力排除、限制竞争专项行动，清理现行有效政策措施142项。</w:t>
      </w:r>
    </w:p>
    <w:p w14:paraId="49865431">
      <w:pPr>
        <w:snapToGrid w:val="0"/>
        <w:spacing w:line="520" w:lineRule="exact"/>
        <w:ind w:firstLine="640" w:firstLineChars="200"/>
        <w:rPr>
          <w:rFonts w:hint="eastAsia" w:ascii="仿宋_GB2312" w:hAnsi="Times New Roman" w:eastAsia="仿宋_GB2312" w:cs="Times New Roman"/>
          <w:sz w:val="32"/>
          <w:szCs w:val="32"/>
          <w:lang w:eastAsia="zh-CN"/>
        </w:rPr>
      </w:pPr>
      <w:r>
        <w:rPr>
          <w:rFonts w:hint="eastAsia" w:ascii="仿宋_GB2312" w:hAnsi="Times New Roman" w:eastAsia="仿宋_GB2312" w:cs="Times New Roman"/>
          <w:sz w:val="32"/>
          <w:szCs w:val="32"/>
          <w:lang w:val="en-US" w:eastAsia="zh-CN"/>
        </w:rPr>
        <w:t>2.</w:t>
      </w:r>
      <w:r>
        <w:rPr>
          <w:rFonts w:hint="eastAsia" w:ascii="仿宋_GB2312" w:hAnsi="Times New Roman" w:eastAsia="仿宋_GB2312" w:cs="Times New Roman"/>
          <w:sz w:val="32"/>
          <w:szCs w:val="32"/>
          <w:lang w:eastAsia="zh-CN"/>
        </w:rPr>
        <w:t>除隐患、防风险，安全底线更加坚实。运用“一基四类”工作法，大力推进食品安全“互联网+AI”监管，梳理在产在营主体2092户，推流接入省级平台892户，接入率达到42.22%。持续加强食品、药品、特种设备、旅游市场“微网实格”监管，推广使用“净土阿坝·平安微治理随手拍”，累计消除风险隐患2300余个。制定出台全省首个单一品种全链条管理办法，即《阿坝州牦牛肉制品管理办法》，着力规范牦牛肉制品生产经营行为。强化“监检联动”，创新构建“三圈管控+四时覆盖”动态监管体系，全力护航夏季避暑旅游。</w:t>
      </w:r>
    </w:p>
    <w:p w14:paraId="13AA4B60">
      <w:pPr>
        <w:snapToGrid w:val="0"/>
        <w:spacing w:line="520" w:lineRule="exact"/>
        <w:ind w:firstLine="640" w:firstLineChars="200"/>
        <w:rPr>
          <w:rFonts w:hint="eastAsia" w:ascii="仿宋_GB2312" w:hAnsi="Times New Roman" w:eastAsia="仿宋_GB2312" w:cs="Times New Roman"/>
          <w:sz w:val="32"/>
          <w:szCs w:val="32"/>
          <w:lang w:eastAsia="zh-CN"/>
        </w:rPr>
      </w:pPr>
      <w:r>
        <w:rPr>
          <w:rFonts w:hint="eastAsia" w:ascii="仿宋_GB2312" w:hAnsi="Times New Roman" w:eastAsia="仿宋_GB2312" w:cs="Times New Roman"/>
          <w:sz w:val="32"/>
          <w:szCs w:val="32"/>
          <w:lang w:val="en-US" w:eastAsia="zh-CN"/>
        </w:rPr>
        <w:t>3.</w:t>
      </w:r>
      <w:r>
        <w:rPr>
          <w:rFonts w:hint="eastAsia" w:ascii="仿宋_GB2312" w:hAnsi="Times New Roman" w:eastAsia="仿宋_GB2312" w:cs="Times New Roman"/>
          <w:sz w:val="32"/>
          <w:szCs w:val="32"/>
          <w:lang w:eastAsia="zh-CN"/>
        </w:rPr>
        <w:t>强监管、严执法，市场环境更加有序。全面攻坚“春雷行动2025”“守护消费”铁拳行动，持续擦亮“天下九寨沟 大美阿坝州”金字招牌，查办案件1215件，罚没503.73万元，移送公安机关5件。运用“四不两直”方式，扎实开展“五一”、国庆中秋假期旅游消费市场督查检查，闭环整改问题隐患1015个。以</w:t>
      </w:r>
      <w:r>
        <w:rPr>
          <w:rFonts w:hint="eastAsia" w:ascii="仿宋_GB2312" w:cs="Times New Roman"/>
          <w:sz w:val="32"/>
          <w:szCs w:val="32"/>
          <w:lang w:eastAsia="zh-CN"/>
        </w:rPr>
        <w:t>“揭榜挂帅”</w:t>
      </w:r>
      <w:r>
        <w:rPr>
          <w:rFonts w:hint="eastAsia" w:ascii="仿宋_GB2312" w:hAnsi="Times New Roman" w:eastAsia="仿宋_GB2312" w:cs="Times New Roman"/>
          <w:sz w:val="32"/>
          <w:szCs w:val="32"/>
          <w:lang w:eastAsia="zh-CN"/>
        </w:rPr>
        <w:t>的方式，承接省局执法稽查科普宣传，做深做实以案释法、以案说法。巩固提升跨区域执法协作成效，签订川甘青三省四州交界地区食品安全高质量发展跨区域合作共治框架协议。</w:t>
      </w:r>
    </w:p>
    <w:p w14:paraId="419B6947">
      <w:pPr>
        <w:snapToGrid w:val="0"/>
        <w:spacing w:line="520" w:lineRule="exact"/>
        <w:ind w:firstLine="640" w:firstLineChars="200"/>
        <w:rPr>
          <w:rFonts w:hint="eastAsia" w:ascii="仿宋_GB2312" w:eastAsia="仿宋_GB2312"/>
          <w:b/>
          <w:bCs/>
          <w:sz w:val="32"/>
          <w:szCs w:val="32"/>
        </w:rPr>
      </w:pPr>
      <w:r>
        <w:rPr>
          <w:rFonts w:hint="eastAsia" w:ascii="仿宋_GB2312" w:hAnsi="Times New Roman" w:eastAsia="仿宋_GB2312" w:cs="Times New Roman"/>
          <w:sz w:val="32"/>
          <w:szCs w:val="32"/>
          <w:lang w:val="en-US" w:eastAsia="zh-CN"/>
        </w:rPr>
        <w:t>4.</w:t>
      </w:r>
      <w:r>
        <w:rPr>
          <w:rFonts w:hint="eastAsia" w:ascii="仿宋_GB2312" w:hAnsi="Times New Roman" w:eastAsia="仿宋_GB2312" w:cs="Times New Roman"/>
          <w:sz w:val="32"/>
          <w:szCs w:val="32"/>
          <w:lang w:eastAsia="zh-CN"/>
        </w:rPr>
        <w:t>抓产业、强支撑，质量建设全面发力。强力推进质量强企、强链、强县，红原牦牛乳业入选全省质量强企典型案例，汶川县获评“博鳌亚洲论坛绿色发展基地”称号。坚持好中选优，评选第五届州政府质量奖组织奖4个、个人奖5名。夯实质量发展硬核支撑，高标准制定“羌族金银花茶”质量标准，阿坝侨源气体获批“全国标准实施监测点”，黑水嘎尔庄园获得全州首家“五钻”民宿认证。加强知识产权培育保护，小金四姑娘山天然沙棘在全州首次通过知识产权管理体系国际标准认证，小金苹果、</w:t>
      </w:r>
      <w:r>
        <w:rPr>
          <w:rFonts w:hint="eastAsia" w:ascii="仿宋_GB2312" w:cs="Times New Roman"/>
          <w:sz w:val="32"/>
          <w:szCs w:val="32"/>
          <w:lang w:eastAsia="zh-CN"/>
        </w:rPr>
        <w:t>黑水</w:t>
      </w:r>
      <w:r>
        <w:rPr>
          <w:rFonts w:hint="eastAsia" w:ascii="仿宋_GB2312" w:hAnsi="Times New Roman" w:eastAsia="仿宋_GB2312" w:cs="Times New Roman"/>
          <w:sz w:val="32"/>
          <w:szCs w:val="32"/>
          <w:lang w:eastAsia="zh-CN"/>
        </w:rPr>
        <w:t>蜂蜜、九寨沟蜂蜜入选《中欧地理标志协定》。</w:t>
      </w:r>
    </w:p>
    <w:p w14:paraId="5CDE9F70">
      <w:pPr>
        <w:pStyle w:val="17"/>
        <w:ind w:firstLine="640"/>
        <w:jc w:val="both"/>
        <w:rPr>
          <w:rFonts w:hint="eastAsia"/>
          <w:lang w:val="en-US" w:eastAsia="zh-CN"/>
        </w:rPr>
      </w:pPr>
      <w:r>
        <w:rPr>
          <w:rFonts w:hint="eastAsia"/>
          <w:lang w:val="en-US" w:eastAsia="zh-CN"/>
        </w:rPr>
        <w:t>二、机构设置</w:t>
      </w:r>
    </w:p>
    <w:p w14:paraId="4E911335">
      <w:pPr>
        <w:ind w:firstLine="640" w:firstLineChars="200"/>
        <w:rPr>
          <w:rFonts w:hint="eastAsia" w:ascii="仿宋" w:hAnsi="仿宋" w:eastAsia="仿宋" w:cs="仿宋"/>
          <w:color w:val="000000"/>
          <w:kern w:val="0"/>
          <w:sz w:val="32"/>
          <w:szCs w:val="32"/>
          <w:lang w:val="en-US" w:eastAsia="zh-CN" w:bidi="ar-SA"/>
        </w:rPr>
      </w:pPr>
      <w:r>
        <w:rPr>
          <w:rFonts w:hint="eastAsia" w:ascii="仿宋" w:hAnsi="仿宋" w:eastAsia="仿宋" w:cs="仿宋"/>
          <w:color w:val="000000"/>
          <w:kern w:val="0"/>
          <w:sz w:val="32"/>
          <w:szCs w:val="32"/>
          <w:lang w:val="en-US" w:eastAsia="zh-CN" w:bidi="ar-SA"/>
        </w:rPr>
        <w:t>阿坝州市场监督管理部门下属二级单位5个，其中行政单位1个，其他事业单位4个。</w:t>
      </w:r>
    </w:p>
    <w:p w14:paraId="1F66B709">
      <w:pPr>
        <w:ind w:firstLine="640" w:firstLineChars="200"/>
        <w:rPr>
          <w:rFonts w:hint="eastAsia" w:ascii="仿宋" w:hAnsi="仿宋" w:eastAsia="仿宋" w:cs="仿宋"/>
          <w:color w:val="000000"/>
          <w:kern w:val="0"/>
          <w:sz w:val="32"/>
          <w:szCs w:val="32"/>
          <w:lang w:val="en-US" w:eastAsia="zh-CN" w:bidi="ar-SA"/>
        </w:rPr>
      </w:pPr>
      <w:r>
        <w:rPr>
          <w:rFonts w:hint="eastAsia" w:ascii="仿宋" w:hAnsi="仿宋" w:eastAsia="仿宋" w:cs="仿宋"/>
          <w:color w:val="000000"/>
          <w:kern w:val="0"/>
          <w:sz w:val="32"/>
          <w:szCs w:val="32"/>
          <w:lang w:val="en-US" w:eastAsia="zh-CN" w:bidi="ar-SA"/>
        </w:rPr>
        <w:t>纳入阿坝州市场监督管理部门决算编制范围的二级预算单位包括：</w:t>
      </w:r>
    </w:p>
    <w:p w14:paraId="0940E086">
      <w:pPr>
        <w:numPr>
          <w:ilvl w:val="0"/>
          <w:numId w:val="0"/>
        </w:numPr>
        <w:ind w:firstLine="640" w:firstLineChars="200"/>
        <w:rPr>
          <w:rFonts w:hint="eastAsia" w:ascii="仿宋" w:hAnsi="仿宋" w:eastAsia="仿宋" w:cs="仿宋"/>
          <w:color w:val="000000"/>
          <w:kern w:val="0"/>
          <w:sz w:val="32"/>
          <w:szCs w:val="32"/>
          <w:lang w:val="en-US" w:eastAsia="zh-CN" w:bidi="ar-SA"/>
        </w:rPr>
      </w:pPr>
      <w:r>
        <w:rPr>
          <w:rFonts w:hint="eastAsia" w:ascii="仿宋" w:hAnsi="仿宋" w:eastAsia="仿宋" w:cs="仿宋"/>
          <w:color w:val="000000"/>
          <w:kern w:val="0"/>
          <w:sz w:val="32"/>
          <w:szCs w:val="32"/>
          <w:lang w:val="en-US" w:eastAsia="zh-CN" w:bidi="ar-SA"/>
        </w:rPr>
        <w:t>1.阿坝州市场监督管理局</w:t>
      </w:r>
    </w:p>
    <w:p w14:paraId="4C5EBE1D">
      <w:pPr>
        <w:numPr>
          <w:ilvl w:val="0"/>
          <w:numId w:val="0"/>
        </w:numPr>
        <w:ind w:firstLine="640" w:firstLineChars="200"/>
        <w:rPr>
          <w:rFonts w:hint="eastAsia" w:ascii="仿宋" w:hAnsi="仿宋" w:eastAsia="仿宋" w:cs="仿宋"/>
          <w:color w:val="000000"/>
          <w:kern w:val="0"/>
          <w:sz w:val="32"/>
          <w:szCs w:val="32"/>
          <w:lang w:val="en-US" w:eastAsia="zh-CN" w:bidi="ar-SA"/>
        </w:rPr>
      </w:pPr>
      <w:r>
        <w:rPr>
          <w:rFonts w:hint="eastAsia" w:ascii="仿宋" w:hAnsi="仿宋" w:eastAsia="仿宋" w:cs="仿宋"/>
          <w:color w:val="000000"/>
          <w:kern w:val="0"/>
          <w:sz w:val="32"/>
          <w:szCs w:val="32"/>
          <w:lang w:val="en-US" w:eastAsia="zh-CN" w:bidi="ar-SA"/>
        </w:rPr>
        <w:t>2.阿坝州民营经济工作指导中心</w:t>
      </w:r>
    </w:p>
    <w:p w14:paraId="1472BB9C">
      <w:pPr>
        <w:numPr>
          <w:ilvl w:val="0"/>
          <w:numId w:val="0"/>
        </w:numPr>
        <w:ind w:firstLine="640" w:firstLineChars="200"/>
        <w:rPr>
          <w:rFonts w:hint="eastAsia" w:ascii="仿宋" w:hAnsi="仿宋" w:eastAsia="仿宋" w:cs="仿宋"/>
          <w:color w:val="000000"/>
          <w:kern w:val="0"/>
          <w:sz w:val="32"/>
          <w:szCs w:val="32"/>
          <w:lang w:val="en-US" w:eastAsia="zh-CN" w:bidi="ar-SA"/>
        </w:rPr>
      </w:pPr>
      <w:r>
        <w:rPr>
          <w:rFonts w:hint="eastAsia" w:ascii="仿宋" w:hAnsi="仿宋" w:eastAsia="仿宋" w:cs="仿宋"/>
          <w:color w:val="000000"/>
          <w:kern w:val="0"/>
          <w:sz w:val="32"/>
          <w:szCs w:val="32"/>
          <w:lang w:val="en-US" w:eastAsia="zh-CN" w:bidi="ar-SA"/>
        </w:rPr>
        <w:t>3.阿坝州食品药品检验研究中心</w:t>
      </w:r>
    </w:p>
    <w:p w14:paraId="75D1BCD2">
      <w:pPr>
        <w:numPr>
          <w:ilvl w:val="0"/>
          <w:numId w:val="0"/>
        </w:numPr>
        <w:ind w:firstLine="640" w:firstLineChars="200"/>
        <w:rPr>
          <w:rFonts w:hint="eastAsia" w:ascii="仿宋" w:hAnsi="仿宋" w:eastAsia="仿宋" w:cs="仿宋"/>
          <w:color w:val="000000"/>
          <w:kern w:val="0"/>
          <w:sz w:val="32"/>
          <w:szCs w:val="32"/>
          <w:lang w:val="en-US" w:eastAsia="zh-CN" w:bidi="ar-SA"/>
        </w:rPr>
      </w:pPr>
      <w:r>
        <w:rPr>
          <w:rFonts w:hint="eastAsia" w:ascii="仿宋" w:hAnsi="仿宋" w:eastAsia="仿宋" w:cs="仿宋"/>
          <w:color w:val="000000"/>
          <w:kern w:val="0"/>
          <w:sz w:val="32"/>
          <w:szCs w:val="32"/>
          <w:lang w:val="en-US" w:eastAsia="zh-CN" w:bidi="ar-SA"/>
        </w:rPr>
        <w:t>4.阿坝州计量检定测试所</w:t>
      </w:r>
    </w:p>
    <w:p w14:paraId="1A9F4FDE">
      <w:pPr>
        <w:numPr>
          <w:ilvl w:val="0"/>
          <w:numId w:val="0"/>
        </w:numPr>
        <w:ind w:firstLine="640" w:firstLineChars="200"/>
        <w:rPr>
          <w:rFonts w:hint="eastAsia" w:ascii="仿宋" w:hAnsi="仿宋" w:eastAsia="仿宋" w:cs="仿宋"/>
          <w:color w:val="000000"/>
          <w:kern w:val="0"/>
          <w:sz w:val="32"/>
          <w:szCs w:val="32"/>
          <w:lang w:val="en-US" w:eastAsia="zh-CN" w:bidi="ar-SA"/>
        </w:rPr>
      </w:pPr>
      <w:r>
        <w:rPr>
          <w:rFonts w:hint="eastAsia" w:ascii="仿宋" w:hAnsi="仿宋" w:eastAsia="仿宋" w:cs="仿宋"/>
          <w:color w:val="000000"/>
          <w:kern w:val="0"/>
          <w:sz w:val="32"/>
          <w:szCs w:val="32"/>
          <w:lang w:val="en-US" w:eastAsia="zh-CN" w:bidi="ar-SA"/>
        </w:rPr>
        <w:t>5.阿坝州产品质量和特种设备监督检验所。</w:t>
      </w:r>
    </w:p>
    <w:bookmarkEnd w:id="6"/>
    <w:bookmarkEnd w:id="7"/>
    <w:p w14:paraId="60F824D1">
      <w:pPr>
        <w:spacing w:line="600" w:lineRule="exact"/>
        <w:ind w:firstLine="723" w:firstLineChars="200"/>
        <w:jc w:val="center"/>
        <w:rPr>
          <w:rFonts w:hint="eastAsia" w:ascii="仿宋" w:hAnsi="仿宋" w:eastAsia="仿宋" w:cs="仿宋"/>
          <w:b/>
          <w:bCs/>
          <w:color w:val="000000"/>
          <w:sz w:val="36"/>
          <w:szCs w:val="36"/>
          <w:lang w:eastAsia="zh-CN"/>
        </w:rPr>
      </w:pPr>
    </w:p>
    <w:p w14:paraId="1200DF44">
      <w:pPr>
        <w:spacing w:line="600" w:lineRule="exact"/>
        <w:ind w:firstLine="723" w:firstLineChars="200"/>
        <w:jc w:val="center"/>
        <w:rPr>
          <w:rFonts w:hint="eastAsia" w:ascii="仿宋" w:hAnsi="仿宋" w:eastAsia="仿宋" w:cs="仿宋"/>
          <w:b/>
          <w:bCs/>
          <w:color w:val="000000"/>
          <w:sz w:val="36"/>
          <w:szCs w:val="36"/>
          <w:lang w:eastAsia="zh-CN"/>
        </w:rPr>
      </w:pPr>
    </w:p>
    <w:p w14:paraId="35EB81B1">
      <w:pPr>
        <w:spacing w:line="600" w:lineRule="exact"/>
        <w:ind w:firstLine="723" w:firstLineChars="200"/>
        <w:jc w:val="center"/>
        <w:rPr>
          <w:rFonts w:hint="eastAsia" w:ascii="仿宋" w:hAnsi="仿宋" w:eastAsia="仿宋" w:cs="仿宋"/>
          <w:b/>
          <w:bCs/>
          <w:color w:val="000000"/>
          <w:sz w:val="36"/>
          <w:szCs w:val="36"/>
          <w:lang w:eastAsia="zh-CN"/>
        </w:rPr>
      </w:pPr>
    </w:p>
    <w:p w14:paraId="0FD3643A">
      <w:pPr>
        <w:spacing w:line="600" w:lineRule="exact"/>
        <w:ind w:firstLine="723" w:firstLineChars="200"/>
        <w:jc w:val="center"/>
        <w:rPr>
          <w:rFonts w:hint="eastAsia" w:ascii="仿宋" w:hAnsi="仿宋" w:eastAsia="仿宋" w:cs="仿宋"/>
          <w:b/>
          <w:bCs/>
          <w:color w:val="000000"/>
          <w:sz w:val="36"/>
          <w:szCs w:val="36"/>
          <w:lang w:eastAsia="zh-CN"/>
        </w:rPr>
      </w:pPr>
    </w:p>
    <w:p w14:paraId="503AB123">
      <w:pPr>
        <w:spacing w:line="600" w:lineRule="exact"/>
        <w:ind w:firstLine="723" w:firstLineChars="200"/>
        <w:jc w:val="center"/>
        <w:rPr>
          <w:rFonts w:hint="eastAsia" w:ascii="仿宋" w:hAnsi="仿宋" w:eastAsia="仿宋" w:cs="仿宋"/>
          <w:b/>
          <w:bCs/>
          <w:color w:val="000000"/>
          <w:sz w:val="36"/>
          <w:szCs w:val="36"/>
          <w:lang w:eastAsia="zh-CN"/>
        </w:rPr>
      </w:pPr>
    </w:p>
    <w:p w14:paraId="064A8E82">
      <w:pPr>
        <w:spacing w:line="600" w:lineRule="exact"/>
        <w:ind w:firstLine="723" w:firstLineChars="200"/>
        <w:jc w:val="center"/>
        <w:rPr>
          <w:rFonts w:hint="eastAsia" w:ascii="仿宋" w:hAnsi="仿宋" w:eastAsia="仿宋" w:cs="仿宋"/>
          <w:b/>
          <w:bCs/>
          <w:color w:val="000000"/>
          <w:sz w:val="36"/>
          <w:szCs w:val="36"/>
          <w:lang w:eastAsia="zh-CN"/>
        </w:rPr>
      </w:pPr>
    </w:p>
    <w:p w14:paraId="3081FE8A">
      <w:pPr>
        <w:spacing w:line="600" w:lineRule="exact"/>
        <w:jc w:val="both"/>
        <w:rPr>
          <w:rFonts w:hint="eastAsia" w:ascii="仿宋" w:hAnsi="仿宋" w:eastAsia="仿宋" w:cs="仿宋"/>
          <w:b/>
          <w:bCs/>
          <w:color w:val="000000"/>
          <w:sz w:val="36"/>
          <w:szCs w:val="36"/>
          <w:lang w:eastAsia="zh-CN"/>
        </w:rPr>
      </w:pPr>
    </w:p>
    <w:p w14:paraId="1E378A8B">
      <w:pPr>
        <w:spacing w:line="600" w:lineRule="exact"/>
        <w:ind w:firstLine="723" w:firstLineChars="200"/>
        <w:jc w:val="center"/>
        <w:rPr>
          <w:rFonts w:hint="eastAsia" w:ascii="仿宋" w:hAnsi="仿宋" w:eastAsia="仿宋" w:cs="仿宋"/>
          <w:b/>
          <w:bCs/>
          <w:color w:val="000000"/>
          <w:sz w:val="36"/>
          <w:szCs w:val="36"/>
          <w:lang w:eastAsia="zh-CN"/>
        </w:rPr>
      </w:pPr>
    </w:p>
    <w:p w14:paraId="342567E4">
      <w:pPr>
        <w:spacing w:line="600" w:lineRule="exact"/>
        <w:ind w:firstLine="723" w:firstLineChars="200"/>
        <w:jc w:val="center"/>
        <w:rPr>
          <w:rFonts w:hint="eastAsia" w:ascii="仿宋" w:hAnsi="仿宋" w:eastAsia="仿宋" w:cs="仿宋"/>
          <w:b/>
          <w:bCs/>
          <w:color w:val="000000"/>
          <w:sz w:val="36"/>
          <w:szCs w:val="36"/>
          <w:lang w:eastAsia="zh-CN"/>
        </w:rPr>
      </w:pPr>
    </w:p>
    <w:p w14:paraId="498C96CD">
      <w:pPr>
        <w:spacing w:line="600" w:lineRule="exact"/>
        <w:ind w:firstLine="723" w:firstLineChars="200"/>
        <w:jc w:val="center"/>
        <w:rPr>
          <w:rFonts w:hint="eastAsia" w:ascii="仿宋" w:hAnsi="仿宋" w:eastAsia="仿宋" w:cs="仿宋"/>
          <w:b/>
          <w:bCs/>
          <w:color w:val="000000"/>
          <w:sz w:val="18"/>
          <w:szCs w:val="18"/>
          <w:lang w:val="en-US" w:eastAsia="zh-CN"/>
        </w:rPr>
      </w:pPr>
      <w:r>
        <w:rPr>
          <w:rFonts w:hint="eastAsia" w:ascii="仿宋" w:hAnsi="仿宋" w:eastAsia="仿宋" w:cs="仿宋"/>
          <w:b/>
          <w:bCs/>
          <w:color w:val="000000"/>
          <w:sz w:val="36"/>
          <w:szCs w:val="36"/>
          <w:lang w:eastAsia="zh-CN"/>
        </w:rPr>
        <w:t>第二部分</w:t>
      </w:r>
      <w:r>
        <w:rPr>
          <w:rFonts w:hint="eastAsia" w:ascii="仿宋" w:hAnsi="仿宋" w:eastAsia="仿宋" w:cs="仿宋"/>
          <w:b/>
          <w:bCs/>
          <w:color w:val="000000"/>
          <w:sz w:val="36"/>
          <w:szCs w:val="36"/>
          <w:lang w:val="en-US" w:eastAsia="zh-CN"/>
        </w:rPr>
        <w:t xml:space="preserve"> 2025年度部门决算情况说明</w:t>
      </w:r>
    </w:p>
    <w:p w14:paraId="5287D2C4">
      <w:pPr>
        <w:spacing w:line="600" w:lineRule="exact"/>
        <w:ind w:firstLine="643" w:firstLineChars="200"/>
        <w:rPr>
          <w:rFonts w:hint="eastAsia" w:ascii="仿宋" w:hAnsi="仿宋" w:eastAsia="仿宋" w:cs="仿宋"/>
          <w:b/>
          <w:bCs/>
          <w:color w:val="000000"/>
          <w:sz w:val="32"/>
          <w:szCs w:val="32"/>
          <w:lang w:val="en-US" w:eastAsia="zh-CN"/>
        </w:rPr>
      </w:pPr>
      <w:r>
        <w:rPr>
          <w:rFonts w:hint="eastAsia" w:ascii="仿宋" w:hAnsi="仿宋" w:eastAsia="仿宋" w:cs="仿宋"/>
          <w:b/>
          <w:bCs/>
          <w:color w:val="000000"/>
          <w:sz w:val="32"/>
          <w:szCs w:val="32"/>
          <w:lang w:val="en-US" w:eastAsia="zh-CN"/>
        </w:rPr>
        <w:t>一、收入支出决算总体情况说明</w:t>
      </w:r>
    </w:p>
    <w:p w14:paraId="7EE45200">
      <w:pPr>
        <w:spacing w:line="600" w:lineRule="exact"/>
        <w:ind w:firstLine="640" w:firstLineChars="200"/>
        <w:rPr>
          <w:rFonts w:ascii="仿宋" w:hAnsi="仿宋" w:eastAsia="仿宋"/>
          <w:color w:val="000000"/>
          <w:sz w:val="32"/>
          <w:szCs w:val="32"/>
        </w:rPr>
      </w:pPr>
      <w:r>
        <w:rPr>
          <w:rFonts w:ascii="仿宋" w:hAnsi="仿宋" w:eastAsia="仿宋" w:cs="仿宋"/>
          <w:color w:val="000000"/>
          <w:sz w:val="32"/>
          <w:szCs w:val="32"/>
        </w:rPr>
        <w:t>20</w:t>
      </w:r>
      <w:r>
        <w:rPr>
          <w:rFonts w:hint="eastAsia" w:ascii="仿宋" w:hAnsi="仿宋" w:eastAsia="仿宋" w:cs="仿宋"/>
          <w:color w:val="000000"/>
          <w:sz w:val="32"/>
          <w:szCs w:val="32"/>
          <w:lang w:val="en-US" w:eastAsia="zh-CN"/>
        </w:rPr>
        <w:t>25</w:t>
      </w:r>
      <w:r>
        <w:rPr>
          <w:rFonts w:hint="eastAsia" w:ascii="仿宋" w:hAnsi="仿宋" w:eastAsia="仿宋" w:cs="仿宋"/>
          <w:color w:val="000000"/>
          <w:sz w:val="32"/>
          <w:szCs w:val="32"/>
        </w:rPr>
        <w:t>年度收入</w:t>
      </w:r>
      <w:r>
        <w:rPr>
          <w:rFonts w:hint="eastAsia" w:ascii="仿宋" w:hAnsi="仿宋" w:eastAsia="仿宋" w:cs="仿宋"/>
          <w:color w:val="000000"/>
          <w:sz w:val="32"/>
          <w:szCs w:val="32"/>
          <w:lang w:val="en-US" w:eastAsia="zh-CN"/>
        </w:rPr>
        <w:t>6504.95</w:t>
      </w:r>
      <w:r>
        <w:rPr>
          <w:rFonts w:hint="eastAsia" w:ascii="仿宋" w:hAnsi="仿宋" w:eastAsia="仿宋" w:cs="仿宋"/>
          <w:color w:val="000000"/>
          <w:sz w:val="32"/>
          <w:szCs w:val="32"/>
        </w:rPr>
        <w:t>万元、支出总计</w:t>
      </w:r>
      <w:r>
        <w:rPr>
          <w:rFonts w:hint="eastAsia" w:ascii="仿宋" w:hAnsi="仿宋" w:eastAsia="仿宋" w:cs="仿宋"/>
          <w:color w:val="000000"/>
          <w:sz w:val="32"/>
          <w:szCs w:val="32"/>
          <w:lang w:val="en-US" w:eastAsia="zh-CN"/>
        </w:rPr>
        <w:t>6504.95</w:t>
      </w:r>
      <w:r>
        <w:rPr>
          <w:rFonts w:hint="eastAsia" w:ascii="仿宋" w:hAnsi="仿宋" w:eastAsia="仿宋" w:cs="仿宋"/>
          <w:color w:val="000000"/>
          <w:sz w:val="32"/>
          <w:szCs w:val="32"/>
        </w:rPr>
        <w:t>万元。与</w:t>
      </w:r>
      <w:r>
        <w:rPr>
          <w:rFonts w:ascii="仿宋" w:hAnsi="仿宋" w:eastAsia="仿宋" w:cs="仿宋"/>
          <w:color w:val="000000"/>
          <w:sz w:val="32"/>
          <w:szCs w:val="32"/>
        </w:rPr>
        <w:t>20</w:t>
      </w:r>
      <w:r>
        <w:rPr>
          <w:rFonts w:hint="eastAsia" w:ascii="仿宋" w:hAnsi="仿宋" w:eastAsia="仿宋" w:cs="仿宋"/>
          <w:color w:val="000000"/>
          <w:sz w:val="32"/>
          <w:szCs w:val="32"/>
          <w:lang w:val="en-US" w:eastAsia="zh-CN"/>
        </w:rPr>
        <w:t>24</w:t>
      </w:r>
      <w:r>
        <w:rPr>
          <w:rFonts w:hint="eastAsia" w:ascii="仿宋" w:hAnsi="仿宋" w:eastAsia="仿宋" w:cs="仿宋"/>
          <w:color w:val="000000"/>
          <w:sz w:val="32"/>
          <w:szCs w:val="32"/>
        </w:rPr>
        <w:t>年</w:t>
      </w:r>
      <w:r>
        <w:rPr>
          <w:rFonts w:hint="eastAsia" w:ascii="仿宋" w:hAnsi="仿宋" w:eastAsia="仿宋" w:cs="仿宋"/>
          <w:color w:val="000000"/>
          <w:sz w:val="32"/>
          <w:szCs w:val="32"/>
          <w:lang w:eastAsia="zh-CN"/>
        </w:rPr>
        <w:t>度</w:t>
      </w:r>
      <w:r>
        <w:rPr>
          <w:rFonts w:hint="eastAsia" w:ascii="仿宋" w:hAnsi="仿宋" w:eastAsia="仿宋" w:cs="仿宋"/>
          <w:color w:val="000000"/>
          <w:sz w:val="32"/>
          <w:szCs w:val="32"/>
        </w:rPr>
        <w:t>相比，收入</w:t>
      </w:r>
      <w:r>
        <w:rPr>
          <w:rFonts w:hint="eastAsia" w:ascii="仿宋" w:hAnsi="仿宋" w:eastAsia="仿宋" w:cs="仿宋"/>
          <w:color w:val="000000"/>
          <w:sz w:val="32"/>
          <w:szCs w:val="32"/>
          <w:lang w:eastAsia="zh-CN"/>
        </w:rPr>
        <w:t>增加</w:t>
      </w:r>
      <w:r>
        <w:rPr>
          <w:rFonts w:hint="eastAsia" w:ascii="仿宋" w:hAnsi="仿宋" w:eastAsia="仿宋" w:cs="仿宋"/>
          <w:color w:val="000000"/>
          <w:sz w:val="32"/>
          <w:szCs w:val="32"/>
          <w:lang w:val="en-US" w:eastAsia="zh-CN"/>
        </w:rPr>
        <w:t>64.04</w:t>
      </w:r>
      <w:r>
        <w:rPr>
          <w:rFonts w:hint="eastAsia" w:ascii="仿宋" w:hAnsi="仿宋" w:eastAsia="仿宋" w:cs="仿宋"/>
          <w:color w:val="000000"/>
          <w:sz w:val="32"/>
          <w:szCs w:val="32"/>
        </w:rPr>
        <w:t>万元、支出</w:t>
      </w:r>
      <w:r>
        <w:rPr>
          <w:rFonts w:hint="eastAsia" w:ascii="仿宋" w:hAnsi="仿宋" w:eastAsia="仿宋" w:cs="仿宋"/>
          <w:color w:val="000000"/>
          <w:sz w:val="32"/>
          <w:szCs w:val="32"/>
          <w:lang w:eastAsia="zh-CN"/>
        </w:rPr>
        <w:t>增加</w:t>
      </w:r>
      <w:r>
        <w:rPr>
          <w:rFonts w:hint="eastAsia" w:ascii="仿宋" w:hAnsi="仿宋" w:eastAsia="仿宋" w:cs="仿宋"/>
          <w:color w:val="000000"/>
          <w:sz w:val="32"/>
          <w:szCs w:val="32"/>
          <w:lang w:val="en-US" w:eastAsia="zh-CN"/>
        </w:rPr>
        <w:t>64.04</w:t>
      </w:r>
      <w:r>
        <w:rPr>
          <w:rFonts w:hint="eastAsia" w:ascii="仿宋" w:hAnsi="仿宋" w:eastAsia="仿宋" w:cs="仿宋"/>
          <w:color w:val="000000"/>
          <w:sz w:val="32"/>
          <w:szCs w:val="32"/>
        </w:rPr>
        <w:t>万元，收入</w:t>
      </w:r>
      <w:r>
        <w:rPr>
          <w:rFonts w:hint="eastAsia" w:ascii="仿宋" w:hAnsi="仿宋" w:eastAsia="仿宋" w:cs="仿宋"/>
          <w:color w:val="000000"/>
          <w:sz w:val="32"/>
          <w:szCs w:val="32"/>
          <w:lang w:eastAsia="zh-CN"/>
        </w:rPr>
        <w:t>增加</w:t>
      </w:r>
      <w:r>
        <w:rPr>
          <w:rFonts w:hint="eastAsia" w:ascii="仿宋" w:hAnsi="仿宋" w:eastAsia="仿宋" w:cs="仿宋"/>
          <w:color w:val="000000"/>
          <w:sz w:val="32"/>
          <w:szCs w:val="32"/>
          <w:lang w:val="en-US" w:eastAsia="zh-CN"/>
        </w:rPr>
        <w:t>0.99</w:t>
      </w:r>
      <w:r>
        <w:rPr>
          <w:rFonts w:ascii="仿宋" w:hAnsi="仿宋" w:eastAsia="仿宋" w:cs="仿宋"/>
          <w:color w:val="000000"/>
          <w:sz w:val="32"/>
          <w:szCs w:val="32"/>
        </w:rPr>
        <w:t>%</w:t>
      </w:r>
      <w:r>
        <w:rPr>
          <w:rFonts w:hint="eastAsia" w:ascii="仿宋" w:hAnsi="仿宋" w:eastAsia="仿宋" w:cs="仿宋"/>
          <w:color w:val="000000"/>
          <w:sz w:val="32"/>
          <w:szCs w:val="32"/>
        </w:rPr>
        <w:t>，支出</w:t>
      </w:r>
      <w:r>
        <w:rPr>
          <w:rFonts w:hint="eastAsia" w:ascii="仿宋" w:hAnsi="仿宋" w:eastAsia="仿宋" w:cs="仿宋"/>
          <w:color w:val="000000"/>
          <w:sz w:val="32"/>
          <w:szCs w:val="32"/>
          <w:lang w:eastAsia="zh-CN"/>
        </w:rPr>
        <w:t>增加</w:t>
      </w:r>
      <w:r>
        <w:rPr>
          <w:rFonts w:hint="eastAsia" w:ascii="仿宋" w:hAnsi="仿宋" w:eastAsia="仿宋" w:cs="仿宋"/>
          <w:color w:val="000000"/>
          <w:sz w:val="32"/>
          <w:szCs w:val="32"/>
          <w:lang w:val="en-US" w:eastAsia="zh-CN"/>
        </w:rPr>
        <w:t>0.99</w:t>
      </w:r>
      <w:r>
        <w:rPr>
          <w:rFonts w:ascii="仿宋" w:hAnsi="仿宋" w:eastAsia="仿宋" w:cs="仿宋"/>
          <w:color w:val="000000"/>
          <w:sz w:val="32"/>
          <w:szCs w:val="32"/>
        </w:rPr>
        <w:t>%</w:t>
      </w:r>
      <w:r>
        <w:rPr>
          <w:rFonts w:hint="eastAsia" w:ascii="仿宋" w:hAnsi="仿宋" w:eastAsia="仿宋" w:cs="仿宋"/>
          <w:color w:val="000000"/>
          <w:sz w:val="32"/>
          <w:szCs w:val="32"/>
        </w:rPr>
        <w:t>。主要原</w:t>
      </w:r>
      <w:r>
        <w:rPr>
          <w:rFonts w:hint="eastAsia" w:ascii="仿宋" w:hAnsi="仿宋" w:eastAsia="仿宋" w:cs="仿宋"/>
          <w:color w:val="000000"/>
          <w:sz w:val="32"/>
          <w:szCs w:val="32"/>
          <w:lang w:eastAsia="zh-CN"/>
        </w:rPr>
        <w:t>因是人员经费增加导致</w:t>
      </w:r>
      <w:r>
        <w:rPr>
          <w:rFonts w:hint="eastAsia" w:ascii="仿宋" w:hAnsi="仿宋" w:eastAsia="仿宋" w:cs="仿宋"/>
          <w:color w:val="000000"/>
          <w:sz w:val="32"/>
          <w:szCs w:val="32"/>
        </w:rPr>
        <w:t>。</w:t>
      </w:r>
    </w:p>
    <w:p w14:paraId="4EC3559C">
      <w:pPr>
        <w:spacing w:line="600" w:lineRule="exact"/>
        <w:ind w:firstLine="640" w:firstLineChars="200"/>
        <w:rPr>
          <w:rFonts w:ascii="仿宋" w:hAnsi="仿宋" w:eastAsia="仿宋"/>
          <w:color w:val="000000"/>
          <w:sz w:val="32"/>
          <w:szCs w:val="32"/>
        </w:rPr>
      </w:pPr>
      <w:r>
        <w:rPr>
          <w:rFonts w:hint="eastAsia" w:ascii="仿宋" w:hAnsi="仿宋" w:eastAsia="仿宋" w:cs="仿宋"/>
          <w:color w:val="000000"/>
          <w:sz w:val="32"/>
          <w:szCs w:val="32"/>
        </w:rPr>
        <w:t>（图</w:t>
      </w:r>
      <w:r>
        <w:rPr>
          <w:rFonts w:ascii="仿宋" w:hAnsi="仿宋" w:eastAsia="仿宋" w:cs="仿宋"/>
          <w:color w:val="000000"/>
          <w:sz w:val="32"/>
          <w:szCs w:val="32"/>
        </w:rPr>
        <w:t>1</w:t>
      </w:r>
      <w:r>
        <w:rPr>
          <w:rFonts w:hint="eastAsia" w:ascii="仿宋" w:hAnsi="仿宋" w:eastAsia="仿宋" w:cs="仿宋"/>
          <w:color w:val="000000"/>
          <w:sz w:val="32"/>
          <w:szCs w:val="32"/>
        </w:rPr>
        <w:t>：收、支决算总计变动情况图）（柱状图）</w:t>
      </w:r>
    </w:p>
    <w:p w14:paraId="77A8F24D">
      <w:pPr>
        <w:spacing w:line="600" w:lineRule="exact"/>
        <w:ind w:firstLine="640" w:firstLineChars="200"/>
        <w:rPr>
          <w:rFonts w:ascii="仿宋" w:hAnsi="仿宋" w:eastAsia="仿宋"/>
          <w:color w:val="000000"/>
          <w:sz w:val="32"/>
          <w:szCs w:val="32"/>
        </w:rPr>
      </w:pPr>
      <w:r>
        <w:pict>
          <v:shape id="_x0000_s1026" o:spid="_x0000_s1026" o:spt="75" type="#_x0000_t75" style="position:absolute;left:0pt;margin-left:41.6pt;margin-top:9.65pt;height:177.5pt;width:315.45pt;z-index:251659264;mso-width-relative:page;mso-height-relative:page;" o:ole="t" filled="f" o:preferrelative="t" stroked="f" coordsize="21600,21600">
            <v:path/>
            <v:fill on="f" focussize="0,0"/>
            <v:stroke on="f"/>
            <v:imagedata r:id="rId12" o:title=""/>
            <o:lock v:ext="edit" aspectratio="t"/>
          </v:shape>
          <o:OLEObject Type="Embed" ProgID="Excel.Chart.8" ShapeID="_x0000_s1026" DrawAspect="Content" ObjectID="_1468075725" r:id="rId11">
            <o:LockedField>false</o:LockedField>
          </o:OLEObject>
        </w:pict>
      </w:r>
    </w:p>
    <w:p w14:paraId="5AD67B71">
      <w:pPr>
        <w:spacing w:line="600" w:lineRule="exact"/>
        <w:rPr>
          <w:rFonts w:ascii="仿宋" w:hAnsi="仿宋" w:eastAsia="仿宋"/>
          <w:color w:val="000000"/>
          <w:sz w:val="32"/>
          <w:szCs w:val="32"/>
        </w:rPr>
      </w:pPr>
    </w:p>
    <w:p w14:paraId="65BE904A">
      <w:pPr>
        <w:rPr>
          <w:rFonts w:ascii="仿宋" w:hAnsi="仿宋" w:eastAsia="仿宋"/>
          <w:color w:val="000000"/>
          <w:sz w:val="32"/>
          <w:szCs w:val="32"/>
        </w:rPr>
      </w:pPr>
    </w:p>
    <w:p w14:paraId="227AF1CD">
      <w:pPr>
        <w:spacing w:line="600" w:lineRule="exact"/>
        <w:rPr>
          <w:rFonts w:ascii="仿宋" w:hAnsi="仿宋" w:eastAsia="仿宋"/>
          <w:color w:val="000000"/>
          <w:sz w:val="32"/>
          <w:szCs w:val="32"/>
        </w:rPr>
      </w:pPr>
    </w:p>
    <w:p w14:paraId="7D6DBEC6">
      <w:pPr>
        <w:spacing w:line="600" w:lineRule="exact"/>
        <w:rPr>
          <w:rFonts w:ascii="仿宋" w:hAnsi="仿宋" w:eastAsia="仿宋"/>
          <w:color w:val="000000"/>
          <w:sz w:val="32"/>
          <w:szCs w:val="32"/>
        </w:rPr>
      </w:pPr>
    </w:p>
    <w:p w14:paraId="67655E68">
      <w:pPr>
        <w:spacing w:line="600" w:lineRule="exact"/>
        <w:rPr>
          <w:rFonts w:ascii="仿宋" w:hAnsi="仿宋" w:eastAsia="仿宋"/>
          <w:color w:val="000000"/>
          <w:sz w:val="32"/>
          <w:szCs w:val="32"/>
        </w:rPr>
      </w:pPr>
    </w:p>
    <w:p w14:paraId="2D11A675">
      <w:pPr>
        <w:pStyle w:val="42"/>
        <w:numPr>
          <w:ilvl w:val="0"/>
          <w:numId w:val="0"/>
        </w:numPr>
        <w:spacing w:line="600" w:lineRule="exact"/>
        <w:ind w:left="1360" w:leftChars="0" w:hanging="720" w:firstLineChars="0"/>
        <w:outlineLvl w:val="1"/>
        <w:rPr>
          <w:rStyle w:val="43"/>
          <w:rFonts w:ascii="黑体" w:hAnsi="黑体" w:eastAsia="黑体" w:cs="Times New Roman"/>
          <w:b w:val="0"/>
          <w:bCs w:val="0"/>
        </w:rPr>
      </w:pPr>
      <w:bookmarkStart w:id="8" w:name="_Toc15396604"/>
      <w:bookmarkStart w:id="9" w:name="_Toc15377206"/>
      <w:r>
        <w:rPr>
          <w:rFonts w:hint="eastAsia" w:ascii="黑体" w:hAnsi="黑体" w:eastAsia="黑体" w:cs="Times New Roman"/>
          <w:b w:val="0"/>
          <w:bCs w:val="0"/>
          <w:kern w:val="2"/>
          <w:sz w:val="32"/>
          <w:szCs w:val="32"/>
          <w:lang w:val="en-US" w:eastAsia="zh-CN" w:bidi="ar-SA"/>
        </w:rPr>
        <w:t>二</w:t>
      </w:r>
      <w:r>
        <w:rPr>
          <w:rFonts w:hint="default" w:ascii="黑体" w:hAnsi="黑体" w:eastAsia="黑体" w:cs="Times New Roman"/>
          <w:b w:val="0"/>
          <w:bCs w:val="0"/>
          <w:kern w:val="2"/>
          <w:sz w:val="32"/>
          <w:szCs w:val="32"/>
          <w:lang w:val="en-US" w:eastAsia="zh-CN" w:bidi="ar-SA"/>
        </w:rPr>
        <w:t>、</w:t>
      </w:r>
      <w:r>
        <w:rPr>
          <w:rFonts w:hint="eastAsia" w:ascii="黑体" w:hAnsi="黑体" w:eastAsia="黑体" w:cs="黑体"/>
          <w:color w:val="000000"/>
          <w:sz w:val="32"/>
          <w:szCs w:val="32"/>
        </w:rPr>
        <w:t>收</w:t>
      </w:r>
      <w:r>
        <w:rPr>
          <w:rStyle w:val="43"/>
          <w:rFonts w:hint="eastAsia" w:ascii="黑体" w:hAnsi="黑体" w:eastAsia="黑体" w:cs="黑体"/>
          <w:b w:val="0"/>
          <w:bCs w:val="0"/>
        </w:rPr>
        <w:t>入决算情况说明</w:t>
      </w:r>
      <w:bookmarkEnd w:id="8"/>
      <w:bookmarkEnd w:id="9"/>
    </w:p>
    <w:p w14:paraId="2453B335">
      <w:pPr>
        <w:spacing w:line="600" w:lineRule="exact"/>
        <w:ind w:firstLine="640" w:firstLineChars="200"/>
        <w:outlineLvl w:val="1"/>
        <w:rPr>
          <w:rFonts w:ascii="仿宋" w:hAnsi="仿宋" w:eastAsia="仿宋"/>
          <w:color w:val="000000"/>
          <w:sz w:val="32"/>
          <w:szCs w:val="32"/>
        </w:rPr>
      </w:pPr>
      <w:r>
        <w:rPr>
          <w:rFonts w:ascii="仿宋" w:hAnsi="仿宋" w:eastAsia="仿宋" w:cs="仿宋"/>
          <w:color w:val="000000"/>
          <w:sz w:val="32"/>
          <w:szCs w:val="32"/>
        </w:rPr>
        <w:t>20</w:t>
      </w:r>
      <w:r>
        <w:rPr>
          <w:rFonts w:hint="eastAsia" w:ascii="仿宋" w:hAnsi="仿宋" w:eastAsia="仿宋" w:cs="仿宋"/>
          <w:color w:val="000000"/>
          <w:sz w:val="32"/>
          <w:szCs w:val="32"/>
          <w:lang w:val="en-US" w:eastAsia="zh-CN"/>
        </w:rPr>
        <w:t>25</w:t>
      </w:r>
      <w:r>
        <w:rPr>
          <w:rFonts w:hint="eastAsia" w:ascii="仿宋" w:hAnsi="仿宋" w:eastAsia="仿宋" w:cs="仿宋"/>
          <w:color w:val="000000"/>
          <w:sz w:val="32"/>
          <w:szCs w:val="32"/>
        </w:rPr>
        <w:t>年</w:t>
      </w:r>
      <w:r>
        <w:rPr>
          <w:rFonts w:hint="eastAsia" w:ascii="仿宋" w:hAnsi="仿宋" w:eastAsia="仿宋" w:cs="仿宋"/>
          <w:color w:val="000000"/>
          <w:sz w:val="32"/>
          <w:szCs w:val="32"/>
          <w:lang w:eastAsia="zh-CN"/>
        </w:rPr>
        <w:t>度</w:t>
      </w:r>
      <w:r>
        <w:rPr>
          <w:rFonts w:hint="eastAsia" w:ascii="仿宋" w:hAnsi="仿宋" w:eastAsia="仿宋" w:cs="仿宋"/>
          <w:color w:val="000000"/>
          <w:sz w:val="32"/>
          <w:szCs w:val="32"/>
        </w:rPr>
        <w:t>本年收入合计</w:t>
      </w:r>
      <w:r>
        <w:rPr>
          <w:rFonts w:hint="eastAsia" w:ascii="仿宋" w:hAnsi="仿宋" w:eastAsia="仿宋" w:cs="仿宋"/>
          <w:color w:val="000000"/>
          <w:sz w:val="32"/>
          <w:szCs w:val="32"/>
          <w:lang w:val="en-US" w:eastAsia="zh-CN"/>
        </w:rPr>
        <w:t>6504.95</w:t>
      </w:r>
      <w:r>
        <w:rPr>
          <w:rFonts w:hint="eastAsia" w:ascii="仿宋" w:hAnsi="仿宋" w:eastAsia="仿宋" w:cs="仿宋"/>
          <w:color w:val="000000"/>
          <w:sz w:val="32"/>
          <w:szCs w:val="32"/>
        </w:rPr>
        <w:t>万元，其中：一般公共预算财政拨款收入</w:t>
      </w:r>
      <w:r>
        <w:rPr>
          <w:rFonts w:hint="eastAsia" w:ascii="仿宋" w:hAnsi="仿宋" w:eastAsia="仿宋" w:cs="仿宋"/>
          <w:color w:val="000000"/>
          <w:sz w:val="32"/>
          <w:szCs w:val="32"/>
          <w:lang w:val="en-US" w:eastAsia="zh-CN"/>
        </w:rPr>
        <w:t>6502.09</w:t>
      </w:r>
      <w:r>
        <w:rPr>
          <w:rFonts w:hint="eastAsia" w:ascii="仿宋" w:hAnsi="仿宋" w:eastAsia="仿宋" w:cs="仿宋"/>
          <w:color w:val="000000"/>
          <w:sz w:val="32"/>
          <w:szCs w:val="32"/>
        </w:rPr>
        <w:t>万元，占</w:t>
      </w:r>
      <w:r>
        <w:rPr>
          <w:rFonts w:hint="eastAsia" w:ascii="仿宋" w:hAnsi="仿宋" w:eastAsia="仿宋" w:cs="仿宋"/>
          <w:color w:val="000000"/>
          <w:sz w:val="32"/>
          <w:szCs w:val="32"/>
          <w:lang w:val="en-US" w:eastAsia="zh-CN"/>
        </w:rPr>
        <w:t>99.96</w:t>
      </w:r>
      <w:r>
        <w:rPr>
          <w:rFonts w:ascii="仿宋" w:hAnsi="仿宋" w:eastAsia="仿宋" w:cs="仿宋"/>
          <w:color w:val="000000"/>
          <w:sz w:val="32"/>
          <w:szCs w:val="32"/>
        </w:rPr>
        <w:t>%</w:t>
      </w:r>
      <w:r>
        <w:rPr>
          <w:rFonts w:hint="eastAsia" w:ascii="仿宋" w:hAnsi="仿宋" w:eastAsia="仿宋" w:cs="仿宋"/>
          <w:color w:val="000000"/>
          <w:sz w:val="32"/>
          <w:szCs w:val="32"/>
        </w:rPr>
        <w:t>；政府性基金预算财政拨款收入</w:t>
      </w:r>
      <w:r>
        <w:rPr>
          <w:rFonts w:ascii="仿宋" w:hAnsi="仿宋" w:eastAsia="仿宋" w:cs="仿宋"/>
          <w:color w:val="000000"/>
          <w:sz w:val="32"/>
          <w:szCs w:val="32"/>
        </w:rPr>
        <w:t>0</w:t>
      </w:r>
      <w:r>
        <w:rPr>
          <w:rFonts w:hint="eastAsia" w:ascii="仿宋" w:hAnsi="仿宋" w:eastAsia="仿宋" w:cs="仿宋"/>
          <w:color w:val="000000"/>
          <w:sz w:val="32"/>
          <w:szCs w:val="32"/>
        </w:rPr>
        <w:t>万元，占</w:t>
      </w:r>
      <w:r>
        <w:rPr>
          <w:rFonts w:ascii="仿宋" w:hAnsi="仿宋" w:eastAsia="仿宋" w:cs="仿宋"/>
          <w:color w:val="000000"/>
          <w:sz w:val="32"/>
          <w:szCs w:val="32"/>
        </w:rPr>
        <w:t>0%</w:t>
      </w:r>
      <w:r>
        <w:rPr>
          <w:rFonts w:hint="eastAsia" w:ascii="仿宋" w:hAnsi="仿宋" w:eastAsia="仿宋" w:cs="仿宋"/>
          <w:color w:val="000000"/>
          <w:sz w:val="32"/>
          <w:szCs w:val="32"/>
        </w:rPr>
        <w:t>；国有资本经营预算财政拨款收入</w:t>
      </w:r>
      <w:r>
        <w:rPr>
          <w:rFonts w:ascii="仿宋" w:hAnsi="仿宋" w:eastAsia="仿宋" w:cs="仿宋"/>
          <w:color w:val="000000"/>
          <w:sz w:val="32"/>
          <w:szCs w:val="32"/>
        </w:rPr>
        <w:t>0</w:t>
      </w:r>
      <w:r>
        <w:rPr>
          <w:rFonts w:hint="eastAsia" w:ascii="仿宋" w:hAnsi="仿宋" w:eastAsia="仿宋" w:cs="仿宋"/>
          <w:color w:val="000000"/>
          <w:sz w:val="32"/>
          <w:szCs w:val="32"/>
        </w:rPr>
        <w:t>万元，占</w:t>
      </w:r>
      <w:r>
        <w:rPr>
          <w:rFonts w:ascii="仿宋" w:hAnsi="仿宋" w:eastAsia="仿宋" w:cs="仿宋"/>
          <w:color w:val="000000"/>
          <w:sz w:val="32"/>
          <w:szCs w:val="32"/>
        </w:rPr>
        <w:t>0%</w:t>
      </w:r>
      <w:r>
        <w:rPr>
          <w:rFonts w:hint="eastAsia" w:ascii="仿宋" w:hAnsi="仿宋" w:eastAsia="仿宋" w:cs="仿宋"/>
          <w:color w:val="000000"/>
          <w:sz w:val="32"/>
          <w:szCs w:val="32"/>
        </w:rPr>
        <w:t>；事业收入</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万元，占</w:t>
      </w:r>
      <w:r>
        <w:rPr>
          <w:rFonts w:hint="eastAsia" w:ascii="仿宋" w:hAnsi="仿宋" w:eastAsia="仿宋" w:cs="仿宋"/>
          <w:color w:val="000000"/>
          <w:sz w:val="32"/>
          <w:szCs w:val="32"/>
          <w:lang w:val="en-US" w:eastAsia="zh-CN"/>
        </w:rPr>
        <w:t>0</w:t>
      </w:r>
      <w:r>
        <w:rPr>
          <w:rFonts w:ascii="仿宋" w:hAnsi="仿宋" w:eastAsia="仿宋" w:cs="仿宋"/>
          <w:color w:val="000000"/>
          <w:sz w:val="32"/>
          <w:szCs w:val="32"/>
        </w:rPr>
        <w:t>%</w:t>
      </w:r>
      <w:r>
        <w:rPr>
          <w:rFonts w:hint="eastAsia" w:ascii="仿宋" w:hAnsi="仿宋" w:eastAsia="仿宋" w:cs="仿宋"/>
          <w:color w:val="000000"/>
          <w:sz w:val="32"/>
          <w:szCs w:val="32"/>
        </w:rPr>
        <w:t>；经营收入</w:t>
      </w:r>
      <w:r>
        <w:rPr>
          <w:rFonts w:ascii="仿宋" w:hAnsi="仿宋" w:eastAsia="仿宋" w:cs="仿宋"/>
          <w:color w:val="000000"/>
          <w:sz w:val="32"/>
          <w:szCs w:val="32"/>
        </w:rPr>
        <w:t>0</w:t>
      </w:r>
      <w:r>
        <w:rPr>
          <w:rFonts w:hint="eastAsia" w:ascii="仿宋" w:hAnsi="仿宋" w:eastAsia="仿宋" w:cs="仿宋"/>
          <w:color w:val="000000"/>
          <w:sz w:val="32"/>
          <w:szCs w:val="32"/>
        </w:rPr>
        <w:t>万元，占</w:t>
      </w:r>
      <w:r>
        <w:rPr>
          <w:rFonts w:ascii="仿宋" w:hAnsi="仿宋" w:eastAsia="仿宋" w:cs="仿宋"/>
          <w:color w:val="000000"/>
          <w:sz w:val="32"/>
          <w:szCs w:val="32"/>
        </w:rPr>
        <w:t>0%</w:t>
      </w:r>
      <w:r>
        <w:rPr>
          <w:rFonts w:hint="eastAsia" w:ascii="仿宋" w:hAnsi="仿宋" w:eastAsia="仿宋" w:cs="仿宋"/>
          <w:color w:val="000000"/>
          <w:sz w:val="32"/>
          <w:szCs w:val="32"/>
        </w:rPr>
        <w:t>；附属单位上缴收入</w:t>
      </w:r>
      <w:r>
        <w:rPr>
          <w:rFonts w:ascii="仿宋" w:hAnsi="仿宋" w:eastAsia="仿宋" w:cs="仿宋"/>
          <w:color w:val="000000"/>
          <w:sz w:val="32"/>
          <w:szCs w:val="32"/>
        </w:rPr>
        <w:t>0</w:t>
      </w:r>
      <w:r>
        <w:rPr>
          <w:rFonts w:hint="eastAsia" w:ascii="仿宋" w:hAnsi="仿宋" w:eastAsia="仿宋" w:cs="仿宋"/>
          <w:color w:val="000000"/>
          <w:sz w:val="32"/>
          <w:szCs w:val="32"/>
        </w:rPr>
        <w:t>万元，占</w:t>
      </w:r>
      <w:r>
        <w:rPr>
          <w:rFonts w:ascii="仿宋" w:hAnsi="仿宋" w:eastAsia="仿宋" w:cs="仿宋"/>
          <w:color w:val="000000"/>
          <w:sz w:val="32"/>
          <w:szCs w:val="32"/>
        </w:rPr>
        <w:t>0%</w:t>
      </w:r>
      <w:r>
        <w:rPr>
          <w:rFonts w:hint="eastAsia" w:ascii="仿宋" w:hAnsi="仿宋" w:eastAsia="仿宋" w:cs="仿宋"/>
          <w:color w:val="000000"/>
          <w:sz w:val="32"/>
          <w:szCs w:val="32"/>
        </w:rPr>
        <w:t>；其他收入</w:t>
      </w:r>
      <w:r>
        <w:rPr>
          <w:rFonts w:hint="eastAsia" w:ascii="仿宋" w:hAnsi="仿宋" w:eastAsia="仿宋" w:cs="仿宋"/>
          <w:color w:val="000000"/>
          <w:sz w:val="32"/>
          <w:szCs w:val="32"/>
          <w:lang w:val="en-US" w:eastAsia="zh-CN"/>
        </w:rPr>
        <w:t>2.86</w:t>
      </w:r>
      <w:r>
        <w:rPr>
          <w:rFonts w:hint="eastAsia" w:ascii="仿宋" w:hAnsi="仿宋" w:eastAsia="仿宋" w:cs="仿宋"/>
          <w:color w:val="000000"/>
          <w:sz w:val="32"/>
          <w:szCs w:val="32"/>
        </w:rPr>
        <w:t>万元，占</w:t>
      </w:r>
      <w:r>
        <w:rPr>
          <w:rFonts w:hint="eastAsia" w:ascii="仿宋" w:hAnsi="仿宋" w:eastAsia="仿宋" w:cs="仿宋"/>
          <w:color w:val="000000"/>
          <w:sz w:val="32"/>
          <w:szCs w:val="32"/>
          <w:lang w:val="en-US" w:eastAsia="zh-CN"/>
        </w:rPr>
        <w:t>0.04</w:t>
      </w:r>
      <w:r>
        <w:rPr>
          <w:rFonts w:ascii="仿宋" w:hAnsi="仿宋" w:eastAsia="仿宋" w:cs="仿宋"/>
          <w:color w:val="000000"/>
          <w:sz w:val="32"/>
          <w:szCs w:val="32"/>
        </w:rPr>
        <w:t>%</w:t>
      </w:r>
      <w:r>
        <w:rPr>
          <w:rFonts w:hint="eastAsia" w:ascii="仿宋" w:hAnsi="仿宋" w:eastAsia="仿宋" w:cs="仿宋"/>
          <w:color w:val="000000"/>
          <w:sz w:val="32"/>
          <w:szCs w:val="32"/>
        </w:rPr>
        <w:t>。</w:t>
      </w:r>
    </w:p>
    <w:p w14:paraId="7675593B">
      <w:pPr>
        <w:spacing w:line="600" w:lineRule="exact"/>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rPr>
        <w:t>（图</w:t>
      </w:r>
      <w:r>
        <w:rPr>
          <w:rFonts w:ascii="仿宋" w:hAnsi="仿宋" w:eastAsia="仿宋" w:cs="仿宋"/>
          <w:color w:val="000000"/>
          <w:sz w:val="32"/>
          <w:szCs w:val="32"/>
        </w:rPr>
        <w:t>2</w:t>
      </w:r>
      <w:r>
        <w:rPr>
          <w:rFonts w:hint="eastAsia" w:ascii="仿宋" w:hAnsi="仿宋" w:eastAsia="仿宋" w:cs="仿宋"/>
          <w:color w:val="000000"/>
          <w:sz w:val="32"/>
          <w:szCs w:val="32"/>
        </w:rPr>
        <w:t>：收入决算结构图）（饼状图）</w:t>
      </w:r>
    </w:p>
    <w:p w14:paraId="3C023610">
      <w:pPr>
        <w:pStyle w:val="19"/>
        <w:rPr>
          <w:rFonts w:hint="eastAsia" w:ascii="仿宋" w:hAnsi="仿宋" w:eastAsia="仿宋" w:cs="仿宋"/>
          <w:color w:val="000000"/>
          <w:sz w:val="32"/>
          <w:szCs w:val="32"/>
        </w:rPr>
      </w:pPr>
    </w:p>
    <w:p w14:paraId="419E063C">
      <w:pPr>
        <w:rPr>
          <w:rFonts w:hint="eastAsia" w:ascii="仿宋" w:hAnsi="仿宋" w:eastAsia="仿宋" w:cs="仿宋"/>
          <w:color w:val="000000"/>
          <w:sz w:val="32"/>
          <w:szCs w:val="32"/>
        </w:rPr>
      </w:pPr>
      <w:r>
        <w:pict>
          <v:shape id="_x0000_s1027" o:spid="_x0000_s1027" o:spt="75" type="#_x0000_t75" style="position:absolute;left:0pt;margin-left:2.65pt;margin-top:-1.05pt;height:208.2pt;width:417.7pt;z-index:251660288;mso-width-relative:page;mso-height-relative:page;" o:ole="t" filled="f" o:preferrelative="t" stroked="f" coordsize="21600,21600">
            <v:path/>
            <v:fill on="f" focussize="0,0"/>
            <v:stroke on="f"/>
            <v:imagedata r:id="rId14" o:title=""/>
            <o:lock v:ext="edit" aspectratio="t"/>
          </v:shape>
          <o:OLEObject Type="Embed" ProgID="Excel.Chart.8" ShapeID="_x0000_s1027" DrawAspect="Content" ObjectID="_1468075726" r:id="rId13">
            <o:LockedField>false</o:LockedField>
          </o:OLEObject>
        </w:pict>
      </w:r>
    </w:p>
    <w:p w14:paraId="4D41C4D4">
      <w:pPr>
        <w:pStyle w:val="19"/>
        <w:ind w:left="0" w:leftChars="0" w:firstLine="0" w:firstLineChars="0"/>
      </w:pPr>
    </w:p>
    <w:p w14:paraId="302AB738">
      <w:pPr>
        <w:spacing w:line="600" w:lineRule="exact"/>
        <w:ind w:firstLine="640" w:firstLineChars="200"/>
        <w:rPr>
          <w:rFonts w:ascii="仿宋" w:hAnsi="仿宋" w:eastAsia="仿宋"/>
          <w:color w:val="000000"/>
          <w:sz w:val="32"/>
          <w:szCs w:val="32"/>
        </w:rPr>
      </w:pPr>
    </w:p>
    <w:p w14:paraId="6EF05B8E">
      <w:pPr>
        <w:spacing w:line="600" w:lineRule="exact"/>
        <w:ind w:firstLine="640" w:firstLineChars="200"/>
        <w:rPr>
          <w:rFonts w:ascii="仿宋" w:hAnsi="仿宋" w:eastAsia="仿宋"/>
          <w:color w:val="000000"/>
          <w:sz w:val="32"/>
          <w:szCs w:val="32"/>
        </w:rPr>
      </w:pPr>
    </w:p>
    <w:p w14:paraId="04E68732">
      <w:pPr>
        <w:spacing w:line="600" w:lineRule="exact"/>
        <w:ind w:firstLine="640" w:firstLineChars="200"/>
        <w:rPr>
          <w:rFonts w:ascii="仿宋" w:hAnsi="仿宋" w:eastAsia="仿宋"/>
          <w:color w:val="000000"/>
          <w:sz w:val="32"/>
          <w:szCs w:val="32"/>
        </w:rPr>
      </w:pPr>
    </w:p>
    <w:p w14:paraId="273D2674">
      <w:pPr>
        <w:spacing w:line="600" w:lineRule="exact"/>
        <w:ind w:firstLine="640" w:firstLineChars="200"/>
        <w:rPr>
          <w:rFonts w:ascii="仿宋" w:hAnsi="仿宋" w:eastAsia="仿宋"/>
          <w:color w:val="000000"/>
          <w:sz w:val="32"/>
          <w:szCs w:val="32"/>
        </w:rPr>
      </w:pPr>
    </w:p>
    <w:p w14:paraId="2927A854">
      <w:pPr>
        <w:tabs>
          <w:tab w:val="left" w:pos="358"/>
        </w:tabs>
        <w:spacing w:line="600" w:lineRule="exact"/>
        <w:ind w:left="0" w:leftChars="0" w:firstLine="0" w:firstLineChars="0"/>
        <w:rPr>
          <w:rFonts w:ascii="??_GB2312" w:eastAsia="Times New Roman"/>
          <w:color w:val="FF0000"/>
          <w:sz w:val="32"/>
          <w:szCs w:val="32"/>
        </w:rPr>
      </w:pPr>
    </w:p>
    <w:p w14:paraId="05261802">
      <w:pPr>
        <w:pStyle w:val="42"/>
        <w:numPr>
          <w:ilvl w:val="0"/>
          <w:numId w:val="0"/>
        </w:numPr>
        <w:spacing w:line="600" w:lineRule="exact"/>
        <w:ind w:left="1360" w:leftChars="0" w:hanging="720" w:firstLineChars="0"/>
        <w:outlineLvl w:val="1"/>
        <w:rPr>
          <w:rStyle w:val="43"/>
          <w:rFonts w:ascii="黑体" w:hAnsi="黑体" w:eastAsia="黑体" w:cs="Times New Roman"/>
          <w:b w:val="0"/>
          <w:bCs w:val="0"/>
        </w:rPr>
      </w:pPr>
      <w:bookmarkStart w:id="10" w:name="_Toc15396605"/>
      <w:bookmarkStart w:id="11" w:name="_Toc15377207"/>
      <w:r>
        <w:rPr>
          <w:rFonts w:hint="eastAsia" w:ascii="黑体" w:hAnsi="黑体" w:eastAsia="黑体" w:cs="Times New Roman"/>
          <w:b w:val="0"/>
          <w:bCs w:val="0"/>
          <w:kern w:val="2"/>
          <w:sz w:val="32"/>
          <w:szCs w:val="32"/>
          <w:lang w:val="en-US" w:eastAsia="zh-CN" w:bidi="ar-SA"/>
        </w:rPr>
        <w:t>三</w:t>
      </w:r>
      <w:r>
        <w:rPr>
          <w:rFonts w:hint="default" w:ascii="黑体" w:hAnsi="黑体" w:eastAsia="黑体" w:cs="Times New Roman"/>
          <w:b w:val="0"/>
          <w:bCs w:val="0"/>
          <w:kern w:val="2"/>
          <w:sz w:val="32"/>
          <w:szCs w:val="32"/>
          <w:lang w:val="en-US" w:eastAsia="zh-CN" w:bidi="ar-SA"/>
        </w:rPr>
        <w:t>、</w:t>
      </w:r>
      <w:r>
        <w:rPr>
          <w:rFonts w:hint="eastAsia" w:ascii="黑体" w:hAnsi="黑体" w:eastAsia="黑体" w:cs="黑体"/>
          <w:color w:val="000000"/>
          <w:sz w:val="32"/>
          <w:szCs w:val="32"/>
        </w:rPr>
        <w:t>支</w:t>
      </w:r>
      <w:r>
        <w:rPr>
          <w:rStyle w:val="43"/>
          <w:rFonts w:hint="eastAsia" w:ascii="黑体" w:hAnsi="黑体" w:eastAsia="黑体" w:cs="黑体"/>
          <w:b w:val="0"/>
          <w:bCs w:val="0"/>
        </w:rPr>
        <w:t>出决算情况说明</w:t>
      </w:r>
      <w:bookmarkEnd w:id="10"/>
      <w:bookmarkEnd w:id="11"/>
    </w:p>
    <w:p w14:paraId="38FE6C2D">
      <w:pPr>
        <w:spacing w:line="600" w:lineRule="exact"/>
        <w:ind w:firstLine="640"/>
        <w:rPr>
          <w:rFonts w:ascii="仿宋" w:hAnsi="仿宋" w:eastAsia="仿宋"/>
          <w:color w:val="000000"/>
          <w:sz w:val="32"/>
          <w:szCs w:val="32"/>
          <w:shd w:val="pct10" w:color="auto" w:fill="FFFFFF"/>
        </w:rPr>
      </w:pPr>
      <w:r>
        <w:rPr>
          <w:rFonts w:ascii="仿宋" w:hAnsi="仿宋" w:eastAsia="仿宋" w:cs="仿宋"/>
          <w:color w:val="000000"/>
          <w:sz w:val="32"/>
          <w:szCs w:val="32"/>
        </w:rPr>
        <w:t>20</w:t>
      </w:r>
      <w:r>
        <w:rPr>
          <w:rFonts w:hint="eastAsia" w:ascii="仿宋" w:hAnsi="仿宋" w:eastAsia="仿宋" w:cs="仿宋"/>
          <w:color w:val="000000"/>
          <w:sz w:val="32"/>
          <w:szCs w:val="32"/>
          <w:lang w:val="en-US" w:eastAsia="zh-CN"/>
        </w:rPr>
        <w:t>25</w:t>
      </w:r>
      <w:r>
        <w:rPr>
          <w:rFonts w:hint="eastAsia" w:ascii="仿宋" w:hAnsi="仿宋" w:eastAsia="仿宋" w:cs="仿宋"/>
          <w:color w:val="000000"/>
          <w:sz w:val="32"/>
          <w:szCs w:val="32"/>
        </w:rPr>
        <w:t>年</w:t>
      </w:r>
      <w:r>
        <w:rPr>
          <w:rFonts w:hint="eastAsia" w:ascii="仿宋" w:hAnsi="仿宋" w:eastAsia="仿宋" w:cs="仿宋"/>
          <w:color w:val="000000"/>
          <w:sz w:val="32"/>
          <w:szCs w:val="32"/>
          <w:lang w:eastAsia="zh-CN"/>
        </w:rPr>
        <w:t>度</w:t>
      </w:r>
      <w:r>
        <w:rPr>
          <w:rFonts w:hint="eastAsia" w:ascii="仿宋" w:hAnsi="仿宋" w:eastAsia="仿宋" w:cs="仿宋"/>
          <w:color w:val="000000"/>
          <w:sz w:val="32"/>
          <w:szCs w:val="32"/>
        </w:rPr>
        <w:t>本年支出合计</w:t>
      </w:r>
      <w:r>
        <w:rPr>
          <w:rFonts w:hint="eastAsia" w:ascii="仿宋" w:hAnsi="仿宋" w:eastAsia="仿宋" w:cs="仿宋"/>
          <w:color w:val="000000"/>
          <w:sz w:val="32"/>
          <w:szCs w:val="32"/>
          <w:lang w:val="en-US" w:eastAsia="zh-CN"/>
        </w:rPr>
        <w:t>6504.95</w:t>
      </w:r>
      <w:r>
        <w:rPr>
          <w:rFonts w:hint="eastAsia" w:ascii="仿宋" w:hAnsi="仿宋" w:eastAsia="仿宋" w:cs="仿宋"/>
          <w:color w:val="000000"/>
          <w:sz w:val="32"/>
          <w:szCs w:val="32"/>
        </w:rPr>
        <w:t>万元，其中：基本支出</w:t>
      </w:r>
      <w:r>
        <w:rPr>
          <w:rFonts w:hint="eastAsia" w:ascii="仿宋" w:hAnsi="仿宋" w:eastAsia="仿宋" w:cs="仿宋"/>
          <w:color w:val="000000"/>
          <w:sz w:val="32"/>
          <w:szCs w:val="32"/>
          <w:lang w:val="en-US" w:eastAsia="zh-CN"/>
        </w:rPr>
        <w:t>5600.14</w:t>
      </w:r>
      <w:r>
        <w:rPr>
          <w:rFonts w:hint="eastAsia" w:ascii="仿宋" w:hAnsi="仿宋" w:eastAsia="仿宋" w:cs="仿宋"/>
          <w:color w:val="000000"/>
          <w:sz w:val="32"/>
          <w:szCs w:val="32"/>
        </w:rPr>
        <w:t>万元，占</w:t>
      </w:r>
      <w:r>
        <w:rPr>
          <w:rFonts w:hint="eastAsia" w:ascii="仿宋" w:hAnsi="仿宋" w:eastAsia="仿宋" w:cs="仿宋"/>
          <w:color w:val="000000"/>
          <w:sz w:val="32"/>
          <w:szCs w:val="32"/>
          <w:lang w:val="en-US" w:eastAsia="zh-CN"/>
        </w:rPr>
        <w:t>86.09</w:t>
      </w:r>
      <w:r>
        <w:rPr>
          <w:rFonts w:ascii="仿宋" w:hAnsi="仿宋" w:eastAsia="仿宋" w:cs="仿宋"/>
          <w:color w:val="000000"/>
          <w:sz w:val="32"/>
          <w:szCs w:val="32"/>
        </w:rPr>
        <w:t>%</w:t>
      </w:r>
      <w:r>
        <w:rPr>
          <w:rFonts w:hint="eastAsia" w:ascii="仿宋" w:hAnsi="仿宋" w:eastAsia="仿宋" w:cs="仿宋"/>
          <w:color w:val="000000"/>
          <w:sz w:val="32"/>
          <w:szCs w:val="32"/>
        </w:rPr>
        <w:t>；项目支出</w:t>
      </w:r>
      <w:r>
        <w:rPr>
          <w:rFonts w:hint="eastAsia" w:ascii="仿宋" w:hAnsi="仿宋" w:eastAsia="仿宋" w:cs="仿宋"/>
          <w:color w:val="000000"/>
          <w:sz w:val="32"/>
          <w:szCs w:val="32"/>
          <w:lang w:val="en-US" w:eastAsia="zh-CN"/>
        </w:rPr>
        <w:t>904.81</w:t>
      </w:r>
      <w:r>
        <w:rPr>
          <w:rFonts w:hint="eastAsia" w:ascii="仿宋" w:hAnsi="仿宋" w:eastAsia="仿宋" w:cs="仿宋"/>
          <w:color w:val="000000"/>
          <w:sz w:val="32"/>
          <w:szCs w:val="32"/>
        </w:rPr>
        <w:t>万元，占</w:t>
      </w:r>
      <w:r>
        <w:rPr>
          <w:rFonts w:hint="eastAsia" w:ascii="仿宋" w:hAnsi="仿宋" w:eastAsia="仿宋" w:cs="仿宋"/>
          <w:color w:val="000000"/>
          <w:sz w:val="32"/>
          <w:szCs w:val="32"/>
          <w:lang w:val="en-US" w:eastAsia="zh-CN"/>
        </w:rPr>
        <w:t>13.91</w:t>
      </w:r>
      <w:r>
        <w:rPr>
          <w:rFonts w:ascii="仿宋" w:hAnsi="仿宋" w:eastAsia="仿宋" w:cs="仿宋"/>
          <w:color w:val="000000"/>
          <w:sz w:val="32"/>
          <w:szCs w:val="32"/>
        </w:rPr>
        <w:t>%</w:t>
      </w:r>
      <w:r>
        <w:rPr>
          <w:rFonts w:hint="eastAsia" w:ascii="仿宋" w:hAnsi="仿宋" w:eastAsia="仿宋" w:cs="仿宋"/>
          <w:color w:val="000000"/>
          <w:sz w:val="32"/>
          <w:szCs w:val="32"/>
        </w:rPr>
        <w:t>；上缴上级支出</w:t>
      </w:r>
      <w:r>
        <w:rPr>
          <w:rFonts w:ascii="仿宋" w:hAnsi="仿宋" w:eastAsia="仿宋" w:cs="仿宋"/>
          <w:color w:val="000000"/>
          <w:sz w:val="32"/>
          <w:szCs w:val="32"/>
        </w:rPr>
        <w:t>0</w:t>
      </w:r>
      <w:r>
        <w:rPr>
          <w:rFonts w:hint="eastAsia" w:ascii="仿宋" w:hAnsi="仿宋" w:eastAsia="仿宋" w:cs="仿宋"/>
          <w:color w:val="000000"/>
          <w:sz w:val="32"/>
          <w:szCs w:val="32"/>
        </w:rPr>
        <w:t>万元，占</w:t>
      </w:r>
      <w:r>
        <w:rPr>
          <w:rFonts w:ascii="仿宋" w:hAnsi="仿宋" w:eastAsia="仿宋" w:cs="仿宋"/>
          <w:color w:val="000000"/>
          <w:sz w:val="32"/>
          <w:szCs w:val="32"/>
        </w:rPr>
        <w:t>0%</w:t>
      </w:r>
      <w:r>
        <w:rPr>
          <w:rFonts w:hint="eastAsia" w:ascii="仿宋" w:hAnsi="仿宋" w:eastAsia="仿宋" w:cs="仿宋"/>
          <w:color w:val="000000"/>
          <w:sz w:val="32"/>
          <w:szCs w:val="32"/>
        </w:rPr>
        <w:t>；经营支出</w:t>
      </w:r>
      <w:r>
        <w:rPr>
          <w:rFonts w:ascii="仿宋" w:hAnsi="仿宋" w:eastAsia="仿宋" w:cs="仿宋"/>
          <w:color w:val="000000"/>
          <w:sz w:val="32"/>
          <w:szCs w:val="32"/>
        </w:rPr>
        <w:t>0</w:t>
      </w:r>
      <w:r>
        <w:rPr>
          <w:rFonts w:hint="eastAsia" w:ascii="仿宋" w:hAnsi="仿宋" w:eastAsia="仿宋" w:cs="仿宋"/>
          <w:color w:val="000000"/>
          <w:sz w:val="32"/>
          <w:szCs w:val="32"/>
        </w:rPr>
        <w:t>万元，占</w:t>
      </w:r>
      <w:r>
        <w:rPr>
          <w:rFonts w:ascii="仿宋" w:hAnsi="仿宋" w:eastAsia="仿宋" w:cs="仿宋"/>
          <w:color w:val="000000"/>
          <w:sz w:val="32"/>
          <w:szCs w:val="32"/>
        </w:rPr>
        <w:t>0%</w:t>
      </w:r>
      <w:r>
        <w:rPr>
          <w:rFonts w:hint="eastAsia" w:ascii="仿宋" w:hAnsi="仿宋" w:eastAsia="仿宋" w:cs="仿宋"/>
          <w:color w:val="000000"/>
          <w:sz w:val="32"/>
          <w:szCs w:val="32"/>
        </w:rPr>
        <w:t>；对附属单位补助支出</w:t>
      </w:r>
      <w:r>
        <w:rPr>
          <w:rFonts w:ascii="仿宋" w:hAnsi="仿宋" w:eastAsia="仿宋" w:cs="仿宋"/>
          <w:color w:val="000000"/>
          <w:sz w:val="32"/>
          <w:szCs w:val="32"/>
        </w:rPr>
        <w:t>0</w:t>
      </w:r>
      <w:r>
        <w:rPr>
          <w:rFonts w:hint="eastAsia" w:ascii="仿宋" w:hAnsi="仿宋" w:eastAsia="仿宋" w:cs="仿宋"/>
          <w:color w:val="000000"/>
          <w:sz w:val="32"/>
          <w:szCs w:val="32"/>
        </w:rPr>
        <w:t>万元，占</w:t>
      </w:r>
      <w:r>
        <w:rPr>
          <w:rFonts w:ascii="仿宋" w:hAnsi="仿宋" w:eastAsia="仿宋" w:cs="仿宋"/>
          <w:color w:val="000000"/>
          <w:sz w:val="32"/>
          <w:szCs w:val="32"/>
        </w:rPr>
        <w:t>0%</w:t>
      </w:r>
      <w:r>
        <w:rPr>
          <w:rFonts w:hint="eastAsia" w:ascii="仿宋" w:hAnsi="仿宋" w:eastAsia="仿宋" w:cs="仿宋"/>
          <w:color w:val="000000"/>
          <w:sz w:val="32"/>
          <w:szCs w:val="32"/>
        </w:rPr>
        <w:t>。</w:t>
      </w:r>
    </w:p>
    <w:p w14:paraId="3ED55765">
      <w:pPr>
        <w:spacing w:line="600" w:lineRule="exact"/>
        <w:ind w:firstLine="640" w:firstLineChars="200"/>
        <w:rPr>
          <w:rFonts w:ascii="仿宋" w:hAnsi="仿宋" w:eastAsia="仿宋"/>
          <w:color w:val="000000"/>
          <w:sz w:val="32"/>
          <w:szCs w:val="32"/>
        </w:rPr>
      </w:pPr>
      <w:r>
        <w:rPr>
          <w:rFonts w:hint="eastAsia" w:ascii="仿宋" w:hAnsi="仿宋" w:eastAsia="仿宋" w:cs="仿宋"/>
          <w:color w:val="000000"/>
          <w:sz w:val="32"/>
          <w:szCs w:val="32"/>
        </w:rPr>
        <w:t>（图</w:t>
      </w:r>
      <w:r>
        <w:rPr>
          <w:rFonts w:ascii="仿宋" w:hAnsi="仿宋" w:eastAsia="仿宋" w:cs="仿宋"/>
          <w:color w:val="000000"/>
          <w:sz w:val="32"/>
          <w:szCs w:val="32"/>
        </w:rPr>
        <w:t>3</w:t>
      </w:r>
      <w:r>
        <w:rPr>
          <w:rFonts w:hint="eastAsia" w:ascii="仿宋" w:hAnsi="仿宋" w:eastAsia="仿宋" w:cs="仿宋"/>
          <w:color w:val="000000"/>
          <w:sz w:val="32"/>
          <w:szCs w:val="32"/>
        </w:rPr>
        <w:t>：支出决算结构图）（饼状图）</w:t>
      </w:r>
    </w:p>
    <w:p w14:paraId="5DF45503">
      <w:pPr>
        <w:spacing w:line="600" w:lineRule="exact"/>
        <w:ind w:firstLine="640" w:firstLineChars="200"/>
        <w:rPr>
          <w:rFonts w:ascii="仿宋" w:hAnsi="仿宋" w:eastAsia="仿宋"/>
          <w:color w:val="000000"/>
          <w:sz w:val="32"/>
          <w:szCs w:val="32"/>
        </w:rPr>
      </w:pPr>
      <w:r>
        <w:pict>
          <v:shape id="_x0000_s1028" o:spid="_x0000_s1028" o:spt="75" type="#_x0000_t75" style="position:absolute;left:0pt;margin-left:29.75pt;margin-top:7.8pt;height:242.4pt;width:367.2pt;z-index:251661312;mso-width-relative:page;mso-height-relative:page;" o:ole="t" filled="f" o:preferrelative="t" stroked="f" coordsize="21600,21600">
            <v:path/>
            <v:fill on="f" focussize="0,0"/>
            <v:stroke on="f"/>
            <v:imagedata r:id="rId16" o:title=""/>
            <o:lock v:ext="edit" aspectratio="t"/>
          </v:shape>
          <o:OLEObject Type="Embed" ProgID="Excel.Chart.8" ShapeID="_x0000_s1028" DrawAspect="Content" ObjectID="_1468075727" r:id="rId15">
            <o:LockedField>false</o:LockedField>
          </o:OLEObject>
        </w:pict>
      </w:r>
    </w:p>
    <w:p w14:paraId="4E284FD8">
      <w:pPr>
        <w:spacing w:line="600" w:lineRule="exact"/>
        <w:ind w:firstLine="640" w:firstLineChars="200"/>
        <w:rPr>
          <w:rFonts w:ascii="仿宋" w:hAnsi="仿宋" w:eastAsia="仿宋"/>
          <w:color w:val="000000"/>
          <w:sz w:val="32"/>
          <w:szCs w:val="32"/>
        </w:rPr>
      </w:pPr>
    </w:p>
    <w:p w14:paraId="23048017">
      <w:pPr>
        <w:spacing w:line="600" w:lineRule="exact"/>
        <w:ind w:firstLine="640" w:firstLineChars="200"/>
        <w:rPr>
          <w:rFonts w:ascii="仿宋" w:hAnsi="仿宋" w:eastAsia="仿宋"/>
          <w:color w:val="000000"/>
          <w:sz w:val="32"/>
          <w:szCs w:val="32"/>
        </w:rPr>
      </w:pPr>
    </w:p>
    <w:p w14:paraId="03FFDEA1">
      <w:pPr>
        <w:spacing w:line="600" w:lineRule="exact"/>
        <w:ind w:firstLine="640" w:firstLineChars="200"/>
        <w:rPr>
          <w:rFonts w:ascii="仿宋" w:hAnsi="仿宋" w:eastAsia="仿宋"/>
          <w:color w:val="000000"/>
          <w:sz w:val="32"/>
          <w:szCs w:val="32"/>
        </w:rPr>
      </w:pPr>
    </w:p>
    <w:p w14:paraId="6C8AA419">
      <w:pPr>
        <w:spacing w:line="600" w:lineRule="exact"/>
        <w:ind w:firstLine="640" w:firstLineChars="200"/>
        <w:rPr>
          <w:rFonts w:ascii="仿宋" w:hAnsi="仿宋" w:eastAsia="仿宋"/>
          <w:color w:val="000000"/>
          <w:sz w:val="32"/>
          <w:szCs w:val="32"/>
        </w:rPr>
      </w:pPr>
    </w:p>
    <w:p w14:paraId="000D3F4D">
      <w:pPr>
        <w:spacing w:line="600" w:lineRule="exact"/>
        <w:ind w:firstLine="640" w:firstLineChars="200"/>
        <w:rPr>
          <w:rFonts w:ascii="仿宋" w:hAnsi="仿宋" w:eastAsia="仿宋"/>
          <w:color w:val="000000"/>
          <w:sz w:val="32"/>
          <w:szCs w:val="32"/>
        </w:rPr>
      </w:pPr>
    </w:p>
    <w:p w14:paraId="0CDC8F58">
      <w:pPr>
        <w:spacing w:line="600" w:lineRule="exact"/>
        <w:rPr>
          <w:rFonts w:ascii="??_GB2312" w:eastAsia="Times New Roman"/>
          <w:color w:val="FF0000"/>
          <w:sz w:val="32"/>
          <w:szCs w:val="32"/>
        </w:rPr>
      </w:pPr>
    </w:p>
    <w:p w14:paraId="1AF23157">
      <w:pPr>
        <w:spacing w:line="600" w:lineRule="exact"/>
        <w:outlineLvl w:val="1"/>
        <w:rPr>
          <w:rFonts w:hint="eastAsia" w:ascii="黑体" w:hAnsi="黑体" w:eastAsia="黑体" w:cs="黑体"/>
          <w:color w:val="000000"/>
          <w:sz w:val="32"/>
          <w:szCs w:val="32"/>
        </w:rPr>
      </w:pPr>
      <w:bookmarkStart w:id="12" w:name="_Toc15377208"/>
      <w:bookmarkStart w:id="13" w:name="_Toc15396606"/>
    </w:p>
    <w:p w14:paraId="228CDA25">
      <w:pPr>
        <w:spacing w:line="600" w:lineRule="exact"/>
        <w:ind w:firstLine="640" w:firstLineChars="200"/>
        <w:outlineLvl w:val="1"/>
        <w:rPr>
          <w:rStyle w:val="43"/>
          <w:rFonts w:ascii="黑体" w:hAnsi="黑体" w:eastAsia="黑体" w:cs="Times New Roman"/>
          <w:b w:val="0"/>
          <w:bCs w:val="0"/>
        </w:rPr>
      </w:pPr>
      <w:r>
        <w:rPr>
          <w:rFonts w:hint="eastAsia" w:ascii="黑体" w:hAnsi="黑体" w:eastAsia="黑体" w:cs="黑体"/>
          <w:color w:val="000000"/>
          <w:sz w:val="32"/>
          <w:szCs w:val="32"/>
        </w:rPr>
        <w:t>四、财</w:t>
      </w:r>
      <w:r>
        <w:rPr>
          <w:rStyle w:val="43"/>
          <w:rFonts w:hint="eastAsia" w:ascii="黑体" w:hAnsi="黑体" w:eastAsia="黑体" w:cs="黑体"/>
          <w:b w:val="0"/>
          <w:bCs w:val="0"/>
        </w:rPr>
        <w:t>政拨款收入支出决算总体情况说明</w:t>
      </w:r>
      <w:bookmarkEnd w:id="12"/>
      <w:bookmarkEnd w:id="13"/>
    </w:p>
    <w:p w14:paraId="21ACCA45">
      <w:pPr>
        <w:spacing w:line="600" w:lineRule="exact"/>
        <w:ind w:firstLine="640" w:firstLineChars="200"/>
        <w:rPr>
          <w:rFonts w:ascii="仿宋" w:hAnsi="仿宋" w:eastAsia="仿宋"/>
          <w:color w:val="000000"/>
          <w:sz w:val="32"/>
          <w:szCs w:val="32"/>
        </w:rPr>
      </w:pPr>
      <w:r>
        <w:rPr>
          <w:rFonts w:ascii="仿宋" w:hAnsi="仿宋" w:eastAsia="仿宋" w:cs="仿宋"/>
          <w:color w:val="000000"/>
          <w:sz w:val="32"/>
          <w:szCs w:val="32"/>
        </w:rPr>
        <w:t>20</w:t>
      </w:r>
      <w:r>
        <w:rPr>
          <w:rFonts w:hint="eastAsia" w:ascii="仿宋" w:hAnsi="仿宋" w:eastAsia="仿宋" w:cs="仿宋"/>
          <w:color w:val="000000"/>
          <w:sz w:val="32"/>
          <w:szCs w:val="32"/>
          <w:lang w:val="en-US" w:eastAsia="zh-CN"/>
        </w:rPr>
        <w:t>25</w:t>
      </w:r>
      <w:r>
        <w:rPr>
          <w:rFonts w:hint="eastAsia" w:ascii="仿宋" w:hAnsi="仿宋" w:eastAsia="仿宋" w:cs="仿宋"/>
          <w:color w:val="000000"/>
          <w:sz w:val="32"/>
          <w:szCs w:val="32"/>
        </w:rPr>
        <w:t>年</w:t>
      </w:r>
      <w:r>
        <w:rPr>
          <w:rFonts w:hint="eastAsia" w:ascii="仿宋" w:hAnsi="仿宋" w:eastAsia="仿宋" w:cs="仿宋"/>
          <w:color w:val="000000"/>
          <w:sz w:val="32"/>
          <w:szCs w:val="32"/>
          <w:lang w:eastAsia="zh-CN"/>
        </w:rPr>
        <w:t>度</w:t>
      </w:r>
      <w:r>
        <w:rPr>
          <w:rFonts w:hint="eastAsia" w:ascii="仿宋" w:hAnsi="仿宋" w:eastAsia="仿宋" w:cs="仿宋"/>
          <w:color w:val="000000"/>
          <w:sz w:val="32"/>
          <w:szCs w:val="32"/>
        </w:rPr>
        <w:t>财政拨款收入</w:t>
      </w:r>
      <w:r>
        <w:rPr>
          <w:rFonts w:hint="eastAsia" w:ascii="仿宋" w:hAnsi="仿宋" w:eastAsia="仿宋" w:cs="仿宋"/>
          <w:color w:val="000000"/>
          <w:sz w:val="32"/>
          <w:szCs w:val="32"/>
          <w:lang w:val="en-US" w:eastAsia="zh-CN"/>
        </w:rPr>
        <w:t>6502.09万元</w:t>
      </w:r>
      <w:r>
        <w:rPr>
          <w:rFonts w:hint="eastAsia" w:ascii="仿宋" w:hAnsi="仿宋" w:eastAsia="仿宋" w:cs="仿宋"/>
          <w:color w:val="000000"/>
          <w:sz w:val="32"/>
          <w:szCs w:val="32"/>
        </w:rPr>
        <w:t>、支出总计</w:t>
      </w:r>
      <w:r>
        <w:rPr>
          <w:rFonts w:hint="eastAsia" w:ascii="仿宋" w:hAnsi="仿宋" w:eastAsia="仿宋" w:cs="仿宋"/>
          <w:color w:val="000000"/>
          <w:sz w:val="32"/>
          <w:szCs w:val="32"/>
          <w:lang w:val="en-US" w:eastAsia="zh-CN"/>
        </w:rPr>
        <w:t>6502.09</w:t>
      </w:r>
      <w:r>
        <w:rPr>
          <w:rFonts w:hint="eastAsia" w:ascii="仿宋" w:hAnsi="仿宋" w:eastAsia="仿宋" w:cs="仿宋"/>
          <w:color w:val="000000"/>
          <w:sz w:val="32"/>
          <w:szCs w:val="32"/>
        </w:rPr>
        <w:t>万元。与</w:t>
      </w:r>
      <w:r>
        <w:rPr>
          <w:rFonts w:ascii="仿宋" w:hAnsi="仿宋" w:eastAsia="仿宋" w:cs="仿宋"/>
          <w:color w:val="000000"/>
          <w:sz w:val="32"/>
          <w:szCs w:val="32"/>
        </w:rPr>
        <w:t>20</w:t>
      </w:r>
      <w:r>
        <w:rPr>
          <w:rFonts w:hint="eastAsia" w:ascii="仿宋" w:hAnsi="仿宋" w:eastAsia="仿宋" w:cs="仿宋"/>
          <w:color w:val="000000"/>
          <w:sz w:val="32"/>
          <w:szCs w:val="32"/>
          <w:lang w:val="en-US" w:eastAsia="zh-CN"/>
        </w:rPr>
        <w:t>24</w:t>
      </w:r>
      <w:r>
        <w:rPr>
          <w:rFonts w:hint="eastAsia" w:ascii="仿宋" w:hAnsi="仿宋" w:eastAsia="仿宋" w:cs="仿宋"/>
          <w:color w:val="000000"/>
          <w:sz w:val="32"/>
          <w:szCs w:val="32"/>
        </w:rPr>
        <w:t>年相比，财政拨款收</w:t>
      </w:r>
      <w:r>
        <w:rPr>
          <w:rFonts w:hint="eastAsia" w:ascii="仿宋" w:hAnsi="仿宋" w:eastAsia="仿宋" w:cs="仿宋"/>
          <w:color w:val="000000"/>
          <w:sz w:val="32"/>
          <w:szCs w:val="32"/>
          <w:lang w:eastAsia="zh-CN"/>
        </w:rPr>
        <w:t>入增加</w:t>
      </w:r>
      <w:r>
        <w:rPr>
          <w:rFonts w:hint="eastAsia" w:ascii="仿宋" w:hAnsi="仿宋" w:eastAsia="仿宋" w:cs="仿宋"/>
          <w:color w:val="000000"/>
          <w:sz w:val="32"/>
          <w:szCs w:val="32"/>
          <w:lang w:val="en-US" w:eastAsia="zh-CN"/>
        </w:rPr>
        <w:t>78.68</w:t>
      </w:r>
      <w:r>
        <w:rPr>
          <w:rFonts w:hint="eastAsia" w:ascii="仿宋" w:hAnsi="仿宋" w:eastAsia="仿宋" w:cs="仿宋"/>
          <w:color w:val="000000"/>
          <w:sz w:val="32"/>
          <w:szCs w:val="32"/>
        </w:rPr>
        <w:t>万元、支出总计</w:t>
      </w:r>
      <w:r>
        <w:rPr>
          <w:rFonts w:hint="eastAsia" w:ascii="仿宋" w:hAnsi="仿宋" w:eastAsia="仿宋" w:cs="仿宋"/>
          <w:color w:val="000000"/>
          <w:sz w:val="32"/>
          <w:szCs w:val="32"/>
          <w:lang w:eastAsia="zh-CN"/>
        </w:rPr>
        <w:t>增加</w:t>
      </w:r>
      <w:r>
        <w:rPr>
          <w:rFonts w:hint="eastAsia" w:ascii="仿宋" w:hAnsi="仿宋" w:eastAsia="仿宋" w:cs="仿宋"/>
          <w:color w:val="000000"/>
          <w:sz w:val="32"/>
          <w:szCs w:val="32"/>
          <w:lang w:val="en-US" w:eastAsia="zh-CN"/>
        </w:rPr>
        <w:t>78.68</w:t>
      </w:r>
      <w:r>
        <w:rPr>
          <w:rFonts w:hint="eastAsia" w:ascii="仿宋" w:hAnsi="仿宋" w:eastAsia="仿宋" w:cs="仿宋"/>
          <w:color w:val="000000"/>
          <w:sz w:val="32"/>
          <w:szCs w:val="32"/>
        </w:rPr>
        <w:t>万元，收入</w:t>
      </w:r>
      <w:r>
        <w:rPr>
          <w:rFonts w:hint="eastAsia" w:ascii="仿宋" w:hAnsi="仿宋" w:eastAsia="仿宋" w:cs="仿宋"/>
          <w:color w:val="000000"/>
          <w:sz w:val="32"/>
          <w:szCs w:val="32"/>
          <w:lang w:eastAsia="zh-CN"/>
        </w:rPr>
        <w:t>增加</w:t>
      </w:r>
      <w:r>
        <w:rPr>
          <w:rFonts w:hint="eastAsia" w:ascii="仿宋" w:hAnsi="仿宋" w:eastAsia="仿宋" w:cs="仿宋"/>
          <w:color w:val="000000"/>
          <w:sz w:val="32"/>
          <w:szCs w:val="32"/>
          <w:lang w:val="en-US" w:eastAsia="zh-CN"/>
        </w:rPr>
        <w:t>1.22</w:t>
      </w:r>
      <w:r>
        <w:rPr>
          <w:rFonts w:ascii="仿宋" w:hAnsi="仿宋" w:eastAsia="仿宋" w:cs="仿宋"/>
          <w:color w:val="000000"/>
          <w:sz w:val="32"/>
          <w:szCs w:val="32"/>
        </w:rPr>
        <w:t>%</w:t>
      </w:r>
      <w:r>
        <w:rPr>
          <w:rFonts w:hint="eastAsia" w:ascii="仿宋" w:hAnsi="仿宋" w:eastAsia="仿宋" w:cs="仿宋"/>
          <w:color w:val="000000"/>
          <w:sz w:val="32"/>
          <w:szCs w:val="32"/>
        </w:rPr>
        <w:t>，支出</w:t>
      </w:r>
      <w:r>
        <w:rPr>
          <w:rFonts w:hint="eastAsia" w:ascii="仿宋" w:hAnsi="仿宋" w:eastAsia="仿宋" w:cs="仿宋"/>
          <w:color w:val="000000"/>
          <w:sz w:val="32"/>
          <w:szCs w:val="32"/>
          <w:lang w:eastAsia="zh-CN"/>
        </w:rPr>
        <w:t>增加</w:t>
      </w:r>
      <w:r>
        <w:rPr>
          <w:rFonts w:hint="eastAsia" w:ascii="仿宋" w:hAnsi="仿宋" w:eastAsia="仿宋" w:cs="仿宋"/>
          <w:color w:val="000000"/>
          <w:sz w:val="32"/>
          <w:szCs w:val="32"/>
          <w:lang w:val="en-US" w:eastAsia="zh-CN"/>
        </w:rPr>
        <w:t>1.22</w:t>
      </w:r>
      <w:r>
        <w:rPr>
          <w:rFonts w:ascii="仿宋" w:hAnsi="仿宋" w:eastAsia="仿宋" w:cs="仿宋"/>
          <w:color w:val="000000"/>
          <w:sz w:val="32"/>
          <w:szCs w:val="32"/>
        </w:rPr>
        <w:t>%</w:t>
      </w:r>
      <w:r>
        <w:rPr>
          <w:rFonts w:hint="eastAsia" w:ascii="仿宋" w:hAnsi="仿宋" w:eastAsia="仿宋" w:cs="仿宋"/>
          <w:color w:val="000000"/>
          <w:sz w:val="32"/>
          <w:szCs w:val="32"/>
        </w:rPr>
        <w:t>。主要变动原</w:t>
      </w:r>
      <w:r>
        <w:rPr>
          <w:rFonts w:hint="eastAsia" w:ascii="仿宋" w:hAnsi="仿宋" w:eastAsia="仿宋" w:cs="仿宋"/>
          <w:color w:val="000000"/>
          <w:sz w:val="32"/>
          <w:szCs w:val="32"/>
          <w:lang w:eastAsia="zh-CN"/>
        </w:rPr>
        <w:t>因是上调人员经费和增加开展专项工作经费</w:t>
      </w:r>
      <w:r>
        <w:rPr>
          <w:rFonts w:hint="eastAsia" w:ascii="仿宋" w:hAnsi="仿宋" w:eastAsia="仿宋" w:cs="仿宋"/>
          <w:color w:val="000000"/>
          <w:sz w:val="32"/>
          <w:szCs w:val="32"/>
        </w:rPr>
        <w:t>。</w:t>
      </w:r>
    </w:p>
    <w:p w14:paraId="2C0BA172">
      <w:pPr>
        <w:spacing w:line="600" w:lineRule="exact"/>
        <w:ind w:firstLine="640" w:firstLineChars="200"/>
        <w:rPr>
          <w:rFonts w:ascii="仿宋" w:hAnsi="仿宋" w:eastAsia="仿宋"/>
          <w:color w:val="000000"/>
          <w:sz w:val="32"/>
          <w:szCs w:val="32"/>
        </w:rPr>
      </w:pPr>
      <w:r>
        <w:rPr>
          <w:rFonts w:hint="eastAsia" w:ascii="仿宋" w:hAnsi="仿宋" w:eastAsia="仿宋" w:cs="仿宋"/>
          <w:color w:val="000000"/>
          <w:sz w:val="32"/>
          <w:szCs w:val="32"/>
        </w:rPr>
        <w:t>（图</w:t>
      </w:r>
      <w:r>
        <w:rPr>
          <w:rFonts w:ascii="仿宋" w:hAnsi="仿宋" w:eastAsia="仿宋" w:cs="仿宋"/>
          <w:color w:val="000000"/>
          <w:sz w:val="32"/>
          <w:szCs w:val="32"/>
        </w:rPr>
        <w:t>4</w:t>
      </w:r>
      <w:r>
        <w:rPr>
          <w:rFonts w:hint="eastAsia" w:ascii="仿宋" w:hAnsi="仿宋" w:eastAsia="仿宋" w:cs="仿宋"/>
          <w:color w:val="000000"/>
          <w:sz w:val="32"/>
          <w:szCs w:val="32"/>
        </w:rPr>
        <w:t>：财政拨款收、支决算总计变动情况）（柱状图）</w:t>
      </w:r>
    </w:p>
    <w:p w14:paraId="04ABB8A3">
      <w:pPr>
        <w:spacing w:line="600" w:lineRule="exact"/>
        <w:ind w:firstLine="640" w:firstLineChars="200"/>
        <w:rPr>
          <w:rFonts w:ascii="仿宋" w:hAnsi="仿宋" w:eastAsia="仿宋"/>
          <w:color w:val="000000"/>
          <w:sz w:val="32"/>
          <w:szCs w:val="32"/>
        </w:rPr>
      </w:pPr>
      <w:r>
        <w:pict>
          <v:shape id="_x0000_s1029" o:spid="_x0000_s1029" o:spt="75" type="#_x0000_t75" style="position:absolute;left:0pt;margin-left:30pt;margin-top:19.4pt;height:229.7pt;width:373.2pt;z-index:251662336;mso-width-relative:page;mso-height-relative:page;" o:ole="t" filled="f" o:preferrelative="t" stroked="f" coordsize="21600,21600">
            <v:path/>
            <v:fill on="f" focussize="0,0"/>
            <v:stroke on="f"/>
            <v:imagedata r:id="rId18" o:title=""/>
            <o:lock v:ext="edit" aspectratio="t"/>
          </v:shape>
          <o:OLEObject Type="Embed" ProgID="Excel.Chart.8" ShapeID="_x0000_s1029" DrawAspect="Content" ObjectID="_1468075728" r:id="rId17">
            <o:LockedField>false</o:LockedField>
          </o:OLEObject>
        </w:pict>
      </w:r>
    </w:p>
    <w:p w14:paraId="17C4F234">
      <w:pPr>
        <w:spacing w:line="600" w:lineRule="exact"/>
        <w:ind w:firstLine="640" w:firstLineChars="200"/>
        <w:rPr>
          <w:rFonts w:ascii="仿宋" w:hAnsi="仿宋" w:eastAsia="仿宋"/>
          <w:color w:val="000000"/>
          <w:sz w:val="32"/>
          <w:szCs w:val="32"/>
        </w:rPr>
      </w:pPr>
    </w:p>
    <w:p w14:paraId="6CA6B906">
      <w:pPr>
        <w:spacing w:line="600" w:lineRule="exact"/>
        <w:ind w:firstLine="640" w:firstLineChars="200"/>
        <w:rPr>
          <w:rFonts w:ascii="仿宋" w:hAnsi="仿宋" w:eastAsia="仿宋"/>
          <w:color w:val="000000"/>
          <w:sz w:val="32"/>
          <w:szCs w:val="32"/>
        </w:rPr>
      </w:pPr>
    </w:p>
    <w:p w14:paraId="5D235B3A">
      <w:pPr>
        <w:spacing w:line="600" w:lineRule="exact"/>
        <w:ind w:firstLine="640" w:firstLineChars="200"/>
        <w:rPr>
          <w:rFonts w:ascii="仿宋" w:hAnsi="仿宋" w:eastAsia="仿宋"/>
          <w:color w:val="000000"/>
          <w:sz w:val="32"/>
          <w:szCs w:val="32"/>
        </w:rPr>
      </w:pPr>
    </w:p>
    <w:p w14:paraId="147D64BA">
      <w:pPr>
        <w:spacing w:line="600" w:lineRule="exact"/>
        <w:ind w:firstLine="640" w:firstLineChars="200"/>
        <w:rPr>
          <w:rFonts w:ascii="仿宋" w:hAnsi="仿宋" w:eastAsia="仿宋"/>
          <w:color w:val="000000"/>
          <w:sz w:val="32"/>
          <w:szCs w:val="32"/>
        </w:rPr>
      </w:pPr>
    </w:p>
    <w:p w14:paraId="0AC20232">
      <w:pPr>
        <w:spacing w:line="600" w:lineRule="exact"/>
        <w:ind w:left="0" w:leftChars="0" w:firstLine="0" w:firstLineChars="0"/>
        <w:rPr>
          <w:rFonts w:hint="eastAsia" w:ascii="黑体" w:hAnsi="黑体" w:eastAsia="黑体" w:cs="黑体"/>
          <w:color w:val="000000"/>
          <w:sz w:val="32"/>
          <w:szCs w:val="32"/>
          <w:lang w:eastAsia="zh-CN"/>
        </w:rPr>
      </w:pPr>
    </w:p>
    <w:p w14:paraId="3B9792BA">
      <w:pPr>
        <w:spacing w:line="600" w:lineRule="exact"/>
        <w:ind w:firstLine="640" w:firstLineChars="200"/>
        <w:rPr>
          <w:rFonts w:hint="eastAsia" w:ascii="黑体" w:hAnsi="黑体" w:eastAsia="黑体" w:cs="黑体"/>
          <w:color w:val="000000"/>
          <w:sz w:val="32"/>
          <w:szCs w:val="32"/>
          <w:lang w:eastAsia="zh-CN"/>
        </w:rPr>
      </w:pPr>
    </w:p>
    <w:p w14:paraId="705A16E2">
      <w:pPr>
        <w:spacing w:line="600" w:lineRule="exact"/>
        <w:ind w:firstLine="640" w:firstLineChars="200"/>
        <w:rPr>
          <w:rFonts w:hint="eastAsia" w:ascii="黑体" w:hAnsi="黑体" w:eastAsia="黑体" w:cs="黑体"/>
          <w:color w:val="000000"/>
          <w:sz w:val="32"/>
          <w:szCs w:val="32"/>
          <w:lang w:eastAsia="zh-CN"/>
        </w:rPr>
      </w:pPr>
    </w:p>
    <w:p w14:paraId="0C0BF304">
      <w:pPr>
        <w:spacing w:line="600" w:lineRule="exact"/>
        <w:ind w:firstLine="640" w:firstLineChars="200"/>
        <w:rPr>
          <w:rFonts w:hint="eastAsia" w:ascii="黑体" w:hAnsi="黑体" w:eastAsia="黑体" w:cs="黑体"/>
          <w:color w:val="000000"/>
          <w:sz w:val="32"/>
          <w:szCs w:val="32"/>
          <w:lang w:eastAsia="zh-CN"/>
        </w:rPr>
      </w:pPr>
    </w:p>
    <w:p w14:paraId="0FAF2281">
      <w:pPr>
        <w:spacing w:line="600" w:lineRule="exact"/>
        <w:ind w:firstLine="640" w:firstLineChars="200"/>
        <w:rPr>
          <w:rFonts w:hint="eastAsia" w:ascii="黑体" w:hAnsi="黑体" w:eastAsia="黑体" w:cs="黑体"/>
          <w:color w:val="000000"/>
          <w:sz w:val="32"/>
          <w:szCs w:val="32"/>
          <w:lang w:eastAsia="zh-CN"/>
        </w:rPr>
      </w:pPr>
      <w:r>
        <w:rPr>
          <w:rFonts w:hint="eastAsia" w:ascii="黑体" w:hAnsi="黑体" w:eastAsia="黑体" w:cs="黑体"/>
          <w:color w:val="000000"/>
          <w:sz w:val="32"/>
          <w:szCs w:val="32"/>
          <w:lang w:eastAsia="zh-CN"/>
        </w:rPr>
        <w:t>五</w:t>
      </w:r>
      <w:r>
        <w:rPr>
          <w:rFonts w:hint="eastAsia" w:ascii="黑体" w:hAnsi="黑体" w:eastAsia="黑体" w:cs="黑体"/>
          <w:color w:val="000000"/>
          <w:sz w:val="32"/>
          <w:szCs w:val="32"/>
        </w:rPr>
        <w:t>、</w:t>
      </w:r>
      <w:r>
        <w:rPr>
          <w:rFonts w:hint="eastAsia" w:ascii="黑体" w:hAnsi="黑体" w:eastAsia="黑体" w:cs="黑体"/>
          <w:color w:val="000000"/>
          <w:sz w:val="32"/>
          <w:szCs w:val="32"/>
          <w:lang w:eastAsia="zh-CN"/>
        </w:rPr>
        <w:t>一般公共预算财政拨款支出决算总体情况</w:t>
      </w:r>
    </w:p>
    <w:p w14:paraId="00F85B74">
      <w:pPr>
        <w:pStyle w:val="10"/>
        <w:ind w:left="0" w:leftChars="0" w:firstLine="640" w:firstLineChars="200"/>
        <w:rPr>
          <w:rFonts w:hint="eastAsia"/>
          <w:lang w:eastAsia="zh-CN"/>
        </w:rPr>
      </w:pPr>
      <w:r>
        <w:rPr>
          <w:rFonts w:hint="eastAsia" w:ascii="黑体" w:hAnsi="黑体" w:eastAsia="黑体" w:cs="黑体"/>
          <w:color w:val="000000"/>
          <w:sz w:val="32"/>
          <w:szCs w:val="32"/>
          <w:lang w:eastAsia="zh-CN"/>
        </w:rPr>
        <w:t>（一）一般公共预算财政拨款支出决算总体情况</w:t>
      </w:r>
    </w:p>
    <w:p w14:paraId="4E1ADE4D">
      <w:pPr>
        <w:spacing w:line="600" w:lineRule="exact"/>
        <w:ind w:firstLine="640" w:firstLineChars="200"/>
        <w:rPr>
          <w:rFonts w:ascii="仿宋" w:hAnsi="仿宋" w:eastAsia="仿宋"/>
          <w:color w:val="000000"/>
          <w:sz w:val="32"/>
          <w:szCs w:val="32"/>
        </w:rPr>
      </w:pPr>
      <w:r>
        <w:rPr>
          <w:rFonts w:ascii="仿宋" w:hAnsi="仿宋" w:eastAsia="仿宋" w:cs="仿宋"/>
          <w:color w:val="000000"/>
          <w:sz w:val="32"/>
          <w:szCs w:val="32"/>
        </w:rPr>
        <w:t>20</w:t>
      </w:r>
      <w:r>
        <w:rPr>
          <w:rFonts w:hint="eastAsia" w:ascii="仿宋" w:hAnsi="仿宋" w:eastAsia="仿宋" w:cs="仿宋"/>
          <w:color w:val="000000"/>
          <w:sz w:val="32"/>
          <w:szCs w:val="32"/>
          <w:lang w:val="en-US" w:eastAsia="zh-CN"/>
        </w:rPr>
        <w:t>25</w:t>
      </w:r>
      <w:r>
        <w:rPr>
          <w:rFonts w:hint="eastAsia" w:ascii="仿宋" w:hAnsi="仿宋" w:eastAsia="仿宋" w:cs="仿宋"/>
          <w:color w:val="000000"/>
          <w:sz w:val="32"/>
          <w:szCs w:val="32"/>
        </w:rPr>
        <w:t>年</w:t>
      </w:r>
      <w:r>
        <w:rPr>
          <w:rFonts w:hint="eastAsia" w:ascii="仿宋" w:hAnsi="仿宋" w:eastAsia="仿宋" w:cs="仿宋"/>
          <w:color w:val="000000"/>
          <w:sz w:val="32"/>
          <w:szCs w:val="32"/>
          <w:lang w:eastAsia="zh-CN"/>
        </w:rPr>
        <w:t>度</w:t>
      </w:r>
      <w:r>
        <w:rPr>
          <w:rFonts w:hint="eastAsia" w:ascii="仿宋" w:hAnsi="仿宋" w:eastAsia="仿宋" w:cs="仿宋"/>
          <w:color w:val="000000"/>
          <w:sz w:val="32"/>
          <w:szCs w:val="32"/>
        </w:rPr>
        <w:t>一般公共预算财政拨款支出</w:t>
      </w:r>
      <w:r>
        <w:rPr>
          <w:rFonts w:hint="eastAsia" w:ascii="仿宋" w:hAnsi="仿宋" w:eastAsia="仿宋" w:cs="仿宋"/>
          <w:color w:val="000000"/>
          <w:sz w:val="32"/>
          <w:szCs w:val="32"/>
          <w:lang w:val="en-US" w:eastAsia="zh-CN"/>
        </w:rPr>
        <w:t>6502.09</w:t>
      </w:r>
      <w:r>
        <w:rPr>
          <w:rFonts w:hint="eastAsia" w:ascii="仿宋" w:hAnsi="仿宋" w:eastAsia="仿宋" w:cs="仿宋"/>
          <w:color w:val="000000"/>
          <w:sz w:val="32"/>
          <w:szCs w:val="32"/>
        </w:rPr>
        <w:t>万元，占本年支出合计的</w:t>
      </w:r>
      <w:r>
        <w:rPr>
          <w:rFonts w:hint="eastAsia" w:ascii="仿宋" w:hAnsi="仿宋" w:eastAsia="仿宋" w:cs="仿宋"/>
          <w:color w:val="000000"/>
          <w:sz w:val="32"/>
          <w:szCs w:val="32"/>
          <w:lang w:val="en-US" w:eastAsia="zh-CN"/>
        </w:rPr>
        <w:t>99.96</w:t>
      </w:r>
      <w:r>
        <w:rPr>
          <w:rFonts w:ascii="仿宋" w:hAnsi="仿宋" w:eastAsia="仿宋" w:cs="仿宋"/>
          <w:color w:val="000000"/>
          <w:sz w:val="32"/>
          <w:szCs w:val="32"/>
        </w:rPr>
        <w:t>%</w:t>
      </w:r>
      <w:r>
        <w:rPr>
          <w:rFonts w:hint="eastAsia" w:ascii="仿宋" w:hAnsi="仿宋" w:eastAsia="仿宋" w:cs="仿宋"/>
          <w:color w:val="000000"/>
          <w:sz w:val="32"/>
          <w:szCs w:val="32"/>
        </w:rPr>
        <w:t>。与</w:t>
      </w:r>
      <w:r>
        <w:rPr>
          <w:rFonts w:ascii="仿宋" w:hAnsi="仿宋" w:eastAsia="仿宋" w:cs="仿宋"/>
          <w:color w:val="000000"/>
          <w:sz w:val="32"/>
          <w:szCs w:val="32"/>
        </w:rPr>
        <w:t>20</w:t>
      </w:r>
      <w:r>
        <w:rPr>
          <w:rFonts w:hint="eastAsia" w:ascii="仿宋" w:hAnsi="仿宋" w:eastAsia="仿宋" w:cs="仿宋"/>
          <w:color w:val="000000"/>
          <w:sz w:val="32"/>
          <w:szCs w:val="32"/>
          <w:lang w:val="en-US" w:eastAsia="zh-CN"/>
        </w:rPr>
        <w:t>24</w:t>
      </w:r>
      <w:r>
        <w:rPr>
          <w:rFonts w:hint="eastAsia" w:ascii="仿宋" w:hAnsi="仿宋" w:eastAsia="仿宋" w:cs="仿宋"/>
          <w:color w:val="000000"/>
          <w:sz w:val="32"/>
          <w:szCs w:val="32"/>
        </w:rPr>
        <w:t>年相比，一般公共预算财政拨款</w:t>
      </w:r>
      <w:r>
        <w:rPr>
          <w:rFonts w:hint="eastAsia" w:ascii="仿宋" w:hAnsi="仿宋" w:eastAsia="仿宋" w:cs="仿宋"/>
          <w:color w:val="000000"/>
          <w:sz w:val="32"/>
          <w:szCs w:val="32"/>
          <w:lang w:eastAsia="zh-CN"/>
        </w:rPr>
        <w:t>支出增加</w:t>
      </w:r>
      <w:r>
        <w:rPr>
          <w:rFonts w:hint="eastAsia" w:ascii="仿宋" w:hAnsi="仿宋" w:eastAsia="仿宋" w:cs="仿宋"/>
          <w:color w:val="000000"/>
          <w:sz w:val="32"/>
          <w:szCs w:val="32"/>
          <w:lang w:val="en-US" w:eastAsia="zh-CN"/>
        </w:rPr>
        <w:t>78.68</w:t>
      </w:r>
      <w:r>
        <w:rPr>
          <w:rFonts w:hint="eastAsia" w:ascii="仿宋" w:hAnsi="仿宋" w:eastAsia="仿宋" w:cs="仿宋"/>
          <w:color w:val="000000"/>
          <w:sz w:val="32"/>
          <w:szCs w:val="32"/>
        </w:rPr>
        <w:t>万元，</w:t>
      </w:r>
      <w:r>
        <w:rPr>
          <w:rFonts w:hint="eastAsia" w:ascii="仿宋" w:hAnsi="仿宋" w:eastAsia="仿宋" w:cs="仿宋"/>
          <w:color w:val="000000"/>
          <w:sz w:val="32"/>
          <w:szCs w:val="32"/>
          <w:lang w:eastAsia="zh-CN"/>
        </w:rPr>
        <w:t>增加</w:t>
      </w:r>
      <w:r>
        <w:rPr>
          <w:rFonts w:hint="eastAsia" w:ascii="仿宋" w:hAnsi="仿宋" w:eastAsia="仿宋" w:cs="仿宋"/>
          <w:color w:val="000000"/>
          <w:sz w:val="32"/>
          <w:szCs w:val="32"/>
          <w:lang w:val="en-US" w:eastAsia="zh-CN"/>
        </w:rPr>
        <w:t>1.22</w:t>
      </w:r>
      <w:r>
        <w:rPr>
          <w:rFonts w:ascii="仿宋" w:hAnsi="仿宋" w:eastAsia="仿宋" w:cs="仿宋"/>
          <w:color w:val="000000"/>
          <w:sz w:val="32"/>
          <w:szCs w:val="32"/>
        </w:rPr>
        <w:t>%</w:t>
      </w:r>
      <w:r>
        <w:rPr>
          <w:rFonts w:hint="eastAsia" w:ascii="仿宋" w:hAnsi="仿宋" w:eastAsia="仿宋" w:cs="仿宋"/>
          <w:color w:val="000000"/>
          <w:sz w:val="32"/>
          <w:szCs w:val="32"/>
        </w:rPr>
        <w:t>。主要变动原因</w:t>
      </w:r>
      <w:r>
        <w:rPr>
          <w:rFonts w:hint="eastAsia" w:ascii="仿宋" w:hAnsi="仿宋" w:eastAsia="仿宋" w:cs="仿宋"/>
          <w:color w:val="000000"/>
          <w:sz w:val="32"/>
          <w:szCs w:val="32"/>
          <w:lang w:eastAsia="zh-CN"/>
        </w:rPr>
        <w:t>人员经费增加</w:t>
      </w:r>
      <w:r>
        <w:rPr>
          <w:rFonts w:hint="eastAsia" w:ascii="仿宋" w:hAnsi="仿宋" w:eastAsia="仿宋" w:cs="仿宋"/>
          <w:color w:val="000000"/>
          <w:sz w:val="32"/>
          <w:szCs w:val="32"/>
        </w:rPr>
        <w:t>。</w:t>
      </w:r>
    </w:p>
    <w:p w14:paraId="3ED498C4">
      <w:pPr>
        <w:spacing w:line="600" w:lineRule="exact"/>
        <w:rPr>
          <w:rFonts w:ascii="仿宋" w:hAnsi="仿宋" w:eastAsia="仿宋"/>
          <w:color w:val="000000"/>
          <w:sz w:val="32"/>
          <w:szCs w:val="32"/>
        </w:rPr>
      </w:pPr>
      <w:r>
        <w:rPr>
          <w:rFonts w:hint="eastAsia" w:ascii="仿宋" w:hAnsi="仿宋" w:eastAsia="仿宋" w:cs="仿宋"/>
          <w:color w:val="000000"/>
          <w:sz w:val="32"/>
          <w:szCs w:val="32"/>
        </w:rPr>
        <w:t>（图</w:t>
      </w:r>
      <w:r>
        <w:rPr>
          <w:rFonts w:ascii="仿宋" w:hAnsi="仿宋" w:eastAsia="仿宋" w:cs="仿宋"/>
          <w:color w:val="000000"/>
          <w:sz w:val="32"/>
          <w:szCs w:val="32"/>
        </w:rPr>
        <w:t>5</w:t>
      </w:r>
      <w:r>
        <w:rPr>
          <w:rFonts w:hint="eastAsia" w:ascii="仿宋" w:hAnsi="仿宋" w:eastAsia="仿宋" w:cs="仿宋"/>
          <w:color w:val="000000"/>
          <w:sz w:val="32"/>
          <w:szCs w:val="32"/>
        </w:rPr>
        <w:t>：一般公共预算财政拨款支出决算变动情况）</w:t>
      </w:r>
    </w:p>
    <w:p w14:paraId="18897F6B">
      <w:pPr>
        <w:spacing w:line="600" w:lineRule="exact"/>
        <w:ind w:firstLine="640" w:firstLineChars="200"/>
        <w:rPr>
          <w:rFonts w:ascii="仿宋" w:hAnsi="仿宋" w:eastAsia="仿宋"/>
          <w:color w:val="000000"/>
          <w:sz w:val="32"/>
          <w:szCs w:val="32"/>
        </w:rPr>
      </w:pPr>
      <w:r>
        <w:pict>
          <v:shape id="_x0000_s1030" o:spid="_x0000_s1030" o:spt="75" type="#_x0000_t75" style="position:absolute;left:0pt;margin-left:11.55pt;margin-top:-3.95pt;height:209pt;width:367.2pt;z-index:251663360;mso-width-relative:page;mso-height-relative:page;" o:ole="t" filled="f" o:preferrelative="t" stroked="f" coordsize="21600,21600">
            <v:path/>
            <v:fill on="f" focussize="0,0"/>
            <v:stroke on="f"/>
            <v:imagedata r:id="rId20" o:title=""/>
            <o:lock v:ext="edit" aspectratio="t"/>
          </v:shape>
          <o:OLEObject Type="Embed" ProgID="Excel.Chart.8" ShapeID="_x0000_s1030" DrawAspect="Content" ObjectID="_1468075729" r:id="rId19">
            <o:LockedField>false</o:LockedField>
          </o:OLEObject>
        </w:pict>
      </w:r>
    </w:p>
    <w:p w14:paraId="65B4B9B9">
      <w:pPr>
        <w:spacing w:line="600" w:lineRule="exact"/>
        <w:ind w:firstLine="640" w:firstLineChars="200"/>
        <w:rPr>
          <w:rFonts w:ascii="仿宋" w:hAnsi="仿宋" w:eastAsia="仿宋"/>
          <w:color w:val="000000"/>
          <w:sz w:val="32"/>
          <w:szCs w:val="32"/>
        </w:rPr>
      </w:pPr>
    </w:p>
    <w:p w14:paraId="55386A96">
      <w:pPr>
        <w:spacing w:line="600" w:lineRule="exact"/>
        <w:ind w:firstLine="640" w:firstLineChars="200"/>
        <w:rPr>
          <w:rFonts w:ascii="仿宋" w:hAnsi="仿宋" w:eastAsia="仿宋"/>
          <w:color w:val="000000"/>
          <w:sz w:val="32"/>
          <w:szCs w:val="32"/>
        </w:rPr>
      </w:pPr>
    </w:p>
    <w:p w14:paraId="3D3FE381">
      <w:pPr>
        <w:spacing w:line="600" w:lineRule="exact"/>
        <w:ind w:firstLine="640" w:firstLineChars="200"/>
        <w:rPr>
          <w:rFonts w:ascii="仿宋" w:hAnsi="仿宋" w:eastAsia="仿宋"/>
          <w:color w:val="000000"/>
          <w:sz w:val="32"/>
          <w:szCs w:val="32"/>
        </w:rPr>
      </w:pPr>
    </w:p>
    <w:p w14:paraId="22F0A164">
      <w:pPr>
        <w:spacing w:line="600" w:lineRule="exact"/>
        <w:ind w:firstLine="640" w:firstLineChars="200"/>
        <w:rPr>
          <w:rFonts w:ascii="仿宋" w:hAnsi="仿宋" w:eastAsia="仿宋"/>
          <w:color w:val="000000"/>
          <w:sz w:val="32"/>
          <w:szCs w:val="32"/>
        </w:rPr>
      </w:pPr>
    </w:p>
    <w:p w14:paraId="5140D7BD">
      <w:pPr>
        <w:spacing w:line="600" w:lineRule="exact"/>
        <w:rPr>
          <w:rFonts w:ascii="仿宋" w:hAnsi="仿宋" w:eastAsia="仿宋"/>
          <w:color w:val="000000"/>
          <w:sz w:val="32"/>
          <w:szCs w:val="32"/>
        </w:rPr>
      </w:pPr>
    </w:p>
    <w:p w14:paraId="2A34F50E">
      <w:pPr>
        <w:spacing w:line="600" w:lineRule="exact"/>
        <w:ind w:firstLine="643" w:firstLineChars="200"/>
        <w:outlineLvl w:val="2"/>
        <w:rPr>
          <w:rFonts w:hint="eastAsia" w:ascii="仿宋" w:hAnsi="仿宋" w:eastAsia="仿宋" w:cs="仿宋"/>
          <w:b/>
          <w:bCs/>
          <w:color w:val="000000"/>
          <w:sz w:val="32"/>
          <w:szCs w:val="32"/>
        </w:rPr>
      </w:pPr>
      <w:bookmarkStart w:id="14" w:name="_Toc15377211"/>
    </w:p>
    <w:p w14:paraId="0BA4925F">
      <w:pPr>
        <w:spacing w:line="600" w:lineRule="exact"/>
        <w:ind w:left="0" w:leftChars="0" w:firstLine="643" w:firstLineChars="200"/>
        <w:outlineLvl w:val="2"/>
        <w:rPr>
          <w:rFonts w:ascii="仿宋" w:hAnsi="仿宋" w:eastAsia="仿宋" w:cs="仿宋"/>
          <w:color w:val="000000"/>
          <w:sz w:val="32"/>
          <w:szCs w:val="32"/>
        </w:rPr>
      </w:pPr>
      <w:r>
        <w:rPr>
          <w:rFonts w:hint="eastAsia" w:ascii="仿宋" w:hAnsi="仿宋" w:eastAsia="仿宋" w:cs="仿宋"/>
          <w:b/>
          <w:bCs/>
          <w:color w:val="000000"/>
          <w:sz w:val="32"/>
          <w:szCs w:val="32"/>
        </w:rPr>
        <w:t>（二）一般公共预算财政拨款支出决算结构情况</w:t>
      </w:r>
      <w:bookmarkEnd w:id="14"/>
    </w:p>
    <w:p w14:paraId="2C680449">
      <w:pPr>
        <w:spacing w:line="600" w:lineRule="exact"/>
        <w:ind w:firstLine="640"/>
        <w:rPr>
          <w:rFonts w:ascii="仿宋" w:hAnsi="仿宋" w:eastAsia="仿宋"/>
          <w:color w:val="000000"/>
          <w:sz w:val="32"/>
          <w:szCs w:val="32"/>
        </w:rPr>
      </w:pPr>
      <w:r>
        <w:rPr>
          <w:rFonts w:ascii="仿宋" w:hAnsi="仿宋" w:eastAsia="仿宋" w:cs="仿宋"/>
          <w:color w:val="000000"/>
          <w:sz w:val="32"/>
          <w:szCs w:val="32"/>
        </w:rPr>
        <w:t>20</w:t>
      </w:r>
      <w:r>
        <w:rPr>
          <w:rFonts w:hint="eastAsia" w:ascii="仿宋" w:hAnsi="仿宋" w:eastAsia="仿宋" w:cs="仿宋"/>
          <w:color w:val="000000"/>
          <w:sz w:val="32"/>
          <w:szCs w:val="32"/>
          <w:lang w:val="en-US" w:eastAsia="zh-CN"/>
        </w:rPr>
        <w:t>25</w:t>
      </w:r>
      <w:r>
        <w:rPr>
          <w:rFonts w:hint="eastAsia" w:ascii="仿宋" w:hAnsi="仿宋" w:eastAsia="仿宋" w:cs="仿宋"/>
          <w:color w:val="000000"/>
          <w:sz w:val="32"/>
          <w:szCs w:val="32"/>
        </w:rPr>
        <w:t>年</w:t>
      </w:r>
      <w:r>
        <w:rPr>
          <w:rFonts w:hint="eastAsia" w:ascii="仿宋" w:hAnsi="仿宋" w:eastAsia="仿宋" w:cs="仿宋"/>
          <w:color w:val="000000"/>
          <w:sz w:val="32"/>
          <w:szCs w:val="32"/>
          <w:lang w:eastAsia="zh-CN"/>
        </w:rPr>
        <w:t>度</w:t>
      </w:r>
      <w:r>
        <w:rPr>
          <w:rFonts w:hint="eastAsia" w:ascii="仿宋" w:hAnsi="仿宋" w:eastAsia="仿宋" w:cs="仿宋"/>
          <w:color w:val="000000"/>
          <w:sz w:val="32"/>
          <w:szCs w:val="32"/>
        </w:rPr>
        <w:t>一般公共预算财政拨款支出</w:t>
      </w:r>
      <w:r>
        <w:rPr>
          <w:rFonts w:hint="eastAsia" w:ascii="仿宋" w:hAnsi="仿宋" w:eastAsia="仿宋" w:cs="仿宋"/>
          <w:color w:val="000000"/>
          <w:sz w:val="32"/>
          <w:szCs w:val="32"/>
          <w:lang w:val="en-US" w:eastAsia="zh-CN"/>
        </w:rPr>
        <w:t>6502.09</w:t>
      </w:r>
      <w:r>
        <w:rPr>
          <w:rFonts w:hint="eastAsia" w:ascii="仿宋" w:hAnsi="仿宋" w:eastAsia="仿宋" w:cs="仿宋"/>
          <w:color w:val="000000"/>
          <w:sz w:val="32"/>
          <w:szCs w:val="32"/>
        </w:rPr>
        <w:t>万元，主要用于以下方面</w:t>
      </w:r>
      <w:r>
        <w:rPr>
          <w:rFonts w:hint="eastAsia" w:ascii="仿宋" w:hAnsi="仿宋" w:eastAsia="仿宋" w:cs="仿宋"/>
          <w:color w:val="000000"/>
          <w:sz w:val="32"/>
          <w:szCs w:val="32"/>
          <w:lang w:eastAsia="zh-CN"/>
        </w:rPr>
        <w:t>：</w:t>
      </w:r>
      <w:r>
        <w:rPr>
          <w:rFonts w:hint="eastAsia" w:ascii="仿宋" w:hAnsi="仿宋" w:eastAsia="仿宋" w:cs="仿宋"/>
          <w:b w:val="0"/>
          <w:bCs w:val="0"/>
          <w:color w:val="000000"/>
          <w:sz w:val="32"/>
          <w:szCs w:val="32"/>
        </w:rPr>
        <w:t>社会保障和就业</w:t>
      </w:r>
      <w:r>
        <w:rPr>
          <w:rFonts w:hint="eastAsia" w:ascii="仿宋" w:hAnsi="仿宋" w:eastAsia="仿宋" w:cs="仿宋"/>
          <w:color w:val="000000"/>
          <w:sz w:val="32"/>
          <w:szCs w:val="32"/>
        </w:rPr>
        <w:t>支出</w:t>
      </w:r>
      <w:r>
        <w:rPr>
          <w:rFonts w:hint="eastAsia" w:ascii="仿宋" w:hAnsi="仿宋" w:eastAsia="仿宋" w:cs="仿宋"/>
          <w:color w:val="000000"/>
          <w:sz w:val="32"/>
          <w:szCs w:val="32"/>
          <w:lang w:val="en-US" w:eastAsia="zh-CN"/>
        </w:rPr>
        <w:t>634.43</w:t>
      </w:r>
      <w:r>
        <w:rPr>
          <w:rFonts w:hint="eastAsia" w:ascii="仿宋" w:hAnsi="仿宋" w:eastAsia="仿宋" w:cs="仿宋"/>
          <w:color w:val="000000"/>
          <w:sz w:val="32"/>
          <w:szCs w:val="32"/>
        </w:rPr>
        <w:t>万元，占</w:t>
      </w:r>
      <w:r>
        <w:rPr>
          <w:rFonts w:hint="eastAsia" w:ascii="仿宋" w:hAnsi="仿宋" w:eastAsia="仿宋" w:cs="仿宋"/>
          <w:color w:val="000000"/>
          <w:sz w:val="32"/>
          <w:szCs w:val="32"/>
          <w:lang w:val="en-US" w:eastAsia="zh-CN"/>
        </w:rPr>
        <w:t>9.76</w:t>
      </w:r>
      <w:r>
        <w:rPr>
          <w:rFonts w:ascii="仿宋" w:hAnsi="仿宋" w:eastAsia="仿宋" w:cs="仿宋"/>
          <w:color w:val="000000"/>
          <w:sz w:val="32"/>
          <w:szCs w:val="32"/>
        </w:rPr>
        <w:t>%</w:t>
      </w:r>
      <w:r>
        <w:rPr>
          <w:rFonts w:hint="eastAsia" w:ascii="仿宋" w:hAnsi="仿宋" w:eastAsia="仿宋" w:cs="仿宋"/>
          <w:color w:val="000000"/>
          <w:sz w:val="32"/>
          <w:szCs w:val="32"/>
        </w:rPr>
        <w:t>；</w:t>
      </w:r>
      <w:r>
        <w:rPr>
          <w:rFonts w:hint="eastAsia" w:ascii="仿宋" w:hAnsi="仿宋" w:eastAsia="仿宋" w:cs="仿宋"/>
          <w:color w:val="000000"/>
          <w:sz w:val="32"/>
          <w:szCs w:val="32"/>
          <w:lang w:eastAsia="zh-CN"/>
        </w:rPr>
        <w:t>一般公共服务支出</w:t>
      </w:r>
      <w:r>
        <w:rPr>
          <w:rFonts w:hint="eastAsia" w:ascii="仿宋" w:hAnsi="仿宋" w:eastAsia="仿宋" w:cs="仿宋"/>
          <w:color w:val="000000"/>
          <w:sz w:val="32"/>
          <w:szCs w:val="32"/>
          <w:lang w:val="en-US" w:eastAsia="zh-CN"/>
        </w:rPr>
        <w:t>5257.52</w:t>
      </w:r>
      <w:r>
        <w:rPr>
          <w:rFonts w:hint="eastAsia" w:ascii="仿宋" w:hAnsi="仿宋" w:eastAsia="仿宋" w:cs="仿宋"/>
          <w:color w:val="000000"/>
          <w:sz w:val="32"/>
          <w:szCs w:val="32"/>
        </w:rPr>
        <w:t>万元，占</w:t>
      </w:r>
      <w:r>
        <w:rPr>
          <w:rFonts w:hint="eastAsia" w:ascii="仿宋" w:hAnsi="仿宋" w:eastAsia="仿宋" w:cs="仿宋"/>
          <w:color w:val="000000"/>
          <w:sz w:val="32"/>
          <w:szCs w:val="32"/>
          <w:lang w:val="en-US" w:eastAsia="zh-CN"/>
        </w:rPr>
        <w:t>80.86</w:t>
      </w:r>
      <w:r>
        <w:rPr>
          <w:rFonts w:ascii="仿宋" w:hAnsi="仿宋" w:eastAsia="仿宋" w:cs="仿宋"/>
          <w:color w:val="000000"/>
          <w:sz w:val="32"/>
          <w:szCs w:val="32"/>
        </w:rPr>
        <w:t>%</w:t>
      </w:r>
      <w:r>
        <w:rPr>
          <w:rFonts w:hint="eastAsia" w:ascii="仿宋" w:hAnsi="仿宋" w:eastAsia="仿宋" w:cs="仿宋"/>
          <w:color w:val="000000"/>
          <w:sz w:val="32"/>
          <w:szCs w:val="32"/>
        </w:rPr>
        <w:t>；</w:t>
      </w:r>
      <w:r>
        <w:rPr>
          <w:rFonts w:hint="eastAsia" w:ascii="仿宋" w:hAnsi="仿宋" w:eastAsia="仿宋" w:cs="仿宋"/>
          <w:color w:val="000000"/>
          <w:sz w:val="32"/>
          <w:szCs w:val="32"/>
          <w:lang w:eastAsia="zh-CN"/>
        </w:rPr>
        <w:t>卫生健康支出</w:t>
      </w:r>
      <w:r>
        <w:rPr>
          <w:rFonts w:hint="eastAsia" w:ascii="仿宋" w:hAnsi="仿宋" w:eastAsia="仿宋" w:cs="仿宋"/>
          <w:color w:val="000000"/>
          <w:sz w:val="32"/>
          <w:szCs w:val="32"/>
          <w:lang w:val="en-US" w:eastAsia="zh-CN"/>
        </w:rPr>
        <w:t>254.78万元，占3.92%；</w:t>
      </w:r>
      <w:r>
        <w:rPr>
          <w:rFonts w:hint="eastAsia" w:ascii="仿宋" w:hAnsi="仿宋" w:eastAsia="仿宋" w:cs="仿宋"/>
          <w:color w:val="000000"/>
          <w:sz w:val="32"/>
          <w:szCs w:val="32"/>
        </w:rPr>
        <w:t>住房保障支出</w:t>
      </w:r>
      <w:r>
        <w:rPr>
          <w:rFonts w:hint="eastAsia" w:ascii="仿宋" w:hAnsi="仿宋" w:eastAsia="仿宋" w:cs="仿宋"/>
          <w:color w:val="000000"/>
          <w:sz w:val="32"/>
          <w:szCs w:val="32"/>
          <w:lang w:val="en-US" w:eastAsia="zh-CN"/>
        </w:rPr>
        <w:t>346.95</w:t>
      </w:r>
      <w:r>
        <w:rPr>
          <w:rFonts w:hint="eastAsia" w:ascii="仿宋" w:hAnsi="仿宋" w:eastAsia="仿宋" w:cs="仿宋"/>
          <w:color w:val="000000"/>
          <w:sz w:val="32"/>
          <w:szCs w:val="32"/>
        </w:rPr>
        <w:t>万元，占</w:t>
      </w:r>
      <w:r>
        <w:rPr>
          <w:rFonts w:hint="eastAsia" w:ascii="仿宋" w:hAnsi="仿宋" w:eastAsia="仿宋" w:cs="仿宋"/>
          <w:color w:val="000000"/>
          <w:sz w:val="32"/>
          <w:szCs w:val="32"/>
          <w:lang w:val="en-US" w:eastAsia="zh-CN"/>
        </w:rPr>
        <w:t>5.34</w:t>
      </w:r>
      <w:r>
        <w:rPr>
          <w:rFonts w:ascii="仿宋" w:hAnsi="仿宋" w:eastAsia="仿宋" w:cs="仿宋"/>
          <w:color w:val="000000"/>
          <w:sz w:val="32"/>
          <w:szCs w:val="32"/>
        </w:rPr>
        <w:t>%</w:t>
      </w:r>
      <w:r>
        <w:rPr>
          <w:rFonts w:hint="eastAsia" w:ascii="仿宋" w:hAnsi="仿宋" w:eastAsia="仿宋" w:cs="仿宋"/>
          <w:color w:val="000000"/>
          <w:sz w:val="32"/>
          <w:szCs w:val="32"/>
          <w:lang w:eastAsia="zh-CN"/>
        </w:rPr>
        <w:t>；科学与技术支出</w:t>
      </w:r>
      <w:r>
        <w:rPr>
          <w:rFonts w:hint="eastAsia" w:ascii="仿宋" w:hAnsi="仿宋" w:eastAsia="仿宋" w:cs="仿宋"/>
          <w:color w:val="000000"/>
          <w:sz w:val="32"/>
          <w:szCs w:val="32"/>
          <w:lang w:val="en-US" w:eastAsia="zh-CN"/>
        </w:rPr>
        <w:t>8.41万元，占0.12%</w:t>
      </w:r>
      <w:r>
        <w:rPr>
          <w:rFonts w:hint="eastAsia" w:ascii="仿宋" w:hAnsi="仿宋" w:eastAsia="仿宋" w:cs="仿宋"/>
          <w:color w:val="000000"/>
          <w:sz w:val="32"/>
          <w:szCs w:val="32"/>
        </w:rPr>
        <w:t>。</w:t>
      </w:r>
    </w:p>
    <w:p w14:paraId="255B7D4D">
      <w:pPr>
        <w:spacing w:line="600" w:lineRule="exact"/>
        <w:ind w:firstLine="640" w:firstLineChars="200"/>
        <w:rPr>
          <w:rFonts w:ascii="仿宋" w:hAnsi="仿宋" w:eastAsia="仿宋"/>
          <w:color w:val="000000"/>
          <w:sz w:val="32"/>
          <w:szCs w:val="32"/>
        </w:rPr>
      </w:pPr>
      <w:r>
        <w:pict>
          <v:shape id="_x0000_s1031" o:spid="_x0000_s1031" o:spt="75" type="#_x0000_t75" style="position:absolute;left:0pt;margin-left:9.8pt;margin-top:25.45pt;height:233.25pt;width:405.5pt;z-index:251664384;mso-width-relative:page;mso-height-relative:page;" o:ole="t" filled="f" o:preferrelative="t" stroked="f" coordsize="21600,21600">
            <v:path/>
            <v:fill on="f" focussize="0,0"/>
            <v:stroke on="f"/>
            <v:imagedata r:id="rId22" o:title=""/>
            <o:lock v:ext="edit" aspectratio="t"/>
          </v:shape>
          <o:OLEObject Type="Embed" ProgID="Excel.Chart.8" ShapeID="_x0000_s1031" DrawAspect="Content" ObjectID="_1468075730" r:id="rId21">
            <o:LockedField>false</o:LockedField>
          </o:OLEObject>
        </w:pict>
      </w:r>
      <w:r>
        <w:rPr>
          <w:rFonts w:hint="eastAsia" w:ascii="仿宋" w:hAnsi="仿宋" w:eastAsia="仿宋" w:cs="仿宋"/>
          <w:color w:val="000000"/>
          <w:sz w:val="32"/>
          <w:szCs w:val="32"/>
        </w:rPr>
        <w:t>（图</w:t>
      </w:r>
      <w:r>
        <w:rPr>
          <w:rFonts w:ascii="仿宋" w:hAnsi="仿宋" w:eastAsia="仿宋" w:cs="仿宋"/>
          <w:color w:val="000000"/>
          <w:sz w:val="32"/>
          <w:szCs w:val="32"/>
        </w:rPr>
        <w:t>6</w:t>
      </w:r>
      <w:r>
        <w:rPr>
          <w:rFonts w:hint="eastAsia" w:ascii="仿宋" w:hAnsi="仿宋" w:eastAsia="仿宋" w:cs="仿宋"/>
          <w:color w:val="000000"/>
          <w:sz w:val="32"/>
          <w:szCs w:val="32"/>
        </w:rPr>
        <w:t>：一般公共预算财政拨款支出决算结构）</w:t>
      </w:r>
    </w:p>
    <w:p w14:paraId="31B0D44E">
      <w:pPr>
        <w:spacing w:line="600" w:lineRule="exact"/>
        <w:ind w:firstLine="640" w:firstLineChars="200"/>
        <w:rPr>
          <w:rFonts w:ascii="仿宋" w:hAnsi="仿宋" w:eastAsia="仿宋"/>
          <w:color w:val="000000"/>
          <w:sz w:val="32"/>
          <w:szCs w:val="32"/>
        </w:rPr>
      </w:pPr>
    </w:p>
    <w:p w14:paraId="2A16C416">
      <w:pPr>
        <w:spacing w:line="600" w:lineRule="exact"/>
        <w:ind w:firstLine="640" w:firstLineChars="200"/>
        <w:rPr>
          <w:rFonts w:ascii="仿宋" w:hAnsi="仿宋" w:eastAsia="仿宋"/>
          <w:color w:val="000000"/>
          <w:sz w:val="32"/>
          <w:szCs w:val="32"/>
        </w:rPr>
      </w:pPr>
    </w:p>
    <w:p w14:paraId="78600D5F">
      <w:pPr>
        <w:spacing w:line="600" w:lineRule="exact"/>
        <w:ind w:firstLine="640" w:firstLineChars="200"/>
        <w:rPr>
          <w:rFonts w:ascii="仿宋" w:hAnsi="仿宋" w:eastAsia="仿宋"/>
          <w:color w:val="000000"/>
          <w:sz w:val="32"/>
          <w:szCs w:val="32"/>
        </w:rPr>
      </w:pPr>
    </w:p>
    <w:p w14:paraId="154939E1">
      <w:pPr>
        <w:spacing w:line="600" w:lineRule="exact"/>
        <w:outlineLvl w:val="2"/>
        <w:rPr>
          <w:rFonts w:hint="eastAsia" w:ascii="仿宋" w:hAnsi="仿宋" w:eastAsia="仿宋" w:cs="仿宋"/>
          <w:b/>
          <w:bCs/>
          <w:color w:val="000000"/>
          <w:sz w:val="32"/>
          <w:szCs w:val="32"/>
        </w:rPr>
      </w:pPr>
      <w:bookmarkStart w:id="15" w:name="_Toc15377212"/>
    </w:p>
    <w:p w14:paraId="03D9026F">
      <w:pPr>
        <w:pStyle w:val="19"/>
        <w:rPr>
          <w:rFonts w:hint="eastAsia" w:ascii="仿宋" w:hAnsi="仿宋" w:eastAsia="仿宋" w:cs="仿宋"/>
          <w:b/>
          <w:bCs/>
          <w:color w:val="000000"/>
          <w:sz w:val="32"/>
          <w:szCs w:val="32"/>
        </w:rPr>
      </w:pPr>
    </w:p>
    <w:p w14:paraId="3704DCD0">
      <w:pPr>
        <w:rPr>
          <w:rFonts w:hint="eastAsia"/>
        </w:rPr>
      </w:pPr>
    </w:p>
    <w:bookmarkEnd w:id="15"/>
    <w:p w14:paraId="5CB73FB5">
      <w:pPr>
        <w:spacing w:line="600" w:lineRule="exact"/>
        <w:ind w:left="0" w:leftChars="0" w:firstLine="0" w:firstLineChars="0"/>
        <w:outlineLvl w:val="2"/>
        <w:rPr>
          <w:rFonts w:ascii="仿宋" w:hAnsi="仿宋" w:eastAsia="仿宋" w:cs="仿宋"/>
          <w:b/>
          <w:bCs/>
          <w:color w:val="000000"/>
          <w:sz w:val="32"/>
          <w:szCs w:val="32"/>
        </w:rPr>
      </w:pPr>
      <w:bookmarkStart w:id="16" w:name="_Toc15377444"/>
      <w:bookmarkStart w:id="17" w:name="_Toc15378460"/>
      <w:bookmarkStart w:id="18" w:name="_Toc15377213"/>
    </w:p>
    <w:p w14:paraId="7CBA9FAA">
      <w:pPr>
        <w:spacing w:line="600" w:lineRule="exact"/>
        <w:ind w:firstLine="643" w:firstLineChars="200"/>
        <w:outlineLvl w:val="2"/>
        <w:rPr>
          <w:rFonts w:ascii="仿宋" w:hAnsi="仿宋" w:eastAsia="仿宋"/>
          <w:color w:val="FF0000"/>
          <w:sz w:val="32"/>
          <w:szCs w:val="32"/>
        </w:rPr>
      </w:pPr>
      <w:r>
        <w:rPr>
          <w:rFonts w:ascii="仿宋" w:hAnsi="仿宋" w:eastAsia="仿宋" w:cs="仿宋"/>
          <w:b/>
          <w:bCs/>
          <w:color w:val="000000"/>
          <w:sz w:val="32"/>
          <w:szCs w:val="32"/>
        </w:rPr>
        <w:t>20</w:t>
      </w:r>
      <w:r>
        <w:rPr>
          <w:rFonts w:hint="eastAsia" w:ascii="仿宋" w:hAnsi="仿宋" w:eastAsia="仿宋" w:cs="仿宋"/>
          <w:b/>
          <w:bCs/>
          <w:color w:val="000000"/>
          <w:sz w:val="32"/>
          <w:szCs w:val="32"/>
          <w:lang w:val="en-US" w:eastAsia="zh-CN"/>
        </w:rPr>
        <w:t>25</w:t>
      </w:r>
      <w:r>
        <w:rPr>
          <w:rFonts w:hint="eastAsia" w:ascii="仿宋" w:hAnsi="仿宋" w:eastAsia="仿宋" w:cs="仿宋"/>
          <w:b/>
          <w:bCs/>
          <w:color w:val="000000"/>
          <w:sz w:val="32"/>
          <w:szCs w:val="32"/>
        </w:rPr>
        <w:t>年</w:t>
      </w:r>
      <w:r>
        <w:rPr>
          <w:rFonts w:hint="eastAsia" w:ascii="仿宋" w:hAnsi="仿宋" w:eastAsia="仿宋" w:cs="仿宋"/>
          <w:b/>
          <w:bCs/>
          <w:color w:val="000000"/>
          <w:sz w:val="32"/>
          <w:szCs w:val="32"/>
          <w:lang w:eastAsia="zh-CN"/>
        </w:rPr>
        <w:t>度</w:t>
      </w:r>
      <w:r>
        <w:rPr>
          <w:rFonts w:hint="eastAsia" w:ascii="仿宋" w:hAnsi="仿宋" w:eastAsia="仿宋" w:cs="仿宋"/>
          <w:b/>
          <w:bCs/>
          <w:color w:val="000000"/>
          <w:sz w:val="32"/>
          <w:szCs w:val="32"/>
        </w:rPr>
        <w:t>一般公共预算支出决算数为</w:t>
      </w:r>
      <w:r>
        <w:rPr>
          <w:rFonts w:hint="eastAsia" w:ascii="仿宋" w:hAnsi="仿宋" w:eastAsia="仿宋" w:cs="仿宋"/>
          <w:b/>
          <w:bCs/>
          <w:color w:val="000000"/>
          <w:sz w:val="32"/>
          <w:szCs w:val="32"/>
          <w:lang w:val="en-US" w:eastAsia="zh-CN"/>
        </w:rPr>
        <w:t>6502.09万元</w:t>
      </w:r>
      <w:r>
        <w:rPr>
          <w:rFonts w:hint="eastAsia" w:ascii="仿宋" w:hAnsi="仿宋" w:eastAsia="仿宋" w:cs="仿宋"/>
          <w:color w:val="000000"/>
          <w:sz w:val="32"/>
          <w:szCs w:val="32"/>
        </w:rPr>
        <w:t>，</w:t>
      </w:r>
      <w:r>
        <w:rPr>
          <w:rStyle w:val="26"/>
          <w:rFonts w:hint="eastAsia" w:ascii="仿宋" w:hAnsi="仿宋" w:eastAsia="仿宋" w:cs="仿宋"/>
          <w:color w:val="000000"/>
          <w:sz w:val="32"/>
          <w:szCs w:val="32"/>
        </w:rPr>
        <w:t>完成预算</w:t>
      </w:r>
      <w:r>
        <w:rPr>
          <w:rStyle w:val="26"/>
          <w:rFonts w:ascii="仿宋" w:hAnsi="仿宋" w:eastAsia="仿宋" w:cs="仿宋"/>
          <w:color w:val="000000"/>
          <w:sz w:val="32"/>
          <w:szCs w:val="32"/>
        </w:rPr>
        <w:t>100%</w:t>
      </w:r>
      <w:r>
        <w:rPr>
          <w:rStyle w:val="26"/>
          <w:rFonts w:hint="eastAsia" w:ascii="仿宋" w:hAnsi="仿宋" w:eastAsia="仿宋" w:cs="仿宋"/>
          <w:color w:val="000000"/>
          <w:sz w:val="32"/>
          <w:szCs w:val="32"/>
        </w:rPr>
        <w:t>。其中：</w:t>
      </w:r>
      <w:bookmarkEnd w:id="16"/>
      <w:bookmarkEnd w:id="17"/>
      <w:bookmarkEnd w:id="18"/>
    </w:p>
    <w:p w14:paraId="32377076">
      <w:pPr>
        <w:spacing w:line="600" w:lineRule="exact"/>
        <w:ind w:firstLine="602" w:firstLineChars="200"/>
        <w:rPr>
          <w:rFonts w:ascii="??_GB2312" w:eastAsia="Times New Roman"/>
          <w:color w:val="000000"/>
          <w:sz w:val="30"/>
          <w:szCs w:val="30"/>
        </w:rPr>
      </w:pPr>
      <w:r>
        <w:rPr>
          <w:rStyle w:val="26"/>
          <w:rFonts w:hint="eastAsia" w:ascii="??_GB2312" w:eastAsia="宋体" w:cs="??_GB2312"/>
          <w:color w:val="000000"/>
          <w:sz w:val="30"/>
          <w:szCs w:val="30"/>
          <w:lang w:val="en-US" w:eastAsia="zh-CN"/>
        </w:rPr>
        <w:t>1</w:t>
      </w:r>
      <w:r>
        <w:rPr>
          <w:rStyle w:val="26"/>
          <w:rFonts w:ascii="??_GB2312" w:eastAsia="Times New Roman" w:cs="??_GB2312"/>
          <w:color w:val="000000"/>
          <w:sz w:val="30"/>
          <w:szCs w:val="30"/>
        </w:rPr>
        <w:t xml:space="preserve">. </w:t>
      </w:r>
      <w:r>
        <w:rPr>
          <w:rStyle w:val="26"/>
          <w:rFonts w:ascii="??_GB2312" w:eastAsia="Times New Roman"/>
          <w:color w:val="000000"/>
          <w:sz w:val="30"/>
          <w:szCs w:val="30"/>
        </w:rPr>
        <w:t>社会保障和就业支出（</w:t>
      </w:r>
      <w:r>
        <w:rPr>
          <w:rStyle w:val="26"/>
          <w:rFonts w:ascii="??_GB2312" w:eastAsia="Times New Roman" w:cs="??_GB2312"/>
          <w:color w:val="000000"/>
          <w:sz w:val="30"/>
          <w:szCs w:val="30"/>
        </w:rPr>
        <w:t>208</w:t>
      </w:r>
      <w:r>
        <w:rPr>
          <w:rStyle w:val="26"/>
          <w:rFonts w:ascii="??_GB2312" w:eastAsia="Times New Roman"/>
          <w:color w:val="000000"/>
          <w:sz w:val="30"/>
          <w:szCs w:val="30"/>
        </w:rPr>
        <w:t>）行政事业单位离退休（</w:t>
      </w:r>
      <w:r>
        <w:rPr>
          <w:rStyle w:val="26"/>
          <w:rFonts w:ascii="??_GB2312" w:eastAsia="Times New Roman" w:cs="??_GB2312"/>
          <w:color w:val="000000"/>
          <w:sz w:val="30"/>
          <w:szCs w:val="30"/>
        </w:rPr>
        <w:t>05</w:t>
      </w:r>
      <w:r>
        <w:rPr>
          <w:rStyle w:val="26"/>
          <w:rFonts w:ascii="??_GB2312" w:eastAsia="Times New Roman"/>
          <w:color w:val="000000"/>
          <w:sz w:val="30"/>
          <w:szCs w:val="30"/>
        </w:rPr>
        <w:t>）机关事业单位基本养老保险缴费支出（</w:t>
      </w:r>
      <w:r>
        <w:rPr>
          <w:rStyle w:val="26"/>
          <w:rFonts w:ascii="??_GB2312" w:eastAsia="Times New Roman" w:cs="??_GB2312"/>
          <w:color w:val="000000"/>
          <w:sz w:val="30"/>
          <w:szCs w:val="30"/>
        </w:rPr>
        <w:t>05</w:t>
      </w:r>
      <w:r>
        <w:rPr>
          <w:rStyle w:val="26"/>
          <w:rFonts w:ascii="??_GB2312" w:eastAsia="Times New Roman"/>
          <w:color w:val="000000"/>
          <w:sz w:val="30"/>
          <w:szCs w:val="30"/>
        </w:rPr>
        <w:t>）：</w:t>
      </w:r>
      <w:r>
        <w:rPr>
          <w:rFonts w:ascii="??_GB2312" w:eastAsia="Times New Roman"/>
          <w:color w:val="000000"/>
          <w:sz w:val="30"/>
          <w:szCs w:val="30"/>
        </w:rPr>
        <w:t>支出决算为</w:t>
      </w:r>
      <w:r>
        <w:rPr>
          <w:rFonts w:hint="eastAsia" w:ascii="??_GB2312"/>
          <w:color w:val="000000"/>
          <w:sz w:val="30"/>
          <w:szCs w:val="30"/>
          <w:lang w:val="en-US" w:eastAsia="zh-CN"/>
        </w:rPr>
        <w:t>418.04</w:t>
      </w:r>
      <w:r>
        <w:rPr>
          <w:rFonts w:ascii="??_GB2312" w:eastAsia="Times New Roman"/>
          <w:color w:val="000000"/>
          <w:sz w:val="30"/>
          <w:szCs w:val="30"/>
        </w:rPr>
        <w:t>万元，完成预算</w:t>
      </w:r>
      <w:r>
        <w:rPr>
          <w:rFonts w:ascii="??_GB2312" w:eastAsia="Times New Roman" w:cs="??_GB2312"/>
          <w:color w:val="000000"/>
          <w:sz w:val="30"/>
          <w:szCs w:val="30"/>
        </w:rPr>
        <w:t>100%</w:t>
      </w:r>
      <w:r>
        <w:rPr>
          <w:rFonts w:ascii="??_GB2312" w:eastAsia="Times New Roman"/>
          <w:color w:val="000000"/>
          <w:sz w:val="30"/>
          <w:szCs w:val="30"/>
        </w:rPr>
        <w:t>。</w:t>
      </w:r>
    </w:p>
    <w:p w14:paraId="0C367755">
      <w:pPr>
        <w:spacing w:line="600" w:lineRule="exact"/>
        <w:ind w:firstLine="600" w:firstLineChars="200"/>
        <w:rPr>
          <w:rFonts w:ascii="??_GB2312" w:eastAsia="Times New Roman"/>
          <w:color w:val="000000"/>
          <w:sz w:val="30"/>
          <w:szCs w:val="30"/>
        </w:rPr>
      </w:pPr>
      <w:r>
        <w:rPr>
          <w:rStyle w:val="26"/>
          <w:rFonts w:ascii="??_GB2312" w:eastAsia="Times New Roman" w:cs="??_GB2312"/>
          <w:color w:val="000000"/>
          <w:sz w:val="30"/>
          <w:szCs w:val="30"/>
        </w:rPr>
        <w:t xml:space="preserve">2. </w:t>
      </w:r>
      <w:r>
        <w:rPr>
          <w:rStyle w:val="26"/>
          <w:rFonts w:ascii="??_GB2312" w:eastAsia="Times New Roman"/>
          <w:color w:val="000000"/>
          <w:sz w:val="30"/>
          <w:szCs w:val="30"/>
        </w:rPr>
        <w:t>社会保障和就业支出（</w:t>
      </w:r>
      <w:r>
        <w:rPr>
          <w:rStyle w:val="26"/>
          <w:rFonts w:ascii="??_GB2312" w:eastAsia="Times New Roman" w:cs="??_GB2312"/>
          <w:color w:val="000000"/>
          <w:sz w:val="30"/>
          <w:szCs w:val="30"/>
        </w:rPr>
        <w:t>208</w:t>
      </w:r>
      <w:r>
        <w:rPr>
          <w:rStyle w:val="26"/>
          <w:rFonts w:ascii="??_GB2312" w:eastAsia="Times New Roman"/>
          <w:color w:val="000000"/>
          <w:sz w:val="30"/>
          <w:szCs w:val="30"/>
        </w:rPr>
        <w:t>）行政事业单位离退休（</w:t>
      </w:r>
      <w:r>
        <w:rPr>
          <w:rStyle w:val="26"/>
          <w:rFonts w:ascii="??_GB2312" w:eastAsia="Times New Roman" w:cs="??_GB2312"/>
          <w:color w:val="000000"/>
          <w:sz w:val="30"/>
          <w:szCs w:val="30"/>
        </w:rPr>
        <w:t>05</w:t>
      </w:r>
      <w:r>
        <w:rPr>
          <w:rStyle w:val="26"/>
          <w:rFonts w:ascii="??_GB2312" w:eastAsia="Times New Roman"/>
          <w:color w:val="000000"/>
          <w:sz w:val="30"/>
          <w:szCs w:val="30"/>
        </w:rPr>
        <w:t>）</w:t>
      </w:r>
      <w:r>
        <w:rPr>
          <w:rStyle w:val="26"/>
          <w:rFonts w:ascii="??_GB2312" w:eastAsia="Times New Roman" w:cs="??_GB2312"/>
          <w:color w:val="000000"/>
          <w:sz w:val="30"/>
          <w:szCs w:val="30"/>
        </w:rPr>
        <w:t xml:space="preserve"> </w:t>
      </w:r>
      <w:r>
        <w:rPr>
          <w:rStyle w:val="26"/>
          <w:rFonts w:ascii="??_GB2312" w:eastAsia="Times New Roman"/>
          <w:color w:val="000000"/>
          <w:sz w:val="30"/>
          <w:szCs w:val="30"/>
        </w:rPr>
        <w:t>机关事业单位职业年金缴费支出（</w:t>
      </w:r>
      <w:r>
        <w:rPr>
          <w:rStyle w:val="26"/>
          <w:rFonts w:ascii="??_GB2312" w:eastAsia="Times New Roman" w:cs="??_GB2312"/>
          <w:color w:val="000000"/>
          <w:sz w:val="30"/>
          <w:szCs w:val="30"/>
        </w:rPr>
        <w:t>06</w:t>
      </w:r>
      <w:r>
        <w:rPr>
          <w:rStyle w:val="26"/>
          <w:rFonts w:ascii="??_GB2312" w:eastAsia="Times New Roman"/>
          <w:color w:val="000000"/>
          <w:sz w:val="30"/>
          <w:szCs w:val="30"/>
        </w:rPr>
        <w:t>）：</w:t>
      </w:r>
      <w:r>
        <w:rPr>
          <w:rFonts w:ascii="??_GB2312" w:eastAsia="Times New Roman"/>
          <w:color w:val="000000"/>
          <w:sz w:val="30"/>
          <w:szCs w:val="30"/>
        </w:rPr>
        <w:t>支出决算为</w:t>
      </w:r>
      <w:r>
        <w:rPr>
          <w:rFonts w:hint="eastAsia" w:ascii="??_GB2312" w:cs="??_GB2312"/>
          <w:color w:val="000000"/>
          <w:sz w:val="30"/>
          <w:szCs w:val="30"/>
          <w:lang w:val="en-US" w:eastAsia="zh-CN"/>
        </w:rPr>
        <w:t>210.71</w:t>
      </w:r>
      <w:r>
        <w:rPr>
          <w:rFonts w:ascii="??_GB2312" w:eastAsia="Times New Roman"/>
          <w:color w:val="000000"/>
          <w:sz w:val="30"/>
          <w:szCs w:val="30"/>
        </w:rPr>
        <w:t>万元，完成预算</w:t>
      </w:r>
      <w:r>
        <w:rPr>
          <w:rFonts w:ascii="??_GB2312" w:eastAsia="Times New Roman" w:cs="??_GB2312"/>
          <w:color w:val="000000"/>
          <w:sz w:val="30"/>
          <w:szCs w:val="30"/>
        </w:rPr>
        <w:t>100%</w:t>
      </w:r>
      <w:r>
        <w:rPr>
          <w:rFonts w:ascii="??_GB2312" w:eastAsia="Times New Roman"/>
          <w:color w:val="000000"/>
          <w:sz w:val="30"/>
          <w:szCs w:val="30"/>
        </w:rPr>
        <w:t>。</w:t>
      </w:r>
    </w:p>
    <w:p w14:paraId="4B9E6C3A">
      <w:pPr>
        <w:spacing w:line="600" w:lineRule="exact"/>
        <w:ind w:firstLine="602" w:firstLineChars="200"/>
        <w:rPr>
          <w:rFonts w:hint="eastAsia" w:ascii="??_GB2312" w:eastAsia="Times New Roman"/>
          <w:color w:val="000000"/>
          <w:sz w:val="30"/>
          <w:szCs w:val="30"/>
          <w:lang w:eastAsia="zh-CN"/>
        </w:rPr>
      </w:pPr>
      <w:r>
        <w:rPr>
          <w:rStyle w:val="26"/>
          <w:rFonts w:hint="eastAsia" w:ascii="??_GB2312" w:eastAsia="宋体" w:cs="??_GB2312"/>
          <w:color w:val="000000"/>
          <w:sz w:val="30"/>
          <w:szCs w:val="30"/>
          <w:lang w:val="en-US" w:eastAsia="zh-CN"/>
        </w:rPr>
        <w:t>3</w:t>
      </w:r>
      <w:r>
        <w:rPr>
          <w:rStyle w:val="26"/>
          <w:rFonts w:ascii="??_GB2312" w:eastAsia="Times New Roman" w:cs="??_GB2312"/>
          <w:color w:val="000000"/>
          <w:sz w:val="30"/>
          <w:szCs w:val="30"/>
        </w:rPr>
        <w:t xml:space="preserve">. </w:t>
      </w:r>
      <w:r>
        <w:rPr>
          <w:rStyle w:val="26"/>
          <w:rFonts w:ascii="??_GB2312" w:eastAsia="Times New Roman"/>
          <w:color w:val="000000"/>
          <w:sz w:val="30"/>
          <w:szCs w:val="30"/>
        </w:rPr>
        <w:t>社会保障和就业支出（</w:t>
      </w:r>
      <w:r>
        <w:rPr>
          <w:rStyle w:val="26"/>
          <w:rFonts w:ascii="??_GB2312" w:eastAsia="Times New Roman" w:cs="??_GB2312"/>
          <w:color w:val="000000"/>
          <w:sz w:val="30"/>
          <w:szCs w:val="30"/>
        </w:rPr>
        <w:t>208</w:t>
      </w:r>
      <w:r>
        <w:rPr>
          <w:rStyle w:val="26"/>
          <w:rFonts w:ascii="??_GB2312" w:eastAsia="Times New Roman"/>
          <w:color w:val="000000"/>
          <w:sz w:val="30"/>
          <w:szCs w:val="30"/>
        </w:rPr>
        <w:t>）行政事业单位离退休（</w:t>
      </w:r>
      <w:r>
        <w:rPr>
          <w:rStyle w:val="26"/>
          <w:rFonts w:ascii="??_GB2312" w:eastAsia="Times New Roman" w:cs="??_GB2312"/>
          <w:color w:val="000000"/>
          <w:sz w:val="30"/>
          <w:szCs w:val="30"/>
        </w:rPr>
        <w:t>05</w:t>
      </w:r>
      <w:r>
        <w:rPr>
          <w:rStyle w:val="26"/>
          <w:rFonts w:ascii="??_GB2312" w:eastAsia="Times New Roman"/>
          <w:color w:val="000000"/>
          <w:sz w:val="30"/>
          <w:szCs w:val="30"/>
        </w:rPr>
        <w:t>）</w:t>
      </w:r>
      <w:r>
        <w:rPr>
          <w:rStyle w:val="26"/>
          <w:rFonts w:hint="eastAsia" w:ascii="??_GB2312" w:eastAsia="宋体" w:cs="??_GB2312"/>
          <w:color w:val="000000"/>
          <w:sz w:val="30"/>
          <w:szCs w:val="30"/>
          <w:lang w:eastAsia="zh-CN"/>
        </w:rPr>
        <w:t>其他行政事业单位养老</w:t>
      </w:r>
      <w:r>
        <w:rPr>
          <w:rStyle w:val="26"/>
          <w:rFonts w:ascii="??_GB2312" w:eastAsia="Times New Roman"/>
          <w:color w:val="000000"/>
          <w:sz w:val="30"/>
          <w:szCs w:val="30"/>
        </w:rPr>
        <w:t>支出（</w:t>
      </w:r>
      <w:r>
        <w:rPr>
          <w:rStyle w:val="26"/>
          <w:rFonts w:hint="eastAsia" w:ascii="??_GB2312" w:eastAsia="宋体" w:cs="??_GB2312"/>
          <w:color w:val="000000"/>
          <w:sz w:val="30"/>
          <w:szCs w:val="30"/>
          <w:lang w:val="en-US" w:eastAsia="zh-CN"/>
        </w:rPr>
        <w:t>99</w:t>
      </w:r>
      <w:r>
        <w:rPr>
          <w:rStyle w:val="26"/>
          <w:rFonts w:ascii="??_GB2312" w:eastAsia="Times New Roman"/>
          <w:color w:val="000000"/>
          <w:sz w:val="30"/>
          <w:szCs w:val="30"/>
        </w:rPr>
        <w:t>）：</w:t>
      </w:r>
      <w:r>
        <w:rPr>
          <w:rFonts w:ascii="??_GB2312" w:eastAsia="Times New Roman"/>
          <w:color w:val="000000"/>
          <w:sz w:val="30"/>
          <w:szCs w:val="30"/>
        </w:rPr>
        <w:t>支出决算为</w:t>
      </w:r>
      <w:r>
        <w:rPr>
          <w:rFonts w:hint="eastAsia" w:ascii="??_GB2312" w:cs="??_GB2312"/>
          <w:color w:val="000000"/>
          <w:sz w:val="30"/>
          <w:szCs w:val="30"/>
          <w:lang w:val="en-US" w:eastAsia="zh-CN"/>
        </w:rPr>
        <w:t>5.68</w:t>
      </w:r>
      <w:r>
        <w:rPr>
          <w:rFonts w:ascii="??_GB2312" w:eastAsia="Times New Roman"/>
          <w:color w:val="000000"/>
          <w:sz w:val="30"/>
          <w:szCs w:val="30"/>
        </w:rPr>
        <w:t>万元，完成预算</w:t>
      </w:r>
      <w:r>
        <w:rPr>
          <w:rFonts w:ascii="??_GB2312" w:eastAsia="Times New Roman" w:cs="??_GB2312"/>
          <w:color w:val="000000"/>
          <w:sz w:val="30"/>
          <w:szCs w:val="30"/>
        </w:rPr>
        <w:t>100%</w:t>
      </w:r>
      <w:r>
        <w:rPr>
          <w:rFonts w:ascii="??_GB2312" w:eastAsia="Times New Roman"/>
          <w:color w:val="000000"/>
          <w:sz w:val="30"/>
          <w:szCs w:val="30"/>
        </w:rPr>
        <w:t>。</w:t>
      </w:r>
    </w:p>
    <w:p w14:paraId="6B268C50">
      <w:pPr>
        <w:spacing w:line="600" w:lineRule="exact"/>
        <w:ind w:firstLine="602" w:firstLineChars="200"/>
      </w:pPr>
      <w:r>
        <w:rPr>
          <w:rStyle w:val="26"/>
          <w:rFonts w:hint="eastAsia" w:ascii="??_GB2312" w:cs="??_GB2312"/>
          <w:color w:val="000000"/>
          <w:sz w:val="30"/>
          <w:szCs w:val="30"/>
          <w:lang w:val="en-US" w:eastAsia="zh-CN"/>
        </w:rPr>
        <w:t>4</w:t>
      </w:r>
      <w:r>
        <w:rPr>
          <w:rStyle w:val="26"/>
          <w:rFonts w:ascii="??_GB2312" w:eastAsia="Times New Roman" w:cs="??_GB2312"/>
          <w:color w:val="000000"/>
          <w:sz w:val="30"/>
          <w:szCs w:val="30"/>
        </w:rPr>
        <w:t xml:space="preserve">. </w:t>
      </w:r>
      <w:r>
        <w:rPr>
          <w:rStyle w:val="26"/>
          <w:rFonts w:ascii="??_GB2312" w:eastAsia="Times New Roman"/>
          <w:color w:val="000000"/>
          <w:sz w:val="30"/>
          <w:szCs w:val="30"/>
        </w:rPr>
        <w:t>医疗卫生与计划生育支出（</w:t>
      </w:r>
      <w:r>
        <w:rPr>
          <w:rStyle w:val="26"/>
          <w:rFonts w:ascii="??_GB2312" w:eastAsia="Times New Roman" w:cs="??_GB2312"/>
          <w:color w:val="000000"/>
          <w:sz w:val="30"/>
          <w:szCs w:val="30"/>
        </w:rPr>
        <w:t>210</w:t>
      </w:r>
      <w:r>
        <w:rPr>
          <w:rStyle w:val="26"/>
          <w:rFonts w:ascii="??_GB2312" w:eastAsia="Times New Roman"/>
          <w:color w:val="000000"/>
          <w:sz w:val="30"/>
          <w:szCs w:val="30"/>
        </w:rPr>
        <w:t>）行政事业单位医疗（</w:t>
      </w:r>
      <w:r>
        <w:rPr>
          <w:rStyle w:val="26"/>
          <w:rFonts w:ascii="??_GB2312" w:eastAsia="Times New Roman" w:cs="??_GB2312"/>
          <w:color w:val="000000"/>
          <w:sz w:val="30"/>
          <w:szCs w:val="30"/>
        </w:rPr>
        <w:t>11</w:t>
      </w:r>
      <w:r>
        <w:rPr>
          <w:rStyle w:val="26"/>
          <w:rFonts w:ascii="??_GB2312" w:eastAsia="Times New Roman"/>
          <w:color w:val="000000"/>
          <w:sz w:val="30"/>
          <w:szCs w:val="30"/>
        </w:rPr>
        <w:t>）行政单位医疗（</w:t>
      </w:r>
      <w:r>
        <w:rPr>
          <w:rStyle w:val="26"/>
          <w:rFonts w:ascii="??_GB2312" w:eastAsia="Times New Roman" w:cs="??_GB2312"/>
          <w:color w:val="000000"/>
          <w:sz w:val="30"/>
          <w:szCs w:val="30"/>
        </w:rPr>
        <w:t>01</w:t>
      </w:r>
      <w:r>
        <w:rPr>
          <w:rStyle w:val="26"/>
          <w:rFonts w:ascii="??_GB2312" w:eastAsia="Times New Roman"/>
          <w:color w:val="000000"/>
          <w:sz w:val="30"/>
          <w:szCs w:val="30"/>
        </w:rPr>
        <w:t>）：</w:t>
      </w:r>
      <w:r>
        <w:rPr>
          <w:rFonts w:ascii="??_GB2312" w:eastAsia="Times New Roman"/>
          <w:color w:val="000000"/>
          <w:sz w:val="30"/>
          <w:szCs w:val="30"/>
        </w:rPr>
        <w:t>支出决算为</w:t>
      </w:r>
      <w:r>
        <w:rPr>
          <w:rFonts w:hint="eastAsia" w:ascii="??_GB2312" w:cs="??_GB2312"/>
          <w:color w:val="000000"/>
          <w:sz w:val="30"/>
          <w:szCs w:val="30"/>
          <w:lang w:val="en-US" w:eastAsia="zh-CN"/>
        </w:rPr>
        <w:t>107.26</w:t>
      </w:r>
      <w:r>
        <w:rPr>
          <w:rFonts w:ascii="??_GB2312" w:eastAsia="Times New Roman"/>
          <w:color w:val="000000"/>
          <w:sz w:val="30"/>
          <w:szCs w:val="30"/>
        </w:rPr>
        <w:t>万元，完成预算</w:t>
      </w:r>
      <w:r>
        <w:rPr>
          <w:rFonts w:ascii="??_GB2312" w:eastAsia="Times New Roman" w:cs="??_GB2312"/>
          <w:color w:val="000000"/>
          <w:sz w:val="30"/>
          <w:szCs w:val="30"/>
        </w:rPr>
        <w:t>100%</w:t>
      </w:r>
      <w:r>
        <w:rPr>
          <w:rFonts w:ascii="??_GB2312" w:eastAsia="Times New Roman"/>
          <w:color w:val="000000"/>
          <w:sz w:val="30"/>
          <w:szCs w:val="30"/>
        </w:rPr>
        <w:t>。</w:t>
      </w:r>
    </w:p>
    <w:p w14:paraId="4E927F87">
      <w:pPr>
        <w:spacing w:line="600" w:lineRule="exact"/>
        <w:ind w:firstLine="602" w:firstLineChars="200"/>
        <w:rPr>
          <w:rFonts w:ascii="??_GB2312" w:eastAsia="Times New Roman" w:cs="??_GB2312"/>
          <w:sz w:val="30"/>
          <w:szCs w:val="30"/>
        </w:rPr>
      </w:pPr>
      <w:r>
        <w:rPr>
          <w:rStyle w:val="26"/>
          <w:rFonts w:hint="eastAsia" w:ascii="??_GB2312" w:cs="??_GB2312"/>
          <w:color w:val="000000"/>
          <w:sz w:val="30"/>
          <w:szCs w:val="30"/>
          <w:lang w:val="en-US" w:eastAsia="zh-CN"/>
        </w:rPr>
        <w:t>5</w:t>
      </w:r>
      <w:r>
        <w:rPr>
          <w:rStyle w:val="26"/>
          <w:rFonts w:ascii="??_GB2312" w:eastAsia="Times New Roman" w:cs="??_GB2312"/>
          <w:color w:val="000000"/>
          <w:sz w:val="30"/>
          <w:szCs w:val="30"/>
        </w:rPr>
        <w:t xml:space="preserve">. </w:t>
      </w:r>
      <w:r>
        <w:rPr>
          <w:rStyle w:val="26"/>
          <w:rFonts w:ascii="??_GB2312" w:eastAsia="Times New Roman"/>
          <w:color w:val="000000"/>
          <w:sz w:val="30"/>
          <w:szCs w:val="30"/>
        </w:rPr>
        <w:t>医疗卫生与计划生育支出（</w:t>
      </w:r>
      <w:r>
        <w:rPr>
          <w:rStyle w:val="26"/>
          <w:rFonts w:ascii="??_GB2312" w:eastAsia="Times New Roman" w:cs="??_GB2312"/>
          <w:color w:val="000000"/>
          <w:sz w:val="30"/>
          <w:szCs w:val="30"/>
        </w:rPr>
        <w:t>210</w:t>
      </w:r>
      <w:r>
        <w:rPr>
          <w:rStyle w:val="26"/>
          <w:rFonts w:ascii="??_GB2312" w:eastAsia="Times New Roman"/>
          <w:color w:val="000000"/>
          <w:sz w:val="30"/>
          <w:szCs w:val="30"/>
        </w:rPr>
        <w:t>）行政事业单位医疗（</w:t>
      </w:r>
      <w:r>
        <w:rPr>
          <w:rStyle w:val="26"/>
          <w:rFonts w:ascii="??_GB2312" w:eastAsia="Times New Roman" w:cs="??_GB2312"/>
          <w:color w:val="000000"/>
          <w:sz w:val="30"/>
          <w:szCs w:val="30"/>
        </w:rPr>
        <w:t>11</w:t>
      </w:r>
      <w:r>
        <w:rPr>
          <w:rStyle w:val="26"/>
          <w:rFonts w:ascii="??_GB2312" w:eastAsia="Times New Roman"/>
          <w:color w:val="000000"/>
          <w:sz w:val="30"/>
          <w:szCs w:val="30"/>
        </w:rPr>
        <w:t>）</w:t>
      </w:r>
      <w:r>
        <w:rPr>
          <w:rStyle w:val="26"/>
          <w:rFonts w:hint="eastAsia" w:ascii="??_GB2312"/>
          <w:color w:val="000000"/>
          <w:sz w:val="30"/>
          <w:szCs w:val="30"/>
          <w:lang w:eastAsia="zh-CN"/>
        </w:rPr>
        <w:t>事业单位医疗</w:t>
      </w:r>
      <w:r>
        <w:rPr>
          <w:rStyle w:val="26"/>
          <w:rFonts w:ascii="??_GB2312" w:eastAsia="Times New Roman"/>
          <w:color w:val="000000"/>
          <w:sz w:val="30"/>
          <w:szCs w:val="30"/>
        </w:rPr>
        <w:t>（</w:t>
      </w:r>
      <w:r>
        <w:rPr>
          <w:rStyle w:val="26"/>
          <w:rFonts w:ascii="??_GB2312" w:eastAsia="Times New Roman" w:cs="??_GB2312"/>
          <w:color w:val="000000"/>
          <w:sz w:val="30"/>
          <w:szCs w:val="30"/>
        </w:rPr>
        <w:t>0</w:t>
      </w:r>
      <w:r>
        <w:rPr>
          <w:rStyle w:val="26"/>
          <w:rFonts w:hint="eastAsia" w:ascii="??_GB2312" w:cs="??_GB2312"/>
          <w:color w:val="000000"/>
          <w:sz w:val="30"/>
          <w:szCs w:val="30"/>
          <w:lang w:val="en-US" w:eastAsia="zh-CN"/>
        </w:rPr>
        <w:t>2</w:t>
      </w:r>
      <w:r>
        <w:rPr>
          <w:rStyle w:val="26"/>
          <w:rFonts w:ascii="??_GB2312" w:eastAsia="Times New Roman"/>
          <w:color w:val="000000"/>
          <w:sz w:val="30"/>
          <w:szCs w:val="30"/>
        </w:rPr>
        <w:t>）：</w:t>
      </w:r>
      <w:r>
        <w:rPr>
          <w:rFonts w:ascii="??_GB2312" w:eastAsia="Times New Roman"/>
          <w:color w:val="000000"/>
          <w:sz w:val="30"/>
          <w:szCs w:val="30"/>
        </w:rPr>
        <w:t>支出决算为</w:t>
      </w:r>
      <w:r>
        <w:rPr>
          <w:rFonts w:hint="eastAsia" w:ascii="??_GB2312" w:cs="??_GB2312"/>
          <w:color w:val="000000"/>
          <w:sz w:val="30"/>
          <w:szCs w:val="30"/>
          <w:lang w:val="en-US" w:eastAsia="zh-CN"/>
        </w:rPr>
        <w:t>91.16</w:t>
      </w:r>
      <w:r>
        <w:rPr>
          <w:rFonts w:ascii="??_GB2312" w:eastAsia="Times New Roman"/>
          <w:color w:val="000000"/>
          <w:sz w:val="30"/>
          <w:szCs w:val="30"/>
        </w:rPr>
        <w:t>万元，完成预算</w:t>
      </w:r>
      <w:r>
        <w:rPr>
          <w:rFonts w:hint="eastAsia" w:ascii="??_GB2312" w:cs="??_GB2312"/>
          <w:sz w:val="30"/>
          <w:szCs w:val="30"/>
          <w:lang w:val="en-US" w:eastAsia="zh-CN"/>
        </w:rPr>
        <w:t>100</w:t>
      </w:r>
      <w:r>
        <w:rPr>
          <w:rFonts w:ascii="??_GB2312" w:eastAsia="Times New Roman" w:cs="??_GB2312"/>
          <w:sz w:val="30"/>
          <w:szCs w:val="30"/>
        </w:rPr>
        <w:t>%</w:t>
      </w:r>
    </w:p>
    <w:p w14:paraId="6252CB12">
      <w:pPr>
        <w:spacing w:line="600" w:lineRule="exact"/>
        <w:ind w:firstLine="602" w:firstLineChars="200"/>
        <w:rPr>
          <w:rFonts w:ascii="??_GB2312" w:eastAsia="Times New Roman"/>
          <w:color w:val="000000"/>
          <w:sz w:val="30"/>
          <w:szCs w:val="30"/>
        </w:rPr>
      </w:pPr>
      <w:r>
        <w:rPr>
          <w:rStyle w:val="26"/>
          <w:rFonts w:hint="eastAsia" w:ascii="??_GB2312" w:cs="??_GB2312"/>
          <w:color w:val="000000"/>
          <w:sz w:val="30"/>
          <w:szCs w:val="30"/>
          <w:lang w:val="en-US" w:eastAsia="zh-CN"/>
        </w:rPr>
        <w:t>6</w:t>
      </w:r>
      <w:r>
        <w:rPr>
          <w:rStyle w:val="26"/>
          <w:rFonts w:ascii="??_GB2312" w:eastAsia="Times New Roman" w:cs="??_GB2312"/>
          <w:color w:val="000000"/>
          <w:sz w:val="30"/>
          <w:szCs w:val="30"/>
        </w:rPr>
        <w:t xml:space="preserve">. </w:t>
      </w:r>
      <w:r>
        <w:rPr>
          <w:rStyle w:val="26"/>
          <w:rFonts w:hint="eastAsia" w:ascii="??_GB2312" w:eastAsia="宋体"/>
          <w:color w:val="000000"/>
          <w:sz w:val="30"/>
          <w:szCs w:val="30"/>
          <w:lang w:eastAsia="zh-CN"/>
        </w:rPr>
        <w:t>卫生健康支出</w:t>
      </w:r>
      <w:r>
        <w:rPr>
          <w:rStyle w:val="26"/>
          <w:rFonts w:ascii="??_GB2312" w:eastAsia="Times New Roman"/>
          <w:color w:val="000000"/>
          <w:sz w:val="30"/>
          <w:szCs w:val="30"/>
        </w:rPr>
        <w:t>（</w:t>
      </w:r>
      <w:r>
        <w:rPr>
          <w:rStyle w:val="26"/>
          <w:rFonts w:ascii="??_GB2312" w:eastAsia="Times New Roman" w:cs="??_GB2312"/>
          <w:color w:val="000000"/>
          <w:sz w:val="30"/>
          <w:szCs w:val="30"/>
        </w:rPr>
        <w:t>210</w:t>
      </w:r>
      <w:r>
        <w:rPr>
          <w:rStyle w:val="26"/>
          <w:rFonts w:ascii="??_GB2312" w:eastAsia="Times New Roman"/>
          <w:color w:val="000000"/>
          <w:sz w:val="30"/>
          <w:szCs w:val="30"/>
        </w:rPr>
        <w:t>）行政事业单位医疗（</w:t>
      </w:r>
      <w:r>
        <w:rPr>
          <w:rStyle w:val="26"/>
          <w:rFonts w:ascii="??_GB2312" w:eastAsia="Times New Roman" w:cs="??_GB2312"/>
          <w:color w:val="000000"/>
          <w:sz w:val="30"/>
          <w:szCs w:val="30"/>
        </w:rPr>
        <w:t>11</w:t>
      </w:r>
      <w:r>
        <w:rPr>
          <w:rStyle w:val="26"/>
          <w:rFonts w:ascii="??_GB2312" w:eastAsia="Times New Roman"/>
          <w:color w:val="000000"/>
          <w:sz w:val="30"/>
          <w:szCs w:val="30"/>
        </w:rPr>
        <w:t>）</w:t>
      </w:r>
      <w:r>
        <w:rPr>
          <w:rStyle w:val="26"/>
          <w:rFonts w:hint="eastAsia" w:ascii="??_GB2312"/>
          <w:color w:val="000000"/>
          <w:sz w:val="30"/>
          <w:szCs w:val="30"/>
          <w:lang w:eastAsia="zh-CN"/>
        </w:rPr>
        <w:t>公务员医疗补助</w:t>
      </w:r>
      <w:r>
        <w:rPr>
          <w:rStyle w:val="26"/>
          <w:rFonts w:ascii="??_GB2312" w:eastAsia="Times New Roman"/>
          <w:color w:val="000000"/>
          <w:sz w:val="30"/>
          <w:szCs w:val="30"/>
        </w:rPr>
        <w:t>（</w:t>
      </w:r>
      <w:r>
        <w:rPr>
          <w:rStyle w:val="26"/>
          <w:rFonts w:ascii="??_GB2312" w:eastAsia="Times New Roman" w:cs="??_GB2312"/>
          <w:color w:val="000000"/>
          <w:sz w:val="30"/>
          <w:szCs w:val="30"/>
        </w:rPr>
        <w:t>0</w:t>
      </w:r>
      <w:r>
        <w:rPr>
          <w:rStyle w:val="26"/>
          <w:rFonts w:hint="eastAsia" w:ascii="??_GB2312" w:cs="??_GB2312"/>
          <w:color w:val="000000"/>
          <w:sz w:val="30"/>
          <w:szCs w:val="30"/>
          <w:lang w:val="en-US" w:eastAsia="zh-CN"/>
        </w:rPr>
        <w:t>3</w:t>
      </w:r>
      <w:r>
        <w:rPr>
          <w:rStyle w:val="26"/>
          <w:rFonts w:ascii="??_GB2312" w:eastAsia="Times New Roman"/>
          <w:color w:val="000000"/>
          <w:sz w:val="30"/>
          <w:szCs w:val="30"/>
        </w:rPr>
        <w:t>）：</w:t>
      </w:r>
      <w:r>
        <w:rPr>
          <w:rFonts w:ascii="??_GB2312" w:eastAsia="Times New Roman"/>
          <w:color w:val="000000"/>
          <w:sz w:val="30"/>
          <w:szCs w:val="30"/>
        </w:rPr>
        <w:t>支出决算为</w:t>
      </w:r>
      <w:r>
        <w:rPr>
          <w:rFonts w:hint="eastAsia" w:ascii="??_GB2312" w:cs="??_GB2312"/>
          <w:color w:val="000000"/>
          <w:sz w:val="30"/>
          <w:szCs w:val="30"/>
          <w:lang w:val="en-US" w:eastAsia="zh-CN"/>
        </w:rPr>
        <w:t>36.62</w:t>
      </w:r>
      <w:r>
        <w:rPr>
          <w:rFonts w:ascii="??_GB2312" w:eastAsia="Times New Roman"/>
          <w:color w:val="000000"/>
          <w:sz w:val="30"/>
          <w:szCs w:val="30"/>
        </w:rPr>
        <w:t>万元，完成预算</w:t>
      </w:r>
      <w:r>
        <w:rPr>
          <w:rFonts w:hint="eastAsia" w:ascii="??_GB2312" w:cs="??_GB2312"/>
          <w:sz w:val="30"/>
          <w:szCs w:val="30"/>
          <w:lang w:val="en-US" w:eastAsia="zh-CN"/>
        </w:rPr>
        <w:t>100</w:t>
      </w:r>
      <w:r>
        <w:rPr>
          <w:rFonts w:ascii="??_GB2312" w:eastAsia="Times New Roman" w:cs="??_GB2312"/>
          <w:sz w:val="30"/>
          <w:szCs w:val="30"/>
        </w:rPr>
        <w:t>%</w:t>
      </w:r>
      <w:r>
        <w:rPr>
          <w:rFonts w:ascii="??_GB2312" w:eastAsia="Times New Roman"/>
          <w:color w:val="000000"/>
          <w:sz w:val="30"/>
          <w:szCs w:val="30"/>
        </w:rPr>
        <w:t>。</w:t>
      </w:r>
    </w:p>
    <w:p w14:paraId="51596516">
      <w:pPr>
        <w:spacing w:line="600" w:lineRule="exact"/>
        <w:ind w:firstLine="602" w:firstLineChars="200"/>
        <w:rPr>
          <w:rFonts w:ascii="??_GB2312" w:eastAsia="Times New Roman" w:cs="??_GB2312"/>
          <w:sz w:val="30"/>
          <w:szCs w:val="30"/>
        </w:rPr>
      </w:pPr>
      <w:r>
        <w:rPr>
          <w:rStyle w:val="26"/>
          <w:rFonts w:hint="eastAsia" w:ascii="??_GB2312" w:cs="??_GB2312"/>
          <w:color w:val="000000"/>
          <w:sz w:val="30"/>
          <w:szCs w:val="30"/>
          <w:lang w:val="en-US" w:eastAsia="zh-CN"/>
        </w:rPr>
        <w:t>7</w:t>
      </w:r>
      <w:r>
        <w:rPr>
          <w:rStyle w:val="26"/>
          <w:rFonts w:ascii="??_GB2312" w:eastAsia="Times New Roman" w:cs="??_GB2312"/>
          <w:color w:val="000000"/>
          <w:sz w:val="30"/>
          <w:szCs w:val="30"/>
        </w:rPr>
        <w:t xml:space="preserve">. </w:t>
      </w:r>
      <w:r>
        <w:rPr>
          <w:rStyle w:val="26"/>
          <w:rFonts w:hint="eastAsia" w:ascii="??_GB2312" w:eastAsia="宋体"/>
          <w:color w:val="000000"/>
          <w:sz w:val="30"/>
          <w:szCs w:val="30"/>
          <w:lang w:eastAsia="zh-CN"/>
        </w:rPr>
        <w:t>卫生健康支出</w:t>
      </w:r>
      <w:r>
        <w:rPr>
          <w:rStyle w:val="26"/>
          <w:rFonts w:ascii="??_GB2312" w:eastAsia="Times New Roman"/>
          <w:color w:val="000000"/>
          <w:sz w:val="30"/>
          <w:szCs w:val="30"/>
        </w:rPr>
        <w:t>（</w:t>
      </w:r>
      <w:r>
        <w:rPr>
          <w:rStyle w:val="26"/>
          <w:rFonts w:ascii="??_GB2312" w:eastAsia="Times New Roman" w:cs="??_GB2312"/>
          <w:color w:val="000000"/>
          <w:sz w:val="30"/>
          <w:szCs w:val="30"/>
        </w:rPr>
        <w:t>210</w:t>
      </w:r>
      <w:r>
        <w:rPr>
          <w:rStyle w:val="26"/>
          <w:rFonts w:ascii="??_GB2312" w:eastAsia="Times New Roman"/>
          <w:color w:val="000000"/>
          <w:sz w:val="30"/>
          <w:szCs w:val="30"/>
        </w:rPr>
        <w:t>）行政事业单位医疗（</w:t>
      </w:r>
      <w:r>
        <w:rPr>
          <w:rStyle w:val="26"/>
          <w:rFonts w:ascii="??_GB2312" w:eastAsia="Times New Roman" w:cs="??_GB2312"/>
          <w:color w:val="000000"/>
          <w:sz w:val="30"/>
          <w:szCs w:val="30"/>
        </w:rPr>
        <w:t>11</w:t>
      </w:r>
      <w:r>
        <w:rPr>
          <w:rStyle w:val="26"/>
          <w:rFonts w:ascii="??_GB2312" w:eastAsia="Times New Roman"/>
          <w:color w:val="000000"/>
          <w:sz w:val="30"/>
          <w:szCs w:val="30"/>
        </w:rPr>
        <w:t>）</w:t>
      </w:r>
      <w:r>
        <w:rPr>
          <w:rStyle w:val="26"/>
          <w:rFonts w:hint="eastAsia" w:ascii="??_GB2312"/>
          <w:color w:val="000000"/>
          <w:sz w:val="30"/>
          <w:szCs w:val="30"/>
          <w:lang w:eastAsia="zh-CN"/>
        </w:rPr>
        <w:t>其他行政事业单位医疗支出</w:t>
      </w:r>
      <w:r>
        <w:rPr>
          <w:rStyle w:val="26"/>
          <w:rFonts w:ascii="??_GB2312" w:eastAsia="Times New Roman"/>
          <w:color w:val="000000"/>
          <w:sz w:val="30"/>
          <w:szCs w:val="30"/>
        </w:rPr>
        <w:t>（</w:t>
      </w:r>
      <w:r>
        <w:rPr>
          <w:rStyle w:val="26"/>
          <w:rFonts w:hint="eastAsia" w:ascii="??_GB2312" w:eastAsia="宋体" w:cs="??_GB2312"/>
          <w:color w:val="000000"/>
          <w:sz w:val="30"/>
          <w:szCs w:val="30"/>
          <w:lang w:val="en-US" w:eastAsia="zh-CN"/>
        </w:rPr>
        <w:t>99</w:t>
      </w:r>
      <w:r>
        <w:rPr>
          <w:rStyle w:val="26"/>
          <w:rFonts w:ascii="??_GB2312" w:eastAsia="Times New Roman"/>
          <w:color w:val="000000"/>
          <w:sz w:val="30"/>
          <w:szCs w:val="30"/>
        </w:rPr>
        <w:t>）：</w:t>
      </w:r>
      <w:r>
        <w:rPr>
          <w:rFonts w:ascii="??_GB2312" w:eastAsia="Times New Roman"/>
          <w:color w:val="000000"/>
          <w:sz w:val="30"/>
          <w:szCs w:val="30"/>
        </w:rPr>
        <w:t>支出决算为</w:t>
      </w:r>
      <w:r>
        <w:rPr>
          <w:rFonts w:hint="eastAsia" w:ascii="??_GB2312" w:cs="??_GB2312"/>
          <w:color w:val="000000"/>
          <w:sz w:val="30"/>
          <w:szCs w:val="30"/>
          <w:lang w:val="en-US" w:eastAsia="zh-CN"/>
        </w:rPr>
        <w:t>19.74</w:t>
      </w:r>
      <w:r>
        <w:rPr>
          <w:rFonts w:ascii="??_GB2312" w:eastAsia="Times New Roman"/>
          <w:color w:val="000000"/>
          <w:sz w:val="30"/>
          <w:szCs w:val="30"/>
        </w:rPr>
        <w:t>万元，完成预算</w:t>
      </w:r>
      <w:r>
        <w:rPr>
          <w:rFonts w:hint="eastAsia" w:ascii="??_GB2312" w:cs="??_GB2312"/>
          <w:sz w:val="30"/>
          <w:szCs w:val="30"/>
          <w:lang w:val="en-US" w:eastAsia="zh-CN"/>
        </w:rPr>
        <w:t>100</w:t>
      </w:r>
      <w:r>
        <w:rPr>
          <w:rFonts w:ascii="??_GB2312" w:eastAsia="Times New Roman" w:cs="??_GB2312"/>
          <w:sz w:val="30"/>
          <w:szCs w:val="30"/>
        </w:rPr>
        <w:t>%</w:t>
      </w:r>
    </w:p>
    <w:p w14:paraId="20848AAE">
      <w:pPr>
        <w:spacing w:line="600" w:lineRule="exact"/>
        <w:ind w:firstLine="602" w:firstLineChars="200"/>
        <w:rPr>
          <w:rFonts w:ascii="??_GB2312" w:eastAsia="Times New Roman"/>
          <w:color w:val="000000"/>
          <w:sz w:val="30"/>
          <w:szCs w:val="30"/>
        </w:rPr>
      </w:pPr>
      <w:r>
        <w:rPr>
          <w:rStyle w:val="26"/>
          <w:rFonts w:hint="eastAsia" w:ascii="??_GB2312" w:cs="??_GB2312"/>
          <w:color w:val="000000"/>
          <w:sz w:val="30"/>
          <w:szCs w:val="30"/>
          <w:lang w:val="en-US" w:eastAsia="zh-CN"/>
        </w:rPr>
        <w:t>8</w:t>
      </w:r>
      <w:r>
        <w:rPr>
          <w:rStyle w:val="26"/>
          <w:rFonts w:ascii="??_GB2312" w:eastAsia="Times New Roman" w:cs="??_GB2312"/>
          <w:color w:val="000000"/>
          <w:sz w:val="30"/>
          <w:szCs w:val="30"/>
        </w:rPr>
        <w:t xml:space="preserve">. </w:t>
      </w:r>
      <w:r>
        <w:rPr>
          <w:rStyle w:val="26"/>
          <w:rFonts w:hint="eastAsia" w:ascii="??_GB2312" w:cs="??_GB2312"/>
          <w:color w:val="000000"/>
          <w:sz w:val="30"/>
          <w:szCs w:val="30"/>
          <w:lang w:eastAsia="zh-CN"/>
        </w:rPr>
        <w:t>一般公共服务支出</w:t>
      </w:r>
      <w:r>
        <w:rPr>
          <w:rStyle w:val="26"/>
          <w:rFonts w:ascii="??_GB2312" w:eastAsia="Times New Roman"/>
          <w:color w:val="000000"/>
          <w:sz w:val="30"/>
          <w:szCs w:val="30"/>
        </w:rPr>
        <w:t>（</w:t>
      </w:r>
      <w:r>
        <w:rPr>
          <w:rStyle w:val="26"/>
          <w:rFonts w:hint="eastAsia" w:ascii="??_GB2312" w:cs="??_GB2312"/>
          <w:color w:val="000000"/>
          <w:sz w:val="30"/>
          <w:szCs w:val="30"/>
          <w:lang w:val="en-US" w:eastAsia="zh-CN"/>
        </w:rPr>
        <w:t>201</w:t>
      </w:r>
      <w:r>
        <w:rPr>
          <w:rStyle w:val="26"/>
          <w:rFonts w:ascii="??_GB2312" w:eastAsia="Times New Roman"/>
          <w:color w:val="000000"/>
          <w:sz w:val="30"/>
          <w:szCs w:val="30"/>
        </w:rPr>
        <w:t>）</w:t>
      </w:r>
      <w:r>
        <w:rPr>
          <w:rStyle w:val="26"/>
          <w:rFonts w:hint="eastAsia" w:ascii="??_GB2312"/>
          <w:color w:val="000000"/>
          <w:sz w:val="30"/>
          <w:szCs w:val="30"/>
          <w:lang w:eastAsia="zh-CN"/>
        </w:rPr>
        <w:t>市场监督管理事务</w:t>
      </w:r>
      <w:r>
        <w:rPr>
          <w:rStyle w:val="26"/>
          <w:rFonts w:ascii="??_GB2312" w:eastAsia="Times New Roman"/>
          <w:color w:val="000000"/>
          <w:sz w:val="30"/>
          <w:szCs w:val="30"/>
        </w:rPr>
        <w:t>（</w:t>
      </w:r>
      <w:r>
        <w:rPr>
          <w:rStyle w:val="26"/>
          <w:rFonts w:hint="eastAsia" w:ascii="??_GB2312" w:cs="??_GB2312"/>
          <w:color w:val="000000"/>
          <w:sz w:val="30"/>
          <w:szCs w:val="30"/>
          <w:lang w:val="en-US" w:eastAsia="zh-CN"/>
        </w:rPr>
        <w:t>38</w:t>
      </w:r>
      <w:r>
        <w:rPr>
          <w:rStyle w:val="26"/>
          <w:rFonts w:ascii="??_GB2312" w:eastAsia="Times New Roman"/>
          <w:color w:val="000000"/>
          <w:sz w:val="30"/>
          <w:szCs w:val="30"/>
        </w:rPr>
        <w:t>）</w:t>
      </w:r>
      <w:r>
        <w:rPr>
          <w:rStyle w:val="26"/>
          <w:rFonts w:hint="eastAsia" w:ascii="??_GB2312"/>
          <w:color w:val="000000"/>
          <w:sz w:val="30"/>
          <w:szCs w:val="30"/>
          <w:lang w:eastAsia="zh-CN"/>
        </w:rPr>
        <w:t>行政运行</w:t>
      </w:r>
      <w:r>
        <w:rPr>
          <w:rStyle w:val="26"/>
          <w:rFonts w:ascii="??_GB2312" w:eastAsia="Times New Roman"/>
          <w:color w:val="000000"/>
          <w:sz w:val="30"/>
          <w:szCs w:val="30"/>
        </w:rPr>
        <w:t>（</w:t>
      </w:r>
      <w:r>
        <w:rPr>
          <w:rStyle w:val="26"/>
          <w:rFonts w:hint="eastAsia" w:ascii="??_GB2312" w:cs="??_GB2312"/>
          <w:color w:val="000000"/>
          <w:sz w:val="30"/>
          <w:szCs w:val="30"/>
          <w:lang w:val="en-US" w:eastAsia="zh-CN"/>
        </w:rPr>
        <w:t>01</w:t>
      </w:r>
      <w:r>
        <w:rPr>
          <w:rStyle w:val="26"/>
          <w:rFonts w:ascii="??_GB2312" w:eastAsia="Times New Roman"/>
          <w:color w:val="000000"/>
          <w:sz w:val="30"/>
          <w:szCs w:val="30"/>
        </w:rPr>
        <w:t>）：</w:t>
      </w:r>
      <w:r>
        <w:rPr>
          <w:rFonts w:ascii="??_GB2312" w:eastAsia="Times New Roman"/>
          <w:color w:val="000000"/>
          <w:sz w:val="30"/>
          <w:szCs w:val="30"/>
        </w:rPr>
        <w:t>支出决算为</w:t>
      </w:r>
      <w:r>
        <w:rPr>
          <w:rFonts w:hint="eastAsia" w:ascii="??_GB2312" w:cs="??_GB2312"/>
          <w:color w:val="000000"/>
          <w:sz w:val="30"/>
          <w:szCs w:val="30"/>
          <w:lang w:val="en-US" w:eastAsia="zh-CN"/>
        </w:rPr>
        <w:t>2688.45</w:t>
      </w:r>
      <w:r>
        <w:rPr>
          <w:rFonts w:ascii="??_GB2312" w:eastAsia="Times New Roman"/>
          <w:color w:val="000000"/>
          <w:sz w:val="30"/>
          <w:szCs w:val="30"/>
        </w:rPr>
        <w:t>万元，完成预算</w:t>
      </w:r>
      <w:r>
        <w:rPr>
          <w:rFonts w:ascii="??_GB2312" w:cs="??_GB2312"/>
          <w:sz w:val="30"/>
          <w:szCs w:val="30"/>
        </w:rPr>
        <w:t>10</w:t>
      </w:r>
      <w:r>
        <w:rPr>
          <w:rFonts w:hint="eastAsia" w:ascii="??_GB2312" w:cs="??_GB2312"/>
          <w:sz w:val="30"/>
          <w:szCs w:val="30"/>
          <w:lang w:val="en-US" w:eastAsia="zh-CN"/>
        </w:rPr>
        <w:t>0</w:t>
      </w:r>
      <w:r>
        <w:rPr>
          <w:rFonts w:ascii="??_GB2312" w:eastAsia="Times New Roman" w:cs="??_GB2312"/>
          <w:sz w:val="30"/>
          <w:szCs w:val="30"/>
        </w:rPr>
        <w:t>%</w:t>
      </w:r>
      <w:r>
        <w:rPr>
          <w:rFonts w:ascii="??_GB2312" w:eastAsia="Times New Roman"/>
          <w:color w:val="000000"/>
          <w:sz w:val="30"/>
          <w:szCs w:val="30"/>
        </w:rPr>
        <w:t>。</w:t>
      </w:r>
    </w:p>
    <w:p w14:paraId="6D7C705B">
      <w:pPr>
        <w:spacing w:line="600" w:lineRule="exact"/>
        <w:ind w:firstLine="602" w:firstLineChars="200"/>
        <w:rPr>
          <w:rFonts w:ascii="??_GB2312" w:eastAsia="Times New Roman"/>
          <w:color w:val="000000"/>
          <w:sz w:val="30"/>
          <w:szCs w:val="30"/>
        </w:rPr>
      </w:pPr>
      <w:r>
        <w:rPr>
          <w:rStyle w:val="26"/>
          <w:rFonts w:hint="eastAsia" w:ascii="??_GB2312" w:cs="??_GB2312"/>
          <w:color w:val="000000"/>
          <w:sz w:val="30"/>
          <w:szCs w:val="30"/>
          <w:lang w:val="en-US" w:eastAsia="zh-CN"/>
        </w:rPr>
        <w:t>9</w:t>
      </w:r>
      <w:r>
        <w:rPr>
          <w:rStyle w:val="26"/>
          <w:rFonts w:ascii="??_GB2312" w:eastAsia="Times New Roman" w:cs="??_GB2312"/>
          <w:color w:val="000000"/>
          <w:sz w:val="30"/>
          <w:szCs w:val="30"/>
        </w:rPr>
        <w:t xml:space="preserve">. </w:t>
      </w:r>
      <w:r>
        <w:rPr>
          <w:rStyle w:val="26"/>
          <w:rFonts w:hint="eastAsia" w:ascii="??_GB2312" w:cs="??_GB2312"/>
          <w:color w:val="000000"/>
          <w:sz w:val="30"/>
          <w:szCs w:val="30"/>
          <w:lang w:eastAsia="zh-CN"/>
        </w:rPr>
        <w:t>一般公共服务支出</w:t>
      </w:r>
      <w:r>
        <w:rPr>
          <w:rStyle w:val="26"/>
          <w:rFonts w:ascii="??_GB2312" w:eastAsia="Times New Roman"/>
          <w:color w:val="000000"/>
          <w:sz w:val="30"/>
          <w:szCs w:val="30"/>
        </w:rPr>
        <w:t>（</w:t>
      </w:r>
      <w:r>
        <w:rPr>
          <w:rStyle w:val="26"/>
          <w:rFonts w:hint="eastAsia" w:ascii="??_GB2312" w:cs="??_GB2312"/>
          <w:color w:val="000000"/>
          <w:sz w:val="30"/>
          <w:szCs w:val="30"/>
          <w:lang w:val="en-US" w:eastAsia="zh-CN"/>
        </w:rPr>
        <w:t>201</w:t>
      </w:r>
      <w:r>
        <w:rPr>
          <w:rStyle w:val="26"/>
          <w:rFonts w:ascii="??_GB2312" w:eastAsia="Times New Roman"/>
          <w:color w:val="000000"/>
          <w:sz w:val="30"/>
          <w:szCs w:val="30"/>
        </w:rPr>
        <w:t>）</w:t>
      </w:r>
      <w:r>
        <w:rPr>
          <w:rStyle w:val="26"/>
          <w:rFonts w:hint="eastAsia" w:ascii="??_GB2312"/>
          <w:color w:val="000000"/>
          <w:sz w:val="30"/>
          <w:szCs w:val="30"/>
          <w:lang w:eastAsia="zh-CN"/>
        </w:rPr>
        <w:t>市场监督管理事务</w:t>
      </w:r>
      <w:r>
        <w:rPr>
          <w:rStyle w:val="26"/>
          <w:rFonts w:ascii="??_GB2312" w:eastAsia="Times New Roman"/>
          <w:color w:val="000000"/>
          <w:sz w:val="30"/>
          <w:szCs w:val="30"/>
        </w:rPr>
        <w:t>（</w:t>
      </w:r>
      <w:r>
        <w:rPr>
          <w:rStyle w:val="26"/>
          <w:rFonts w:hint="eastAsia" w:ascii="??_GB2312" w:cs="??_GB2312"/>
          <w:color w:val="000000"/>
          <w:sz w:val="30"/>
          <w:szCs w:val="30"/>
          <w:lang w:val="en-US" w:eastAsia="zh-CN"/>
        </w:rPr>
        <w:t>38</w:t>
      </w:r>
      <w:r>
        <w:rPr>
          <w:rStyle w:val="26"/>
          <w:rFonts w:ascii="??_GB2312" w:eastAsia="Times New Roman"/>
          <w:color w:val="000000"/>
          <w:sz w:val="30"/>
          <w:szCs w:val="30"/>
        </w:rPr>
        <w:t>）</w:t>
      </w:r>
      <w:r>
        <w:rPr>
          <w:rStyle w:val="26"/>
          <w:rFonts w:hint="eastAsia" w:ascii="??_GB2312"/>
          <w:color w:val="000000"/>
          <w:sz w:val="30"/>
          <w:szCs w:val="30"/>
          <w:lang w:eastAsia="zh-CN"/>
        </w:rPr>
        <w:t>一般行政管理事务</w:t>
      </w:r>
      <w:r>
        <w:rPr>
          <w:rStyle w:val="26"/>
          <w:rFonts w:ascii="??_GB2312" w:eastAsia="Times New Roman"/>
          <w:color w:val="000000"/>
          <w:sz w:val="30"/>
          <w:szCs w:val="30"/>
        </w:rPr>
        <w:t>（</w:t>
      </w:r>
      <w:r>
        <w:rPr>
          <w:rStyle w:val="26"/>
          <w:rFonts w:hint="eastAsia" w:ascii="??_GB2312" w:cs="??_GB2312"/>
          <w:color w:val="000000"/>
          <w:sz w:val="30"/>
          <w:szCs w:val="30"/>
          <w:lang w:val="en-US" w:eastAsia="zh-CN"/>
        </w:rPr>
        <w:t>02</w:t>
      </w:r>
      <w:r>
        <w:rPr>
          <w:rStyle w:val="26"/>
          <w:rFonts w:ascii="??_GB2312" w:eastAsia="Times New Roman"/>
          <w:color w:val="000000"/>
          <w:sz w:val="30"/>
          <w:szCs w:val="30"/>
        </w:rPr>
        <w:t>）：</w:t>
      </w:r>
      <w:r>
        <w:rPr>
          <w:rFonts w:ascii="??_GB2312" w:eastAsia="Times New Roman"/>
          <w:color w:val="000000"/>
          <w:sz w:val="30"/>
          <w:szCs w:val="30"/>
        </w:rPr>
        <w:t>支出决算为</w:t>
      </w:r>
      <w:r>
        <w:rPr>
          <w:rFonts w:hint="eastAsia" w:ascii="??_GB2312" w:cs="??_GB2312"/>
          <w:color w:val="000000"/>
          <w:sz w:val="30"/>
          <w:szCs w:val="30"/>
          <w:lang w:val="en-US" w:eastAsia="zh-CN"/>
        </w:rPr>
        <w:t>0</w:t>
      </w:r>
      <w:r>
        <w:rPr>
          <w:rFonts w:ascii="??_GB2312" w:eastAsia="Times New Roman"/>
          <w:color w:val="000000"/>
          <w:sz w:val="30"/>
          <w:szCs w:val="30"/>
        </w:rPr>
        <w:t>万元，完成预算</w:t>
      </w:r>
      <w:r>
        <w:rPr>
          <w:rFonts w:ascii="??_GB2312" w:cs="??_GB2312"/>
          <w:sz w:val="30"/>
          <w:szCs w:val="30"/>
        </w:rPr>
        <w:t>10</w:t>
      </w:r>
      <w:r>
        <w:rPr>
          <w:rFonts w:hint="eastAsia" w:ascii="??_GB2312" w:cs="??_GB2312"/>
          <w:sz w:val="30"/>
          <w:szCs w:val="30"/>
          <w:lang w:val="en-US" w:eastAsia="zh-CN"/>
        </w:rPr>
        <w:t>0</w:t>
      </w:r>
      <w:r>
        <w:rPr>
          <w:rFonts w:ascii="??_GB2312" w:eastAsia="Times New Roman" w:cs="??_GB2312"/>
          <w:sz w:val="30"/>
          <w:szCs w:val="30"/>
        </w:rPr>
        <w:t>%</w:t>
      </w:r>
      <w:r>
        <w:rPr>
          <w:rFonts w:ascii="??_GB2312" w:eastAsia="Times New Roman"/>
          <w:color w:val="000000"/>
          <w:sz w:val="30"/>
          <w:szCs w:val="30"/>
        </w:rPr>
        <w:t>。</w:t>
      </w:r>
    </w:p>
    <w:p w14:paraId="07E3C912">
      <w:pPr>
        <w:spacing w:line="600" w:lineRule="exact"/>
        <w:ind w:firstLine="602" w:firstLineChars="200"/>
        <w:rPr>
          <w:rFonts w:ascii="??_GB2312" w:eastAsia="Times New Roman"/>
          <w:color w:val="000000"/>
          <w:sz w:val="30"/>
          <w:szCs w:val="30"/>
        </w:rPr>
      </w:pPr>
      <w:r>
        <w:rPr>
          <w:rStyle w:val="26"/>
          <w:rFonts w:hint="eastAsia" w:ascii="??_GB2312" w:cs="??_GB2312"/>
          <w:color w:val="000000"/>
          <w:sz w:val="30"/>
          <w:szCs w:val="30"/>
          <w:lang w:val="en-US" w:eastAsia="zh-CN"/>
        </w:rPr>
        <w:t>10</w:t>
      </w:r>
      <w:r>
        <w:rPr>
          <w:rStyle w:val="26"/>
          <w:rFonts w:ascii="??_GB2312" w:eastAsia="Times New Roman" w:cs="??_GB2312"/>
          <w:color w:val="000000"/>
          <w:sz w:val="30"/>
          <w:szCs w:val="30"/>
        </w:rPr>
        <w:t xml:space="preserve">. </w:t>
      </w:r>
      <w:r>
        <w:rPr>
          <w:rStyle w:val="26"/>
          <w:rFonts w:hint="eastAsia" w:ascii="??_GB2312" w:cs="??_GB2312"/>
          <w:color w:val="000000"/>
          <w:sz w:val="30"/>
          <w:szCs w:val="30"/>
          <w:lang w:eastAsia="zh-CN"/>
        </w:rPr>
        <w:t>一般公共服务支出</w:t>
      </w:r>
      <w:r>
        <w:rPr>
          <w:rStyle w:val="26"/>
          <w:rFonts w:ascii="??_GB2312" w:eastAsia="Times New Roman"/>
          <w:color w:val="000000"/>
          <w:sz w:val="30"/>
          <w:szCs w:val="30"/>
        </w:rPr>
        <w:t>（</w:t>
      </w:r>
      <w:r>
        <w:rPr>
          <w:rStyle w:val="26"/>
          <w:rFonts w:hint="eastAsia" w:ascii="??_GB2312" w:cs="??_GB2312"/>
          <w:color w:val="000000"/>
          <w:sz w:val="30"/>
          <w:szCs w:val="30"/>
          <w:lang w:val="en-US" w:eastAsia="zh-CN"/>
        </w:rPr>
        <w:t>201</w:t>
      </w:r>
      <w:r>
        <w:rPr>
          <w:rStyle w:val="26"/>
          <w:rFonts w:ascii="??_GB2312" w:eastAsia="Times New Roman"/>
          <w:color w:val="000000"/>
          <w:sz w:val="30"/>
          <w:szCs w:val="30"/>
        </w:rPr>
        <w:t>）</w:t>
      </w:r>
      <w:r>
        <w:rPr>
          <w:rStyle w:val="26"/>
          <w:rFonts w:hint="eastAsia" w:ascii="??_GB2312"/>
          <w:color w:val="000000"/>
          <w:sz w:val="30"/>
          <w:szCs w:val="30"/>
          <w:lang w:eastAsia="zh-CN"/>
        </w:rPr>
        <w:t>市场监督管理事务</w:t>
      </w:r>
      <w:r>
        <w:rPr>
          <w:rStyle w:val="26"/>
          <w:rFonts w:ascii="??_GB2312" w:eastAsia="Times New Roman"/>
          <w:color w:val="000000"/>
          <w:sz w:val="30"/>
          <w:szCs w:val="30"/>
        </w:rPr>
        <w:t>（</w:t>
      </w:r>
      <w:r>
        <w:rPr>
          <w:rStyle w:val="26"/>
          <w:rFonts w:hint="eastAsia" w:ascii="??_GB2312" w:cs="??_GB2312"/>
          <w:color w:val="000000"/>
          <w:sz w:val="30"/>
          <w:szCs w:val="30"/>
          <w:lang w:val="en-US" w:eastAsia="zh-CN"/>
        </w:rPr>
        <w:t>38</w:t>
      </w:r>
      <w:r>
        <w:rPr>
          <w:rStyle w:val="26"/>
          <w:rFonts w:ascii="??_GB2312" w:eastAsia="Times New Roman"/>
          <w:color w:val="000000"/>
          <w:sz w:val="30"/>
          <w:szCs w:val="30"/>
        </w:rPr>
        <w:t>）</w:t>
      </w:r>
      <w:r>
        <w:rPr>
          <w:rStyle w:val="26"/>
          <w:rFonts w:hint="eastAsia" w:ascii="??_GB2312"/>
          <w:color w:val="000000"/>
          <w:sz w:val="30"/>
          <w:szCs w:val="30"/>
          <w:lang w:eastAsia="zh-CN"/>
        </w:rPr>
        <w:t>市场监督管理专项</w:t>
      </w:r>
      <w:r>
        <w:rPr>
          <w:rStyle w:val="26"/>
          <w:rFonts w:ascii="??_GB2312" w:eastAsia="Times New Roman"/>
          <w:color w:val="000000"/>
          <w:sz w:val="30"/>
          <w:szCs w:val="30"/>
        </w:rPr>
        <w:t>（</w:t>
      </w:r>
      <w:r>
        <w:rPr>
          <w:rStyle w:val="26"/>
          <w:rFonts w:hint="eastAsia" w:ascii="??_GB2312" w:cs="??_GB2312"/>
          <w:color w:val="000000"/>
          <w:sz w:val="30"/>
          <w:szCs w:val="30"/>
          <w:lang w:val="en-US" w:eastAsia="zh-CN"/>
        </w:rPr>
        <w:t>04</w:t>
      </w:r>
      <w:r>
        <w:rPr>
          <w:rStyle w:val="26"/>
          <w:rFonts w:ascii="??_GB2312" w:eastAsia="Times New Roman"/>
          <w:color w:val="000000"/>
          <w:sz w:val="30"/>
          <w:szCs w:val="30"/>
        </w:rPr>
        <w:t>）：</w:t>
      </w:r>
      <w:r>
        <w:rPr>
          <w:rFonts w:ascii="??_GB2312" w:eastAsia="Times New Roman"/>
          <w:color w:val="000000"/>
          <w:sz w:val="30"/>
          <w:szCs w:val="30"/>
        </w:rPr>
        <w:t>支出决算为</w:t>
      </w:r>
      <w:r>
        <w:rPr>
          <w:rFonts w:hint="eastAsia" w:ascii="??_GB2312" w:cs="??_GB2312"/>
          <w:color w:val="000000"/>
          <w:sz w:val="30"/>
          <w:szCs w:val="30"/>
          <w:lang w:val="en-US" w:eastAsia="zh-CN"/>
        </w:rPr>
        <w:t>5</w:t>
      </w:r>
      <w:r>
        <w:rPr>
          <w:rFonts w:ascii="??_GB2312" w:eastAsia="Times New Roman"/>
          <w:color w:val="000000"/>
          <w:sz w:val="30"/>
          <w:szCs w:val="30"/>
        </w:rPr>
        <w:t>万元，完成预算</w:t>
      </w:r>
      <w:r>
        <w:rPr>
          <w:rFonts w:ascii="??_GB2312" w:cs="??_GB2312"/>
          <w:sz w:val="30"/>
          <w:szCs w:val="30"/>
        </w:rPr>
        <w:t>10</w:t>
      </w:r>
      <w:r>
        <w:rPr>
          <w:rFonts w:hint="eastAsia" w:ascii="??_GB2312" w:cs="??_GB2312"/>
          <w:sz w:val="30"/>
          <w:szCs w:val="30"/>
          <w:lang w:val="en-US" w:eastAsia="zh-CN"/>
        </w:rPr>
        <w:t>0</w:t>
      </w:r>
      <w:r>
        <w:rPr>
          <w:rFonts w:ascii="??_GB2312" w:eastAsia="Times New Roman" w:cs="??_GB2312"/>
          <w:sz w:val="30"/>
          <w:szCs w:val="30"/>
        </w:rPr>
        <w:t>%</w:t>
      </w:r>
      <w:r>
        <w:rPr>
          <w:rFonts w:ascii="??_GB2312" w:eastAsia="Times New Roman"/>
          <w:color w:val="000000"/>
          <w:sz w:val="30"/>
          <w:szCs w:val="30"/>
        </w:rPr>
        <w:t>。</w:t>
      </w:r>
    </w:p>
    <w:p w14:paraId="42ECE018">
      <w:pPr>
        <w:spacing w:line="600" w:lineRule="exact"/>
        <w:ind w:firstLine="602" w:firstLineChars="200"/>
        <w:rPr>
          <w:rFonts w:ascii="??_GB2312" w:eastAsia="Times New Roman"/>
          <w:color w:val="000000"/>
          <w:sz w:val="30"/>
          <w:szCs w:val="30"/>
        </w:rPr>
      </w:pPr>
      <w:r>
        <w:rPr>
          <w:rStyle w:val="26"/>
          <w:rFonts w:hint="eastAsia" w:ascii="??_GB2312" w:cs="??_GB2312"/>
          <w:color w:val="000000"/>
          <w:sz w:val="30"/>
          <w:szCs w:val="30"/>
          <w:lang w:val="en-US" w:eastAsia="zh-CN"/>
        </w:rPr>
        <w:t>11</w:t>
      </w:r>
      <w:r>
        <w:rPr>
          <w:rStyle w:val="26"/>
          <w:rFonts w:ascii="??_GB2312" w:eastAsia="Times New Roman" w:cs="??_GB2312"/>
          <w:color w:val="000000"/>
          <w:sz w:val="30"/>
          <w:szCs w:val="30"/>
        </w:rPr>
        <w:t xml:space="preserve">. </w:t>
      </w:r>
      <w:r>
        <w:rPr>
          <w:rStyle w:val="26"/>
          <w:rFonts w:hint="eastAsia" w:ascii="??_GB2312" w:cs="??_GB2312"/>
          <w:color w:val="000000"/>
          <w:sz w:val="30"/>
          <w:szCs w:val="30"/>
          <w:lang w:eastAsia="zh-CN"/>
        </w:rPr>
        <w:t>一般公共服务支出</w:t>
      </w:r>
      <w:r>
        <w:rPr>
          <w:rStyle w:val="26"/>
          <w:rFonts w:ascii="??_GB2312" w:eastAsia="Times New Roman"/>
          <w:color w:val="000000"/>
          <w:sz w:val="30"/>
          <w:szCs w:val="30"/>
        </w:rPr>
        <w:t>（</w:t>
      </w:r>
      <w:r>
        <w:rPr>
          <w:rStyle w:val="26"/>
          <w:rFonts w:hint="eastAsia" w:ascii="??_GB2312" w:cs="??_GB2312"/>
          <w:color w:val="000000"/>
          <w:sz w:val="30"/>
          <w:szCs w:val="30"/>
          <w:lang w:val="en-US" w:eastAsia="zh-CN"/>
        </w:rPr>
        <w:t>201</w:t>
      </w:r>
      <w:r>
        <w:rPr>
          <w:rStyle w:val="26"/>
          <w:rFonts w:ascii="??_GB2312" w:eastAsia="Times New Roman"/>
          <w:color w:val="000000"/>
          <w:sz w:val="30"/>
          <w:szCs w:val="30"/>
        </w:rPr>
        <w:t>）</w:t>
      </w:r>
      <w:r>
        <w:rPr>
          <w:rStyle w:val="26"/>
          <w:rFonts w:hint="eastAsia" w:ascii="??_GB2312"/>
          <w:color w:val="000000"/>
          <w:sz w:val="30"/>
          <w:szCs w:val="30"/>
          <w:lang w:eastAsia="zh-CN"/>
        </w:rPr>
        <w:t>市场监督管理事务</w:t>
      </w:r>
      <w:r>
        <w:rPr>
          <w:rStyle w:val="26"/>
          <w:rFonts w:ascii="??_GB2312" w:eastAsia="Times New Roman"/>
          <w:color w:val="000000"/>
          <w:sz w:val="30"/>
          <w:szCs w:val="30"/>
        </w:rPr>
        <w:t>（</w:t>
      </w:r>
      <w:r>
        <w:rPr>
          <w:rStyle w:val="26"/>
          <w:rFonts w:hint="eastAsia" w:ascii="??_GB2312" w:cs="??_GB2312"/>
          <w:color w:val="000000"/>
          <w:sz w:val="30"/>
          <w:szCs w:val="30"/>
          <w:lang w:val="en-US" w:eastAsia="zh-CN"/>
        </w:rPr>
        <w:t>38</w:t>
      </w:r>
      <w:r>
        <w:rPr>
          <w:rStyle w:val="26"/>
          <w:rFonts w:ascii="??_GB2312" w:eastAsia="Times New Roman"/>
          <w:color w:val="000000"/>
          <w:sz w:val="30"/>
          <w:szCs w:val="30"/>
        </w:rPr>
        <w:t>）</w:t>
      </w:r>
      <w:r>
        <w:rPr>
          <w:rStyle w:val="26"/>
          <w:rFonts w:hint="eastAsia" w:ascii="??_GB2312"/>
          <w:color w:val="000000"/>
          <w:sz w:val="30"/>
          <w:szCs w:val="30"/>
          <w:lang w:eastAsia="zh-CN"/>
        </w:rPr>
        <w:t>市场监管执法</w:t>
      </w:r>
      <w:r>
        <w:rPr>
          <w:rStyle w:val="26"/>
          <w:rFonts w:ascii="??_GB2312" w:eastAsia="Times New Roman"/>
          <w:color w:val="000000"/>
          <w:sz w:val="30"/>
          <w:szCs w:val="30"/>
        </w:rPr>
        <w:t>（</w:t>
      </w:r>
      <w:r>
        <w:rPr>
          <w:rStyle w:val="26"/>
          <w:rFonts w:hint="eastAsia" w:ascii="??_GB2312" w:cs="??_GB2312"/>
          <w:color w:val="000000"/>
          <w:sz w:val="30"/>
          <w:szCs w:val="30"/>
          <w:lang w:val="en-US" w:eastAsia="zh-CN"/>
        </w:rPr>
        <w:t>05</w:t>
      </w:r>
      <w:r>
        <w:rPr>
          <w:rStyle w:val="26"/>
          <w:rFonts w:ascii="??_GB2312" w:eastAsia="Times New Roman"/>
          <w:color w:val="000000"/>
          <w:sz w:val="30"/>
          <w:szCs w:val="30"/>
        </w:rPr>
        <w:t>）：</w:t>
      </w:r>
      <w:r>
        <w:rPr>
          <w:rFonts w:ascii="??_GB2312" w:eastAsia="Times New Roman"/>
          <w:color w:val="000000"/>
          <w:sz w:val="30"/>
          <w:szCs w:val="30"/>
        </w:rPr>
        <w:t>支出决算为</w:t>
      </w:r>
      <w:r>
        <w:rPr>
          <w:rFonts w:hint="eastAsia" w:ascii="??_GB2312" w:cs="??_GB2312"/>
          <w:color w:val="000000"/>
          <w:sz w:val="30"/>
          <w:szCs w:val="30"/>
          <w:lang w:val="en-US" w:eastAsia="zh-CN"/>
        </w:rPr>
        <w:t>15</w:t>
      </w:r>
      <w:r>
        <w:rPr>
          <w:rFonts w:ascii="??_GB2312" w:eastAsia="Times New Roman"/>
          <w:color w:val="000000"/>
          <w:sz w:val="30"/>
          <w:szCs w:val="30"/>
        </w:rPr>
        <w:t>万元，完成预算</w:t>
      </w:r>
      <w:r>
        <w:rPr>
          <w:rFonts w:ascii="??_GB2312" w:cs="??_GB2312"/>
          <w:sz w:val="30"/>
          <w:szCs w:val="30"/>
        </w:rPr>
        <w:t>10</w:t>
      </w:r>
      <w:r>
        <w:rPr>
          <w:rFonts w:hint="eastAsia" w:ascii="??_GB2312" w:cs="??_GB2312"/>
          <w:sz w:val="30"/>
          <w:szCs w:val="30"/>
          <w:lang w:val="en-US" w:eastAsia="zh-CN"/>
        </w:rPr>
        <w:t>0</w:t>
      </w:r>
      <w:r>
        <w:rPr>
          <w:rFonts w:ascii="??_GB2312" w:eastAsia="Times New Roman" w:cs="??_GB2312"/>
          <w:sz w:val="30"/>
          <w:szCs w:val="30"/>
        </w:rPr>
        <w:t>%</w:t>
      </w:r>
      <w:r>
        <w:rPr>
          <w:rFonts w:ascii="??_GB2312" w:eastAsia="Times New Roman"/>
          <w:color w:val="000000"/>
          <w:sz w:val="30"/>
          <w:szCs w:val="30"/>
        </w:rPr>
        <w:t>。</w:t>
      </w:r>
    </w:p>
    <w:p w14:paraId="156D6B1F">
      <w:pPr>
        <w:spacing w:line="600" w:lineRule="exact"/>
        <w:ind w:firstLine="602" w:firstLineChars="200"/>
        <w:rPr>
          <w:rFonts w:ascii="??_GB2312" w:eastAsia="Times New Roman"/>
          <w:color w:val="000000"/>
          <w:sz w:val="30"/>
          <w:szCs w:val="30"/>
        </w:rPr>
      </w:pPr>
      <w:r>
        <w:rPr>
          <w:rStyle w:val="26"/>
          <w:rFonts w:hint="eastAsia" w:ascii="??_GB2312" w:eastAsia="宋体" w:cs="??_GB2312"/>
          <w:color w:val="000000"/>
          <w:sz w:val="30"/>
          <w:szCs w:val="30"/>
          <w:lang w:val="en-US" w:eastAsia="zh-CN"/>
        </w:rPr>
        <w:t>1</w:t>
      </w:r>
      <w:r>
        <w:rPr>
          <w:rStyle w:val="26"/>
          <w:rFonts w:hint="eastAsia" w:ascii="??_GB2312" w:cs="??_GB2312"/>
          <w:color w:val="000000"/>
          <w:sz w:val="30"/>
          <w:szCs w:val="30"/>
          <w:lang w:val="en-US" w:eastAsia="zh-CN"/>
        </w:rPr>
        <w:t>2</w:t>
      </w:r>
      <w:r>
        <w:rPr>
          <w:rStyle w:val="26"/>
          <w:rFonts w:ascii="??_GB2312" w:eastAsia="Times New Roman" w:cs="??_GB2312"/>
          <w:color w:val="000000"/>
          <w:sz w:val="30"/>
          <w:szCs w:val="30"/>
        </w:rPr>
        <w:t>.</w:t>
      </w:r>
      <w:r>
        <w:rPr>
          <w:rStyle w:val="26"/>
          <w:rFonts w:hint="eastAsia" w:ascii="??_GB2312" w:cs="??_GB2312"/>
          <w:color w:val="000000"/>
          <w:sz w:val="30"/>
          <w:szCs w:val="30"/>
          <w:lang w:eastAsia="zh-CN"/>
        </w:rPr>
        <w:t>一般公共服务支出</w:t>
      </w:r>
      <w:r>
        <w:rPr>
          <w:rStyle w:val="26"/>
          <w:rFonts w:ascii="??_GB2312" w:eastAsia="Times New Roman"/>
          <w:color w:val="000000"/>
          <w:sz w:val="30"/>
          <w:szCs w:val="30"/>
        </w:rPr>
        <w:t>（</w:t>
      </w:r>
      <w:r>
        <w:rPr>
          <w:rStyle w:val="26"/>
          <w:rFonts w:hint="eastAsia" w:ascii="??_GB2312" w:cs="??_GB2312"/>
          <w:color w:val="000000"/>
          <w:sz w:val="30"/>
          <w:szCs w:val="30"/>
          <w:lang w:val="en-US" w:eastAsia="zh-CN"/>
        </w:rPr>
        <w:t>201</w:t>
      </w:r>
      <w:r>
        <w:rPr>
          <w:rStyle w:val="26"/>
          <w:rFonts w:ascii="??_GB2312" w:eastAsia="Times New Roman"/>
          <w:color w:val="000000"/>
          <w:sz w:val="30"/>
          <w:szCs w:val="30"/>
        </w:rPr>
        <w:t>）</w:t>
      </w:r>
      <w:r>
        <w:rPr>
          <w:rStyle w:val="26"/>
          <w:rFonts w:hint="eastAsia" w:ascii="??_GB2312"/>
          <w:color w:val="000000"/>
          <w:sz w:val="30"/>
          <w:szCs w:val="30"/>
          <w:lang w:eastAsia="zh-CN"/>
        </w:rPr>
        <w:t>市场监督管理事务</w:t>
      </w:r>
      <w:r>
        <w:rPr>
          <w:rStyle w:val="26"/>
          <w:rFonts w:ascii="??_GB2312" w:eastAsia="Times New Roman"/>
          <w:color w:val="000000"/>
          <w:sz w:val="30"/>
          <w:szCs w:val="30"/>
        </w:rPr>
        <w:t>（</w:t>
      </w:r>
      <w:r>
        <w:rPr>
          <w:rStyle w:val="26"/>
          <w:rFonts w:hint="eastAsia" w:ascii="??_GB2312" w:cs="??_GB2312"/>
          <w:color w:val="000000"/>
          <w:sz w:val="30"/>
          <w:szCs w:val="30"/>
          <w:lang w:val="en-US" w:eastAsia="zh-CN"/>
        </w:rPr>
        <w:t>38</w:t>
      </w:r>
      <w:r>
        <w:rPr>
          <w:rStyle w:val="26"/>
          <w:rFonts w:ascii="??_GB2312" w:eastAsia="Times New Roman"/>
          <w:color w:val="000000"/>
          <w:sz w:val="30"/>
          <w:szCs w:val="30"/>
        </w:rPr>
        <w:t>）</w:t>
      </w:r>
      <w:r>
        <w:rPr>
          <w:rStyle w:val="26"/>
          <w:rFonts w:hint="eastAsia" w:ascii="??_GB2312"/>
          <w:color w:val="000000"/>
          <w:sz w:val="30"/>
          <w:szCs w:val="30"/>
          <w:lang w:eastAsia="zh-CN"/>
        </w:rPr>
        <w:t>信息化建设</w:t>
      </w:r>
      <w:r>
        <w:rPr>
          <w:rStyle w:val="26"/>
          <w:rFonts w:ascii="??_GB2312" w:eastAsia="Times New Roman"/>
          <w:color w:val="000000"/>
          <w:sz w:val="30"/>
          <w:szCs w:val="30"/>
        </w:rPr>
        <w:t>（</w:t>
      </w:r>
      <w:r>
        <w:rPr>
          <w:rStyle w:val="26"/>
          <w:rFonts w:hint="eastAsia" w:ascii="??_GB2312" w:cs="??_GB2312"/>
          <w:color w:val="000000"/>
          <w:sz w:val="30"/>
          <w:szCs w:val="30"/>
          <w:lang w:val="en-US" w:eastAsia="zh-CN"/>
        </w:rPr>
        <w:t>08</w:t>
      </w:r>
      <w:r>
        <w:rPr>
          <w:rStyle w:val="26"/>
          <w:rFonts w:ascii="??_GB2312" w:eastAsia="Times New Roman"/>
          <w:color w:val="000000"/>
          <w:sz w:val="30"/>
          <w:szCs w:val="30"/>
        </w:rPr>
        <w:t>）：</w:t>
      </w:r>
      <w:r>
        <w:rPr>
          <w:rFonts w:ascii="??_GB2312" w:eastAsia="Times New Roman"/>
          <w:color w:val="000000"/>
          <w:sz w:val="30"/>
          <w:szCs w:val="30"/>
        </w:rPr>
        <w:t>支出决算为</w:t>
      </w:r>
      <w:r>
        <w:rPr>
          <w:rFonts w:hint="eastAsia" w:ascii="??_GB2312" w:cs="??_GB2312"/>
          <w:color w:val="000000"/>
          <w:sz w:val="30"/>
          <w:szCs w:val="30"/>
          <w:lang w:val="en-US" w:eastAsia="zh-CN"/>
        </w:rPr>
        <w:t>13.38</w:t>
      </w:r>
      <w:r>
        <w:rPr>
          <w:rFonts w:ascii="??_GB2312" w:eastAsia="Times New Roman"/>
          <w:color w:val="000000"/>
          <w:sz w:val="30"/>
          <w:szCs w:val="30"/>
        </w:rPr>
        <w:t>万元，完成预算</w:t>
      </w:r>
      <w:r>
        <w:rPr>
          <w:rFonts w:ascii="??_GB2312" w:cs="??_GB2312"/>
          <w:sz w:val="30"/>
          <w:szCs w:val="30"/>
        </w:rPr>
        <w:t>10</w:t>
      </w:r>
      <w:r>
        <w:rPr>
          <w:rFonts w:hint="eastAsia" w:ascii="??_GB2312" w:cs="??_GB2312"/>
          <w:sz w:val="30"/>
          <w:szCs w:val="30"/>
          <w:lang w:val="en-US" w:eastAsia="zh-CN"/>
        </w:rPr>
        <w:t>0</w:t>
      </w:r>
      <w:r>
        <w:rPr>
          <w:rFonts w:ascii="??_GB2312" w:eastAsia="Times New Roman" w:cs="??_GB2312"/>
          <w:sz w:val="30"/>
          <w:szCs w:val="30"/>
        </w:rPr>
        <w:t>%</w:t>
      </w:r>
      <w:r>
        <w:rPr>
          <w:rFonts w:ascii="??_GB2312" w:eastAsia="Times New Roman"/>
          <w:color w:val="000000"/>
          <w:sz w:val="30"/>
          <w:szCs w:val="30"/>
        </w:rPr>
        <w:t>。</w:t>
      </w:r>
    </w:p>
    <w:p w14:paraId="0129785A">
      <w:pPr>
        <w:spacing w:line="600" w:lineRule="exact"/>
        <w:ind w:firstLine="602" w:firstLineChars="200"/>
        <w:rPr>
          <w:rFonts w:ascii="??_GB2312" w:eastAsia="Times New Roman"/>
          <w:color w:val="000000"/>
          <w:sz w:val="30"/>
          <w:szCs w:val="30"/>
        </w:rPr>
      </w:pPr>
      <w:r>
        <w:rPr>
          <w:rStyle w:val="26"/>
          <w:rFonts w:hint="eastAsia" w:ascii="??_GB2312" w:eastAsia="宋体" w:cs="??_GB2312"/>
          <w:color w:val="000000"/>
          <w:sz w:val="30"/>
          <w:szCs w:val="30"/>
          <w:lang w:val="en-US" w:eastAsia="zh-CN"/>
        </w:rPr>
        <w:t>1</w:t>
      </w:r>
      <w:r>
        <w:rPr>
          <w:rStyle w:val="26"/>
          <w:rFonts w:hint="eastAsia" w:ascii="??_GB2312" w:cs="??_GB2312"/>
          <w:color w:val="000000"/>
          <w:sz w:val="30"/>
          <w:szCs w:val="30"/>
          <w:lang w:val="en-US" w:eastAsia="zh-CN"/>
        </w:rPr>
        <w:t>3</w:t>
      </w:r>
      <w:r>
        <w:rPr>
          <w:rStyle w:val="26"/>
          <w:rFonts w:ascii="??_GB2312" w:eastAsia="Times New Roman" w:cs="??_GB2312"/>
          <w:color w:val="000000"/>
          <w:sz w:val="30"/>
          <w:szCs w:val="30"/>
        </w:rPr>
        <w:t xml:space="preserve">. </w:t>
      </w:r>
      <w:r>
        <w:rPr>
          <w:rStyle w:val="26"/>
          <w:rFonts w:hint="eastAsia" w:ascii="??_GB2312" w:cs="??_GB2312"/>
          <w:color w:val="000000"/>
          <w:sz w:val="30"/>
          <w:szCs w:val="30"/>
          <w:lang w:eastAsia="zh-CN"/>
        </w:rPr>
        <w:t>一般公共服务支出</w:t>
      </w:r>
      <w:r>
        <w:rPr>
          <w:rStyle w:val="26"/>
          <w:rFonts w:ascii="??_GB2312" w:eastAsia="Times New Roman"/>
          <w:color w:val="000000"/>
          <w:sz w:val="30"/>
          <w:szCs w:val="30"/>
        </w:rPr>
        <w:t>（</w:t>
      </w:r>
      <w:r>
        <w:rPr>
          <w:rStyle w:val="26"/>
          <w:rFonts w:hint="eastAsia" w:ascii="??_GB2312" w:cs="??_GB2312"/>
          <w:color w:val="000000"/>
          <w:sz w:val="30"/>
          <w:szCs w:val="30"/>
          <w:lang w:val="en-US" w:eastAsia="zh-CN"/>
        </w:rPr>
        <w:t>201</w:t>
      </w:r>
      <w:r>
        <w:rPr>
          <w:rStyle w:val="26"/>
          <w:rFonts w:ascii="??_GB2312" w:eastAsia="Times New Roman"/>
          <w:color w:val="000000"/>
          <w:sz w:val="30"/>
          <w:szCs w:val="30"/>
        </w:rPr>
        <w:t>）</w:t>
      </w:r>
      <w:r>
        <w:rPr>
          <w:rStyle w:val="26"/>
          <w:rFonts w:hint="eastAsia" w:ascii="??_GB2312"/>
          <w:color w:val="000000"/>
          <w:sz w:val="30"/>
          <w:szCs w:val="30"/>
          <w:lang w:eastAsia="zh-CN"/>
        </w:rPr>
        <w:t>市场监督管理事务</w:t>
      </w:r>
      <w:r>
        <w:rPr>
          <w:rStyle w:val="26"/>
          <w:rFonts w:ascii="??_GB2312" w:eastAsia="Times New Roman"/>
          <w:color w:val="000000"/>
          <w:sz w:val="30"/>
          <w:szCs w:val="30"/>
        </w:rPr>
        <w:t>（</w:t>
      </w:r>
      <w:r>
        <w:rPr>
          <w:rStyle w:val="26"/>
          <w:rFonts w:hint="eastAsia" w:ascii="??_GB2312" w:cs="??_GB2312"/>
          <w:color w:val="000000"/>
          <w:sz w:val="30"/>
          <w:szCs w:val="30"/>
          <w:lang w:val="en-US" w:eastAsia="zh-CN"/>
        </w:rPr>
        <w:t>38</w:t>
      </w:r>
      <w:r>
        <w:rPr>
          <w:rStyle w:val="26"/>
          <w:rFonts w:ascii="??_GB2312" w:eastAsia="Times New Roman"/>
          <w:color w:val="000000"/>
          <w:sz w:val="30"/>
          <w:szCs w:val="30"/>
        </w:rPr>
        <w:t>）</w:t>
      </w:r>
      <w:r>
        <w:rPr>
          <w:rStyle w:val="26"/>
          <w:rFonts w:hint="eastAsia" w:ascii="??_GB2312"/>
          <w:color w:val="000000"/>
          <w:sz w:val="30"/>
          <w:szCs w:val="30"/>
          <w:lang w:eastAsia="zh-CN"/>
        </w:rPr>
        <w:t>质量基础</w:t>
      </w:r>
      <w:r>
        <w:rPr>
          <w:rStyle w:val="26"/>
          <w:rFonts w:ascii="??_GB2312" w:eastAsia="Times New Roman"/>
          <w:color w:val="000000"/>
          <w:sz w:val="30"/>
          <w:szCs w:val="30"/>
        </w:rPr>
        <w:t>（</w:t>
      </w:r>
      <w:r>
        <w:rPr>
          <w:rStyle w:val="26"/>
          <w:rFonts w:hint="eastAsia" w:ascii="??_GB2312" w:cs="??_GB2312"/>
          <w:color w:val="000000"/>
          <w:sz w:val="30"/>
          <w:szCs w:val="30"/>
          <w:lang w:val="en-US" w:eastAsia="zh-CN"/>
        </w:rPr>
        <w:t>10</w:t>
      </w:r>
      <w:r>
        <w:rPr>
          <w:rStyle w:val="26"/>
          <w:rFonts w:ascii="??_GB2312" w:eastAsia="Times New Roman"/>
          <w:color w:val="000000"/>
          <w:sz w:val="30"/>
          <w:szCs w:val="30"/>
        </w:rPr>
        <w:t>）：</w:t>
      </w:r>
      <w:r>
        <w:rPr>
          <w:rFonts w:ascii="??_GB2312" w:eastAsia="Times New Roman"/>
          <w:color w:val="000000"/>
          <w:sz w:val="30"/>
          <w:szCs w:val="30"/>
        </w:rPr>
        <w:t>支出决算为</w:t>
      </w:r>
      <w:r>
        <w:rPr>
          <w:rFonts w:hint="eastAsia" w:ascii="??_GB2312" w:cs="??_GB2312"/>
          <w:color w:val="000000"/>
          <w:sz w:val="30"/>
          <w:szCs w:val="30"/>
          <w:lang w:val="en-US" w:eastAsia="zh-CN"/>
        </w:rPr>
        <w:t>328.18</w:t>
      </w:r>
      <w:r>
        <w:rPr>
          <w:rFonts w:ascii="??_GB2312" w:eastAsia="Times New Roman"/>
          <w:color w:val="000000"/>
          <w:sz w:val="30"/>
          <w:szCs w:val="30"/>
        </w:rPr>
        <w:t>万元，完成预算</w:t>
      </w:r>
      <w:r>
        <w:rPr>
          <w:rFonts w:ascii="??_GB2312" w:cs="??_GB2312"/>
          <w:sz w:val="30"/>
          <w:szCs w:val="30"/>
        </w:rPr>
        <w:t>10</w:t>
      </w:r>
      <w:r>
        <w:rPr>
          <w:rFonts w:hint="eastAsia" w:ascii="??_GB2312" w:cs="??_GB2312"/>
          <w:sz w:val="30"/>
          <w:szCs w:val="30"/>
          <w:lang w:val="en-US" w:eastAsia="zh-CN"/>
        </w:rPr>
        <w:t>0</w:t>
      </w:r>
      <w:r>
        <w:rPr>
          <w:rFonts w:ascii="??_GB2312" w:eastAsia="Times New Roman" w:cs="??_GB2312"/>
          <w:sz w:val="30"/>
          <w:szCs w:val="30"/>
        </w:rPr>
        <w:t>%</w:t>
      </w:r>
      <w:r>
        <w:rPr>
          <w:rFonts w:ascii="??_GB2312" w:eastAsia="Times New Roman"/>
          <w:color w:val="000000"/>
          <w:sz w:val="30"/>
          <w:szCs w:val="30"/>
        </w:rPr>
        <w:t>。</w:t>
      </w:r>
    </w:p>
    <w:p w14:paraId="1A82EEC7">
      <w:pPr>
        <w:spacing w:line="600" w:lineRule="exact"/>
        <w:ind w:firstLine="602" w:firstLineChars="200"/>
        <w:rPr>
          <w:rFonts w:ascii="??_GB2312" w:eastAsia="Times New Roman"/>
          <w:color w:val="000000"/>
          <w:sz w:val="30"/>
          <w:szCs w:val="30"/>
        </w:rPr>
      </w:pPr>
      <w:r>
        <w:rPr>
          <w:rStyle w:val="26"/>
          <w:rFonts w:hint="eastAsia" w:ascii="??_GB2312" w:eastAsia="宋体" w:cs="??_GB2312"/>
          <w:color w:val="000000"/>
          <w:sz w:val="30"/>
          <w:szCs w:val="30"/>
          <w:lang w:val="en-US" w:eastAsia="zh-CN"/>
        </w:rPr>
        <w:t>1</w:t>
      </w:r>
      <w:r>
        <w:rPr>
          <w:rStyle w:val="26"/>
          <w:rFonts w:hint="eastAsia" w:ascii="??_GB2312" w:cs="??_GB2312"/>
          <w:color w:val="000000"/>
          <w:sz w:val="30"/>
          <w:szCs w:val="30"/>
          <w:lang w:val="en-US" w:eastAsia="zh-CN"/>
        </w:rPr>
        <w:t>4</w:t>
      </w:r>
      <w:r>
        <w:rPr>
          <w:rStyle w:val="26"/>
          <w:rFonts w:ascii="??_GB2312" w:eastAsia="Times New Roman" w:cs="??_GB2312"/>
          <w:color w:val="000000"/>
          <w:sz w:val="30"/>
          <w:szCs w:val="30"/>
        </w:rPr>
        <w:t xml:space="preserve">. </w:t>
      </w:r>
      <w:r>
        <w:rPr>
          <w:rStyle w:val="26"/>
          <w:rFonts w:hint="eastAsia" w:ascii="??_GB2312" w:cs="??_GB2312"/>
          <w:color w:val="000000"/>
          <w:sz w:val="30"/>
          <w:szCs w:val="30"/>
          <w:lang w:eastAsia="zh-CN"/>
        </w:rPr>
        <w:t>一般公共服务支出</w:t>
      </w:r>
      <w:r>
        <w:rPr>
          <w:rStyle w:val="26"/>
          <w:rFonts w:ascii="??_GB2312" w:eastAsia="Times New Roman"/>
          <w:color w:val="000000"/>
          <w:sz w:val="30"/>
          <w:szCs w:val="30"/>
        </w:rPr>
        <w:t>（</w:t>
      </w:r>
      <w:r>
        <w:rPr>
          <w:rStyle w:val="26"/>
          <w:rFonts w:hint="eastAsia" w:ascii="??_GB2312" w:cs="??_GB2312"/>
          <w:color w:val="000000"/>
          <w:sz w:val="30"/>
          <w:szCs w:val="30"/>
          <w:lang w:val="en-US" w:eastAsia="zh-CN"/>
        </w:rPr>
        <w:t>201</w:t>
      </w:r>
      <w:r>
        <w:rPr>
          <w:rStyle w:val="26"/>
          <w:rFonts w:ascii="??_GB2312" w:eastAsia="Times New Roman"/>
          <w:color w:val="000000"/>
          <w:sz w:val="30"/>
          <w:szCs w:val="30"/>
        </w:rPr>
        <w:t>）</w:t>
      </w:r>
      <w:r>
        <w:rPr>
          <w:rStyle w:val="26"/>
          <w:rFonts w:hint="eastAsia" w:ascii="??_GB2312"/>
          <w:color w:val="000000"/>
          <w:sz w:val="30"/>
          <w:szCs w:val="30"/>
          <w:lang w:eastAsia="zh-CN"/>
        </w:rPr>
        <w:t>市场监督管理事务</w:t>
      </w:r>
      <w:r>
        <w:rPr>
          <w:rStyle w:val="26"/>
          <w:rFonts w:ascii="??_GB2312" w:eastAsia="Times New Roman"/>
          <w:color w:val="000000"/>
          <w:sz w:val="30"/>
          <w:szCs w:val="30"/>
        </w:rPr>
        <w:t>（</w:t>
      </w:r>
      <w:r>
        <w:rPr>
          <w:rStyle w:val="26"/>
          <w:rFonts w:hint="eastAsia" w:ascii="??_GB2312" w:cs="??_GB2312"/>
          <w:color w:val="000000"/>
          <w:sz w:val="30"/>
          <w:szCs w:val="30"/>
          <w:lang w:val="en-US" w:eastAsia="zh-CN"/>
        </w:rPr>
        <w:t>38</w:t>
      </w:r>
      <w:r>
        <w:rPr>
          <w:rStyle w:val="26"/>
          <w:rFonts w:ascii="??_GB2312" w:eastAsia="Times New Roman"/>
          <w:color w:val="000000"/>
          <w:sz w:val="30"/>
          <w:szCs w:val="30"/>
        </w:rPr>
        <w:t>）</w:t>
      </w:r>
      <w:r>
        <w:rPr>
          <w:rStyle w:val="26"/>
          <w:rFonts w:hint="eastAsia" w:ascii="??_GB2312"/>
          <w:color w:val="000000"/>
          <w:sz w:val="30"/>
          <w:szCs w:val="30"/>
          <w:lang w:eastAsia="zh-CN"/>
        </w:rPr>
        <w:t>药品事务</w:t>
      </w:r>
      <w:r>
        <w:rPr>
          <w:rStyle w:val="26"/>
          <w:rFonts w:ascii="??_GB2312" w:eastAsia="Times New Roman"/>
          <w:color w:val="000000"/>
          <w:sz w:val="30"/>
          <w:szCs w:val="30"/>
        </w:rPr>
        <w:t>（</w:t>
      </w:r>
      <w:r>
        <w:rPr>
          <w:rStyle w:val="26"/>
          <w:rFonts w:hint="eastAsia" w:ascii="??_GB2312" w:cs="??_GB2312"/>
          <w:color w:val="000000"/>
          <w:sz w:val="30"/>
          <w:szCs w:val="30"/>
          <w:lang w:val="en-US" w:eastAsia="zh-CN"/>
        </w:rPr>
        <w:t>12</w:t>
      </w:r>
      <w:r>
        <w:rPr>
          <w:rStyle w:val="26"/>
          <w:rFonts w:ascii="??_GB2312" w:eastAsia="Times New Roman"/>
          <w:color w:val="000000"/>
          <w:sz w:val="30"/>
          <w:szCs w:val="30"/>
        </w:rPr>
        <w:t>）：</w:t>
      </w:r>
      <w:r>
        <w:rPr>
          <w:rFonts w:ascii="??_GB2312" w:eastAsia="Times New Roman"/>
          <w:color w:val="000000"/>
          <w:sz w:val="30"/>
          <w:szCs w:val="30"/>
        </w:rPr>
        <w:t>支出决算为</w:t>
      </w:r>
      <w:r>
        <w:rPr>
          <w:rFonts w:hint="eastAsia" w:ascii="??_GB2312" w:cs="??_GB2312"/>
          <w:color w:val="000000"/>
          <w:sz w:val="30"/>
          <w:szCs w:val="30"/>
          <w:lang w:val="en-US" w:eastAsia="zh-CN"/>
        </w:rPr>
        <w:t>18</w:t>
      </w:r>
      <w:r>
        <w:rPr>
          <w:rFonts w:ascii="??_GB2312" w:eastAsia="Times New Roman"/>
          <w:color w:val="000000"/>
          <w:sz w:val="30"/>
          <w:szCs w:val="30"/>
        </w:rPr>
        <w:t>万元，完成预算</w:t>
      </w:r>
      <w:r>
        <w:rPr>
          <w:rFonts w:ascii="??_GB2312" w:cs="??_GB2312"/>
          <w:sz w:val="30"/>
          <w:szCs w:val="30"/>
        </w:rPr>
        <w:t>10</w:t>
      </w:r>
      <w:r>
        <w:rPr>
          <w:rFonts w:hint="eastAsia" w:ascii="??_GB2312" w:cs="??_GB2312"/>
          <w:sz w:val="30"/>
          <w:szCs w:val="30"/>
          <w:lang w:val="en-US" w:eastAsia="zh-CN"/>
        </w:rPr>
        <w:t>0</w:t>
      </w:r>
      <w:r>
        <w:rPr>
          <w:rFonts w:ascii="??_GB2312" w:eastAsia="Times New Roman" w:cs="??_GB2312"/>
          <w:sz w:val="30"/>
          <w:szCs w:val="30"/>
        </w:rPr>
        <w:t>%</w:t>
      </w:r>
      <w:r>
        <w:rPr>
          <w:rFonts w:ascii="??_GB2312" w:eastAsia="Times New Roman"/>
          <w:color w:val="000000"/>
          <w:sz w:val="30"/>
          <w:szCs w:val="30"/>
        </w:rPr>
        <w:t>。</w:t>
      </w:r>
    </w:p>
    <w:p w14:paraId="60D24168">
      <w:pPr>
        <w:spacing w:line="600" w:lineRule="exact"/>
        <w:ind w:firstLine="602" w:firstLineChars="200"/>
        <w:rPr>
          <w:rFonts w:ascii="??_GB2312" w:eastAsia="Times New Roman"/>
          <w:color w:val="auto"/>
          <w:sz w:val="30"/>
          <w:szCs w:val="30"/>
        </w:rPr>
      </w:pPr>
      <w:r>
        <w:rPr>
          <w:rStyle w:val="26"/>
          <w:rFonts w:hint="eastAsia" w:ascii="??_GB2312" w:eastAsia="宋体" w:cs="??_GB2312"/>
          <w:color w:val="000000"/>
          <w:sz w:val="30"/>
          <w:szCs w:val="30"/>
          <w:lang w:val="en-US" w:eastAsia="zh-CN"/>
        </w:rPr>
        <w:t>1</w:t>
      </w:r>
      <w:r>
        <w:rPr>
          <w:rStyle w:val="26"/>
          <w:rFonts w:hint="eastAsia" w:ascii="??_GB2312" w:cs="??_GB2312"/>
          <w:color w:val="000000"/>
          <w:sz w:val="30"/>
          <w:szCs w:val="30"/>
          <w:lang w:val="en-US" w:eastAsia="zh-CN"/>
        </w:rPr>
        <w:t>5</w:t>
      </w:r>
      <w:r>
        <w:rPr>
          <w:rStyle w:val="26"/>
          <w:rFonts w:ascii="??_GB2312" w:eastAsia="Times New Roman" w:cs="??_GB2312"/>
          <w:color w:val="000000"/>
          <w:sz w:val="30"/>
          <w:szCs w:val="30"/>
        </w:rPr>
        <w:t xml:space="preserve">. </w:t>
      </w:r>
      <w:r>
        <w:rPr>
          <w:rStyle w:val="26"/>
          <w:rFonts w:hint="eastAsia" w:ascii="??_GB2312" w:cs="??_GB2312"/>
          <w:color w:val="auto"/>
          <w:sz w:val="30"/>
          <w:szCs w:val="30"/>
          <w:lang w:eastAsia="zh-CN"/>
        </w:rPr>
        <w:t>一般公共服务支出</w:t>
      </w:r>
      <w:r>
        <w:rPr>
          <w:rStyle w:val="26"/>
          <w:rFonts w:ascii="??_GB2312" w:eastAsia="Times New Roman"/>
          <w:color w:val="auto"/>
          <w:sz w:val="30"/>
          <w:szCs w:val="30"/>
        </w:rPr>
        <w:t>（</w:t>
      </w:r>
      <w:r>
        <w:rPr>
          <w:rStyle w:val="26"/>
          <w:rFonts w:hint="eastAsia" w:ascii="??_GB2312" w:cs="??_GB2312"/>
          <w:color w:val="auto"/>
          <w:sz w:val="30"/>
          <w:szCs w:val="30"/>
          <w:lang w:val="en-US" w:eastAsia="zh-CN"/>
        </w:rPr>
        <w:t>201</w:t>
      </w:r>
      <w:r>
        <w:rPr>
          <w:rStyle w:val="26"/>
          <w:rFonts w:ascii="??_GB2312" w:eastAsia="Times New Roman"/>
          <w:color w:val="auto"/>
          <w:sz w:val="30"/>
          <w:szCs w:val="30"/>
        </w:rPr>
        <w:t>）</w:t>
      </w:r>
      <w:r>
        <w:rPr>
          <w:rStyle w:val="26"/>
          <w:rFonts w:hint="eastAsia" w:ascii="??_GB2312"/>
          <w:color w:val="auto"/>
          <w:sz w:val="30"/>
          <w:szCs w:val="30"/>
          <w:lang w:eastAsia="zh-CN"/>
        </w:rPr>
        <w:t>市场监督管理事务</w:t>
      </w:r>
      <w:r>
        <w:rPr>
          <w:rStyle w:val="26"/>
          <w:rFonts w:ascii="??_GB2312" w:eastAsia="Times New Roman"/>
          <w:color w:val="auto"/>
          <w:sz w:val="30"/>
          <w:szCs w:val="30"/>
        </w:rPr>
        <w:t>（</w:t>
      </w:r>
      <w:r>
        <w:rPr>
          <w:rStyle w:val="26"/>
          <w:rFonts w:hint="eastAsia" w:ascii="??_GB2312" w:cs="??_GB2312"/>
          <w:color w:val="auto"/>
          <w:sz w:val="30"/>
          <w:szCs w:val="30"/>
          <w:lang w:val="en-US" w:eastAsia="zh-CN"/>
        </w:rPr>
        <w:t>38</w:t>
      </w:r>
      <w:r>
        <w:rPr>
          <w:rStyle w:val="26"/>
          <w:rFonts w:ascii="??_GB2312" w:eastAsia="Times New Roman"/>
          <w:color w:val="auto"/>
          <w:sz w:val="30"/>
          <w:szCs w:val="30"/>
        </w:rPr>
        <w:t>）</w:t>
      </w:r>
      <w:r>
        <w:rPr>
          <w:rStyle w:val="26"/>
          <w:rFonts w:hint="eastAsia" w:ascii="??_GB2312"/>
          <w:color w:val="auto"/>
          <w:sz w:val="30"/>
          <w:szCs w:val="30"/>
          <w:lang w:eastAsia="zh-CN"/>
        </w:rPr>
        <w:t>质量安全监管</w:t>
      </w:r>
      <w:r>
        <w:rPr>
          <w:rStyle w:val="26"/>
          <w:rFonts w:ascii="??_GB2312" w:eastAsia="Times New Roman"/>
          <w:color w:val="auto"/>
          <w:sz w:val="30"/>
          <w:szCs w:val="30"/>
        </w:rPr>
        <w:t>（</w:t>
      </w:r>
      <w:r>
        <w:rPr>
          <w:rStyle w:val="26"/>
          <w:rFonts w:hint="eastAsia" w:ascii="??_GB2312" w:cs="??_GB2312"/>
          <w:color w:val="auto"/>
          <w:sz w:val="30"/>
          <w:szCs w:val="30"/>
          <w:lang w:val="en-US" w:eastAsia="zh-CN"/>
        </w:rPr>
        <w:t>15</w:t>
      </w:r>
      <w:r>
        <w:rPr>
          <w:rStyle w:val="26"/>
          <w:rFonts w:ascii="??_GB2312" w:eastAsia="Times New Roman"/>
          <w:color w:val="auto"/>
          <w:sz w:val="30"/>
          <w:szCs w:val="30"/>
        </w:rPr>
        <w:t>）：</w:t>
      </w:r>
      <w:r>
        <w:rPr>
          <w:rFonts w:ascii="??_GB2312" w:eastAsia="Times New Roman"/>
          <w:color w:val="auto"/>
          <w:sz w:val="30"/>
          <w:szCs w:val="30"/>
        </w:rPr>
        <w:t>支出决算为</w:t>
      </w:r>
      <w:r>
        <w:rPr>
          <w:rFonts w:hint="eastAsia" w:ascii="??_GB2312" w:cs="??_GB2312"/>
          <w:color w:val="auto"/>
          <w:sz w:val="30"/>
          <w:szCs w:val="30"/>
          <w:lang w:val="en-US" w:eastAsia="zh-CN"/>
        </w:rPr>
        <w:t>208.71</w:t>
      </w:r>
      <w:r>
        <w:rPr>
          <w:rFonts w:ascii="??_GB2312" w:eastAsia="Times New Roman"/>
          <w:color w:val="auto"/>
          <w:sz w:val="30"/>
          <w:szCs w:val="30"/>
        </w:rPr>
        <w:t>万元，完成预算</w:t>
      </w:r>
      <w:r>
        <w:rPr>
          <w:rFonts w:ascii="??_GB2312" w:cs="??_GB2312"/>
          <w:color w:val="auto"/>
          <w:sz w:val="30"/>
          <w:szCs w:val="30"/>
        </w:rPr>
        <w:t>10</w:t>
      </w:r>
      <w:r>
        <w:rPr>
          <w:rFonts w:hint="eastAsia" w:ascii="??_GB2312" w:cs="??_GB2312"/>
          <w:color w:val="auto"/>
          <w:sz w:val="30"/>
          <w:szCs w:val="30"/>
          <w:lang w:val="en-US" w:eastAsia="zh-CN"/>
        </w:rPr>
        <w:t>0</w:t>
      </w:r>
      <w:r>
        <w:rPr>
          <w:rFonts w:ascii="??_GB2312" w:eastAsia="Times New Roman" w:cs="??_GB2312"/>
          <w:color w:val="auto"/>
          <w:sz w:val="30"/>
          <w:szCs w:val="30"/>
        </w:rPr>
        <w:t>%</w:t>
      </w:r>
      <w:r>
        <w:rPr>
          <w:rFonts w:ascii="??_GB2312" w:eastAsia="Times New Roman"/>
          <w:color w:val="auto"/>
          <w:sz w:val="30"/>
          <w:szCs w:val="30"/>
        </w:rPr>
        <w:t>。</w:t>
      </w:r>
    </w:p>
    <w:p w14:paraId="679F637E">
      <w:pPr>
        <w:spacing w:line="600" w:lineRule="exact"/>
        <w:ind w:firstLine="602" w:firstLineChars="200"/>
        <w:rPr>
          <w:color w:val="auto"/>
        </w:rPr>
      </w:pPr>
      <w:r>
        <w:rPr>
          <w:rStyle w:val="26"/>
          <w:rFonts w:hint="eastAsia" w:ascii="??_GB2312" w:eastAsia="宋体" w:cs="??_GB2312"/>
          <w:color w:val="000000"/>
          <w:sz w:val="30"/>
          <w:szCs w:val="30"/>
          <w:lang w:val="en-US" w:eastAsia="zh-CN"/>
        </w:rPr>
        <w:t>1</w:t>
      </w:r>
      <w:r>
        <w:rPr>
          <w:rStyle w:val="26"/>
          <w:rFonts w:hint="eastAsia" w:ascii="??_GB2312" w:cs="??_GB2312"/>
          <w:color w:val="000000"/>
          <w:sz w:val="30"/>
          <w:szCs w:val="30"/>
          <w:lang w:val="en-US" w:eastAsia="zh-CN"/>
        </w:rPr>
        <w:t>6</w:t>
      </w:r>
      <w:r>
        <w:rPr>
          <w:rStyle w:val="26"/>
          <w:rFonts w:ascii="??_GB2312" w:eastAsia="Times New Roman" w:cs="??_GB2312"/>
          <w:color w:val="000000"/>
          <w:sz w:val="30"/>
          <w:szCs w:val="30"/>
        </w:rPr>
        <w:t xml:space="preserve">. </w:t>
      </w:r>
      <w:r>
        <w:rPr>
          <w:rStyle w:val="26"/>
          <w:rFonts w:hint="eastAsia" w:ascii="??_GB2312" w:cs="??_GB2312"/>
          <w:color w:val="auto"/>
          <w:sz w:val="30"/>
          <w:szCs w:val="30"/>
          <w:lang w:eastAsia="zh-CN"/>
        </w:rPr>
        <w:t>一般公共服务支出</w:t>
      </w:r>
      <w:r>
        <w:rPr>
          <w:rStyle w:val="26"/>
          <w:rFonts w:ascii="??_GB2312" w:eastAsia="Times New Roman"/>
          <w:color w:val="auto"/>
          <w:sz w:val="30"/>
          <w:szCs w:val="30"/>
        </w:rPr>
        <w:t>（</w:t>
      </w:r>
      <w:r>
        <w:rPr>
          <w:rStyle w:val="26"/>
          <w:rFonts w:hint="eastAsia" w:ascii="??_GB2312" w:cs="??_GB2312"/>
          <w:color w:val="auto"/>
          <w:sz w:val="30"/>
          <w:szCs w:val="30"/>
          <w:lang w:val="en-US" w:eastAsia="zh-CN"/>
        </w:rPr>
        <w:t>201</w:t>
      </w:r>
      <w:r>
        <w:rPr>
          <w:rStyle w:val="26"/>
          <w:rFonts w:ascii="??_GB2312" w:eastAsia="Times New Roman"/>
          <w:color w:val="auto"/>
          <w:sz w:val="30"/>
          <w:szCs w:val="30"/>
        </w:rPr>
        <w:t>）</w:t>
      </w:r>
      <w:r>
        <w:rPr>
          <w:rStyle w:val="26"/>
          <w:rFonts w:hint="eastAsia" w:ascii="??_GB2312"/>
          <w:color w:val="auto"/>
          <w:sz w:val="30"/>
          <w:szCs w:val="30"/>
          <w:lang w:eastAsia="zh-CN"/>
        </w:rPr>
        <w:t>市场监督管理事务</w:t>
      </w:r>
      <w:r>
        <w:rPr>
          <w:rStyle w:val="26"/>
          <w:rFonts w:ascii="??_GB2312" w:eastAsia="Times New Roman"/>
          <w:color w:val="auto"/>
          <w:sz w:val="30"/>
          <w:szCs w:val="30"/>
        </w:rPr>
        <w:t>（</w:t>
      </w:r>
      <w:r>
        <w:rPr>
          <w:rStyle w:val="26"/>
          <w:rFonts w:hint="eastAsia" w:ascii="??_GB2312" w:cs="??_GB2312"/>
          <w:color w:val="auto"/>
          <w:sz w:val="30"/>
          <w:szCs w:val="30"/>
          <w:lang w:val="en-US" w:eastAsia="zh-CN"/>
        </w:rPr>
        <w:t>38</w:t>
      </w:r>
      <w:r>
        <w:rPr>
          <w:rStyle w:val="26"/>
          <w:rFonts w:ascii="??_GB2312" w:eastAsia="Times New Roman"/>
          <w:color w:val="auto"/>
          <w:sz w:val="30"/>
          <w:szCs w:val="30"/>
        </w:rPr>
        <w:t>）</w:t>
      </w:r>
      <w:r>
        <w:rPr>
          <w:rStyle w:val="26"/>
          <w:rFonts w:hint="eastAsia" w:ascii="??_GB2312"/>
          <w:color w:val="auto"/>
          <w:sz w:val="30"/>
          <w:szCs w:val="30"/>
          <w:lang w:eastAsia="zh-CN"/>
        </w:rPr>
        <w:t>食品安全监管</w:t>
      </w:r>
      <w:r>
        <w:rPr>
          <w:rStyle w:val="26"/>
          <w:rFonts w:ascii="??_GB2312" w:eastAsia="Times New Roman"/>
          <w:color w:val="auto"/>
          <w:sz w:val="30"/>
          <w:szCs w:val="30"/>
        </w:rPr>
        <w:t>（</w:t>
      </w:r>
      <w:r>
        <w:rPr>
          <w:rStyle w:val="26"/>
          <w:rFonts w:hint="eastAsia" w:ascii="??_GB2312" w:cs="??_GB2312"/>
          <w:color w:val="auto"/>
          <w:sz w:val="30"/>
          <w:szCs w:val="30"/>
          <w:lang w:val="en-US" w:eastAsia="zh-CN"/>
        </w:rPr>
        <w:t>16</w:t>
      </w:r>
      <w:r>
        <w:rPr>
          <w:rStyle w:val="26"/>
          <w:rFonts w:ascii="??_GB2312" w:eastAsia="Times New Roman"/>
          <w:color w:val="auto"/>
          <w:sz w:val="30"/>
          <w:szCs w:val="30"/>
        </w:rPr>
        <w:t>）：</w:t>
      </w:r>
      <w:r>
        <w:rPr>
          <w:rFonts w:ascii="??_GB2312" w:eastAsia="Times New Roman"/>
          <w:color w:val="auto"/>
          <w:sz w:val="30"/>
          <w:szCs w:val="30"/>
        </w:rPr>
        <w:t>支出决算为</w:t>
      </w:r>
      <w:r>
        <w:rPr>
          <w:rFonts w:hint="eastAsia" w:ascii="??_GB2312" w:cs="??_GB2312"/>
          <w:color w:val="auto"/>
          <w:sz w:val="30"/>
          <w:szCs w:val="30"/>
          <w:lang w:val="en-US" w:eastAsia="zh-CN"/>
        </w:rPr>
        <w:t>44.79</w:t>
      </w:r>
      <w:r>
        <w:rPr>
          <w:rFonts w:ascii="??_GB2312" w:eastAsia="Times New Roman"/>
          <w:color w:val="auto"/>
          <w:sz w:val="30"/>
          <w:szCs w:val="30"/>
        </w:rPr>
        <w:t>万元，完成预算</w:t>
      </w:r>
      <w:r>
        <w:rPr>
          <w:rFonts w:ascii="??_GB2312" w:cs="??_GB2312"/>
          <w:color w:val="auto"/>
          <w:sz w:val="30"/>
          <w:szCs w:val="30"/>
        </w:rPr>
        <w:t>10</w:t>
      </w:r>
      <w:r>
        <w:rPr>
          <w:rFonts w:hint="eastAsia" w:ascii="??_GB2312" w:cs="??_GB2312"/>
          <w:color w:val="auto"/>
          <w:sz w:val="30"/>
          <w:szCs w:val="30"/>
          <w:lang w:val="en-US" w:eastAsia="zh-CN"/>
        </w:rPr>
        <w:t>0</w:t>
      </w:r>
      <w:r>
        <w:rPr>
          <w:rFonts w:ascii="??_GB2312" w:eastAsia="Times New Roman" w:cs="??_GB2312"/>
          <w:color w:val="auto"/>
          <w:sz w:val="30"/>
          <w:szCs w:val="30"/>
        </w:rPr>
        <w:t>%</w:t>
      </w:r>
      <w:r>
        <w:rPr>
          <w:rFonts w:ascii="??_GB2312" w:eastAsia="Times New Roman"/>
          <w:color w:val="auto"/>
          <w:sz w:val="30"/>
          <w:szCs w:val="30"/>
        </w:rPr>
        <w:t>。</w:t>
      </w:r>
    </w:p>
    <w:p w14:paraId="3CE443DD">
      <w:pPr>
        <w:spacing w:line="600" w:lineRule="exact"/>
        <w:ind w:firstLine="602" w:firstLineChars="200"/>
        <w:rPr>
          <w:rFonts w:ascii="??_GB2312" w:eastAsia="Times New Roman"/>
          <w:color w:val="000000"/>
          <w:sz w:val="30"/>
          <w:szCs w:val="30"/>
        </w:rPr>
      </w:pPr>
      <w:r>
        <w:rPr>
          <w:rStyle w:val="26"/>
          <w:rFonts w:hint="eastAsia" w:ascii="??_GB2312" w:eastAsia="宋体" w:cs="??_GB2312"/>
          <w:color w:val="000000"/>
          <w:sz w:val="30"/>
          <w:szCs w:val="30"/>
          <w:lang w:val="en-US" w:eastAsia="zh-CN"/>
        </w:rPr>
        <w:t>1</w:t>
      </w:r>
      <w:r>
        <w:rPr>
          <w:rStyle w:val="26"/>
          <w:rFonts w:hint="eastAsia" w:ascii="??_GB2312" w:cs="??_GB2312"/>
          <w:color w:val="000000"/>
          <w:sz w:val="30"/>
          <w:szCs w:val="30"/>
          <w:lang w:val="en-US" w:eastAsia="zh-CN"/>
        </w:rPr>
        <w:t>7</w:t>
      </w:r>
      <w:r>
        <w:rPr>
          <w:rStyle w:val="26"/>
          <w:rFonts w:ascii="??_GB2312" w:eastAsia="Times New Roman" w:cs="??_GB2312"/>
          <w:color w:val="000000"/>
          <w:sz w:val="30"/>
          <w:szCs w:val="30"/>
        </w:rPr>
        <w:t xml:space="preserve">. </w:t>
      </w:r>
      <w:r>
        <w:rPr>
          <w:rStyle w:val="26"/>
          <w:rFonts w:hint="eastAsia" w:ascii="??_GB2312" w:cs="??_GB2312"/>
          <w:color w:val="000000"/>
          <w:sz w:val="30"/>
          <w:szCs w:val="30"/>
          <w:lang w:eastAsia="zh-CN"/>
        </w:rPr>
        <w:t>一般公共服务支出</w:t>
      </w:r>
      <w:r>
        <w:rPr>
          <w:rStyle w:val="26"/>
          <w:rFonts w:ascii="??_GB2312" w:eastAsia="Times New Roman"/>
          <w:color w:val="000000"/>
          <w:sz w:val="30"/>
          <w:szCs w:val="30"/>
        </w:rPr>
        <w:t>（</w:t>
      </w:r>
      <w:r>
        <w:rPr>
          <w:rStyle w:val="26"/>
          <w:rFonts w:hint="eastAsia" w:ascii="??_GB2312" w:cs="??_GB2312"/>
          <w:color w:val="000000"/>
          <w:sz w:val="30"/>
          <w:szCs w:val="30"/>
          <w:lang w:val="en-US" w:eastAsia="zh-CN"/>
        </w:rPr>
        <w:t>201</w:t>
      </w:r>
      <w:r>
        <w:rPr>
          <w:rStyle w:val="26"/>
          <w:rFonts w:ascii="??_GB2312" w:eastAsia="Times New Roman"/>
          <w:color w:val="000000"/>
          <w:sz w:val="30"/>
          <w:szCs w:val="30"/>
        </w:rPr>
        <w:t>）</w:t>
      </w:r>
      <w:r>
        <w:rPr>
          <w:rStyle w:val="26"/>
          <w:rFonts w:hint="eastAsia" w:ascii="??_GB2312"/>
          <w:color w:val="000000"/>
          <w:sz w:val="30"/>
          <w:szCs w:val="30"/>
          <w:lang w:eastAsia="zh-CN"/>
        </w:rPr>
        <w:t>市场监督管理事务</w:t>
      </w:r>
      <w:r>
        <w:rPr>
          <w:rStyle w:val="26"/>
          <w:rFonts w:ascii="??_GB2312" w:eastAsia="Times New Roman"/>
          <w:color w:val="000000"/>
          <w:sz w:val="30"/>
          <w:szCs w:val="30"/>
        </w:rPr>
        <w:t>（</w:t>
      </w:r>
      <w:r>
        <w:rPr>
          <w:rStyle w:val="26"/>
          <w:rFonts w:hint="eastAsia" w:ascii="??_GB2312" w:cs="??_GB2312"/>
          <w:color w:val="000000"/>
          <w:sz w:val="30"/>
          <w:szCs w:val="30"/>
          <w:lang w:val="en-US" w:eastAsia="zh-CN"/>
        </w:rPr>
        <w:t>38</w:t>
      </w:r>
      <w:r>
        <w:rPr>
          <w:rStyle w:val="26"/>
          <w:rFonts w:ascii="??_GB2312" w:eastAsia="Times New Roman"/>
          <w:color w:val="000000"/>
          <w:sz w:val="30"/>
          <w:szCs w:val="30"/>
        </w:rPr>
        <w:t>）</w:t>
      </w:r>
      <w:r>
        <w:rPr>
          <w:rStyle w:val="26"/>
          <w:rFonts w:hint="eastAsia" w:ascii="??_GB2312"/>
          <w:color w:val="000000"/>
          <w:sz w:val="30"/>
          <w:szCs w:val="30"/>
          <w:lang w:eastAsia="zh-CN"/>
        </w:rPr>
        <w:t>事业运行</w:t>
      </w:r>
      <w:r>
        <w:rPr>
          <w:rStyle w:val="26"/>
          <w:rFonts w:ascii="??_GB2312" w:eastAsia="Times New Roman"/>
          <w:color w:val="000000"/>
          <w:sz w:val="30"/>
          <w:szCs w:val="30"/>
        </w:rPr>
        <w:t>（</w:t>
      </w:r>
      <w:r>
        <w:rPr>
          <w:rStyle w:val="26"/>
          <w:rFonts w:hint="eastAsia" w:ascii="??_GB2312" w:cs="??_GB2312"/>
          <w:color w:val="000000"/>
          <w:sz w:val="30"/>
          <w:szCs w:val="30"/>
          <w:lang w:val="en-US" w:eastAsia="zh-CN"/>
        </w:rPr>
        <w:t>50</w:t>
      </w:r>
      <w:r>
        <w:rPr>
          <w:rStyle w:val="26"/>
          <w:rFonts w:ascii="??_GB2312" w:eastAsia="Times New Roman"/>
          <w:color w:val="000000"/>
          <w:sz w:val="30"/>
          <w:szCs w:val="30"/>
        </w:rPr>
        <w:t>）：</w:t>
      </w:r>
      <w:r>
        <w:rPr>
          <w:rFonts w:ascii="??_GB2312" w:eastAsia="Times New Roman"/>
          <w:color w:val="000000"/>
          <w:sz w:val="30"/>
          <w:szCs w:val="30"/>
        </w:rPr>
        <w:t>支出决算为</w:t>
      </w:r>
      <w:r>
        <w:rPr>
          <w:rFonts w:hint="eastAsia" w:ascii="??_GB2312" w:cs="??_GB2312"/>
          <w:color w:val="000000"/>
          <w:sz w:val="30"/>
          <w:szCs w:val="30"/>
          <w:lang w:val="en-US" w:eastAsia="zh-CN"/>
        </w:rPr>
        <w:t>1675.53</w:t>
      </w:r>
      <w:r>
        <w:rPr>
          <w:rFonts w:ascii="??_GB2312" w:eastAsia="Times New Roman"/>
          <w:color w:val="000000"/>
          <w:sz w:val="30"/>
          <w:szCs w:val="30"/>
        </w:rPr>
        <w:t>万元，完成预算</w:t>
      </w:r>
      <w:r>
        <w:rPr>
          <w:rFonts w:ascii="??_GB2312" w:cs="??_GB2312"/>
          <w:sz w:val="30"/>
          <w:szCs w:val="30"/>
        </w:rPr>
        <w:t>10</w:t>
      </w:r>
      <w:r>
        <w:rPr>
          <w:rFonts w:hint="eastAsia" w:ascii="??_GB2312" w:cs="??_GB2312"/>
          <w:sz w:val="30"/>
          <w:szCs w:val="30"/>
          <w:lang w:val="en-US" w:eastAsia="zh-CN"/>
        </w:rPr>
        <w:t>0</w:t>
      </w:r>
      <w:r>
        <w:rPr>
          <w:rFonts w:ascii="??_GB2312" w:eastAsia="Times New Roman" w:cs="??_GB2312"/>
          <w:sz w:val="30"/>
          <w:szCs w:val="30"/>
        </w:rPr>
        <w:t>%</w:t>
      </w:r>
      <w:r>
        <w:rPr>
          <w:rFonts w:ascii="??_GB2312" w:eastAsia="Times New Roman"/>
          <w:color w:val="000000"/>
          <w:sz w:val="30"/>
          <w:szCs w:val="30"/>
        </w:rPr>
        <w:t>。</w:t>
      </w:r>
    </w:p>
    <w:p w14:paraId="5FFAE501">
      <w:pPr>
        <w:spacing w:line="600" w:lineRule="exact"/>
        <w:ind w:firstLine="602" w:firstLineChars="200"/>
        <w:rPr>
          <w:rFonts w:ascii="??_GB2312" w:eastAsia="Times New Roman"/>
          <w:color w:val="000000"/>
          <w:sz w:val="30"/>
          <w:szCs w:val="30"/>
        </w:rPr>
      </w:pPr>
      <w:r>
        <w:rPr>
          <w:rStyle w:val="26"/>
          <w:rFonts w:hint="eastAsia" w:ascii="??_GB2312" w:eastAsia="宋体" w:cs="??_GB2312"/>
          <w:color w:val="000000"/>
          <w:sz w:val="30"/>
          <w:szCs w:val="30"/>
          <w:lang w:val="en-US" w:eastAsia="zh-CN"/>
        </w:rPr>
        <w:t>1</w:t>
      </w:r>
      <w:r>
        <w:rPr>
          <w:rStyle w:val="26"/>
          <w:rFonts w:hint="eastAsia" w:ascii="??_GB2312" w:cs="??_GB2312"/>
          <w:color w:val="000000"/>
          <w:sz w:val="30"/>
          <w:szCs w:val="30"/>
          <w:lang w:val="en-US" w:eastAsia="zh-CN"/>
        </w:rPr>
        <w:t>8</w:t>
      </w:r>
      <w:r>
        <w:rPr>
          <w:rStyle w:val="26"/>
          <w:rFonts w:ascii="??_GB2312" w:eastAsia="Times New Roman" w:cs="??_GB2312"/>
          <w:color w:val="000000"/>
          <w:sz w:val="30"/>
          <w:szCs w:val="30"/>
        </w:rPr>
        <w:t xml:space="preserve">. </w:t>
      </w:r>
      <w:r>
        <w:rPr>
          <w:rStyle w:val="26"/>
          <w:rFonts w:hint="eastAsia" w:ascii="??_GB2312" w:cs="??_GB2312"/>
          <w:color w:val="000000"/>
          <w:sz w:val="30"/>
          <w:szCs w:val="30"/>
          <w:lang w:eastAsia="zh-CN"/>
        </w:rPr>
        <w:t>一般公共服务支出</w:t>
      </w:r>
      <w:r>
        <w:rPr>
          <w:rStyle w:val="26"/>
          <w:rFonts w:ascii="??_GB2312" w:eastAsia="Times New Roman"/>
          <w:color w:val="000000"/>
          <w:sz w:val="30"/>
          <w:szCs w:val="30"/>
        </w:rPr>
        <w:t>（</w:t>
      </w:r>
      <w:r>
        <w:rPr>
          <w:rStyle w:val="26"/>
          <w:rFonts w:hint="eastAsia" w:ascii="??_GB2312" w:cs="??_GB2312"/>
          <w:color w:val="000000"/>
          <w:sz w:val="30"/>
          <w:szCs w:val="30"/>
          <w:lang w:val="en-US" w:eastAsia="zh-CN"/>
        </w:rPr>
        <w:t>201</w:t>
      </w:r>
      <w:r>
        <w:rPr>
          <w:rStyle w:val="26"/>
          <w:rFonts w:ascii="??_GB2312" w:eastAsia="Times New Roman"/>
          <w:color w:val="000000"/>
          <w:sz w:val="30"/>
          <w:szCs w:val="30"/>
        </w:rPr>
        <w:t>）</w:t>
      </w:r>
      <w:r>
        <w:rPr>
          <w:rStyle w:val="26"/>
          <w:rFonts w:hint="eastAsia" w:ascii="??_GB2312"/>
          <w:color w:val="000000"/>
          <w:sz w:val="30"/>
          <w:szCs w:val="30"/>
          <w:lang w:eastAsia="zh-CN"/>
        </w:rPr>
        <w:t>市场监督管理事务</w:t>
      </w:r>
      <w:r>
        <w:rPr>
          <w:rStyle w:val="26"/>
          <w:rFonts w:ascii="??_GB2312" w:eastAsia="Times New Roman"/>
          <w:color w:val="000000"/>
          <w:sz w:val="30"/>
          <w:szCs w:val="30"/>
        </w:rPr>
        <w:t>（</w:t>
      </w:r>
      <w:r>
        <w:rPr>
          <w:rStyle w:val="26"/>
          <w:rFonts w:hint="eastAsia" w:ascii="??_GB2312" w:cs="??_GB2312"/>
          <w:color w:val="000000"/>
          <w:sz w:val="30"/>
          <w:szCs w:val="30"/>
          <w:lang w:val="en-US" w:eastAsia="zh-CN"/>
        </w:rPr>
        <w:t>38</w:t>
      </w:r>
      <w:r>
        <w:rPr>
          <w:rStyle w:val="26"/>
          <w:rFonts w:ascii="??_GB2312" w:eastAsia="Times New Roman"/>
          <w:color w:val="000000"/>
          <w:sz w:val="30"/>
          <w:szCs w:val="30"/>
        </w:rPr>
        <w:t>）</w:t>
      </w:r>
      <w:r>
        <w:rPr>
          <w:rStyle w:val="26"/>
          <w:rFonts w:hint="eastAsia" w:ascii="??_GB2312"/>
          <w:color w:val="000000"/>
          <w:sz w:val="30"/>
          <w:szCs w:val="30"/>
          <w:lang w:eastAsia="zh-CN"/>
        </w:rPr>
        <w:t>其他市场监督管理事务</w:t>
      </w:r>
      <w:r>
        <w:rPr>
          <w:rStyle w:val="26"/>
          <w:rFonts w:ascii="??_GB2312" w:eastAsia="Times New Roman"/>
          <w:color w:val="000000"/>
          <w:sz w:val="30"/>
          <w:szCs w:val="30"/>
        </w:rPr>
        <w:t>（</w:t>
      </w:r>
      <w:r>
        <w:rPr>
          <w:rStyle w:val="26"/>
          <w:rFonts w:hint="eastAsia" w:ascii="??_GB2312" w:cs="??_GB2312"/>
          <w:color w:val="000000"/>
          <w:sz w:val="30"/>
          <w:szCs w:val="30"/>
          <w:lang w:val="en-US" w:eastAsia="zh-CN"/>
        </w:rPr>
        <w:t>99</w:t>
      </w:r>
      <w:r>
        <w:rPr>
          <w:rStyle w:val="26"/>
          <w:rFonts w:ascii="??_GB2312" w:eastAsia="Times New Roman"/>
          <w:color w:val="000000"/>
          <w:sz w:val="30"/>
          <w:szCs w:val="30"/>
        </w:rPr>
        <w:t>）：</w:t>
      </w:r>
      <w:r>
        <w:rPr>
          <w:rFonts w:ascii="??_GB2312" w:eastAsia="Times New Roman"/>
          <w:color w:val="000000"/>
          <w:sz w:val="30"/>
          <w:szCs w:val="30"/>
        </w:rPr>
        <w:t>支出决算为</w:t>
      </w:r>
      <w:r>
        <w:rPr>
          <w:rFonts w:hint="eastAsia" w:ascii="??_GB2312" w:cs="??_GB2312"/>
          <w:color w:val="000000"/>
          <w:sz w:val="30"/>
          <w:szCs w:val="30"/>
          <w:lang w:val="en-US" w:eastAsia="zh-CN"/>
        </w:rPr>
        <w:t>260.47</w:t>
      </w:r>
      <w:r>
        <w:rPr>
          <w:rFonts w:ascii="??_GB2312" w:eastAsia="Times New Roman"/>
          <w:color w:val="000000"/>
          <w:sz w:val="30"/>
          <w:szCs w:val="30"/>
        </w:rPr>
        <w:t>万元，完成预算</w:t>
      </w:r>
      <w:r>
        <w:rPr>
          <w:rFonts w:ascii="??_GB2312" w:cs="??_GB2312"/>
          <w:sz w:val="30"/>
          <w:szCs w:val="30"/>
        </w:rPr>
        <w:t>10</w:t>
      </w:r>
      <w:r>
        <w:rPr>
          <w:rFonts w:hint="eastAsia" w:ascii="??_GB2312" w:cs="??_GB2312"/>
          <w:sz w:val="30"/>
          <w:szCs w:val="30"/>
          <w:lang w:val="en-US" w:eastAsia="zh-CN"/>
        </w:rPr>
        <w:t>0</w:t>
      </w:r>
      <w:r>
        <w:rPr>
          <w:rFonts w:ascii="??_GB2312" w:eastAsia="Times New Roman" w:cs="??_GB2312"/>
          <w:sz w:val="30"/>
          <w:szCs w:val="30"/>
        </w:rPr>
        <w:t>%</w:t>
      </w:r>
      <w:r>
        <w:rPr>
          <w:rFonts w:ascii="??_GB2312" w:eastAsia="Times New Roman"/>
          <w:color w:val="000000"/>
          <w:sz w:val="30"/>
          <w:szCs w:val="30"/>
        </w:rPr>
        <w:t>。</w:t>
      </w:r>
    </w:p>
    <w:p w14:paraId="20FE221E">
      <w:pPr>
        <w:spacing w:line="600" w:lineRule="exact"/>
        <w:rPr>
          <w:rFonts w:ascii="??_GB2312" w:eastAsia="Times New Roman"/>
          <w:color w:val="000000"/>
          <w:sz w:val="30"/>
          <w:szCs w:val="30"/>
        </w:rPr>
      </w:pPr>
      <w:r>
        <w:rPr>
          <w:rStyle w:val="26"/>
          <w:rFonts w:hint="eastAsia" w:ascii="??_GB2312" w:eastAsia="宋体" w:cs="??_GB2312"/>
          <w:color w:val="000000"/>
          <w:sz w:val="30"/>
          <w:szCs w:val="30"/>
          <w:lang w:val="en-US" w:eastAsia="zh-CN"/>
        </w:rPr>
        <w:t>1</w:t>
      </w:r>
      <w:r>
        <w:rPr>
          <w:rStyle w:val="26"/>
          <w:rFonts w:hint="eastAsia" w:ascii="??_GB2312" w:cs="??_GB2312"/>
          <w:color w:val="000000"/>
          <w:sz w:val="30"/>
          <w:szCs w:val="30"/>
          <w:lang w:val="en-US" w:eastAsia="zh-CN"/>
        </w:rPr>
        <w:t>9</w:t>
      </w:r>
      <w:r>
        <w:rPr>
          <w:rStyle w:val="26"/>
          <w:rFonts w:ascii="??_GB2312" w:eastAsia="Times New Roman" w:cs="??_GB2312"/>
          <w:color w:val="000000"/>
          <w:sz w:val="30"/>
          <w:szCs w:val="30"/>
        </w:rPr>
        <w:t xml:space="preserve">. </w:t>
      </w:r>
      <w:r>
        <w:rPr>
          <w:rStyle w:val="26"/>
          <w:rFonts w:ascii="??_GB2312" w:eastAsia="Times New Roman"/>
          <w:color w:val="000000"/>
          <w:sz w:val="30"/>
          <w:szCs w:val="30"/>
        </w:rPr>
        <w:t>住房保障支出（</w:t>
      </w:r>
      <w:r>
        <w:rPr>
          <w:rStyle w:val="26"/>
          <w:rFonts w:ascii="??_GB2312" w:eastAsia="Times New Roman" w:cs="??_GB2312"/>
          <w:color w:val="000000"/>
          <w:sz w:val="30"/>
          <w:szCs w:val="30"/>
        </w:rPr>
        <w:t>221</w:t>
      </w:r>
      <w:r>
        <w:rPr>
          <w:rStyle w:val="26"/>
          <w:rFonts w:ascii="??_GB2312" w:eastAsia="Times New Roman"/>
          <w:color w:val="000000"/>
          <w:sz w:val="30"/>
          <w:szCs w:val="30"/>
        </w:rPr>
        <w:t>）住房改革支出（</w:t>
      </w:r>
      <w:r>
        <w:rPr>
          <w:rStyle w:val="26"/>
          <w:rFonts w:ascii="??_GB2312" w:eastAsia="Times New Roman" w:cs="??_GB2312"/>
          <w:color w:val="000000"/>
          <w:sz w:val="30"/>
          <w:szCs w:val="30"/>
        </w:rPr>
        <w:t>02</w:t>
      </w:r>
      <w:r>
        <w:rPr>
          <w:rStyle w:val="26"/>
          <w:rFonts w:ascii="??_GB2312" w:eastAsia="Times New Roman"/>
          <w:color w:val="000000"/>
          <w:sz w:val="30"/>
          <w:szCs w:val="30"/>
        </w:rPr>
        <w:t>）住房公积金（</w:t>
      </w:r>
      <w:r>
        <w:rPr>
          <w:rStyle w:val="26"/>
          <w:rFonts w:ascii="??_GB2312" w:eastAsia="Times New Roman" w:cs="??_GB2312"/>
          <w:color w:val="000000"/>
          <w:sz w:val="30"/>
          <w:szCs w:val="30"/>
        </w:rPr>
        <w:t>01</w:t>
      </w:r>
      <w:r>
        <w:rPr>
          <w:rStyle w:val="26"/>
          <w:rFonts w:ascii="??_GB2312" w:eastAsia="Times New Roman"/>
          <w:color w:val="000000"/>
          <w:sz w:val="30"/>
          <w:szCs w:val="30"/>
        </w:rPr>
        <w:t>）</w:t>
      </w:r>
      <w:r>
        <w:rPr>
          <w:rStyle w:val="26"/>
          <w:rFonts w:hint="eastAsia" w:ascii="??_GB2312" w:eastAsia="宋体"/>
          <w:color w:val="000000"/>
          <w:sz w:val="30"/>
          <w:szCs w:val="30"/>
          <w:lang w:eastAsia="zh-CN"/>
        </w:rPr>
        <w:t>：</w:t>
      </w:r>
      <w:r>
        <w:rPr>
          <w:rFonts w:ascii="??_GB2312" w:eastAsia="Times New Roman"/>
          <w:color w:val="000000"/>
          <w:sz w:val="30"/>
          <w:szCs w:val="30"/>
        </w:rPr>
        <w:t>支出决算为</w:t>
      </w:r>
      <w:r>
        <w:rPr>
          <w:rFonts w:hint="eastAsia" w:ascii="??_GB2312" w:cs="??_GB2312"/>
          <w:color w:val="000000"/>
          <w:sz w:val="30"/>
          <w:szCs w:val="30"/>
          <w:lang w:val="en-US" w:eastAsia="zh-CN"/>
        </w:rPr>
        <w:t>337.95</w:t>
      </w:r>
      <w:r>
        <w:rPr>
          <w:rFonts w:ascii="??_GB2312" w:eastAsia="Times New Roman"/>
          <w:color w:val="000000"/>
          <w:sz w:val="30"/>
          <w:szCs w:val="30"/>
        </w:rPr>
        <w:t>万元，完成</w:t>
      </w:r>
      <w:r>
        <w:rPr>
          <w:rFonts w:ascii="??_GB2312" w:eastAsia="Times New Roman"/>
          <w:sz w:val="30"/>
          <w:szCs w:val="30"/>
        </w:rPr>
        <w:t>预算</w:t>
      </w:r>
      <w:r>
        <w:rPr>
          <w:rFonts w:ascii="??_GB2312" w:eastAsia="Times New Roman" w:cs="??_GB2312"/>
          <w:sz w:val="30"/>
          <w:szCs w:val="30"/>
        </w:rPr>
        <w:t>100%</w:t>
      </w:r>
      <w:r>
        <w:rPr>
          <w:rFonts w:ascii="??_GB2312" w:eastAsia="Times New Roman"/>
          <w:color w:val="000000"/>
          <w:sz w:val="30"/>
          <w:szCs w:val="30"/>
        </w:rPr>
        <w:t>。</w:t>
      </w:r>
    </w:p>
    <w:p w14:paraId="35B960FA">
      <w:pPr>
        <w:spacing w:line="600" w:lineRule="exact"/>
        <w:ind w:firstLine="602" w:firstLineChars="200"/>
        <w:rPr>
          <w:rFonts w:ascii="??_GB2312" w:eastAsia="Times New Roman"/>
          <w:color w:val="000000"/>
          <w:sz w:val="30"/>
          <w:szCs w:val="30"/>
        </w:rPr>
      </w:pPr>
      <w:r>
        <w:rPr>
          <w:rStyle w:val="26"/>
          <w:rFonts w:hint="eastAsia" w:ascii="??_GB2312" w:cs="??_GB2312"/>
          <w:color w:val="000000"/>
          <w:sz w:val="30"/>
          <w:szCs w:val="30"/>
          <w:lang w:val="en-US" w:eastAsia="zh-CN"/>
        </w:rPr>
        <w:t>20</w:t>
      </w:r>
      <w:r>
        <w:rPr>
          <w:rStyle w:val="26"/>
          <w:rFonts w:ascii="??_GB2312" w:eastAsia="Times New Roman" w:cs="??_GB2312"/>
          <w:color w:val="000000"/>
          <w:sz w:val="30"/>
          <w:szCs w:val="30"/>
        </w:rPr>
        <w:t xml:space="preserve">. </w:t>
      </w:r>
      <w:r>
        <w:rPr>
          <w:rStyle w:val="26"/>
          <w:rFonts w:ascii="??_GB2312" w:eastAsia="Times New Roman"/>
          <w:color w:val="000000"/>
          <w:sz w:val="30"/>
          <w:szCs w:val="30"/>
        </w:rPr>
        <w:t>住房保障支出（</w:t>
      </w:r>
      <w:r>
        <w:rPr>
          <w:rStyle w:val="26"/>
          <w:rFonts w:ascii="??_GB2312" w:eastAsia="Times New Roman" w:cs="??_GB2312"/>
          <w:color w:val="000000"/>
          <w:sz w:val="30"/>
          <w:szCs w:val="30"/>
        </w:rPr>
        <w:t>221</w:t>
      </w:r>
      <w:r>
        <w:rPr>
          <w:rStyle w:val="26"/>
          <w:rFonts w:ascii="??_GB2312" w:eastAsia="Times New Roman"/>
          <w:color w:val="000000"/>
          <w:sz w:val="30"/>
          <w:szCs w:val="30"/>
        </w:rPr>
        <w:t>）住房改革支出（</w:t>
      </w:r>
      <w:r>
        <w:rPr>
          <w:rStyle w:val="26"/>
          <w:rFonts w:ascii="??_GB2312" w:eastAsia="Times New Roman" w:cs="??_GB2312"/>
          <w:color w:val="000000"/>
          <w:sz w:val="30"/>
          <w:szCs w:val="30"/>
        </w:rPr>
        <w:t>02</w:t>
      </w:r>
      <w:r>
        <w:rPr>
          <w:rStyle w:val="26"/>
          <w:rFonts w:ascii="??_GB2312" w:eastAsia="Times New Roman"/>
          <w:color w:val="000000"/>
          <w:sz w:val="30"/>
          <w:szCs w:val="30"/>
        </w:rPr>
        <w:t>）</w:t>
      </w:r>
      <w:r>
        <w:rPr>
          <w:rStyle w:val="26"/>
          <w:rFonts w:hint="eastAsia" w:ascii="??_GB2312"/>
          <w:color w:val="000000"/>
          <w:sz w:val="30"/>
          <w:szCs w:val="30"/>
          <w:lang w:eastAsia="zh-CN"/>
        </w:rPr>
        <w:t>购房补贴</w:t>
      </w:r>
      <w:r>
        <w:rPr>
          <w:rStyle w:val="26"/>
          <w:rFonts w:ascii="??_GB2312" w:eastAsia="Times New Roman"/>
          <w:color w:val="000000"/>
          <w:sz w:val="30"/>
          <w:szCs w:val="30"/>
        </w:rPr>
        <w:t>（</w:t>
      </w:r>
      <w:r>
        <w:rPr>
          <w:rStyle w:val="26"/>
          <w:rFonts w:ascii="??_GB2312" w:eastAsia="Times New Roman" w:cs="??_GB2312"/>
          <w:color w:val="000000"/>
          <w:sz w:val="30"/>
          <w:szCs w:val="30"/>
        </w:rPr>
        <w:t>0</w:t>
      </w:r>
      <w:r>
        <w:rPr>
          <w:rStyle w:val="26"/>
          <w:rFonts w:hint="eastAsia" w:ascii="??_GB2312" w:cs="??_GB2312"/>
          <w:color w:val="000000"/>
          <w:sz w:val="30"/>
          <w:szCs w:val="30"/>
          <w:lang w:val="en-US" w:eastAsia="zh-CN"/>
        </w:rPr>
        <w:t>3</w:t>
      </w:r>
      <w:r>
        <w:rPr>
          <w:rStyle w:val="26"/>
          <w:rFonts w:ascii="??_GB2312" w:eastAsia="Times New Roman"/>
          <w:color w:val="000000"/>
          <w:sz w:val="30"/>
          <w:szCs w:val="30"/>
        </w:rPr>
        <w:t>）</w:t>
      </w:r>
      <w:r>
        <w:rPr>
          <w:rStyle w:val="26"/>
          <w:rFonts w:hint="eastAsia" w:ascii="??_GB2312" w:eastAsia="宋体"/>
          <w:color w:val="000000"/>
          <w:sz w:val="30"/>
          <w:szCs w:val="30"/>
          <w:lang w:eastAsia="zh-CN"/>
        </w:rPr>
        <w:t>：</w:t>
      </w:r>
      <w:r>
        <w:rPr>
          <w:rFonts w:ascii="??_GB2312" w:eastAsia="Times New Roman"/>
          <w:color w:val="000000"/>
          <w:sz w:val="30"/>
          <w:szCs w:val="30"/>
        </w:rPr>
        <w:t>支出决算为</w:t>
      </w:r>
      <w:r>
        <w:rPr>
          <w:rFonts w:hint="eastAsia" w:ascii="??_GB2312" w:cs="??_GB2312"/>
          <w:color w:val="000000"/>
          <w:sz w:val="30"/>
          <w:szCs w:val="30"/>
          <w:lang w:val="en-US" w:eastAsia="zh-CN"/>
        </w:rPr>
        <w:t>9</w:t>
      </w:r>
      <w:r>
        <w:rPr>
          <w:rFonts w:ascii="??_GB2312" w:eastAsia="Times New Roman"/>
          <w:color w:val="000000"/>
          <w:sz w:val="30"/>
          <w:szCs w:val="30"/>
        </w:rPr>
        <w:t>万元，完成</w:t>
      </w:r>
      <w:r>
        <w:rPr>
          <w:rFonts w:ascii="??_GB2312" w:eastAsia="Times New Roman"/>
          <w:sz w:val="30"/>
          <w:szCs w:val="30"/>
        </w:rPr>
        <w:t>预算</w:t>
      </w:r>
      <w:r>
        <w:rPr>
          <w:rFonts w:ascii="??_GB2312" w:eastAsia="Times New Roman" w:cs="??_GB2312"/>
          <w:sz w:val="30"/>
          <w:szCs w:val="30"/>
        </w:rPr>
        <w:t>100%</w:t>
      </w:r>
      <w:r>
        <w:rPr>
          <w:rFonts w:ascii="??_GB2312" w:eastAsia="Times New Roman"/>
          <w:color w:val="000000"/>
          <w:sz w:val="30"/>
          <w:szCs w:val="30"/>
        </w:rPr>
        <w:t>。</w:t>
      </w:r>
    </w:p>
    <w:p w14:paraId="25EEB789">
      <w:pPr>
        <w:spacing w:line="600" w:lineRule="exact"/>
        <w:ind w:firstLine="602" w:firstLineChars="200"/>
        <w:rPr>
          <w:rFonts w:hint="eastAsia" w:ascii="??_GB2312" w:eastAsia="宋体"/>
          <w:color w:val="000000"/>
          <w:sz w:val="30"/>
          <w:szCs w:val="30"/>
          <w:lang w:eastAsia="zh-CN"/>
        </w:rPr>
      </w:pPr>
      <w:r>
        <w:rPr>
          <w:rStyle w:val="26"/>
          <w:rFonts w:hint="eastAsia" w:ascii="??_GB2312" w:cs="??_GB2312"/>
          <w:color w:val="000000"/>
          <w:sz w:val="30"/>
          <w:szCs w:val="30"/>
          <w:lang w:val="en-US" w:eastAsia="zh-CN"/>
        </w:rPr>
        <w:t>22</w:t>
      </w:r>
      <w:r>
        <w:rPr>
          <w:rStyle w:val="26"/>
          <w:rFonts w:ascii="??_GB2312" w:eastAsia="Times New Roman" w:cs="??_GB2312"/>
          <w:color w:val="000000"/>
          <w:sz w:val="30"/>
          <w:szCs w:val="30"/>
        </w:rPr>
        <w:t xml:space="preserve">. </w:t>
      </w:r>
      <w:r>
        <w:rPr>
          <w:rStyle w:val="26"/>
          <w:rFonts w:hint="eastAsia" w:ascii="??_GB2312" w:cs="??_GB2312"/>
          <w:color w:val="000000"/>
          <w:sz w:val="30"/>
          <w:szCs w:val="30"/>
          <w:lang w:eastAsia="zh-CN"/>
        </w:rPr>
        <w:t>科学技术支出</w:t>
      </w:r>
      <w:r>
        <w:rPr>
          <w:rStyle w:val="26"/>
          <w:rFonts w:ascii="??_GB2312" w:eastAsia="Times New Roman"/>
          <w:color w:val="000000"/>
          <w:sz w:val="30"/>
          <w:szCs w:val="30"/>
        </w:rPr>
        <w:t>（</w:t>
      </w:r>
      <w:r>
        <w:rPr>
          <w:rStyle w:val="26"/>
          <w:rFonts w:hint="eastAsia" w:ascii="??_GB2312" w:cs="??_GB2312"/>
          <w:color w:val="000000"/>
          <w:sz w:val="30"/>
          <w:szCs w:val="30"/>
          <w:lang w:val="en-US" w:eastAsia="zh-CN"/>
        </w:rPr>
        <w:t>206</w:t>
      </w:r>
      <w:r>
        <w:rPr>
          <w:rStyle w:val="26"/>
          <w:rFonts w:ascii="??_GB2312" w:eastAsia="Times New Roman"/>
          <w:color w:val="000000"/>
          <w:sz w:val="30"/>
          <w:szCs w:val="30"/>
        </w:rPr>
        <w:t>）</w:t>
      </w:r>
      <w:r>
        <w:rPr>
          <w:rStyle w:val="26"/>
          <w:rFonts w:hint="eastAsia" w:ascii="??_GB2312"/>
          <w:color w:val="000000"/>
          <w:sz w:val="30"/>
          <w:szCs w:val="30"/>
          <w:lang w:eastAsia="zh-CN"/>
        </w:rPr>
        <w:t>技术研究与开发</w:t>
      </w:r>
      <w:r>
        <w:rPr>
          <w:rStyle w:val="26"/>
          <w:rFonts w:ascii="??_GB2312" w:eastAsia="Times New Roman"/>
          <w:color w:val="000000"/>
          <w:sz w:val="30"/>
          <w:szCs w:val="30"/>
        </w:rPr>
        <w:t>（</w:t>
      </w:r>
      <w:r>
        <w:rPr>
          <w:rStyle w:val="26"/>
          <w:rFonts w:hint="eastAsia" w:ascii="??_GB2312" w:cs="??_GB2312"/>
          <w:color w:val="000000"/>
          <w:sz w:val="30"/>
          <w:szCs w:val="30"/>
          <w:lang w:val="en-US" w:eastAsia="zh-CN"/>
        </w:rPr>
        <w:t>04</w:t>
      </w:r>
      <w:r>
        <w:rPr>
          <w:rStyle w:val="26"/>
          <w:rFonts w:ascii="??_GB2312" w:eastAsia="Times New Roman"/>
          <w:color w:val="000000"/>
          <w:sz w:val="30"/>
          <w:szCs w:val="30"/>
        </w:rPr>
        <w:t>）</w:t>
      </w:r>
      <w:r>
        <w:rPr>
          <w:rStyle w:val="26"/>
          <w:rFonts w:hint="eastAsia" w:ascii="??_GB2312"/>
          <w:color w:val="000000"/>
          <w:sz w:val="30"/>
          <w:szCs w:val="30"/>
          <w:lang w:eastAsia="zh-CN"/>
        </w:rPr>
        <w:t>其他技术研究与开发支出</w:t>
      </w:r>
      <w:r>
        <w:rPr>
          <w:rStyle w:val="26"/>
          <w:rFonts w:ascii="??_GB2312" w:eastAsia="Times New Roman"/>
          <w:color w:val="000000"/>
          <w:sz w:val="30"/>
          <w:szCs w:val="30"/>
        </w:rPr>
        <w:t>（</w:t>
      </w:r>
      <w:r>
        <w:rPr>
          <w:rStyle w:val="26"/>
          <w:rFonts w:hint="eastAsia" w:ascii="??_GB2312" w:cs="??_GB2312"/>
          <w:color w:val="000000"/>
          <w:sz w:val="30"/>
          <w:szCs w:val="30"/>
          <w:lang w:val="en-US" w:eastAsia="zh-CN"/>
        </w:rPr>
        <w:t>99</w:t>
      </w:r>
      <w:r>
        <w:rPr>
          <w:rStyle w:val="26"/>
          <w:rFonts w:ascii="??_GB2312" w:eastAsia="Times New Roman"/>
          <w:color w:val="000000"/>
          <w:sz w:val="30"/>
          <w:szCs w:val="30"/>
        </w:rPr>
        <w:t>）</w:t>
      </w:r>
      <w:r>
        <w:rPr>
          <w:rStyle w:val="26"/>
          <w:rFonts w:hint="eastAsia" w:ascii="??_GB2312" w:eastAsia="宋体"/>
          <w:color w:val="000000"/>
          <w:sz w:val="30"/>
          <w:szCs w:val="30"/>
          <w:lang w:eastAsia="zh-CN"/>
        </w:rPr>
        <w:t>：</w:t>
      </w:r>
      <w:r>
        <w:rPr>
          <w:rFonts w:ascii="??_GB2312" w:eastAsia="Times New Roman"/>
          <w:color w:val="000000"/>
          <w:sz w:val="30"/>
          <w:szCs w:val="30"/>
        </w:rPr>
        <w:t>支出决算为</w:t>
      </w:r>
      <w:r>
        <w:rPr>
          <w:rFonts w:hint="eastAsia" w:ascii="??_GB2312" w:cs="??_GB2312"/>
          <w:color w:val="000000"/>
          <w:sz w:val="30"/>
          <w:szCs w:val="30"/>
          <w:lang w:val="en-US" w:eastAsia="zh-CN"/>
        </w:rPr>
        <w:t>7.6</w:t>
      </w:r>
      <w:r>
        <w:rPr>
          <w:rFonts w:ascii="??_GB2312" w:eastAsia="Times New Roman"/>
          <w:color w:val="000000"/>
          <w:sz w:val="30"/>
          <w:szCs w:val="30"/>
        </w:rPr>
        <w:t>万元，完成</w:t>
      </w:r>
      <w:r>
        <w:rPr>
          <w:rFonts w:ascii="??_GB2312" w:eastAsia="Times New Roman"/>
          <w:sz w:val="30"/>
          <w:szCs w:val="30"/>
        </w:rPr>
        <w:t>预算</w:t>
      </w:r>
      <w:r>
        <w:rPr>
          <w:rFonts w:ascii="??_GB2312" w:eastAsia="Times New Roman" w:cs="??_GB2312"/>
          <w:sz w:val="30"/>
          <w:szCs w:val="30"/>
        </w:rPr>
        <w:t>100%</w:t>
      </w:r>
      <w:r>
        <w:rPr>
          <w:rFonts w:hint="eastAsia" w:ascii="??_GB2312" w:eastAsia="宋体" w:cs="??_GB2312"/>
          <w:sz w:val="30"/>
          <w:szCs w:val="30"/>
          <w:lang w:eastAsia="zh-CN"/>
        </w:rPr>
        <w:t>。</w:t>
      </w:r>
    </w:p>
    <w:p w14:paraId="18E51BF2">
      <w:pPr>
        <w:spacing w:line="600" w:lineRule="exact"/>
        <w:ind w:firstLine="602" w:firstLineChars="200"/>
      </w:pPr>
      <w:r>
        <w:rPr>
          <w:rStyle w:val="26"/>
          <w:rFonts w:hint="eastAsia" w:ascii="??_GB2312" w:cs="??_GB2312"/>
          <w:color w:val="000000"/>
          <w:sz w:val="30"/>
          <w:szCs w:val="30"/>
          <w:lang w:val="en-US" w:eastAsia="zh-CN"/>
        </w:rPr>
        <w:t>23</w:t>
      </w:r>
      <w:r>
        <w:rPr>
          <w:rStyle w:val="26"/>
          <w:rFonts w:ascii="??_GB2312" w:eastAsia="Times New Roman" w:cs="??_GB2312"/>
          <w:color w:val="000000"/>
          <w:sz w:val="30"/>
          <w:szCs w:val="30"/>
        </w:rPr>
        <w:t xml:space="preserve">. </w:t>
      </w:r>
      <w:r>
        <w:rPr>
          <w:rStyle w:val="26"/>
          <w:rFonts w:hint="eastAsia" w:ascii="??_GB2312" w:cs="??_GB2312"/>
          <w:color w:val="000000"/>
          <w:sz w:val="30"/>
          <w:szCs w:val="30"/>
          <w:lang w:eastAsia="zh-CN"/>
        </w:rPr>
        <w:t>科学技术支出</w:t>
      </w:r>
      <w:r>
        <w:rPr>
          <w:rStyle w:val="26"/>
          <w:rFonts w:ascii="??_GB2312" w:eastAsia="Times New Roman"/>
          <w:color w:val="000000"/>
          <w:sz w:val="30"/>
          <w:szCs w:val="30"/>
        </w:rPr>
        <w:t>（</w:t>
      </w:r>
      <w:r>
        <w:rPr>
          <w:rStyle w:val="26"/>
          <w:rFonts w:hint="eastAsia" w:ascii="??_GB2312" w:cs="??_GB2312"/>
          <w:color w:val="000000"/>
          <w:sz w:val="30"/>
          <w:szCs w:val="30"/>
          <w:lang w:val="en-US" w:eastAsia="zh-CN"/>
        </w:rPr>
        <w:t>206</w:t>
      </w:r>
      <w:r>
        <w:rPr>
          <w:rStyle w:val="26"/>
          <w:rFonts w:ascii="??_GB2312" w:eastAsia="Times New Roman"/>
          <w:color w:val="000000"/>
          <w:sz w:val="30"/>
          <w:szCs w:val="30"/>
        </w:rPr>
        <w:t>）</w:t>
      </w:r>
      <w:r>
        <w:rPr>
          <w:rStyle w:val="26"/>
          <w:rFonts w:hint="eastAsia" w:ascii="??_GB2312"/>
          <w:color w:val="000000"/>
          <w:sz w:val="30"/>
          <w:szCs w:val="30"/>
          <w:lang w:eastAsia="zh-CN"/>
        </w:rPr>
        <w:t>其他科学技术支出</w:t>
      </w:r>
      <w:r>
        <w:rPr>
          <w:rStyle w:val="26"/>
          <w:rFonts w:ascii="??_GB2312" w:eastAsia="Times New Roman"/>
          <w:color w:val="000000"/>
          <w:sz w:val="30"/>
          <w:szCs w:val="30"/>
        </w:rPr>
        <w:t>（</w:t>
      </w:r>
      <w:r>
        <w:rPr>
          <w:rStyle w:val="26"/>
          <w:rFonts w:hint="eastAsia" w:ascii="??_GB2312" w:cs="??_GB2312"/>
          <w:color w:val="000000"/>
          <w:sz w:val="30"/>
          <w:szCs w:val="30"/>
          <w:lang w:val="en-US" w:eastAsia="zh-CN"/>
        </w:rPr>
        <w:t>99</w:t>
      </w:r>
      <w:r>
        <w:rPr>
          <w:rStyle w:val="26"/>
          <w:rFonts w:ascii="??_GB2312" w:eastAsia="Times New Roman"/>
          <w:color w:val="000000"/>
          <w:sz w:val="30"/>
          <w:szCs w:val="30"/>
        </w:rPr>
        <w:t>）</w:t>
      </w:r>
      <w:r>
        <w:rPr>
          <w:rStyle w:val="26"/>
          <w:rFonts w:hint="eastAsia" w:ascii="??_GB2312"/>
          <w:color w:val="000000"/>
          <w:sz w:val="30"/>
          <w:szCs w:val="30"/>
          <w:lang w:eastAsia="zh-CN"/>
        </w:rPr>
        <w:t>其他科学技术支出</w:t>
      </w:r>
      <w:r>
        <w:rPr>
          <w:rStyle w:val="26"/>
          <w:rFonts w:ascii="??_GB2312" w:eastAsia="Times New Roman"/>
          <w:color w:val="000000"/>
          <w:sz w:val="30"/>
          <w:szCs w:val="30"/>
        </w:rPr>
        <w:t>（</w:t>
      </w:r>
      <w:r>
        <w:rPr>
          <w:rStyle w:val="26"/>
          <w:rFonts w:hint="eastAsia" w:ascii="??_GB2312" w:eastAsia="宋体" w:cs="??_GB2312"/>
          <w:color w:val="000000"/>
          <w:sz w:val="30"/>
          <w:szCs w:val="30"/>
          <w:lang w:val="en-US" w:eastAsia="zh-CN"/>
        </w:rPr>
        <w:t>99</w:t>
      </w:r>
      <w:r>
        <w:rPr>
          <w:rStyle w:val="26"/>
          <w:rFonts w:ascii="??_GB2312" w:eastAsia="Times New Roman"/>
          <w:color w:val="000000"/>
          <w:sz w:val="30"/>
          <w:szCs w:val="30"/>
        </w:rPr>
        <w:t>）</w:t>
      </w:r>
      <w:r>
        <w:rPr>
          <w:rStyle w:val="26"/>
          <w:rFonts w:hint="eastAsia" w:ascii="??_GB2312" w:eastAsia="宋体"/>
          <w:color w:val="000000"/>
          <w:sz w:val="30"/>
          <w:szCs w:val="30"/>
          <w:lang w:eastAsia="zh-CN"/>
        </w:rPr>
        <w:t>：</w:t>
      </w:r>
      <w:r>
        <w:rPr>
          <w:rFonts w:ascii="??_GB2312" w:eastAsia="Times New Roman"/>
          <w:color w:val="000000"/>
          <w:sz w:val="30"/>
          <w:szCs w:val="30"/>
        </w:rPr>
        <w:t>支出决算为</w:t>
      </w:r>
      <w:r>
        <w:rPr>
          <w:rFonts w:hint="eastAsia" w:ascii="??_GB2312" w:cs="??_GB2312"/>
          <w:color w:val="000000"/>
          <w:sz w:val="30"/>
          <w:szCs w:val="30"/>
          <w:lang w:val="en-US" w:eastAsia="zh-CN"/>
        </w:rPr>
        <w:t>0.8</w:t>
      </w:r>
      <w:r>
        <w:rPr>
          <w:rFonts w:ascii="??_GB2312" w:eastAsia="Times New Roman"/>
          <w:color w:val="000000"/>
          <w:sz w:val="30"/>
          <w:szCs w:val="30"/>
        </w:rPr>
        <w:t>万元，完成</w:t>
      </w:r>
      <w:r>
        <w:rPr>
          <w:rFonts w:ascii="??_GB2312" w:eastAsia="Times New Roman"/>
          <w:sz w:val="30"/>
          <w:szCs w:val="30"/>
        </w:rPr>
        <w:t>预算</w:t>
      </w:r>
      <w:r>
        <w:rPr>
          <w:rFonts w:ascii="??_GB2312" w:eastAsia="Times New Roman" w:cs="??_GB2312"/>
          <w:sz w:val="30"/>
          <w:szCs w:val="30"/>
        </w:rPr>
        <w:t>100%</w:t>
      </w:r>
      <w:r>
        <w:rPr>
          <w:rFonts w:ascii="??_GB2312" w:eastAsia="Times New Roman"/>
          <w:color w:val="000000"/>
          <w:sz w:val="30"/>
          <w:szCs w:val="30"/>
        </w:rPr>
        <w:t>。</w:t>
      </w:r>
    </w:p>
    <w:p w14:paraId="0E94242A">
      <w:pPr>
        <w:tabs>
          <w:tab w:val="right" w:pos="8306"/>
        </w:tabs>
        <w:spacing w:line="600" w:lineRule="exact"/>
        <w:ind w:firstLine="640" w:firstLineChars="200"/>
        <w:outlineLvl w:val="1"/>
        <w:rPr>
          <w:rStyle w:val="43"/>
        </w:rPr>
      </w:pPr>
      <w:bookmarkStart w:id="19" w:name="_Toc15377214"/>
      <w:bookmarkStart w:id="20" w:name="_Toc15396608"/>
      <w:r>
        <w:rPr>
          <w:rFonts w:hint="eastAsia" w:ascii="黑体" w:eastAsia="黑体" w:cs="黑体"/>
          <w:color w:val="000000"/>
          <w:sz w:val="32"/>
          <w:szCs w:val="32"/>
        </w:rPr>
        <w:t>六</w:t>
      </w:r>
      <w:r>
        <w:rPr>
          <w:rFonts w:hint="eastAsia" w:ascii="黑体" w:eastAsia="黑体" w:cs="黑体"/>
          <w:b/>
          <w:bCs/>
          <w:color w:val="000000"/>
          <w:sz w:val="32"/>
          <w:szCs w:val="32"/>
        </w:rPr>
        <w:t>、</w:t>
      </w:r>
      <w:r>
        <w:rPr>
          <w:rFonts w:hint="eastAsia" w:ascii="黑体" w:hAnsi="黑体" w:eastAsia="黑体" w:cs="黑体"/>
          <w:b/>
          <w:bCs/>
          <w:color w:val="000000"/>
          <w:sz w:val="32"/>
          <w:szCs w:val="32"/>
        </w:rPr>
        <w:t>一</w:t>
      </w:r>
      <w:r>
        <w:rPr>
          <w:rStyle w:val="43"/>
          <w:rFonts w:hint="eastAsia" w:ascii="黑体" w:hAnsi="黑体" w:eastAsia="黑体" w:cs="黑体"/>
          <w:b w:val="0"/>
          <w:bCs w:val="0"/>
        </w:rPr>
        <w:t>般公共预算财政拨款基本支出决算情况说明</w:t>
      </w:r>
      <w:bookmarkEnd w:id="19"/>
      <w:bookmarkEnd w:id="20"/>
      <w:r>
        <w:rPr>
          <w:rStyle w:val="43"/>
          <w:rFonts w:ascii="黑体" w:hAnsi="黑体" w:eastAsia="黑体" w:cs="Times New Roman"/>
          <w:b w:val="0"/>
          <w:bCs w:val="0"/>
        </w:rPr>
        <w:tab/>
      </w:r>
    </w:p>
    <w:p w14:paraId="7CAECFF2">
      <w:pPr>
        <w:spacing w:line="600" w:lineRule="exact"/>
        <w:ind w:firstLine="645"/>
        <w:rPr>
          <w:rFonts w:hint="eastAsia" w:ascii="仿宋" w:hAnsi="仿宋" w:eastAsia="仿宋" w:cs="仿宋"/>
          <w:color w:val="000000"/>
          <w:sz w:val="32"/>
          <w:szCs w:val="32"/>
          <w:lang w:eastAsia="zh-CN"/>
        </w:rPr>
      </w:pPr>
      <w:r>
        <w:rPr>
          <w:rFonts w:ascii="仿宋" w:hAnsi="仿宋" w:eastAsia="仿宋" w:cs="仿宋"/>
          <w:color w:val="000000"/>
          <w:sz w:val="32"/>
          <w:szCs w:val="32"/>
        </w:rPr>
        <w:t>20</w:t>
      </w:r>
      <w:r>
        <w:rPr>
          <w:rFonts w:hint="eastAsia" w:ascii="仿宋" w:hAnsi="仿宋" w:eastAsia="仿宋" w:cs="仿宋"/>
          <w:color w:val="000000"/>
          <w:sz w:val="32"/>
          <w:szCs w:val="32"/>
          <w:lang w:val="en-US" w:eastAsia="zh-CN"/>
        </w:rPr>
        <w:t>25</w:t>
      </w:r>
      <w:r>
        <w:rPr>
          <w:rFonts w:hint="eastAsia" w:ascii="仿宋" w:hAnsi="仿宋" w:eastAsia="仿宋" w:cs="仿宋"/>
          <w:color w:val="000000"/>
          <w:sz w:val="32"/>
          <w:szCs w:val="32"/>
        </w:rPr>
        <w:t>年</w:t>
      </w:r>
      <w:r>
        <w:rPr>
          <w:rFonts w:hint="eastAsia" w:ascii="仿宋" w:hAnsi="仿宋" w:eastAsia="仿宋" w:cs="仿宋"/>
          <w:color w:val="000000"/>
          <w:sz w:val="32"/>
          <w:szCs w:val="32"/>
          <w:lang w:eastAsia="zh-CN"/>
        </w:rPr>
        <w:t>度</w:t>
      </w:r>
      <w:r>
        <w:rPr>
          <w:rFonts w:hint="eastAsia" w:ascii="仿宋" w:hAnsi="仿宋" w:eastAsia="仿宋" w:cs="仿宋"/>
          <w:color w:val="000000"/>
          <w:sz w:val="32"/>
          <w:szCs w:val="32"/>
        </w:rPr>
        <w:t>一般公共预算财政拨款基本支出</w:t>
      </w:r>
      <w:r>
        <w:rPr>
          <w:rFonts w:hint="eastAsia" w:ascii="仿宋" w:hAnsi="仿宋" w:eastAsia="仿宋" w:cs="仿宋"/>
          <w:color w:val="000000"/>
          <w:sz w:val="32"/>
          <w:szCs w:val="32"/>
          <w:lang w:val="en-US" w:eastAsia="zh-CN"/>
        </w:rPr>
        <w:t>5600.14</w:t>
      </w:r>
      <w:r>
        <w:rPr>
          <w:rFonts w:hint="eastAsia" w:ascii="仿宋" w:hAnsi="仿宋" w:eastAsia="仿宋" w:cs="仿宋"/>
          <w:color w:val="000000"/>
          <w:sz w:val="32"/>
          <w:szCs w:val="32"/>
        </w:rPr>
        <w:t>元，其中：人员经费</w:t>
      </w:r>
      <w:r>
        <w:rPr>
          <w:rFonts w:hint="eastAsia" w:ascii="仿宋" w:hAnsi="仿宋" w:eastAsia="仿宋" w:cs="仿宋"/>
          <w:color w:val="auto"/>
          <w:sz w:val="32"/>
          <w:szCs w:val="32"/>
          <w:lang w:val="en-US" w:eastAsia="zh-CN"/>
        </w:rPr>
        <w:t>4916.39</w:t>
      </w:r>
      <w:r>
        <w:rPr>
          <w:rFonts w:hint="eastAsia" w:ascii="仿宋" w:hAnsi="仿宋" w:eastAsia="仿宋" w:cs="仿宋"/>
          <w:color w:val="000000"/>
          <w:sz w:val="32"/>
          <w:szCs w:val="32"/>
        </w:rPr>
        <w:t>万元，主要包括：基本工资</w:t>
      </w:r>
      <w:r>
        <w:rPr>
          <w:rFonts w:hint="eastAsia" w:ascii="仿宋" w:hAnsi="仿宋" w:eastAsia="仿宋" w:cs="仿宋"/>
          <w:color w:val="000000"/>
          <w:sz w:val="32"/>
          <w:szCs w:val="32"/>
          <w:lang w:val="en-US" w:eastAsia="zh-CN"/>
        </w:rPr>
        <w:t>949.43</w:t>
      </w:r>
      <w:r>
        <w:rPr>
          <w:rFonts w:hint="eastAsia" w:ascii="仿宋" w:hAnsi="仿宋" w:eastAsia="仿宋" w:cs="仿宋"/>
          <w:color w:val="000000"/>
          <w:sz w:val="32"/>
          <w:szCs w:val="32"/>
        </w:rPr>
        <w:t>万元、津贴补贴</w:t>
      </w:r>
      <w:r>
        <w:rPr>
          <w:rFonts w:hint="eastAsia" w:ascii="仿宋" w:hAnsi="仿宋" w:eastAsia="仿宋" w:cs="仿宋"/>
          <w:color w:val="000000"/>
          <w:sz w:val="32"/>
          <w:szCs w:val="32"/>
          <w:lang w:val="en-US" w:eastAsia="zh-CN"/>
        </w:rPr>
        <w:t>674.89</w:t>
      </w:r>
      <w:r>
        <w:rPr>
          <w:rFonts w:hint="eastAsia" w:ascii="仿宋" w:hAnsi="仿宋" w:eastAsia="仿宋" w:cs="仿宋"/>
          <w:color w:val="000000"/>
          <w:sz w:val="32"/>
          <w:szCs w:val="32"/>
        </w:rPr>
        <w:t>万元、奖金</w:t>
      </w:r>
      <w:r>
        <w:rPr>
          <w:rFonts w:hint="eastAsia" w:ascii="仿宋" w:hAnsi="仿宋" w:eastAsia="仿宋" w:cs="仿宋"/>
          <w:color w:val="000000"/>
          <w:sz w:val="32"/>
          <w:szCs w:val="32"/>
          <w:lang w:val="en-US" w:eastAsia="zh-CN"/>
        </w:rPr>
        <w:t>1090.85</w:t>
      </w:r>
      <w:r>
        <w:rPr>
          <w:rFonts w:hint="eastAsia" w:ascii="仿宋" w:hAnsi="仿宋" w:eastAsia="仿宋" w:cs="仿宋"/>
          <w:color w:val="000000"/>
          <w:sz w:val="32"/>
          <w:szCs w:val="32"/>
        </w:rPr>
        <w:t>万元、</w:t>
      </w:r>
      <w:r>
        <w:rPr>
          <w:rFonts w:hint="eastAsia" w:ascii="仿宋" w:hAnsi="仿宋" w:eastAsia="仿宋" w:cs="仿宋"/>
          <w:color w:val="000000"/>
          <w:sz w:val="32"/>
          <w:szCs w:val="32"/>
          <w:lang w:eastAsia="zh-CN"/>
        </w:rPr>
        <w:t>伙食补助费</w:t>
      </w:r>
      <w:r>
        <w:rPr>
          <w:rFonts w:hint="eastAsia" w:ascii="仿宋" w:hAnsi="仿宋" w:eastAsia="仿宋" w:cs="仿宋"/>
          <w:color w:val="000000"/>
          <w:sz w:val="32"/>
          <w:szCs w:val="32"/>
          <w:lang w:val="en-US" w:eastAsia="zh-CN"/>
        </w:rPr>
        <w:t>56.5万元、</w:t>
      </w:r>
      <w:r>
        <w:rPr>
          <w:rFonts w:hint="eastAsia" w:ascii="仿宋" w:hAnsi="仿宋" w:eastAsia="仿宋" w:cs="仿宋"/>
          <w:color w:val="000000"/>
          <w:sz w:val="32"/>
          <w:szCs w:val="32"/>
          <w:lang w:eastAsia="zh-CN"/>
        </w:rPr>
        <w:t>绩效工资</w:t>
      </w:r>
      <w:r>
        <w:rPr>
          <w:rFonts w:hint="eastAsia" w:ascii="仿宋" w:hAnsi="仿宋" w:eastAsia="仿宋" w:cs="仿宋"/>
          <w:color w:val="000000"/>
          <w:sz w:val="32"/>
          <w:szCs w:val="32"/>
          <w:lang w:val="en-US" w:eastAsia="zh-CN"/>
        </w:rPr>
        <w:t>281.09万元、</w:t>
      </w:r>
      <w:r>
        <w:rPr>
          <w:rFonts w:hint="eastAsia" w:ascii="仿宋" w:hAnsi="仿宋" w:eastAsia="仿宋" w:cs="仿宋"/>
          <w:color w:val="000000"/>
          <w:sz w:val="32"/>
          <w:szCs w:val="32"/>
        </w:rPr>
        <w:t>机关事业单位基本养老保险缴费</w:t>
      </w:r>
      <w:r>
        <w:rPr>
          <w:rFonts w:hint="eastAsia" w:ascii="仿宋" w:hAnsi="仿宋" w:eastAsia="仿宋" w:cs="仿宋"/>
          <w:color w:val="000000"/>
          <w:sz w:val="32"/>
          <w:szCs w:val="32"/>
          <w:lang w:val="en-US" w:eastAsia="zh-CN"/>
        </w:rPr>
        <w:t>418.04</w:t>
      </w:r>
      <w:r>
        <w:rPr>
          <w:rFonts w:hint="eastAsia" w:ascii="仿宋" w:hAnsi="仿宋" w:eastAsia="仿宋" w:cs="仿宋"/>
          <w:color w:val="000000"/>
          <w:sz w:val="32"/>
          <w:szCs w:val="32"/>
        </w:rPr>
        <w:t>万元、职业年金缴费</w:t>
      </w:r>
      <w:r>
        <w:rPr>
          <w:rFonts w:hint="eastAsia" w:ascii="仿宋" w:hAnsi="仿宋" w:eastAsia="仿宋" w:cs="仿宋"/>
          <w:color w:val="000000"/>
          <w:sz w:val="32"/>
          <w:szCs w:val="32"/>
          <w:lang w:val="en-US" w:eastAsia="zh-CN"/>
        </w:rPr>
        <w:t>210.71</w:t>
      </w:r>
      <w:r>
        <w:rPr>
          <w:rFonts w:hint="eastAsia" w:ascii="仿宋" w:hAnsi="仿宋" w:eastAsia="仿宋" w:cs="仿宋"/>
          <w:color w:val="000000"/>
          <w:sz w:val="32"/>
          <w:szCs w:val="32"/>
        </w:rPr>
        <w:t>万元、职工基本医疗保险缴费</w:t>
      </w:r>
      <w:r>
        <w:rPr>
          <w:rFonts w:hint="eastAsia" w:ascii="仿宋" w:hAnsi="仿宋" w:eastAsia="仿宋" w:cs="仿宋"/>
          <w:color w:val="000000"/>
          <w:sz w:val="32"/>
          <w:szCs w:val="32"/>
          <w:lang w:val="en-US" w:eastAsia="zh-CN"/>
        </w:rPr>
        <w:t>198.43</w:t>
      </w:r>
      <w:r>
        <w:rPr>
          <w:rFonts w:hint="eastAsia" w:ascii="仿宋" w:hAnsi="仿宋" w:eastAsia="仿宋" w:cs="仿宋"/>
          <w:color w:val="000000"/>
          <w:sz w:val="32"/>
          <w:szCs w:val="32"/>
        </w:rPr>
        <w:t>万元、公务员医疗补助缴费</w:t>
      </w:r>
      <w:r>
        <w:rPr>
          <w:rFonts w:hint="eastAsia" w:ascii="仿宋" w:hAnsi="仿宋" w:eastAsia="仿宋" w:cs="仿宋"/>
          <w:color w:val="000000"/>
          <w:sz w:val="32"/>
          <w:szCs w:val="32"/>
          <w:lang w:val="en-US" w:eastAsia="zh-CN"/>
        </w:rPr>
        <w:t>37.58</w:t>
      </w:r>
      <w:r>
        <w:rPr>
          <w:rFonts w:hint="eastAsia" w:ascii="仿宋" w:hAnsi="仿宋" w:eastAsia="仿宋" w:cs="仿宋"/>
          <w:color w:val="000000"/>
          <w:sz w:val="32"/>
          <w:szCs w:val="32"/>
        </w:rPr>
        <w:t>万元、其他社会保障缴费</w:t>
      </w:r>
      <w:r>
        <w:rPr>
          <w:rFonts w:hint="eastAsia" w:ascii="仿宋" w:hAnsi="仿宋" w:eastAsia="仿宋" w:cs="仿宋"/>
          <w:color w:val="000000"/>
          <w:sz w:val="32"/>
          <w:szCs w:val="32"/>
          <w:lang w:val="en-US" w:eastAsia="zh-CN"/>
        </w:rPr>
        <w:t>31.84</w:t>
      </w:r>
      <w:r>
        <w:rPr>
          <w:rFonts w:hint="eastAsia" w:ascii="仿宋" w:hAnsi="仿宋" w:eastAsia="仿宋" w:cs="仿宋"/>
          <w:color w:val="000000"/>
          <w:sz w:val="32"/>
          <w:szCs w:val="32"/>
        </w:rPr>
        <w:t>万元、</w:t>
      </w:r>
      <w:r>
        <w:rPr>
          <w:rFonts w:hint="eastAsia" w:ascii="仿宋" w:hAnsi="仿宋" w:eastAsia="仿宋" w:cs="仿宋"/>
          <w:color w:val="000000"/>
          <w:sz w:val="32"/>
          <w:szCs w:val="32"/>
          <w:lang w:eastAsia="zh-CN"/>
        </w:rPr>
        <w:t>住房公积金</w:t>
      </w:r>
      <w:r>
        <w:rPr>
          <w:rFonts w:hint="eastAsia" w:ascii="仿宋" w:hAnsi="仿宋" w:eastAsia="仿宋" w:cs="仿宋"/>
          <w:color w:val="000000"/>
          <w:sz w:val="32"/>
          <w:szCs w:val="32"/>
          <w:lang w:val="en-US" w:eastAsia="zh-CN"/>
        </w:rPr>
        <w:t>337.95万元、</w:t>
      </w:r>
      <w:r>
        <w:rPr>
          <w:rFonts w:hint="eastAsia" w:ascii="仿宋" w:hAnsi="仿宋" w:eastAsia="仿宋" w:cs="仿宋"/>
          <w:color w:val="000000"/>
          <w:sz w:val="32"/>
          <w:szCs w:val="32"/>
        </w:rPr>
        <w:t>其他工资福利支出</w:t>
      </w:r>
      <w:r>
        <w:rPr>
          <w:rFonts w:hint="eastAsia" w:ascii="仿宋" w:hAnsi="仿宋" w:eastAsia="仿宋" w:cs="仿宋"/>
          <w:color w:val="000000"/>
          <w:sz w:val="32"/>
          <w:szCs w:val="32"/>
          <w:lang w:val="en-US" w:eastAsia="zh-CN"/>
        </w:rPr>
        <w:t>92.1</w:t>
      </w:r>
      <w:r>
        <w:rPr>
          <w:rFonts w:hint="eastAsia" w:ascii="仿宋" w:hAnsi="仿宋" w:eastAsia="仿宋" w:cs="仿宋"/>
          <w:color w:val="000000"/>
          <w:sz w:val="32"/>
          <w:szCs w:val="32"/>
        </w:rPr>
        <w:t>万元、离休费</w:t>
      </w:r>
      <w:r>
        <w:rPr>
          <w:rFonts w:hint="eastAsia" w:ascii="仿宋" w:hAnsi="仿宋" w:eastAsia="仿宋" w:cs="仿宋"/>
          <w:color w:val="000000"/>
          <w:sz w:val="32"/>
          <w:szCs w:val="32"/>
          <w:lang w:val="en-US" w:eastAsia="zh-CN"/>
        </w:rPr>
        <w:t>25.25</w:t>
      </w:r>
      <w:r>
        <w:rPr>
          <w:rFonts w:hint="eastAsia" w:ascii="仿宋" w:hAnsi="仿宋" w:eastAsia="仿宋" w:cs="仿宋"/>
          <w:color w:val="000000"/>
          <w:sz w:val="32"/>
          <w:szCs w:val="32"/>
        </w:rPr>
        <w:t>万元、</w:t>
      </w:r>
      <w:r>
        <w:rPr>
          <w:rFonts w:hint="eastAsia" w:ascii="仿宋" w:hAnsi="仿宋" w:eastAsia="仿宋" w:cs="仿宋"/>
          <w:color w:val="000000"/>
          <w:sz w:val="32"/>
          <w:szCs w:val="32"/>
          <w:lang w:eastAsia="zh-CN"/>
        </w:rPr>
        <w:t>抚恤金</w:t>
      </w:r>
      <w:r>
        <w:rPr>
          <w:rFonts w:hint="eastAsia" w:ascii="仿宋" w:hAnsi="仿宋" w:eastAsia="仿宋" w:cs="仿宋"/>
          <w:color w:val="000000"/>
          <w:sz w:val="32"/>
          <w:szCs w:val="32"/>
          <w:lang w:val="en-US" w:eastAsia="zh-CN"/>
        </w:rPr>
        <w:t>53.49万元、</w:t>
      </w:r>
      <w:r>
        <w:rPr>
          <w:rFonts w:hint="eastAsia" w:ascii="仿宋" w:hAnsi="仿宋" w:eastAsia="仿宋" w:cs="仿宋"/>
          <w:color w:val="000000"/>
          <w:sz w:val="32"/>
          <w:szCs w:val="32"/>
        </w:rPr>
        <w:t>生活补助</w:t>
      </w:r>
      <w:r>
        <w:rPr>
          <w:rFonts w:hint="eastAsia" w:ascii="仿宋" w:hAnsi="仿宋" w:eastAsia="仿宋" w:cs="仿宋"/>
          <w:color w:val="000000"/>
          <w:sz w:val="32"/>
          <w:szCs w:val="32"/>
          <w:lang w:val="en-US" w:eastAsia="zh-CN"/>
        </w:rPr>
        <w:t>458.14</w:t>
      </w:r>
      <w:r>
        <w:rPr>
          <w:rFonts w:hint="eastAsia" w:ascii="仿宋" w:hAnsi="仿宋" w:eastAsia="仿宋" w:cs="仿宋"/>
          <w:color w:val="000000"/>
          <w:sz w:val="32"/>
          <w:szCs w:val="32"/>
        </w:rPr>
        <w:t>万元</w:t>
      </w:r>
      <w:r>
        <w:rPr>
          <w:rFonts w:hint="eastAsia" w:ascii="仿宋" w:hAnsi="仿宋" w:eastAsia="仿宋" w:cs="仿宋"/>
          <w:color w:val="000000"/>
          <w:sz w:val="32"/>
          <w:szCs w:val="32"/>
          <w:lang w:eastAsia="zh-CN"/>
        </w:rPr>
        <w:t>、奖励金</w:t>
      </w:r>
      <w:r>
        <w:rPr>
          <w:rFonts w:hint="eastAsia" w:ascii="仿宋" w:hAnsi="仿宋" w:eastAsia="仿宋" w:cs="仿宋"/>
          <w:color w:val="000000"/>
          <w:sz w:val="32"/>
          <w:szCs w:val="32"/>
          <w:lang w:val="en-US" w:eastAsia="zh-CN"/>
        </w:rPr>
        <w:t>0.11万元</w:t>
      </w:r>
      <w:r>
        <w:rPr>
          <w:rFonts w:hint="eastAsia" w:ascii="仿宋" w:hAnsi="仿宋" w:eastAsia="仿宋" w:cs="仿宋"/>
          <w:color w:val="000000"/>
          <w:sz w:val="32"/>
          <w:szCs w:val="32"/>
        </w:rPr>
        <w:t>等。</w:t>
      </w:r>
    </w:p>
    <w:p w14:paraId="7E7BE801">
      <w:pPr>
        <w:spacing w:line="600" w:lineRule="exact"/>
        <w:ind w:firstLine="645"/>
        <w:rPr>
          <w:rFonts w:hint="eastAsia" w:ascii="仿宋" w:hAnsi="仿宋" w:eastAsia="仿宋" w:cs="仿宋"/>
          <w:color w:val="000000"/>
          <w:sz w:val="32"/>
          <w:szCs w:val="32"/>
        </w:rPr>
      </w:pPr>
      <w:r>
        <w:rPr>
          <w:rFonts w:hint="eastAsia" w:ascii="仿宋" w:hAnsi="仿宋" w:eastAsia="仿宋" w:cs="仿宋"/>
          <w:color w:val="000000"/>
          <w:sz w:val="32"/>
          <w:szCs w:val="32"/>
        </w:rPr>
        <w:t>公用经费</w:t>
      </w:r>
      <w:r>
        <w:rPr>
          <w:rFonts w:hint="eastAsia" w:ascii="仿宋" w:hAnsi="仿宋" w:eastAsia="仿宋" w:cs="仿宋"/>
          <w:color w:val="000000"/>
          <w:sz w:val="32"/>
          <w:szCs w:val="32"/>
          <w:lang w:val="en-US" w:eastAsia="zh-CN"/>
        </w:rPr>
        <w:t>681.76</w:t>
      </w:r>
      <w:r>
        <w:rPr>
          <w:rFonts w:hint="eastAsia" w:ascii="仿宋" w:hAnsi="仿宋" w:eastAsia="仿宋" w:cs="仿宋"/>
          <w:color w:val="000000"/>
          <w:sz w:val="32"/>
          <w:szCs w:val="32"/>
        </w:rPr>
        <w:t>万元，主要包括：办公费</w:t>
      </w:r>
      <w:r>
        <w:rPr>
          <w:rFonts w:hint="eastAsia" w:ascii="仿宋" w:hAnsi="仿宋" w:eastAsia="仿宋" w:cs="仿宋"/>
          <w:color w:val="000000"/>
          <w:sz w:val="32"/>
          <w:szCs w:val="32"/>
          <w:lang w:val="en-US" w:eastAsia="zh-CN"/>
        </w:rPr>
        <w:t>44.73</w:t>
      </w:r>
      <w:r>
        <w:rPr>
          <w:rFonts w:hint="eastAsia" w:ascii="仿宋" w:hAnsi="仿宋" w:eastAsia="仿宋" w:cs="仿宋"/>
          <w:color w:val="000000"/>
          <w:sz w:val="32"/>
          <w:szCs w:val="32"/>
        </w:rPr>
        <w:t>万元、印刷费</w:t>
      </w:r>
      <w:r>
        <w:rPr>
          <w:rFonts w:hint="eastAsia" w:ascii="仿宋" w:hAnsi="仿宋" w:eastAsia="仿宋" w:cs="仿宋"/>
          <w:color w:val="000000"/>
          <w:sz w:val="32"/>
          <w:szCs w:val="32"/>
          <w:lang w:val="en-US" w:eastAsia="zh-CN"/>
        </w:rPr>
        <w:t>8.49</w:t>
      </w:r>
      <w:r>
        <w:rPr>
          <w:rFonts w:hint="eastAsia" w:ascii="仿宋" w:hAnsi="仿宋" w:eastAsia="仿宋" w:cs="仿宋"/>
          <w:color w:val="000000"/>
          <w:sz w:val="32"/>
          <w:szCs w:val="32"/>
        </w:rPr>
        <w:t>万元、水费</w:t>
      </w:r>
      <w:r>
        <w:rPr>
          <w:rFonts w:hint="eastAsia" w:ascii="仿宋" w:hAnsi="仿宋" w:eastAsia="仿宋" w:cs="仿宋"/>
          <w:color w:val="000000"/>
          <w:sz w:val="32"/>
          <w:szCs w:val="32"/>
          <w:lang w:val="en-US" w:eastAsia="zh-CN"/>
        </w:rPr>
        <w:t>5.15</w:t>
      </w:r>
      <w:r>
        <w:rPr>
          <w:rFonts w:hint="eastAsia" w:ascii="仿宋" w:hAnsi="仿宋" w:eastAsia="仿宋" w:cs="仿宋"/>
          <w:color w:val="000000"/>
          <w:sz w:val="32"/>
          <w:szCs w:val="32"/>
        </w:rPr>
        <w:t>万元、电费</w:t>
      </w:r>
      <w:r>
        <w:rPr>
          <w:rFonts w:hint="eastAsia" w:ascii="仿宋" w:hAnsi="仿宋" w:eastAsia="仿宋" w:cs="仿宋"/>
          <w:color w:val="000000"/>
          <w:sz w:val="32"/>
          <w:szCs w:val="32"/>
          <w:lang w:val="en-US" w:eastAsia="zh-CN"/>
        </w:rPr>
        <w:t>36.11</w:t>
      </w:r>
      <w:r>
        <w:rPr>
          <w:rFonts w:hint="eastAsia" w:ascii="仿宋" w:hAnsi="仿宋" w:eastAsia="仿宋" w:cs="仿宋"/>
          <w:color w:val="000000"/>
          <w:sz w:val="32"/>
          <w:szCs w:val="32"/>
        </w:rPr>
        <w:t>万元、邮电费</w:t>
      </w:r>
      <w:r>
        <w:rPr>
          <w:rFonts w:hint="eastAsia" w:ascii="仿宋" w:hAnsi="仿宋" w:eastAsia="仿宋" w:cs="仿宋"/>
          <w:color w:val="000000"/>
          <w:sz w:val="32"/>
          <w:szCs w:val="32"/>
          <w:lang w:val="en-US" w:eastAsia="zh-CN"/>
        </w:rPr>
        <w:t>54.07</w:t>
      </w:r>
      <w:r>
        <w:rPr>
          <w:rFonts w:hint="eastAsia" w:ascii="仿宋" w:hAnsi="仿宋" w:eastAsia="仿宋" w:cs="仿宋"/>
          <w:color w:val="000000"/>
          <w:sz w:val="32"/>
          <w:szCs w:val="32"/>
        </w:rPr>
        <w:t>万元、物业管理费</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万元、差旅费</w:t>
      </w:r>
      <w:r>
        <w:rPr>
          <w:rFonts w:hint="eastAsia" w:ascii="仿宋" w:hAnsi="仿宋" w:eastAsia="仿宋" w:cs="仿宋"/>
          <w:color w:val="000000"/>
          <w:sz w:val="32"/>
          <w:szCs w:val="32"/>
          <w:lang w:val="en-US" w:eastAsia="zh-CN"/>
        </w:rPr>
        <w:t>150.95</w:t>
      </w:r>
      <w:r>
        <w:rPr>
          <w:rFonts w:hint="eastAsia" w:ascii="仿宋" w:hAnsi="仿宋" w:eastAsia="仿宋" w:cs="仿宋"/>
          <w:color w:val="000000"/>
          <w:sz w:val="32"/>
          <w:szCs w:val="32"/>
        </w:rPr>
        <w:t>万元、维修（护）费</w:t>
      </w:r>
      <w:r>
        <w:rPr>
          <w:rFonts w:hint="eastAsia" w:ascii="仿宋" w:hAnsi="仿宋" w:eastAsia="仿宋" w:cs="仿宋"/>
          <w:color w:val="000000"/>
          <w:sz w:val="32"/>
          <w:szCs w:val="32"/>
          <w:lang w:val="en-US" w:eastAsia="zh-CN"/>
        </w:rPr>
        <w:t>24.54</w:t>
      </w:r>
      <w:r>
        <w:rPr>
          <w:rFonts w:hint="eastAsia" w:ascii="仿宋" w:hAnsi="仿宋" w:eastAsia="仿宋" w:cs="仿宋"/>
          <w:color w:val="000000"/>
          <w:sz w:val="32"/>
          <w:szCs w:val="32"/>
        </w:rPr>
        <w:t>万元、培训费</w:t>
      </w:r>
      <w:r>
        <w:rPr>
          <w:rFonts w:hint="eastAsia" w:ascii="仿宋" w:hAnsi="仿宋" w:eastAsia="仿宋" w:cs="仿宋"/>
          <w:color w:val="000000"/>
          <w:sz w:val="32"/>
          <w:szCs w:val="32"/>
          <w:lang w:val="en-US" w:eastAsia="zh-CN"/>
        </w:rPr>
        <w:t>9.09</w:t>
      </w:r>
      <w:r>
        <w:rPr>
          <w:rFonts w:hint="eastAsia" w:ascii="仿宋" w:hAnsi="仿宋" w:eastAsia="仿宋" w:cs="仿宋"/>
          <w:color w:val="000000"/>
          <w:sz w:val="32"/>
          <w:szCs w:val="32"/>
        </w:rPr>
        <w:t>万元、公务接待费</w:t>
      </w:r>
      <w:r>
        <w:rPr>
          <w:rFonts w:hint="eastAsia" w:ascii="仿宋" w:hAnsi="仿宋" w:eastAsia="仿宋" w:cs="仿宋"/>
          <w:color w:val="000000"/>
          <w:sz w:val="32"/>
          <w:szCs w:val="32"/>
          <w:lang w:val="en-US" w:eastAsia="zh-CN"/>
        </w:rPr>
        <w:t>0.7</w:t>
      </w:r>
      <w:r>
        <w:rPr>
          <w:rFonts w:hint="eastAsia" w:ascii="仿宋" w:hAnsi="仿宋" w:eastAsia="仿宋" w:cs="仿宋"/>
          <w:color w:val="000000"/>
          <w:sz w:val="32"/>
          <w:szCs w:val="32"/>
        </w:rPr>
        <w:t>万元、劳务费</w:t>
      </w:r>
      <w:r>
        <w:rPr>
          <w:rFonts w:hint="eastAsia" w:ascii="仿宋" w:hAnsi="仿宋" w:eastAsia="仿宋" w:cs="仿宋"/>
          <w:color w:val="000000"/>
          <w:sz w:val="32"/>
          <w:szCs w:val="32"/>
          <w:lang w:val="en-US" w:eastAsia="zh-CN"/>
        </w:rPr>
        <w:t>24.06</w:t>
      </w:r>
      <w:r>
        <w:rPr>
          <w:rFonts w:hint="eastAsia" w:ascii="仿宋" w:hAnsi="仿宋" w:eastAsia="仿宋" w:cs="仿宋"/>
          <w:color w:val="000000"/>
          <w:sz w:val="32"/>
          <w:szCs w:val="32"/>
        </w:rPr>
        <w:t>万元、委托业务费</w:t>
      </w:r>
      <w:r>
        <w:rPr>
          <w:rFonts w:hint="eastAsia" w:ascii="仿宋" w:hAnsi="仿宋" w:eastAsia="仿宋" w:cs="仿宋"/>
          <w:color w:val="000000"/>
          <w:sz w:val="32"/>
          <w:szCs w:val="32"/>
          <w:lang w:val="en-US" w:eastAsia="zh-CN"/>
        </w:rPr>
        <w:t>9.49</w:t>
      </w:r>
      <w:r>
        <w:rPr>
          <w:rFonts w:hint="eastAsia" w:ascii="仿宋" w:hAnsi="仿宋" w:eastAsia="仿宋" w:cs="仿宋"/>
          <w:color w:val="000000"/>
          <w:sz w:val="32"/>
          <w:szCs w:val="32"/>
        </w:rPr>
        <w:t>万元、福利费</w:t>
      </w:r>
      <w:r>
        <w:rPr>
          <w:rFonts w:hint="eastAsia" w:ascii="仿宋" w:hAnsi="仿宋" w:eastAsia="仿宋" w:cs="仿宋"/>
          <w:color w:val="000000"/>
          <w:sz w:val="32"/>
          <w:szCs w:val="32"/>
          <w:lang w:val="en-US" w:eastAsia="zh-CN"/>
        </w:rPr>
        <w:t>67.59</w:t>
      </w:r>
      <w:r>
        <w:rPr>
          <w:rFonts w:hint="eastAsia" w:ascii="仿宋" w:hAnsi="仿宋" w:eastAsia="仿宋" w:cs="仿宋"/>
          <w:color w:val="000000"/>
          <w:sz w:val="32"/>
          <w:szCs w:val="32"/>
        </w:rPr>
        <w:t>万元、公务用车运行维护费</w:t>
      </w:r>
      <w:r>
        <w:rPr>
          <w:rFonts w:hint="eastAsia" w:ascii="仿宋" w:hAnsi="仿宋" w:eastAsia="仿宋" w:cs="仿宋"/>
          <w:color w:val="000000"/>
          <w:sz w:val="32"/>
          <w:szCs w:val="32"/>
          <w:lang w:val="en-US" w:eastAsia="zh-CN"/>
        </w:rPr>
        <w:t>150.79</w:t>
      </w:r>
      <w:r>
        <w:rPr>
          <w:rFonts w:hint="eastAsia" w:ascii="仿宋" w:hAnsi="仿宋" w:eastAsia="仿宋" w:cs="仿宋"/>
          <w:color w:val="000000"/>
          <w:sz w:val="32"/>
          <w:szCs w:val="32"/>
        </w:rPr>
        <w:t>万元、</w:t>
      </w:r>
      <w:r>
        <w:rPr>
          <w:rFonts w:hint="eastAsia" w:ascii="仿宋" w:hAnsi="仿宋" w:eastAsia="仿宋" w:cs="仿宋"/>
          <w:color w:val="000000"/>
          <w:sz w:val="32"/>
          <w:szCs w:val="32"/>
          <w:lang w:eastAsia="zh-CN"/>
        </w:rPr>
        <w:t>其他交通费</w:t>
      </w:r>
      <w:r>
        <w:rPr>
          <w:rFonts w:hint="eastAsia" w:ascii="仿宋" w:hAnsi="仿宋" w:eastAsia="仿宋" w:cs="仿宋"/>
          <w:color w:val="000000"/>
          <w:sz w:val="32"/>
          <w:szCs w:val="32"/>
          <w:lang w:val="en-US" w:eastAsia="zh-CN"/>
        </w:rPr>
        <w:t>0万元、</w:t>
      </w:r>
      <w:r>
        <w:rPr>
          <w:rFonts w:hint="eastAsia" w:ascii="仿宋" w:hAnsi="仿宋" w:eastAsia="仿宋" w:cs="仿宋"/>
          <w:color w:val="000000"/>
          <w:sz w:val="32"/>
          <w:szCs w:val="32"/>
        </w:rPr>
        <w:t>其他商品和服务支出</w:t>
      </w:r>
      <w:r>
        <w:rPr>
          <w:rFonts w:hint="eastAsia" w:ascii="仿宋" w:hAnsi="仿宋" w:eastAsia="仿宋" w:cs="仿宋"/>
          <w:color w:val="000000"/>
          <w:sz w:val="32"/>
          <w:szCs w:val="32"/>
          <w:lang w:val="en-US" w:eastAsia="zh-CN"/>
        </w:rPr>
        <w:t>89.86</w:t>
      </w:r>
      <w:r>
        <w:rPr>
          <w:rFonts w:hint="eastAsia" w:ascii="仿宋" w:hAnsi="仿宋" w:eastAsia="仿宋" w:cs="仿宋"/>
          <w:color w:val="000000"/>
          <w:sz w:val="32"/>
          <w:szCs w:val="32"/>
        </w:rPr>
        <w:t>万元</w:t>
      </w:r>
      <w:r>
        <w:rPr>
          <w:rFonts w:hint="eastAsia" w:ascii="仿宋" w:hAnsi="仿宋" w:eastAsia="仿宋" w:cs="仿宋"/>
          <w:color w:val="000000"/>
          <w:sz w:val="32"/>
          <w:szCs w:val="32"/>
          <w:lang w:eastAsia="zh-CN"/>
        </w:rPr>
        <w:t>、办公设备购置</w:t>
      </w:r>
      <w:r>
        <w:rPr>
          <w:rFonts w:hint="eastAsia" w:ascii="仿宋" w:hAnsi="仿宋" w:eastAsia="仿宋" w:cs="仿宋"/>
          <w:color w:val="000000"/>
          <w:sz w:val="32"/>
          <w:szCs w:val="32"/>
          <w:lang w:val="en-US" w:eastAsia="zh-CN"/>
        </w:rPr>
        <w:t>1.08万元，专用设备购置1.74万元</w:t>
      </w:r>
      <w:r>
        <w:rPr>
          <w:rFonts w:hint="eastAsia" w:ascii="仿宋" w:hAnsi="仿宋" w:eastAsia="仿宋" w:cs="仿宋"/>
          <w:color w:val="000000"/>
          <w:sz w:val="32"/>
          <w:szCs w:val="32"/>
        </w:rPr>
        <w:t>等。</w:t>
      </w:r>
    </w:p>
    <w:p w14:paraId="3DDCA399">
      <w:pPr>
        <w:spacing w:line="600" w:lineRule="exact"/>
        <w:ind w:firstLine="640"/>
        <w:outlineLvl w:val="1"/>
        <w:rPr>
          <w:rStyle w:val="43"/>
          <w:rFonts w:ascii="黑体" w:hAnsi="黑体" w:eastAsia="黑体" w:cs="Times New Roman"/>
          <w:b w:val="0"/>
          <w:bCs w:val="0"/>
        </w:rPr>
      </w:pPr>
      <w:bookmarkStart w:id="21" w:name="_Toc15377215"/>
      <w:bookmarkStart w:id="22" w:name="_Toc15396609"/>
      <w:r>
        <w:rPr>
          <w:rFonts w:hint="eastAsia" w:ascii="黑体" w:eastAsia="黑体" w:cs="黑体"/>
          <w:color w:val="000000"/>
          <w:sz w:val="32"/>
          <w:szCs w:val="32"/>
        </w:rPr>
        <w:t>七、</w:t>
      </w:r>
      <w:r>
        <w:rPr>
          <w:rStyle w:val="43"/>
          <w:rFonts w:hint="eastAsia" w:ascii="黑体" w:hAnsi="黑体" w:eastAsia="黑体" w:cs="黑体"/>
        </w:rPr>
        <w:t>“</w:t>
      </w:r>
      <w:r>
        <w:rPr>
          <w:rStyle w:val="43"/>
          <w:rFonts w:hint="eastAsia" w:ascii="黑体" w:hAnsi="黑体" w:eastAsia="黑体" w:cs="黑体"/>
          <w:b w:val="0"/>
          <w:bCs w:val="0"/>
        </w:rPr>
        <w:t>三公”经费财政拨款支出决算情况说明</w:t>
      </w:r>
      <w:bookmarkEnd w:id="21"/>
      <w:bookmarkEnd w:id="22"/>
    </w:p>
    <w:p w14:paraId="0FABC353">
      <w:pPr>
        <w:spacing w:line="600" w:lineRule="exact"/>
        <w:ind w:firstLine="640"/>
        <w:outlineLvl w:val="2"/>
        <w:rPr>
          <w:rFonts w:ascii="仿宋" w:hAnsi="仿宋" w:eastAsia="仿宋"/>
          <w:b/>
          <w:bCs/>
          <w:color w:val="000000"/>
          <w:sz w:val="32"/>
          <w:szCs w:val="32"/>
        </w:rPr>
      </w:pPr>
      <w:bookmarkStart w:id="23" w:name="_Toc15377216"/>
      <w:r>
        <w:rPr>
          <w:rFonts w:hint="eastAsia" w:ascii="仿宋" w:hAnsi="仿宋" w:eastAsia="仿宋" w:cs="仿宋"/>
          <w:b/>
          <w:bCs/>
          <w:color w:val="000000"/>
          <w:sz w:val="32"/>
          <w:szCs w:val="32"/>
        </w:rPr>
        <w:t>（一）“三公”经费财政拨款支出决算总体情况说明</w:t>
      </w:r>
      <w:bookmarkEnd w:id="23"/>
    </w:p>
    <w:p w14:paraId="47F29BC8">
      <w:pPr>
        <w:spacing w:line="600" w:lineRule="exact"/>
        <w:ind w:firstLine="640"/>
        <w:rPr>
          <w:rFonts w:ascii="仿宋" w:hAnsi="仿宋" w:eastAsia="仿宋"/>
          <w:color w:val="000000"/>
          <w:sz w:val="32"/>
          <w:szCs w:val="32"/>
        </w:rPr>
      </w:pPr>
      <w:r>
        <w:rPr>
          <w:rFonts w:ascii="仿宋" w:hAnsi="仿宋" w:eastAsia="仿宋" w:cs="仿宋"/>
          <w:color w:val="000000"/>
          <w:sz w:val="32"/>
          <w:szCs w:val="32"/>
        </w:rPr>
        <w:t>20</w:t>
      </w:r>
      <w:r>
        <w:rPr>
          <w:rFonts w:hint="eastAsia" w:ascii="仿宋" w:hAnsi="仿宋" w:eastAsia="仿宋" w:cs="仿宋"/>
          <w:color w:val="000000"/>
          <w:sz w:val="32"/>
          <w:szCs w:val="32"/>
          <w:lang w:val="en-US" w:eastAsia="zh-CN"/>
        </w:rPr>
        <w:t>25</w:t>
      </w:r>
      <w:r>
        <w:rPr>
          <w:rFonts w:hint="eastAsia" w:ascii="仿宋" w:hAnsi="仿宋" w:eastAsia="仿宋" w:cs="仿宋"/>
          <w:color w:val="000000"/>
          <w:sz w:val="32"/>
          <w:szCs w:val="32"/>
        </w:rPr>
        <w:t>年</w:t>
      </w:r>
      <w:r>
        <w:rPr>
          <w:rFonts w:hint="eastAsia" w:ascii="仿宋" w:hAnsi="仿宋" w:eastAsia="仿宋" w:cs="仿宋"/>
          <w:color w:val="000000"/>
          <w:sz w:val="32"/>
          <w:szCs w:val="32"/>
          <w:lang w:eastAsia="zh-CN"/>
        </w:rPr>
        <w:t>度</w:t>
      </w:r>
      <w:r>
        <w:rPr>
          <w:rFonts w:hint="eastAsia" w:ascii="仿宋" w:hAnsi="仿宋" w:eastAsia="仿宋" w:cs="仿宋"/>
          <w:color w:val="000000"/>
          <w:sz w:val="32"/>
          <w:szCs w:val="32"/>
        </w:rPr>
        <w:t>“三公”经费财政拨款支出决算为</w:t>
      </w:r>
      <w:r>
        <w:rPr>
          <w:rFonts w:hint="eastAsia" w:ascii="仿宋" w:hAnsi="仿宋" w:eastAsia="仿宋" w:cs="仿宋"/>
          <w:color w:val="000000"/>
          <w:sz w:val="32"/>
          <w:szCs w:val="32"/>
          <w:lang w:val="en-US" w:eastAsia="zh-CN"/>
        </w:rPr>
        <w:t>154.24</w:t>
      </w:r>
      <w:r>
        <w:rPr>
          <w:rFonts w:hint="eastAsia" w:ascii="仿宋" w:hAnsi="仿宋" w:eastAsia="仿宋" w:cs="仿宋"/>
          <w:color w:val="000000"/>
          <w:sz w:val="32"/>
          <w:szCs w:val="32"/>
        </w:rPr>
        <w:t>万元，完成预算</w:t>
      </w:r>
      <w:r>
        <w:rPr>
          <w:rFonts w:hint="eastAsia" w:ascii="仿宋" w:hAnsi="仿宋" w:eastAsia="仿宋" w:cs="仿宋"/>
          <w:color w:val="000000"/>
          <w:sz w:val="32"/>
          <w:szCs w:val="32"/>
          <w:lang w:val="en-US" w:eastAsia="zh-CN"/>
        </w:rPr>
        <w:t>100</w:t>
      </w:r>
      <w:r>
        <w:rPr>
          <w:rFonts w:ascii="仿宋" w:hAnsi="仿宋" w:eastAsia="仿宋" w:cs="仿宋"/>
          <w:color w:val="000000"/>
          <w:sz w:val="32"/>
          <w:szCs w:val="32"/>
        </w:rPr>
        <w:t>%</w:t>
      </w:r>
      <w:r>
        <w:rPr>
          <w:rFonts w:hint="eastAsia" w:ascii="仿宋" w:hAnsi="仿宋" w:eastAsia="仿宋" w:cs="仿宋"/>
          <w:color w:val="000000"/>
          <w:sz w:val="32"/>
          <w:szCs w:val="32"/>
        </w:rPr>
        <w:t>，决算数</w:t>
      </w:r>
      <w:r>
        <w:rPr>
          <w:rFonts w:hint="eastAsia" w:ascii="仿宋" w:hAnsi="仿宋" w:eastAsia="仿宋" w:cs="仿宋"/>
          <w:color w:val="000000"/>
          <w:sz w:val="32"/>
          <w:szCs w:val="32"/>
          <w:lang w:eastAsia="zh-CN"/>
        </w:rPr>
        <w:t>小于</w:t>
      </w:r>
      <w:r>
        <w:rPr>
          <w:rFonts w:hint="eastAsia" w:ascii="仿宋" w:hAnsi="仿宋" w:eastAsia="仿宋" w:cs="仿宋"/>
          <w:color w:val="000000"/>
          <w:sz w:val="32"/>
          <w:szCs w:val="32"/>
          <w:lang w:val="en-US" w:eastAsia="zh-CN"/>
        </w:rPr>
        <w:t>2024年度决算数</w:t>
      </w:r>
      <w:r>
        <w:rPr>
          <w:rFonts w:hint="eastAsia" w:ascii="仿宋" w:hAnsi="仿宋" w:eastAsia="仿宋" w:cs="仿宋"/>
          <w:color w:val="000000"/>
          <w:sz w:val="32"/>
          <w:szCs w:val="32"/>
        </w:rPr>
        <w:t>的主要</w:t>
      </w:r>
      <w:r>
        <w:rPr>
          <w:rFonts w:hint="eastAsia" w:ascii="仿宋" w:hAnsi="仿宋" w:eastAsia="仿宋" w:cs="仿宋"/>
          <w:color w:val="000000"/>
          <w:sz w:val="32"/>
          <w:szCs w:val="32"/>
          <w:lang w:eastAsia="zh-CN"/>
        </w:rPr>
        <w:t>厉行节约</w:t>
      </w:r>
      <w:r>
        <w:rPr>
          <w:rFonts w:hint="eastAsia" w:ascii="仿宋" w:hAnsi="仿宋" w:eastAsia="仿宋" w:cs="仿宋"/>
          <w:color w:val="000000"/>
          <w:sz w:val="32"/>
          <w:szCs w:val="32"/>
        </w:rPr>
        <w:t>。</w:t>
      </w:r>
    </w:p>
    <w:p w14:paraId="2939D04C">
      <w:pPr>
        <w:spacing w:line="600" w:lineRule="exact"/>
        <w:ind w:firstLine="640"/>
        <w:outlineLvl w:val="2"/>
        <w:rPr>
          <w:rFonts w:ascii="仿宋" w:hAnsi="仿宋" w:eastAsia="仿宋"/>
          <w:b/>
          <w:bCs/>
          <w:color w:val="000000"/>
          <w:sz w:val="32"/>
          <w:szCs w:val="32"/>
        </w:rPr>
      </w:pPr>
      <w:bookmarkStart w:id="24" w:name="_Toc15377217"/>
      <w:r>
        <w:rPr>
          <w:rFonts w:hint="eastAsia" w:ascii="仿宋" w:hAnsi="仿宋" w:eastAsia="仿宋" w:cs="仿宋"/>
          <w:b/>
          <w:bCs/>
          <w:color w:val="000000"/>
          <w:sz w:val="32"/>
          <w:szCs w:val="32"/>
        </w:rPr>
        <w:t>（二）“三公”经费财政拨款支出决算具体情况说明</w:t>
      </w:r>
      <w:bookmarkEnd w:id="24"/>
    </w:p>
    <w:p w14:paraId="6D4C61A7">
      <w:pPr>
        <w:spacing w:line="600" w:lineRule="exact"/>
        <w:ind w:firstLine="640"/>
        <w:rPr>
          <w:rFonts w:hint="eastAsia" w:eastAsia="仿宋"/>
          <w:lang w:eastAsia="zh-CN"/>
        </w:rPr>
      </w:pPr>
      <w:r>
        <w:rPr>
          <w:rFonts w:ascii="仿宋" w:hAnsi="仿宋" w:eastAsia="仿宋" w:cs="仿宋"/>
          <w:color w:val="000000"/>
          <w:sz w:val="32"/>
          <w:szCs w:val="32"/>
        </w:rPr>
        <w:t>20</w:t>
      </w:r>
      <w:r>
        <w:rPr>
          <w:rFonts w:hint="eastAsia" w:ascii="仿宋" w:hAnsi="仿宋" w:eastAsia="仿宋" w:cs="仿宋"/>
          <w:color w:val="000000"/>
          <w:sz w:val="32"/>
          <w:szCs w:val="32"/>
          <w:lang w:val="en-US" w:eastAsia="zh-CN"/>
        </w:rPr>
        <w:t>25</w:t>
      </w:r>
      <w:r>
        <w:rPr>
          <w:rFonts w:hint="eastAsia" w:ascii="仿宋" w:hAnsi="仿宋" w:eastAsia="仿宋" w:cs="仿宋"/>
          <w:color w:val="000000"/>
          <w:sz w:val="32"/>
          <w:szCs w:val="32"/>
        </w:rPr>
        <w:t>年</w:t>
      </w:r>
      <w:r>
        <w:rPr>
          <w:rFonts w:hint="eastAsia" w:ascii="仿宋" w:hAnsi="仿宋" w:eastAsia="仿宋" w:cs="仿宋"/>
          <w:color w:val="000000"/>
          <w:sz w:val="32"/>
          <w:szCs w:val="32"/>
          <w:lang w:eastAsia="zh-CN"/>
        </w:rPr>
        <w:t>度</w:t>
      </w:r>
      <w:r>
        <w:rPr>
          <w:rFonts w:hint="eastAsia" w:ascii="仿宋" w:hAnsi="仿宋" w:eastAsia="仿宋" w:cs="仿宋"/>
          <w:color w:val="000000"/>
          <w:sz w:val="32"/>
          <w:szCs w:val="32"/>
        </w:rPr>
        <w:t>“三公”经费财政拨款支出决算中，因公出国（境）费支出决算</w:t>
      </w:r>
      <w:r>
        <w:rPr>
          <w:rFonts w:ascii="仿宋" w:hAnsi="仿宋" w:eastAsia="仿宋" w:cs="仿宋"/>
          <w:color w:val="000000"/>
          <w:sz w:val="32"/>
          <w:szCs w:val="32"/>
        </w:rPr>
        <w:t>0</w:t>
      </w:r>
      <w:r>
        <w:rPr>
          <w:rFonts w:hint="eastAsia" w:ascii="仿宋" w:hAnsi="仿宋" w:eastAsia="仿宋" w:cs="仿宋"/>
          <w:color w:val="000000"/>
          <w:sz w:val="32"/>
          <w:szCs w:val="32"/>
        </w:rPr>
        <w:t>万元，占</w:t>
      </w:r>
      <w:r>
        <w:rPr>
          <w:rFonts w:ascii="仿宋" w:hAnsi="仿宋" w:eastAsia="仿宋" w:cs="仿宋"/>
          <w:color w:val="000000"/>
          <w:sz w:val="32"/>
          <w:szCs w:val="32"/>
        </w:rPr>
        <w:t>0%</w:t>
      </w:r>
      <w:r>
        <w:rPr>
          <w:rFonts w:hint="eastAsia" w:ascii="仿宋" w:hAnsi="仿宋" w:eastAsia="仿宋" w:cs="仿宋"/>
          <w:color w:val="000000"/>
          <w:sz w:val="32"/>
          <w:szCs w:val="32"/>
        </w:rPr>
        <w:t>；公务用车购置及运行维护费支出决算</w:t>
      </w:r>
      <w:r>
        <w:rPr>
          <w:rFonts w:hint="eastAsia" w:ascii="仿宋" w:hAnsi="仿宋" w:eastAsia="仿宋" w:cs="仿宋"/>
          <w:color w:val="000000"/>
          <w:sz w:val="32"/>
          <w:szCs w:val="32"/>
          <w:lang w:val="en-US" w:eastAsia="zh-CN"/>
        </w:rPr>
        <w:t>153.57</w:t>
      </w:r>
      <w:r>
        <w:rPr>
          <w:rFonts w:hint="eastAsia" w:ascii="仿宋" w:hAnsi="仿宋" w:eastAsia="仿宋" w:cs="仿宋"/>
          <w:color w:val="000000"/>
          <w:sz w:val="32"/>
          <w:szCs w:val="32"/>
        </w:rPr>
        <w:t>万元，占</w:t>
      </w:r>
      <w:r>
        <w:rPr>
          <w:rFonts w:hint="eastAsia" w:ascii="仿宋" w:hAnsi="仿宋" w:eastAsia="仿宋" w:cs="仿宋"/>
          <w:color w:val="000000"/>
          <w:sz w:val="32"/>
          <w:szCs w:val="32"/>
          <w:lang w:val="en-US" w:eastAsia="zh-CN"/>
        </w:rPr>
        <w:t>99.55</w:t>
      </w:r>
      <w:r>
        <w:rPr>
          <w:rFonts w:ascii="仿宋" w:hAnsi="仿宋" w:eastAsia="仿宋" w:cs="仿宋"/>
          <w:color w:val="000000"/>
          <w:sz w:val="32"/>
          <w:szCs w:val="32"/>
        </w:rPr>
        <w:t>%</w:t>
      </w:r>
      <w:r>
        <w:rPr>
          <w:rFonts w:hint="eastAsia" w:ascii="仿宋" w:hAnsi="仿宋" w:eastAsia="仿宋" w:cs="仿宋"/>
          <w:color w:val="000000"/>
          <w:sz w:val="32"/>
          <w:szCs w:val="32"/>
        </w:rPr>
        <w:t>；公务接待费支出决算</w:t>
      </w:r>
      <w:r>
        <w:rPr>
          <w:rFonts w:hint="eastAsia" w:ascii="仿宋" w:hAnsi="仿宋" w:eastAsia="仿宋" w:cs="仿宋"/>
          <w:color w:val="000000"/>
          <w:sz w:val="32"/>
          <w:szCs w:val="32"/>
          <w:lang w:val="en-US" w:eastAsia="zh-CN"/>
        </w:rPr>
        <w:t>0.7</w:t>
      </w:r>
      <w:r>
        <w:rPr>
          <w:rFonts w:hint="eastAsia" w:ascii="仿宋" w:hAnsi="仿宋" w:eastAsia="仿宋" w:cs="仿宋"/>
          <w:color w:val="000000"/>
          <w:sz w:val="32"/>
          <w:szCs w:val="32"/>
        </w:rPr>
        <w:t>万元，占</w:t>
      </w:r>
      <w:r>
        <w:rPr>
          <w:rFonts w:hint="eastAsia" w:ascii="仿宋" w:hAnsi="仿宋" w:eastAsia="仿宋" w:cs="仿宋"/>
          <w:color w:val="000000"/>
          <w:sz w:val="32"/>
          <w:szCs w:val="32"/>
          <w:lang w:val="en-US" w:eastAsia="zh-CN"/>
        </w:rPr>
        <w:t>0.45</w:t>
      </w:r>
      <w:r>
        <w:rPr>
          <w:rFonts w:ascii="仿宋" w:hAnsi="仿宋" w:eastAsia="仿宋" w:cs="仿宋"/>
          <w:color w:val="000000"/>
          <w:sz w:val="32"/>
          <w:szCs w:val="32"/>
        </w:rPr>
        <w:t>%</w:t>
      </w:r>
      <w:r>
        <w:rPr>
          <w:rFonts w:hint="eastAsia" w:ascii="仿宋" w:hAnsi="仿宋" w:eastAsia="仿宋" w:cs="仿宋"/>
          <w:color w:val="000000"/>
          <w:sz w:val="32"/>
          <w:szCs w:val="32"/>
        </w:rPr>
        <w:t>。具体情况如下</w:t>
      </w:r>
      <w:r>
        <w:rPr>
          <w:rFonts w:hint="eastAsia" w:ascii="仿宋" w:hAnsi="仿宋" w:eastAsia="仿宋" w:cs="仿宋"/>
          <w:color w:val="000000"/>
          <w:sz w:val="32"/>
          <w:szCs w:val="32"/>
          <w:lang w:eastAsia="zh-CN"/>
        </w:rPr>
        <w:t>：</w:t>
      </w:r>
    </w:p>
    <w:p w14:paraId="02F6B9BA">
      <w:pPr>
        <w:spacing w:line="600" w:lineRule="exact"/>
        <w:ind w:firstLine="640"/>
        <w:rPr>
          <w:rFonts w:hint="eastAsia" w:ascii="仿宋" w:hAnsi="仿宋" w:eastAsia="仿宋" w:cs="仿宋"/>
          <w:color w:val="000000"/>
          <w:sz w:val="32"/>
          <w:szCs w:val="32"/>
        </w:rPr>
      </w:pPr>
      <w:r>
        <w:rPr>
          <w:rFonts w:hint="eastAsia" w:ascii="仿宋" w:hAnsi="仿宋" w:eastAsia="仿宋" w:cs="仿宋"/>
          <w:color w:val="000000"/>
          <w:sz w:val="32"/>
          <w:szCs w:val="32"/>
        </w:rPr>
        <w:t>（图</w:t>
      </w:r>
      <w:r>
        <w:rPr>
          <w:rFonts w:ascii="仿宋" w:hAnsi="仿宋" w:eastAsia="仿宋" w:cs="仿宋"/>
          <w:color w:val="000000"/>
          <w:sz w:val="32"/>
          <w:szCs w:val="32"/>
        </w:rPr>
        <w:t>8</w:t>
      </w:r>
      <w:r>
        <w:rPr>
          <w:rFonts w:hint="eastAsia" w:ascii="仿宋" w:hAnsi="仿宋" w:eastAsia="仿宋" w:cs="仿宋"/>
          <w:color w:val="000000"/>
          <w:sz w:val="32"/>
          <w:szCs w:val="32"/>
        </w:rPr>
        <w:t>：“三公”经费财政拨款支出结构）（饼状图）</w:t>
      </w:r>
    </w:p>
    <w:p w14:paraId="00695107">
      <w:pPr>
        <w:pStyle w:val="12"/>
        <w:rPr>
          <w:rFonts w:hint="eastAsia"/>
        </w:rPr>
      </w:pPr>
      <w:r>
        <w:pict>
          <v:shape id="_x0000_s1032" o:spid="_x0000_s1032" o:spt="75" type="#_x0000_t75" style="position:absolute;left:0pt;margin-left:-21.15pt;margin-top:1.95pt;height:243.3pt;width:445.4pt;z-index:251665408;mso-width-relative:page;mso-height-relative:page;" o:ole="t" filled="f" o:preferrelative="t" stroked="f" coordsize="21600,21600">
            <v:path/>
            <v:fill on="f" focussize="0,0"/>
            <v:stroke on="f"/>
            <v:imagedata r:id="rId24" o:title=""/>
            <o:lock v:ext="edit" aspectratio="t"/>
          </v:shape>
          <o:OLEObject Type="Embed" ProgID="Excel.Chart.8" ShapeID="_x0000_s1032" DrawAspect="Content" ObjectID="_1468075731" r:id="rId23">
            <o:LockedField>false</o:LockedField>
          </o:OLEObject>
        </w:pict>
      </w:r>
    </w:p>
    <w:p w14:paraId="2C21FA7D">
      <w:pPr>
        <w:spacing w:line="600" w:lineRule="exact"/>
        <w:ind w:firstLine="640"/>
        <w:rPr>
          <w:rFonts w:hint="eastAsia" w:ascii="仿宋" w:hAnsi="仿宋" w:eastAsia="仿宋" w:cs="仿宋"/>
          <w:color w:val="000000"/>
          <w:sz w:val="32"/>
          <w:szCs w:val="32"/>
        </w:rPr>
      </w:pPr>
    </w:p>
    <w:p w14:paraId="4D62360E">
      <w:pPr>
        <w:spacing w:line="600" w:lineRule="exact"/>
        <w:ind w:firstLine="640"/>
        <w:rPr>
          <w:rFonts w:hint="eastAsia" w:ascii="仿宋" w:hAnsi="仿宋" w:eastAsia="仿宋" w:cs="仿宋"/>
          <w:color w:val="000000"/>
          <w:sz w:val="32"/>
          <w:szCs w:val="32"/>
        </w:rPr>
      </w:pPr>
    </w:p>
    <w:p w14:paraId="5509B0E8">
      <w:pPr>
        <w:spacing w:line="600" w:lineRule="exact"/>
        <w:ind w:firstLine="640"/>
        <w:rPr>
          <w:rFonts w:hint="eastAsia" w:ascii="仿宋" w:hAnsi="仿宋" w:eastAsia="仿宋" w:cs="仿宋"/>
          <w:color w:val="000000"/>
          <w:sz w:val="32"/>
          <w:szCs w:val="32"/>
        </w:rPr>
      </w:pPr>
    </w:p>
    <w:p w14:paraId="57944F43">
      <w:pPr>
        <w:spacing w:line="600" w:lineRule="exact"/>
        <w:ind w:firstLine="640"/>
        <w:rPr>
          <w:rFonts w:hint="eastAsia" w:ascii="仿宋" w:hAnsi="仿宋" w:eastAsia="仿宋" w:cs="仿宋"/>
          <w:color w:val="000000"/>
          <w:sz w:val="32"/>
          <w:szCs w:val="32"/>
        </w:rPr>
      </w:pPr>
    </w:p>
    <w:p w14:paraId="73F985AA">
      <w:pPr>
        <w:spacing w:line="600" w:lineRule="exact"/>
        <w:ind w:firstLine="640"/>
        <w:rPr>
          <w:rFonts w:hint="eastAsia" w:ascii="仿宋" w:hAnsi="仿宋" w:eastAsia="仿宋" w:cs="仿宋"/>
          <w:color w:val="000000"/>
          <w:sz w:val="32"/>
          <w:szCs w:val="32"/>
        </w:rPr>
      </w:pPr>
    </w:p>
    <w:p w14:paraId="7059F9CE">
      <w:pPr>
        <w:spacing w:line="600" w:lineRule="exact"/>
        <w:ind w:firstLine="640" w:firstLineChars="200"/>
        <w:rPr>
          <w:rFonts w:ascii="仿宋" w:hAnsi="仿宋" w:eastAsia="仿宋" w:cs="仿宋"/>
          <w:color w:val="000000"/>
          <w:sz w:val="32"/>
          <w:szCs w:val="32"/>
        </w:rPr>
      </w:pPr>
    </w:p>
    <w:p w14:paraId="0F52A838">
      <w:pPr>
        <w:spacing w:line="600" w:lineRule="exact"/>
        <w:ind w:firstLine="640" w:firstLineChars="200"/>
        <w:rPr>
          <w:rFonts w:ascii="仿宋" w:hAnsi="仿宋" w:eastAsia="仿宋" w:cs="仿宋"/>
          <w:color w:val="000000"/>
          <w:sz w:val="32"/>
          <w:szCs w:val="32"/>
        </w:rPr>
      </w:pPr>
    </w:p>
    <w:p w14:paraId="1F99B315">
      <w:pPr>
        <w:spacing w:line="600" w:lineRule="exact"/>
        <w:ind w:firstLine="640"/>
        <w:rPr>
          <w:rFonts w:ascii="仿宋" w:hAnsi="仿宋" w:eastAsia="仿宋"/>
          <w:color w:val="000000"/>
          <w:sz w:val="32"/>
          <w:szCs w:val="32"/>
        </w:rPr>
      </w:pPr>
      <w:r>
        <w:rPr>
          <w:rFonts w:hint="eastAsia" w:ascii="仿宋" w:hAnsi="仿宋" w:eastAsia="仿宋" w:cs="仿宋"/>
          <w:color w:val="000000"/>
          <w:sz w:val="32"/>
          <w:szCs w:val="32"/>
          <w:lang w:val="en-US" w:eastAsia="zh-CN"/>
        </w:rPr>
        <w:t>1.</w:t>
      </w:r>
      <w:r>
        <w:rPr>
          <w:rFonts w:hint="eastAsia" w:ascii="仿宋" w:hAnsi="仿宋" w:eastAsia="仿宋" w:cs="仿宋"/>
          <w:color w:val="000000"/>
          <w:sz w:val="32"/>
          <w:szCs w:val="32"/>
        </w:rPr>
        <w:t>因公出国（境）</w:t>
      </w:r>
      <w:r>
        <w:rPr>
          <w:rFonts w:hint="eastAsia" w:ascii="仿宋" w:hAnsi="仿宋" w:eastAsia="仿宋" w:cs="仿宋"/>
          <w:color w:val="000000"/>
          <w:sz w:val="32"/>
          <w:szCs w:val="32"/>
          <w:lang w:eastAsia="zh-CN"/>
        </w:rPr>
        <w:t>经费支出</w:t>
      </w:r>
      <w:r>
        <w:rPr>
          <w:rFonts w:hint="eastAsia" w:ascii="仿宋" w:hAnsi="仿宋" w:eastAsia="仿宋" w:cs="仿宋"/>
          <w:color w:val="000000"/>
          <w:sz w:val="32"/>
          <w:szCs w:val="32"/>
          <w:lang w:val="en-US" w:eastAsia="zh-CN"/>
        </w:rPr>
        <w:t>0万元</w:t>
      </w:r>
      <w:r>
        <w:rPr>
          <w:rFonts w:hint="eastAsia" w:ascii="仿宋" w:hAnsi="仿宋" w:eastAsia="仿宋" w:cs="仿宋"/>
          <w:color w:val="000000"/>
          <w:sz w:val="32"/>
          <w:szCs w:val="32"/>
        </w:rPr>
        <w:t>。</w:t>
      </w:r>
    </w:p>
    <w:p w14:paraId="0C8D674B">
      <w:pPr>
        <w:spacing w:line="600" w:lineRule="exact"/>
        <w:ind w:firstLine="640"/>
        <w:rPr>
          <w:rFonts w:ascii="仿宋" w:hAnsi="仿宋" w:eastAsia="仿宋"/>
          <w:color w:val="000000"/>
          <w:sz w:val="32"/>
          <w:szCs w:val="32"/>
        </w:rPr>
      </w:pPr>
      <w:r>
        <w:rPr>
          <w:rFonts w:ascii="仿宋" w:hAnsi="仿宋" w:eastAsia="仿宋" w:cs="仿宋"/>
          <w:color w:val="000000"/>
          <w:sz w:val="32"/>
          <w:szCs w:val="32"/>
        </w:rPr>
        <w:t>2.</w:t>
      </w:r>
      <w:r>
        <w:rPr>
          <w:rFonts w:hint="eastAsia" w:ascii="仿宋" w:hAnsi="仿宋" w:eastAsia="仿宋" w:cs="仿宋"/>
          <w:color w:val="000000"/>
          <w:sz w:val="32"/>
          <w:szCs w:val="32"/>
        </w:rPr>
        <w:t>公务用车购置及运行维护费支出</w:t>
      </w:r>
      <w:r>
        <w:rPr>
          <w:rFonts w:hint="eastAsia" w:ascii="仿宋" w:hAnsi="仿宋" w:eastAsia="仿宋" w:cs="仿宋"/>
          <w:color w:val="000000"/>
          <w:sz w:val="32"/>
          <w:szCs w:val="32"/>
          <w:lang w:val="en-US" w:eastAsia="zh-CN"/>
        </w:rPr>
        <w:t>153.57</w:t>
      </w:r>
      <w:r>
        <w:rPr>
          <w:rFonts w:hint="eastAsia" w:ascii="仿宋" w:hAnsi="仿宋" w:eastAsia="仿宋" w:cs="仿宋"/>
          <w:color w:val="000000"/>
          <w:sz w:val="32"/>
          <w:szCs w:val="32"/>
        </w:rPr>
        <w:t>万元</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完成预算</w:t>
      </w:r>
      <w:r>
        <w:rPr>
          <w:rFonts w:hint="eastAsia" w:ascii="仿宋" w:hAnsi="仿宋" w:eastAsia="仿宋" w:cs="仿宋"/>
          <w:color w:val="000000"/>
          <w:sz w:val="32"/>
          <w:szCs w:val="32"/>
          <w:lang w:val="en-US" w:eastAsia="zh-CN"/>
        </w:rPr>
        <w:t>100</w:t>
      </w:r>
      <w:r>
        <w:rPr>
          <w:rFonts w:hint="eastAsia" w:ascii="仿宋" w:hAnsi="仿宋" w:eastAsia="仿宋" w:cs="仿宋"/>
          <w:color w:val="000000"/>
          <w:sz w:val="32"/>
          <w:szCs w:val="32"/>
        </w:rPr>
        <w:t>%。公务用车购置及运行维护费支出决算比20</w:t>
      </w:r>
      <w:r>
        <w:rPr>
          <w:rFonts w:hint="eastAsia" w:ascii="仿宋" w:hAnsi="仿宋" w:eastAsia="仿宋" w:cs="仿宋"/>
          <w:color w:val="000000"/>
          <w:sz w:val="32"/>
          <w:szCs w:val="32"/>
          <w:lang w:val="en-US" w:eastAsia="zh-CN"/>
        </w:rPr>
        <w:t>24</w:t>
      </w:r>
      <w:r>
        <w:rPr>
          <w:rFonts w:hint="eastAsia" w:ascii="仿宋" w:hAnsi="仿宋" w:eastAsia="仿宋" w:cs="仿宋"/>
          <w:color w:val="000000"/>
          <w:sz w:val="32"/>
          <w:szCs w:val="32"/>
        </w:rPr>
        <w:t>年</w:t>
      </w:r>
      <w:r>
        <w:rPr>
          <w:rFonts w:hint="eastAsia" w:ascii="仿宋" w:hAnsi="仿宋" w:eastAsia="仿宋" w:cs="仿宋"/>
          <w:color w:val="000000"/>
          <w:sz w:val="32"/>
          <w:szCs w:val="32"/>
          <w:lang w:eastAsia="zh-CN"/>
        </w:rPr>
        <w:t>度减少</w:t>
      </w:r>
      <w:r>
        <w:rPr>
          <w:rFonts w:hint="eastAsia" w:ascii="仿宋" w:hAnsi="仿宋" w:eastAsia="仿宋" w:cs="仿宋"/>
          <w:color w:val="000000"/>
          <w:sz w:val="32"/>
          <w:szCs w:val="32"/>
          <w:lang w:val="en-US" w:eastAsia="zh-CN"/>
        </w:rPr>
        <w:t>90.32</w:t>
      </w:r>
      <w:r>
        <w:rPr>
          <w:rFonts w:hint="eastAsia" w:ascii="仿宋" w:hAnsi="仿宋" w:eastAsia="仿宋" w:cs="仿宋"/>
          <w:color w:val="000000"/>
          <w:sz w:val="32"/>
          <w:szCs w:val="32"/>
        </w:rPr>
        <w:t>，</w:t>
      </w:r>
      <w:r>
        <w:rPr>
          <w:rFonts w:hint="eastAsia" w:ascii="仿宋" w:hAnsi="仿宋" w:eastAsia="仿宋" w:cs="仿宋"/>
          <w:color w:val="000000"/>
          <w:sz w:val="32"/>
          <w:szCs w:val="32"/>
          <w:lang w:eastAsia="zh-CN"/>
        </w:rPr>
        <w:t>下降</w:t>
      </w:r>
      <w:r>
        <w:rPr>
          <w:rFonts w:hint="eastAsia" w:ascii="仿宋" w:hAnsi="仿宋" w:eastAsia="仿宋" w:cs="仿宋"/>
          <w:color w:val="000000"/>
          <w:sz w:val="32"/>
          <w:szCs w:val="32"/>
          <w:lang w:val="en-US" w:eastAsia="zh-CN"/>
        </w:rPr>
        <w:t>37.03</w:t>
      </w:r>
      <w:r>
        <w:rPr>
          <w:rFonts w:ascii="仿宋" w:hAnsi="仿宋" w:eastAsia="仿宋" w:cs="仿宋"/>
          <w:color w:val="000000"/>
          <w:sz w:val="32"/>
          <w:szCs w:val="32"/>
        </w:rPr>
        <w:t>%</w:t>
      </w:r>
      <w:r>
        <w:rPr>
          <w:rFonts w:hint="eastAsia" w:ascii="仿宋" w:hAnsi="仿宋" w:eastAsia="仿宋" w:cs="仿宋"/>
          <w:color w:val="000000"/>
          <w:sz w:val="32"/>
          <w:szCs w:val="32"/>
        </w:rPr>
        <w:t>。主要原因是</w:t>
      </w:r>
      <w:r>
        <w:rPr>
          <w:rFonts w:hint="eastAsia" w:ascii="仿宋" w:hAnsi="仿宋" w:eastAsia="仿宋" w:cs="仿宋"/>
          <w:color w:val="000000"/>
          <w:sz w:val="32"/>
          <w:szCs w:val="32"/>
          <w:lang w:val="en-US" w:eastAsia="zh-CN"/>
        </w:rPr>
        <w:t>2024年度局机关</w:t>
      </w:r>
      <w:r>
        <w:rPr>
          <w:rFonts w:hint="eastAsia" w:ascii="仿宋" w:hAnsi="仿宋" w:eastAsia="仿宋" w:cs="仿宋"/>
          <w:color w:val="000000"/>
          <w:sz w:val="32"/>
          <w:szCs w:val="32"/>
          <w:lang w:eastAsia="zh-CN"/>
        </w:rPr>
        <w:t>购入公务用车两辆，</w:t>
      </w:r>
      <w:r>
        <w:rPr>
          <w:rFonts w:hint="eastAsia" w:ascii="仿宋" w:hAnsi="仿宋" w:eastAsia="仿宋" w:cs="仿宋"/>
          <w:color w:val="000000"/>
          <w:sz w:val="32"/>
          <w:szCs w:val="32"/>
          <w:lang w:val="en-US" w:eastAsia="zh-CN"/>
        </w:rPr>
        <w:t>2025年度未新购置公务用车</w:t>
      </w:r>
      <w:r>
        <w:rPr>
          <w:rFonts w:hint="eastAsia" w:ascii="仿宋" w:hAnsi="仿宋" w:eastAsia="仿宋" w:cs="仿宋"/>
          <w:color w:val="000000"/>
          <w:sz w:val="32"/>
          <w:szCs w:val="32"/>
        </w:rPr>
        <w:t>。</w:t>
      </w:r>
    </w:p>
    <w:p w14:paraId="16186F0D">
      <w:pPr>
        <w:spacing w:line="600" w:lineRule="exact"/>
        <w:ind w:firstLine="640" w:firstLineChars="200"/>
        <w:rPr>
          <w:rFonts w:ascii="仿宋" w:hAnsi="仿宋" w:eastAsia="仿宋"/>
          <w:color w:val="auto"/>
          <w:sz w:val="32"/>
          <w:szCs w:val="32"/>
        </w:rPr>
      </w:pPr>
      <w:r>
        <w:rPr>
          <w:rFonts w:hint="eastAsia" w:ascii="仿宋" w:hAnsi="仿宋" w:eastAsia="仿宋" w:cs="仿宋"/>
          <w:color w:val="auto"/>
          <w:sz w:val="32"/>
          <w:szCs w:val="32"/>
        </w:rPr>
        <w:t>其中：公务用车购置支出</w:t>
      </w:r>
      <w:r>
        <w:rPr>
          <w:rFonts w:hint="eastAsia" w:ascii="仿宋" w:hAnsi="仿宋" w:eastAsia="仿宋" w:cs="仿宋"/>
          <w:color w:val="auto"/>
          <w:sz w:val="32"/>
          <w:szCs w:val="32"/>
          <w:lang w:val="en-US" w:eastAsia="zh-CN"/>
        </w:rPr>
        <w:t>0万元</w:t>
      </w:r>
      <w:r>
        <w:rPr>
          <w:rFonts w:hint="eastAsia" w:ascii="仿宋" w:hAnsi="仿宋" w:eastAsia="仿宋" w:cs="仿宋"/>
          <w:color w:val="auto"/>
          <w:sz w:val="32"/>
          <w:szCs w:val="32"/>
        </w:rPr>
        <w:t>。全年购置公务用车</w:t>
      </w:r>
      <w:r>
        <w:rPr>
          <w:rFonts w:hint="eastAsia" w:ascii="仿宋" w:hAnsi="仿宋" w:eastAsia="仿宋" w:cs="仿宋"/>
          <w:color w:val="auto"/>
          <w:sz w:val="32"/>
          <w:szCs w:val="32"/>
          <w:lang w:eastAsia="zh-CN"/>
        </w:rPr>
        <w:t>两辆</w:t>
      </w:r>
      <w:r>
        <w:rPr>
          <w:rFonts w:hint="eastAsia" w:ascii="仿宋" w:hAnsi="仿宋" w:eastAsia="仿宋" w:cs="仿宋"/>
          <w:color w:val="auto"/>
          <w:sz w:val="32"/>
          <w:szCs w:val="32"/>
        </w:rPr>
        <w:t>。截至</w:t>
      </w:r>
      <w:r>
        <w:rPr>
          <w:rFonts w:ascii="仿宋" w:hAnsi="仿宋" w:eastAsia="仿宋" w:cs="仿宋"/>
          <w:color w:val="auto"/>
          <w:sz w:val="32"/>
          <w:szCs w:val="32"/>
        </w:rPr>
        <w:t>20</w:t>
      </w:r>
      <w:r>
        <w:rPr>
          <w:rFonts w:hint="eastAsia" w:ascii="仿宋" w:hAnsi="仿宋" w:eastAsia="仿宋" w:cs="仿宋"/>
          <w:color w:val="auto"/>
          <w:sz w:val="32"/>
          <w:szCs w:val="32"/>
          <w:lang w:val="en-US" w:eastAsia="zh-CN"/>
        </w:rPr>
        <w:t>25</w:t>
      </w:r>
      <w:r>
        <w:rPr>
          <w:rFonts w:hint="eastAsia" w:ascii="仿宋" w:hAnsi="仿宋" w:eastAsia="仿宋" w:cs="仿宋"/>
          <w:color w:val="auto"/>
          <w:sz w:val="32"/>
          <w:szCs w:val="32"/>
        </w:rPr>
        <w:t>年</w:t>
      </w:r>
      <w:r>
        <w:rPr>
          <w:rFonts w:ascii="仿宋" w:hAnsi="仿宋" w:eastAsia="仿宋" w:cs="仿宋"/>
          <w:color w:val="auto"/>
          <w:sz w:val="32"/>
          <w:szCs w:val="32"/>
        </w:rPr>
        <w:t>12</w:t>
      </w:r>
      <w:r>
        <w:rPr>
          <w:rFonts w:hint="eastAsia" w:ascii="仿宋" w:hAnsi="仿宋" w:eastAsia="仿宋" w:cs="仿宋"/>
          <w:color w:val="auto"/>
          <w:sz w:val="32"/>
          <w:szCs w:val="32"/>
        </w:rPr>
        <w:t>月底，</w:t>
      </w:r>
      <w:r>
        <w:rPr>
          <w:rFonts w:hint="eastAsia" w:ascii="仿宋" w:hAnsi="仿宋" w:eastAsia="仿宋" w:cs="仿宋"/>
          <w:color w:val="auto"/>
          <w:sz w:val="32"/>
          <w:szCs w:val="32"/>
          <w:lang w:eastAsia="zh-CN"/>
        </w:rPr>
        <w:t>部门</w:t>
      </w:r>
      <w:r>
        <w:rPr>
          <w:rFonts w:hint="eastAsia" w:ascii="仿宋" w:hAnsi="仿宋" w:eastAsia="仿宋" w:cs="仿宋"/>
          <w:color w:val="auto"/>
          <w:sz w:val="32"/>
          <w:szCs w:val="32"/>
        </w:rPr>
        <w:t>共有公务用车</w:t>
      </w:r>
      <w:r>
        <w:rPr>
          <w:rFonts w:hint="eastAsia" w:ascii="仿宋" w:hAnsi="仿宋" w:eastAsia="仿宋" w:cs="仿宋"/>
          <w:color w:val="auto"/>
          <w:sz w:val="32"/>
          <w:szCs w:val="32"/>
          <w:lang w:val="en-US" w:eastAsia="zh-CN"/>
        </w:rPr>
        <w:t>32</w:t>
      </w:r>
      <w:r>
        <w:rPr>
          <w:rFonts w:hint="eastAsia" w:ascii="仿宋" w:hAnsi="仿宋" w:eastAsia="仿宋" w:cs="仿宋"/>
          <w:color w:val="auto"/>
          <w:sz w:val="32"/>
          <w:szCs w:val="32"/>
        </w:rPr>
        <w:t>辆，其中：</w:t>
      </w:r>
      <w:r>
        <w:rPr>
          <w:rFonts w:hint="eastAsia" w:ascii="仿宋" w:hAnsi="仿宋" w:eastAsia="仿宋" w:cs="仿宋"/>
          <w:color w:val="auto"/>
          <w:sz w:val="32"/>
          <w:szCs w:val="32"/>
          <w:lang w:eastAsia="zh-CN"/>
        </w:rPr>
        <w:t>部门</w:t>
      </w:r>
      <w:r>
        <w:rPr>
          <w:rFonts w:hint="eastAsia" w:ascii="仿宋" w:hAnsi="仿宋" w:eastAsia="仿宋" w:cs="仿宋"/>
          <w:color w:val="auto"/>
          <w:sz w:val="32"/>
          <w:szCs w:val="32"/>
        </w:rPr>
        <w:t>共有公务用车</w:t>
      </w:r>
      <w:r>
        <w:rPr>
          <w:rFonts w:hint="eastAsia" w:ascii="仿宋" w:hAnsi="仿宋" w:eastAsia="仿宋" w:cs="仿宋"/>
          <w:color w:val="auto"/>
          <w:sz w:val="32"/>
          <w:szCs w:val="32"/>
          <w:lang w:val="en-US" w:eastAsia="zh-CN"/>
        </w:rPr>
        <w:t>30</w:t>
      </w:r>
      <w:r>
        <w:rPr>
          <w:rFonts w:hint="eastAsia" w:ascii="仿宋" w:hAnsi="仿宋" w:eastAsia="仿宋" w:cs="仿宋"/>
          <w:color w:val="auto"/>
          <w:sz w:val="32"/>
          <w:szCs w:val="32"/>
        </w:rPr>
        <w:t>辆，其中：轿车</w:t>
      </w:r>
      <w:r>
        <w:rPr>
          <w:rFonts w:hint="eastAsia" w:ascii="仿宋" w:hAnsi="仿宋" w:eastAsia="仿宋" w:cs="仿宋"/>
          <w:color w:val="auto"/>
          <w:sz w:val="32"/>
          <w:szCs w:val="32"/>
          <w:lang w:val="en-US" w:eastAsia="zh-CN"/>
        </w:rPr>
        <w:t>5</w:t>
      </w:r>
      <w:r>
        <w:rPr>
          <w:rFonts w:hint="eastAsia" w:ascii="仿宋" w:hAnsi="仿宋" w:eastAsia="仿宋" w:cs="仿宋"/>
          <w:color w:val="auto"/>
          <w:sz w:val="32"/>
          <w:szCs w:val="32"/>
        </w:rPr>
        <w:t>辆、越野车</w:t>
      </w:r>
      <w:r>
        <w:rPr>
          <w:rFonts w:hint="eastAsia" w:ascii="仿宋" w:hAnsi="仿宋" w:eastAsia="仿宋" w:cs="仿宋"/>
          <w:color w:val="auto"/>
          <w:sz w:val="32"/>
          <w:szCs w:val="32"/>
          <w:lang w:val="en-US" w:eastAsia="zh-CN"/>
        </w:rPr>
        <w:t>20</w:t>
      </w:r>
      <w:r>
        <w:rPr>
          <w:rFonts w:hint="eastAsia" w:ascii="仿宋" w:hAnsi="仿宋" w:eastAsia="仿宋" w:cs="仿宋"/>
          <w:color w:val="auto"/>
          <w:sz w:val="32"/>
          <w:szCs w:val="32"/>
        </w:rPr>
        <w:t>辆、药品快速检测车</w:t>
      </w:r>
      <w:r>
        <w:rPr>
          <w:rFonts w:hint="eastAsia" w:ascii="仿宋" w:hAnsi="仿宋" w:eastAsia="仿宋" w:cs="仿宋"/>
          <w:color w:val="auto"/>
          <w:sz w:val="32"/>
          <w:szCs w:val="32"/>
          <w:lang w:val="en-US" w:eastAsia="zh-CN"/>
        </w:rPr>
        <w:t>2</w:t>
      </w:r>
      <w:r>
        <w:rPr>
          <w:rFonts w:hint="eastAsia" w:ascii="仿宋" w:hAnsi="仿宋" w:eastAsia="仿宋" w:cs="仿宋"/>
          <w:color w:val="auto"/>
          <w:sz w:val="32"/>
          <w:szCs w:val="32"/>
        </w:rPr>
        <w:t>辆</w:t>
      </w:r>
      <w:r>
        <w:rPr>
          <w:rFonts w:hint="eastAsia" w:ascii="仿宋" w:hAnsi="仿宋" w:eastAsia="仿宋" w:cs="仿宋"/>
          <w:color w:val="auto"/>
          <w:sz w:val="32"/>
          <w:szCs w:val="32"/>
          <w:lang w:eastAsia="zh-CN"/>
        </w:rPr>
        <w:t>、食品快速检测车</w:t>
      </w:r>
      <w:r>
        <w:rPr>
          <w:rFonts w:hint="eastAsia" w:ascii="仿宋" w:hAnsi="仿宋" w:eastAsia="仿宋" w:cs="仿宋"/>
          <w:color w:val="auto"/>
          <w:sz w:val="32"/>
          <w:szCs w:val="32"/>
          <w:lang w:val="en-US" w:eastAsia="zh-CN"/>
        </w:rPr>
        <w:t>2</w:t>
      </w:r>
      <w:r>
        <w:rPr>
          <w:rFonts w:hint="eastAsia" w:ascii="仿宋" w:hAnsi="仿宋" w:eastAsia="仿宋" w:cs="仿宋"/>
          <w:color w:val="auto"/>
          <w:sz w:val="32"/>
          <w:szCs w:val="32"/>
          <w:lang w:eastAsia="zh-CN"/>
        </w:rPr>
        <w:t>辆、特种专业用车</w:t>
      </w:r>
      <w:r>
        <w:rPr>
          <w:rFonts w:hint="eastAsia" w:ascii="仿宋" w:hAnsi="仿宋" w:eastAsia="仿宋" w:cs="仿宋"/>
          <w:color w:val="auto"/>
          <w:sz w:val="32"/>
          <w:szCs w:val="32"/>
          <w:lang w:val="en-US" w:eastAsia="zh-CN"/>
        </w:rPr>
        <w:t>1辆</w:t>
      </w:r>
      <w:r>
        <w:rPr>
          <w:rFonts w:hint="eastAsia" w:ascii="仿宋" w:hAnsi="仿宋" w:eastAsia="仿宋" w:cs="仿宋"/>
          <w:color w:val="auto"/>
          <w:sz w:val="32"/>
          <w:szCs w:val="32"/>
        </w:rPr>
        <w:t>。</w:t>
      </w:r>
    </w:p>
    <w:p w14:paraId="6E7D7B67">
      <w:pPr>
        <w:spacing w:line="600" w:lineRule="exact"/>
        <w:ind w:firstLine="640"/>
        <w:rPr>
          <w:rFonts w:ascii="仿宋" w:hAnsi="仿宋" w:eastAsia="仿宋"/>
          <w:color w:val="000000"/>
          <w:sz w:val="32"/>
          <w:szCs w:val="32"/>
        </w:rPr>
      </w:pPr>
      <w:r>
        <w:rPr>
          <w:rFonts w:hint="eastAsia" w:ascii="仿宋" w:hAnsi="仿宋" w:eastAsia="仿宋" w:cs="仿宋"/>
          <w:color w:val="000000"/>
          <w:sz w:val="32"/>
          <w:szCs w:val="32"/>
        </w:rPr>
        <w:t>公务用车运行维护费支出</w:t>
      </w:r>
      <w:r>
        <w:rPr>
          <w:rFonts w:hint="eastAsia" w:ascii="仿宋" w:hAnsi="仿宋" w:eastAsia="仿宋" w:cs="仿宋"/>
          <w:color w:val="000000"/>
          <w:sz w:val="32"/>
          <w:szCs w:val="32"/>
          <w:lang w:val="en-US" w:eastAsia="zh-CN"/>
        </w:rPr>
        <w:t>153.57</w:t>
      </w:r>
      <w:r>
        <w:rPr>
          <w:rFonts w:hint="eastAsia" w:ascii="仿宋" w:hAnsi="仿宋" w:eastAsia="仿宋" w:cs="仿宋"/>
          <w:color w:val="000000"/>
          <w:sz w:val="32"/>
          <w:szCs w:val="32"/>
        </w:rPr>
        <w:t>万元。主要用于全州开展</w:t>
      </w:r>
      <w:r>
        <w:rPr>
          <w:rFonts w:hint="eastAsia" w:ascii="仿宋" w:hAnsi="仿宋" w:eastAsia="仿宋" w:cs="仿宋"/>
          <w:color w:val="000000"/>
          <w:sz w:val="32"/>
          <w:szCs w:val="32"/>
          <w:lang w:eastAsia="zh-CN"/>
        </w:rPr>
        <w:t>市场</w:t>
      </w:r>
      <w:r>
        <w:rPr>
          <w:rFonts w:hint="eastAsia" w:ascii="仿宋" w:hAnsi="仿宋" w:eastAsia="仿宋" w:cs="仿宋"/>
          <w:color w:val="000000"/>
          <w:sz w:val="32"/>
          <w:szCs w:val="32"/>
        </w:rPr>
        <w:t>安全</w:t>
      </w:r>
      <w:r>
        <w:rPr>
          <w:rFonts w:hint="eastAsia" w:ascii="仿宋" w:hAnsi="仿宋" w:eastAsia="仿宋" w:cs="仿宋"/>
          <w:color w:val="000000"/>
          <w:sz w:val="32"/>
          <w:szCs w:val="32"/>
          <w:lang w:eastAsia="zh-CN"/>
        </w:rPr>
        <w:t>监管</w:t>
      </w:r>
      <w:r>
        <w:rPr>
          <w:rFonts w:hint="eastAsia" w:ascii="仿宋" w:hAnsi="仿宋" w:eastAsia="仿宋" w:cs="仿宋"/>
          <w:color w:val="000000"/>
          <w:sz w:val="32"/>
          <w:szCs w:val="32"/>
        </w:rPr>
        <w:t>各类专项整治，</w:t>
      </w:r>
      <w:r>
        <w:rPr>
          <w:rFonts w:hint="eastAsia" w:ascii="仿宋" w:hAnsi="仿宋" w:eastAsia="仿宋" w:cs="仿宋"/>
          <w:color w:val="000000"/>
          <w:sz w:val="32"/>
          <w:szCs w:val="32"/>
          <w:lang w:eastAsia="zh-CN"/>
        </w:rPr>
        <w:t>市场安全监管</w:t>
      </w:r>
      <w:r>
        <w:rPr>
          <w:rFonts w:hint="eastAsia" w:ascii="仿宋" w:hAnsi="仿宋" w:eastAsia="仿宋" w:cs="仿宋"/>
          <w:color w:val="000000"/>
          <w:sz w:val="32"/>
          <w:szCs w:val="32"/>
        </w:rPr>
        <w:t>日常监督检查、抽检工作，保障重大活动和各类公务活动等所需的公务用车燃料费、维修费、过路过桥费、保险费等支出。</w:t>
      </w:r>
    </w:p>
    <w:p w14:paraId="3C0B5A05">
      <w:pPr>
        <w:spacing w:line="600" w:lineRule="exact"/>
        <w:ind w:firstLine="640"/>
        <w:rPr>
          <w:rFonts w:ascii="仿宋" w:hAnsi="仿宋" w:eastAsia="仿宋"/>
          <w:color w:val="000000"/>
          <w:sz w:val="32"/>
          <w:szCs w:val="32"/>
        </w:rPr>
      </w:pPr>
      <w:r>
        <w:rPr>
          <w:rFonts w:ascii="仿宋" w:hAnsi="仿宋" w:eastAsia="仿宋" w:cs="仿宋"/>
          <w:color w:val="000000"/>
          <w:sz w:val="32"/>
          <w:szCs w:val="32"/>
        </w:rPr>
        <w:t>3.</w:t>
      </w:r>
      <w:r>
        <w:rPr>
          <w:rFonts w:hint="eastAsia" w:ascii="仿宋" w:hAnsi="仿宋" w:eastAsia="仿宋" w:cs="仿宋"/>
          <w:color w:val="000000"/>
          <w:sz w:val="32"/>
          <w:szCs w:val="32"/>
        </w:rPr>
        <w:t>公务接待费支出</w:t>
      </w:r>
      <w:r>
        <w:rPr>
          <w:rFonts w:hint="eastAsia" w:ascii="仿宋" w:hAnsi="仿宋" w:eastAsia="仿宋" w:cs="仿宋"/>
          <w:color w:val="000000"/>
          <w:sz w:val="32"/>
          <w:szCs w:val="32"/>
          <w:lang w:val="en-US" w:eastAsia="zh-CN"/>
        </w:rPr>
        <w:t>0.7</w:t>
      </w:r>
      <w:r>
        <w:rPr>
          <w:rFonts w:hint="eastAsia" w:ascii="仿宋" w:hAnsi="仿宋" w:eastAsia="仿宋" w:cs="仿宋"/>
          <w:color w:val="000000"/>
          <w:sz w:val="32"/>
          <w:szCs w:val="32"/>
        </w:rPr>
        <w:t>万元，完成预算</w:t>
      </w:r>
      <w:r>
        <w:rPr>
          <w:rFonts w:hint="eastAsia" w:ascii="仿宋" w:hAnsi="仿宋" w:eastAsia="仿宋" w:cs="仿宋"/>
          <w:color w:val="000000"/>
          <w:sz w:val="32"/>
          <w:szCs w:val="32"/>
          <w:lang w:val="en-US" w:eastAsia="zh-CN"/>
        </w:rPr>
        <w:t>100</w:t>
      </w:r>
      <w:r>
        <w:rPr>
          <w:rFonts w:hint="eastAsia" w:ascii="仿宋" w:hAnsi="仿宋" w:eastAsia="仿宋" w:cs="仿宋"/>
          <w:color w:val="000000"/>
          <w:sz w:val="32"/>
          <w:szCs w:val="32"/>
        </w:rPr>
        <w:t>%。公务接待费支出决算比</w:t>
      </w:r>
      <w:r>
        <w:rPr>
          <w:rFonts w:ascii="仿宋" w:hAnsi="仿宋" w:eastAsia="仿宋" w:cs="仿宋"/>
          <w:color w:val="000000"/>
          <w:sz w:val="32"/>
          <w:szCs w:val="32"/>
        </w:rPr>
        <w:t>20</w:t>
      </w:r>
      <w:r>
        <w:rPr>
          <w:rFonts w:hint="eastAsia" w:ascii="仿宋" w:hAnsi="仿宋" w:eastAsia="仿宋" w:cs="仿宋"/>
          <w:color w:val="000000"/>
          <w:sz w:val="32"/>
          <w:szCs w:val="32"/>
          <w:lang w:val="en-US" w:eastAsia="zh-CN"/>
        </w:rPr>
        <w:t>24</w:t>
      </w:r>
      <w:r>
        <w:rPr>
          <w:rFonts w:hint="eastAsia" w:ascii="仿宋" w:hAnsi="仿宋" w:eastAsia="仿宋" w:cs="仿宋"/>
          <w:color w:val="000000"/>
          <w:sz w:val="32"/>
          <w:szCs w:val="32"/>
        </w:rPr>
        <w:t>年</w:t>
      </w:r>
      <w:r>
        <w:rPr>
          <w:rFonts w:hint="eastAsia" w:ascii="仿宋" w:hAnsi="仿宋" w:eastAsia="仿宋" w:cs="仿宋"/>
          <w:color w:val="000000"/>
          <w:sz w:val="32"/>
          <w:szCs w:val="32"/>
          <w:lang w:eastAsia="zh-CN"/>
        </w:rPr>
        <w:t>下降</w:t>
      </w:r>
      <w:r>
        <w:rPr>
          <w:rFonts w:hint="eastAsia" w:ascii="仿宋" w:hAnsi="仿宋" w:eastAsia="仿宋" w:cs="仿宋"/>
          <w:color w:val="000000"/>
          <w:sz w:val="32"/>
          <w:szCs w:val="32"/>
          <w:lang w:val="en-US" w:eastAsia="zh-CN"/>
        </w:rPr>
        <w:t>2.62万</w:t>
      </w:r>
      <w:r>
        <w:rPr>
          <w:rFonts w:hint="eastAsia" w:ascii="仿宋" w:hAnsi="仿宋" w:eastAsia="仿宋" w:cs="仿宋"/>
          <w:color w:val="000000"/>
          <w:sz w:val="32"/>
          <w:szCs w:val="32"/>
        </w:rPr>
        <w:t>元，</w:t>
      </w:r>
      <w:r>
        <w:rPr>
          <w:rFonts w:hint="eastAsia" w:ascii="仿宋" w:hAnsi="仿宋" w:eastAsia="仿宋" w:cs="仿宋"/>
          <w:color w:val="000000"/>
          <w:sz w:val="32"/>
          <w:szCs w:val="32"/>
          <w:lang w:eastAsia="zh-CN"/>
        </w:rPr>
        <w:t>下降</w:t>
      </w:r>
      <w:r>
        <w:rPr>
          <w:rFonts w:hint="eastAsia" w:ascii="仿宋" w:hAnsi="仿宋" w:eastAsia="仿宋" w:cs="仿宋"/>
          <w:color w:val="000000"/>
          <w:sz w:val="32"/>
          <w:szCs w:val="32"/>
          <w:lang w:val="en-US" w:eastAsia="zh-CN"/>
        </w:rPr>
        <w:t>78.92</w:t>
      </w:r>
      <w:r>
        <w:rPr>
          <w:rFonts w:ascii="仿宋" w:hAnsi="仿宋" w:eastAsia="仿宋" w:cs="仿宋"/>
          <w:color w:val="000000"/>
          <w:sz w:val="32"/>
          <w:szCs w:val="32"/>
        </w:rPr>
        <w:t>%</w:t>
      </w:r>
      <w:r>
        <w:rPr>
          <w:rFonts w:hint="eastAsia" w:ascii="仿宋" w:hAnsi="仿宋" w:eastAsia="仿宋" w:cs="仿宋"/>
          <w:color w:val="000000"/>
          <w:sz w:val="32"/>
          <w:szCs w:val="32"/>
        </w:rPr>
        <w:t>。</w:t>
      </w:r>
    </w:p>
    <w:p w14:paraId="7F31DD76">
      <w:pPr>
        <w:spacing w:line="600" w:lineRule="exact"/>
        <w:ind w:firstLine="640"/>
        <w:outlineLvl w:val="1"/>
        <w:rPr>
          <w:rFonts w:hint="eastAsia" w:ascii="仿宋" w:hAnsi="仿宋" w:eastAsia="仿宋" w:cs="仿宋"/>
          <w:color w:val="auto"/>
          <w:sz w:val="32"/>
          <w:szCs w:val="32"/>
        </w:rPr>
      </w:pPr>
      <w:r>
        <w:rPr>
          <w:rFonts w:hint="eastAsia" w:ascii="仿宋" w:hAnsi="仿宋" w:eastAsia="仿宋" w:cs="仿宋"/>
          <w:color w:val="000000"/>
          <w:sz w:val="32"/>
          <w:szCs w:val="32"/>
          <w:lang w:eastAsia="zh-CN"/>
        </w:rPr>
        <w:t>国内公务接待支出</w:t>
      </w:r>
      <w:r>
        <w:rPr>
          <w:rFonts w:hint="eastAsia" w:ascii="仿宋" w:hAnsi="仿宋" w:eastAsia="仿宋" w:cs="仿宋"/>
          <w:color w:val="000000"/>
          <w:sz w:val="32"/>
          <w:szCs w:val="32"/>
          <w:lang w:val="en-US" w:eastAsia="zh-CN"/>
        </w:rPr>
        <w:t>0.7万元，</w:t>
      </w:r>
      <w:r>
        <w:rPr>
          <w:rFonts w:hint="eastAsia" w:ascii="仿宋" w:hAnsi="仿宋" w:eastAsia="仿宋" w:cs="仿宋"/>
          <w:color w:val="000000"/>
          <w:sz w:val="32"/>
          <w:szCs w:val="32"/>
        </w:rPr>
        <w:t>主要用于执行公务、开展业务活动开支的交通费、住宿费、用餐费等。国内公务接待</w:t>
      </w:r>
      <w:r>
        <w:rPr>
          <w:rFonts w:hint="eastAsia" w:ascii="仿宋" w:hAnsi="仿宋" w:eastAsia="仿宋" w:cs="仿宋"/>
          <w:color w:val="000000"/>
          <w:sz w:val="32"/>
          <w:szCs w:val="32"/>
          <w:lang w:val="en-US" w:eastAsia="zh-CN"/>
        </w:rPr>
        <w:t>8</w:t>
      </w:r>
      <w:r>
        <w:rPr>
          <w:rFonts w:hint="eastAsia" w:ascii="仿宋" w:hAnsi="仿宋" w:eastAsia="仿宋" w:cs="仿宋"/>
          <w:color w:val="000000"/>
          <w:sz w:val="32"/>
          <w:szCs w:val="32"/>
        </w:rPr>
        <w:t>批次，</w:t>
      </w:r>
      <w:r>
        <w:rPr>
          <w:rFonts w:hint="eastAsia" w:ascii="仿宋" w:hAnsi="仿宋" w:eastAsia="仿宋" w:cs="仿宋"/>
          <w:color w:val="000000"/>
          <w:sz w:val="32"/>
          <w:szCs w:val="32"/>
          <w:lang w:val="en-US" w:eastAsia="zh-CN"/>
        </w:rPr>
        <w:t>57</w:t>
      </w:r>
      <w:r>
        <w:rPr>
          <w:rFonts w:hint="eastAsia" w:ascii="仿宋" w:hAnsi="仿宋" w:eastAsia="仿宋" w:cs="仿宋"/>
          <w:color w:val="000000"/>
          <w:sz w:val="32"/>
          <w:szCs w:val="32"/>
        </w:rPr>
        <w:t>人次（不包括陪同人员），共计支出</w:t>
      </w:r>
      <w:r>
        <w:rPr>
          <w:rFonts w:hint="eastAsia" w:ascii="仿宋" w:hAnsi="仿宋" w:eastAsia="仿宋" w:cs="仿宋"/>
          <w:color w:val="000000"/>
          <w:sz w:val="32"/>
          <w:szCs w:val="32"/>
          <w:lang w:val="en-US" w:eastAsia="zh-CN"/>
        </w:rPr>
        <w:t>0.7</w:t>
      </w:r>
      <w:r>
        <w:rPr>
          <w:rFonts w:hint="eastAsia" w:ascii="仿宋" w:hAnsi="仿宋" w:eastAsia="仿宋" w:cs="仿宋"/>
          <w:color w:val="000000"/>
          <w:sz w:val="32"/>
          <w:szCs w:val="32"/>
        </w:rPr>
        <w:t>万元，</w:t>
      </w:r>
      <w:r>
        <w:rPr>
          <w:rFonts w:hint="eastAsia" w:ascii="仿宋" w:hAnsi="仿宋" w:eastAsia="仿宋" w:cs="仿宋"/>
          <w:color w:val="auto"/>
          <w:sz w:val="32"/>
          <w:szCs w:val="32"/>
        </w:rPr>
        <w:t>具体内容包括：</w:t>
      </w:r>
      <w:r>
        <w:rPr>
          <w:rFonts w:hint="eastAsia" w:ascii="仿宋" w:hAnsi="仿宋" w:eastAsia="仿宋" w:cs="仿宋"/>
          <w:color w:val="auto"/>
          <w:sz w:val="32"/>
          <w:szCs w:val="32"/>
          <w:lang w:eastAsia="zh-CN"/>
        </w:rPr>
        <w:t>接待</w:t>
      </w:r>
      <w:r>
        <w:rPr>
          <w:rFonts w:hint="eastAsia" w:ascii="仿宋" w:hAnsi="仿宋" w:eastAsia="仿宋" w:cs="仿宋"/>
          <w:color w:val="auto"/>
          <w:sz w:val="32"/>
          <w:szCs w:val="32"/>
          <w:lang w:val="en-US" w:eastAsia="zh-CN"/>
        </w:rPr>
        <w:t>省州县局来人等</w:t>
      </w:r>
      <w:r>
        <w:rPr>
          <w:rFonts w:hint="eastAsia" w:ascii="仿宋" w:hAnsi="仿宋" w:eastAsia="仿宋" w:cs="仿宋"/>
          <w:color w:val="auto"/>
          <w:sz w:val="32"/>
          <w:szCs w:val="32"/>
        </w:rPr>
        <w:t>。</w:t>
      </w:r>
      <w:bookmarkStart w:id="25" w:name="_Toc15396610"/>
      <w:bookmarkStart w:id="26" w:name="_Toc15377218"/>
    </w:p>
    <w:p w14:paraId="504A3B86">
      <w:pPr>
        <w:pStyle w:val="12"/>
        <w:ind w:firstLine="640" w:firstLineChars="200"/>
        <w:rPr>
          <w:rFonts w:hint="default" w:eastAsia="仿宋"/>
          <w:lang w:val="en-US" w:eastAsia="zh-CN"/>
        </w:rPr>
      </w:pPr>
      <w:r>
        <w:rPr>
          <w:rFonts w:hint="eastAsia" w:ascii="仿宋" w:hAnsi="仿宋" w:eastAsia="仿宋" w:cs="仿宋"/>
          <w:color w:val="auto"/>
          <w:sz w:val="32"/>
          <w:szCs w:val="32"/>
          <w:lang w:eastAsia="zh-CN"/>
        </w:rPr>
        <w:t>外事接待支出</w:t>
      </w:r>
      <w:r>
        <w:rPr>
          <w:rFonts w:hint="eastAsia" w:ascii="仿宋" w:hAnsi="仿宋" w:eastAsia="仿宋" w:cs="仿宋"/>
          <w:color w:val="auto"/>
          <w:sz w:val="32"/>
          <w:szCs w:val="32"/>
          <w:lang w:val="en-US" w:eastAsia="zh-CN"/>
        </w:rPr>
        <w:t>0万元。</w:t>
      </w:r>
    </w:p>
    <w:p w14:paraId="663F9ABC">
      <w:pPr>
        <w:spacing w:line="600" w:lineRule="exact"/>
        <w:ind w:firstLine="640"/>
        <w:outlineLvl w:val="1"/>
        <w:rPr>
          <w:rStyle w:val="43"/>
          <w:rFonts w:ascii="黑体" w:hAnsi="黑体" w:eastAsia="黑体" w:cs="Times New Roman"/>
        </w:rPr>
      </w:pPr>
      <w:r>
        <w:rPr>
          <w:rFonts w:hint="eastAsia" w:ascii="黑体" w:eastAsia="黑体" w:cs="黑体"/>
          <w:color w:val="000000"/>
          <w:sz w:val="32"/>
          <w:szCs w:val="32"/>
        </w:rPr>
        <w:t>八、</w:t>
      </w:r>
      <w:r>
        <w:rPr>
          <w:rStyle w:val="43"/>
          <w:rFonts w:hint="eastAsia" w:ascii="黑体" w:hAnsi="黑体" w:eastAsia="黑体" w:cs="黑体"/>
          <w:b w:val="0"/>
          <w:bCs w:val="0"/>
        </w:rPr>
        <w:t>政府性基金预算支出决算情况说明</w:t>
      </w:r>
      <w:bookmarkEnd w:id="25"/>
      <w:bookmarkEnd w:id="26"/>
    </w:p>
    <w:p w14:paraId="27778092">
      <w:pPr>
        <w:spacing w:line="600" w:lineRule="exact"/>
        <w:ind w:firstLine="640"/>
        <w:rPr>
          <w:rFonts w:ascii="仿宋" w:hAnsi="仿宋" w:eastAsia="仿宋"/>
          <w:color w:val="000000"/>
          <w:sz w:val="32"/>
          <w:szCs w:val="32"/>
        </w:rPr>
      </w:pPr>
      <w:r>
        <w:rPr>
          <w:rFonts w:ascii="??_GB2312" w:eastAsia="Times New Roman" w:cs="??_GB2312"/>
          <w:color w:val="000000"/>
          <w:sz w:val="32"/>
          <w:szCs w:val="32"/>
        </w:rPr>
        <w:t>2</w:t>
      </w:r>
      <w:r>
        <w:rPr>
          <w:rFonts w:ascii="仿宋" w:hAnsi="仿宋" w:eastAsia="仿宋" w:cs="仿宋"/>
          <w:color w:val="000000"/>
          <w:sz w:val="32"/>
          <w:szCs w:val="32"/>
        </w:rPr>
        <w:t>0</w:t>
      </w:r>
      <w:r>
        <w:rPr>
          <w:rFonts w:hint="eastAsia" w:ascii="仿宋" w:hAnsi="仿宋" w:eastAsia="仿宋" w:cs="仿宋"/>
          <w:color w:val="000000"/>
          <w:sz w:val="32"/>
          <w:szCs w:val="32"/>
          <w:lang w:val="en-US" w:eastAsia="zh-CN"/>
        </w:rPr>
        <w:t>25</w:t>
      </w:r>
      <w:r>
        <w:rPr>
          <w:rFonts w:hint="eastAsia" w:ascii="仿宋" w:hAnsi="仿宋" w:eastAsia="仿宋" w:cs="仿宋"/>
          <w:color w:val="000000"/>
          <w:sz w:val="32"/>
          <w:szCs w:val="32"/>
        </w:rPr>
        <w:t>年</w:t>
      </w:r>
      <w:r>
        <w:rPr>
          <w:rFonts w:hint="eastAsia" w:ascii="仿宋" w:hAnsi="仿宋" w:eastAsia="仿宋" w:cs="仿宋"/>
          <w:color w:val="000000"/>
          <w:sz w:val="32"/>
          <w:szCs w:val="32"/>
          <w:lang w:eastAsia="zh-CN"/>
        </w:rPr>
        <w:t>度</w:t>
      </w:r>
      <w:r>
        <w:rPr>
          <w:rFonts w:hint="eastAsia" w:ascii="仿宋" w:hAnsi="仿宋" w:eastAsia="仿宋" w:cs="仿宋"/>
          <w:color w:val="000000"/>
          <w:sz w:val="32"/>
          <w:szCs w:val="32"/>
        </w:rPr>
        <w:t>政府性基金预算拨款支出无。</w:t>
      </w:r>
    </w:p>
    <w:p w14:paraId="348270A2">
      <w:pPr>
        <w:numPr>
          <w:ilvl w:val="0"/>
          <w:numId w:val="3"/>
        </w:numPr>
        <w:spacing w:line="600" w:lineRule="exact"/>
        <w:ind w:firstLine="640"/>
        <w:outlineLvl w:val="1"/>
        <w:rPr>
          <w:rStyle w:val="43"/>
          <w:rFonts w:ascii="黑体" w:hAnsi="黑体" w:eastAsia="黑体" w:cs="Times New Roman"/>
          <w:b w:val="0"/>
          <w:bCs w:val="0"/>
        </w:rPr>
      </w:pPr>
      <w:bookmarkStart w:id="27" w:name="_Toc15377219"/>
      <w:bookmarkStart w:id="28" w:name="_Toc15396611"/>
      <w:r>
        <w:rPr>
          <w:rStyle w:val="43"/>
          <w:rFonts w:hint="eastAsia" w:ascii="黑体" w:hAnsi="黑体" w:eastAsia="黑体" w:cs="黑体"/>
          <w:b w:val="0"/>
          <w:bCs w:val="0"/>
        </w:rPr>
        <w:t>国有资本经营预算支出决算情况说明</w:t>
      </w:r>
      <w:bookmarkEnd w:id="27"/>
      <w:bookmarkEnd w:id="28"/>
    </w:p>
    <w:p w14:paraId="19674C29">
      <w:pPr>
        <w:spacing w:line="600" w:lineRule="exact"/>
        <w:ind w:firstLine="640"/>
        <w:rPr>
          <w:rFonts w:hint="eastAsia" w:ascii="仿宋" w:hAnsi="仿宋" w:eastAsia="仿宋" w:cs="仿宋"/>
          <w:color w:val="000000"/>
          <w:sz w:val="32"/>
          <w:szCs w:val="32"/>
        </w:rPr>
      </w:pPr>
      <w:r>
        <w:rPr>
          <w:rFonts w:ascii="仿宋" w:hAnsi="仿宋" w:eastAsia="仿宋" w:cs="仿宋"/>
          <w:color w:val="000000"/>
          <w:sz w:val="32"/>
          <w:szCs w:val="32"/>
        </w:rPr>
        <w:t>20</w:t>
      </w:r>
      <w:r>
        <w:rPr>
          <w:rFonts w:hint="eastAsia" w:ascii="仿宋" w:hAnsi="仿宋" w:eastAsia="仿宋" w:cs="仿宋"/>
          <w:color w:val="000000"/>
          <w:sz w:val="32"/>
          <w:szCs w:val="32"/>
          <w:lang w:val="en-US" w:eastAsia="zh-CN"/>
        </w:rPr>
        <w:t>25</w:t>
      </w:r>
      <w:r>
        <w:rPr>
          <w:rFonts w:hint="eastAsia" w:ascii="仿宋" w:hAnsi="仿宋" w:eastAsia="仿宋" w:cs="仿宋"/>
          <w:color w:val="000000"/>
          <w:sz w:val="32"/>
          <w:szCs w:val="32"/>
        </w:rPr>
        <w:t>年</w:t>
      </w:r>
      <w:r>
        <w:rPr>
          <w:rFonts w:hint="eastAsia" w:ascii="仿宋" w:hAnsi="仿宋" w:eastAsia="仿宋" w:cs="仿宋"/>
          <w:color w:val="000000"/>
          <w:sz w:val="32"/>
          <w:szCs w:val="32"/>
          <w:lang w:eastAsia="zh-CN"/>
        </w:rPr>
        <w:t>度</w:t>
      </w:r>
      <w:r>
        <w:rPr>
          <w:rFonts w:hint="eastAsia" w:ascii="仿宋" w:hAnsi="仿宋" w:eastAsia="仿宋" w:cs="仿宋"/>
          <w:color w:val="000000"/>
          <w:sz w:val="32"/>
          <w:szCs w:val="32"/>
        </w:rPr>
        <w:t>国有资本经营预算拨款支出无。</w:t>
      </w:r>
    </w:p>
    <w:p w14:paraId="64F77AAD">
      <w:pPr>
        <w:spacing w:line="600" w:lineRule="exact"/>
        <w:outlineLvl w:val="1"/>
        <w:rPr>
          <w:rStyle w:val="43"/>
          <w:rFonts w:ascii="黑体" w:hAnsi="黑体" w:eastAsia="黑体" w:cs="Times New Roman"/>
        </w:rPr>
      </w:pPr>
      <w:bookmarkStart w:id="29" w:name="_Toc15377221"/>
      <w:bookmarkStart w:id="30" w:name="_Toc15396612"/>
      <w:r>
        <w:rPr>
          <w:rFonts w:hint="eastAsia" w:ascii="黑体" w:hAnsi="黑体" w:eastAsia="黑体" w:cs="黑体"/>
          <w:color w:val="000000"/>
          <w:sz w:val="32"/>
          <w:szCs w:val="32"/>
        </w:rPr>
        <w:t>十</w:t>
      </w:r>
      <w:r>
        <w:rPr>
          <w:rStyle w:val="43"/>
          <w:rFonts w:hint="eastAsia" w:ascii="黑体" w:hAnsi="黑体" w:eastAsia="黑体" w:cs="黑体"/>
        </w:rPr>
        <w:t>、</w:t>
      </w:r>
      <w:r>
        <w:rPr>
          <w:rStyle w:val="43"/>
          <w:rFonts w:hint="eastAsia" w:ascii="黑体" w:hAnsi="黑体" w:eastAsia="黑体" w:cs="黑体"/>
          <w:b w:val="0"/>
          <w:bCs w:val="0"/>
        </w:rPr>
        <w:t>其他重要事项的情况说明</w:t>
      </w:r>
      <w:bookmarkEnd w:id="29"/>
      <w:bookmarkEnd w:id="30"/>
    </w:p>
    <w:p w14:paraId="391CB4C5">
      <w:pPr>
        <w:spacing w:line="600" w:lineRule="exact"/>
        <w:ind w:firstLine="643" w:firstLineChars="200"/>
        <w:outlineLvl w:val="2"/>
        <w:rPr>
          <w:rFonts w:ascii="仿宋" w:hAnsi="仿宋" w:eastAsia="仿宋"/>
          <w:color w:val="000000"/>
          <w:sz w:val="32"/>
          <w:szCs w:val="32"/>
        </w:rPr>
      </w:pPr>
      <w:bookmarkStart w:id="31" w:name="_Toc15377222"/>
      <w:r>
        <w:rPr>
          <w:rFonts w:hint="eastAsia" w:ascii="仿宋" w:hAnsi="仿宋" w:eastAsia="仿宋" w:cs="仿宋"/>
          <w:b/>
          <w:bCs/>
          <w:color w:val="000000"/>
          <w:sz w:val="32"/>
          <w:szCs w:val="32"/>
        </w:rPr>
        <w:t>（一）机关运行经费支出情况</w:t>
      </w:r>
      <w:bookmarkEnd w:id="31"/>
    </w:p>
    <w:p w14:paraId="0065E0CB">
      <w:pPr>
        <w:spacing w:line="600" w:lineRule="exact"/>
        <w:ind w:firstLine="640" w:firstLineChars="200"/>
        <w:rPr>
          <w:rFonts w:ascii="仿宋" w:hAnsi="仿宋" w:eastAsia="仿宋"/>
          <w:color w:val="000000"/>
          <w:sz w:val="32"/>
          <w:szCs w:val="32"/>
        </w:rPr>
      </w:pPr>
      <w:r>
        <w:rPr>
          <w:rFonts w:hint="eastAsia" w:ascii="仿宋" w:hAnsi="仿宋" w:eastAsia="仿宋" w:cs="仿宋"/>
          <w:color w:val="000000"/>
          <w:sz w:val="32"/>
          <w:szCs w:val="32"/>
        </w:rPr>
        <w:t>20</w:t>
      </w:r>
      <w:r>
        <w:rPr>
          <w:rFonts w:hint="eastAsia" w:ascii="仿宋" w:hAnsi="仿宋" w:eastAsia="仿宋" w:cs="仿宋"/>
          <w:color w:val="000000"/>
          <w:sz w:val="32"/>
          <w:szCs w:val="32"/>
          <w:lang w:val="en-US" w:eastAsia="zh-CN"/>
        </w:rPr>
        <w:t>25</w:t>
      </w:r>
      <w:r>
        <w:rPr>
          <w:rFonts w:hint="eastAsia" w:ascii="仿宋" w:hAnsi="仿宋" w:eastAsia="仿宋" w:cs="仿宋"/>
          <w:color w:val="000000"/>
          <w:sz w:val="32"/>
          <w:szCs w:val="32"/>
        </w:rPr>
        <w:t>年</w:t>
      </w:r>
      <w:r>
        <w:rPr>
          <w:rFonts w:hint="eastAsia" w:ascii="仿宋" w:hAnsi="仿宋" w:eastAsia="仿宋" w:cs="仿宋"/>
          <w:color w:val="000000"/>
          <w:sz w:val="32"/>
          <w:szCs w:val="32"/>
          <w:lang w:eastAsia="zh-CN"/>
        </w:rPr>
        <w:t>度</w:t>
      </w:r>
      <w:r>
        <w:rPr>
          <w:rFonts w:hint="eastAsia" w:ascii="仿宋" w:hAnsi="仿宋" w:eastAsia="仿宋" w:cs="仿宋"/>
          <w:color w:val="000000"/>
          <w:sz w:val="32"/>
          <w:szCs w:val="32"/>
        </w:rPr>
        <w:t>，阿坝州</w:t>
      </w:r>
      <w:r>
        <w:rPr>
          <w:rFonts w:hint="eastAsia" w:ascii="仿宋" w:hAnsi="仿宋" w:eastAsia="仿宋" w:cs="仿宋"/>
          <w:color w:val="000000"/>
          <w:sz w:val="32"/>
          <w:szCs w:val="32"/>
          <w:lang w:eastAsia="zh-CN"/>
        </w:rPr>
        <w:t>市场</w:t>
      </w:r>
      <w:r>
        <w:rPr>
          <w:rFonts w:hint="eastAsia" w:ascii="仿宋" w:hAnsi="仿宋" w:eastAsia="仿宋" w:cs="仿宋"/>
          <w:color w:val="000000"/>
          <w:sz w:val="32"/>
          <w:szCs w:val="32"/>
        </w:rPr>
        <w:t>监督管理局机关运行经费支出</w:t>
      </w:r>
      <w:r>
        <w:rPr>
          <w:rFonts w:hint="eastAsia" w:ascii="仿宋" w:hAnsi="仿宋" w:eastAsia="仿宋" w:cs="仿宋"/>
          <w:color w:val="000000"/>
          <w:sz w:val="32"/>
          <w:szCs w:val="32"/>
          <w:lang w:val="en-US" w:eastAsia="zh-CN"/>
        </w:rPr>
        <w:t>492.63</w:t>
      </w:r>
      <w:r>
        <w:rPr>
          <w:rFonts w:hint="eastAsia" w:ascii="仿宋" w:hAnsi="仿宋" w:eastAsia="仿宋" w:cs="仿宋"/>
          <w:color w:val="000000"/>
          <w:sz w:val="32"/>
          <w:szCs w:val="32"/>
        </w:rPr>
        <w:t>万元，比20</w:t>
      </w:r>
      <w:r>
        <w:rPr>
          <w:rFonts w:hint="eastAsia" w:ascii="仿宋" w:hAnsi="仿宋" w:eastAsia="仿宋" w:cs="仿宋"/>
          <w:color w:val="000000"/>
          <w:sz w:val="32"/>
          <w:szCs w:val="32"/>
          <w:lang w:val="en-US" w:eastAsia="zh-CN"/>
        </w:rPr>
        <w:t>23</w:t>
      </w:r>
      <w:r>
        <w:rPr>
          <w:rFonts w:hint="eastAsia" w:ascii="仿宋" w:hAnsi="仿宋" w:eastAsia="仿宋" w:cs="仿宋"/>
          <w:color w:val="000000"/>
          <w:sz w:val="32"/>
          <w:szCs w:val="32"/>
        </w:rPr>
        <w:t>年</w:t>
      </w:r>
      <w:r>
        <w:rPr>
          <w:rFonts w:hint="eastAsia" w:ascii="仿宋" w:hAnsi="仿宋" w:eastAsia="仿宋" w:cs="仿宋"/>
          <w:color w:val="000000"/>
          <w:sz w:val="32"/>
          <w:szCs w:val="32"/>
          <w:lang w:eastAsia="zh-CN"/>
        </w:rPr>
        <w:t>度</w:t>
      </w:r>
      <w:r>
        <w:rPr>
          <w:rFonts w:hint="eastAsia" w:ascii="仿宋" w:hAnsi="仿宋" w:eastAsia="仿宋" w:cs="仿宋"/>
          <w:color w:val="000000"/>
          <w:sz w:val="32"/>
          <w:szCs w:val="32"/>
          <w:lang w:val="en-US" w:eastAsia="zh-CN"/>
        </w:rPr>
        <w:t>538.48万元</w:t>
      </w:r>
      <w:r>
        <w:rPr>
          <w:rFonts w:hint="eastAsia" w:ascii="仿宋" w:hAnsi="仿宋" w:eastAsia="仿宋" w:cs="仿宋"/>
          <w:color w:val="000000"/>
          <w:sz w:val="32"/>
          <w:szCs w:val="32"/>
          <w:lang w:eastAsia="zh-CN"/>
        </w:rPr>
        <w:t>减少</w:t>
      </w:r>
      <w:r>
        <w:rPr>
          <w:rFonts w:hint="eastAsia" w:ascii="仿宋" w:hAnsi="仿宋" w:eastAsia="仿宋" w:cs="仿宋"/>
          <w:color w:val="000000"/>
          <w:sz w:val="32"/>
          <w:szCs w:val="32"/>
          <w:lang w:val="en-US" w:eastAsia="zh-CN"/>
        </w:rPr>
        <w:t>45.85</w:t>
      </w:r>
      <w:r>
        <w:rPr>
          <w:rFonts w:hint="eastAsia" w:ascii="仿宋" w:hAnsi="仿宋" w:eastAsia="仿宋" w:cs="仿宋"/>
          <w:color w:val="000000"/>
          <w:sz w:val="32"/>
          <w:szCs w:val="32"/>
        </w:rPr>
        <w:t>万元，</w:t>
      </w:r>
      <w:r>
        <w:rPr>
          <w:rFonts w:hint="eastAsia" w:ascii="仿宋" w:hAnsi="仿宋" w:eastAsia="仿宋" w:cs="仿宋"/>
          <w:color w:val="000000"/>
          <w:sz w:val="32"/>
          <w:szCs w:val="32"/>
          <w:lang w:eastAsia="zh-CN"/>
        </w:rPr>
        <w:t>下降</w:t>
      </w:r>
      <w:r>
        <w:rPr>
          <w:rFonts w:hint="eastAsia" w:ascii="仿宋" w:hAnsi="仿宋" w:eastAsia="仿宋" w:cs="仿宋"/>
          <w:color w:val="000000"/>
          <w:sz w:val="32"/>
          <w:szCs w:val="32"/>
          <w:lang w:val="en-US" w:eastAsia="zh-CN"/>
        </w:rPr>
        <w:t>8.51</w:t>
      </w:r>
      <w:r>
        <w:rPr>
          <w:rFonts w:hint="eastAsia" w:ascii="仿宋" w:hAnsi="仿宋" w:eastAsia="仿宋" w:cs="仿宋"/>
          <w:color w:val="000000"/>
          <w:sz w:val="32"/>
          <w:szCs w:val="32"/>
        </w:rPr>
        <w:t>%。主要原因</w:t>
      </w:r>
      <w:r>
        <w:rPr>
          <w:rFonts w:hint="eastAsia" w:ascii="仿宋" w:hAnsi="仿宋" w:eastAsia="仿宋" w:cs="仿宋"/>
          <w:color w:val="000000"/>
          <w:sz w:val="32"/>
          <w:szCs w:val="32"/>
          <w:lang w:eastAsia="zh-CN"/>
        </w:rPr>
        <w:t>是人员经费和专项检查经费增加</w:t>
      </w:r>
      <w:r>
        <w:rPr>
          <w:rFonts w:hint="eastAsia" w:ascii="仿宋" w:hAnsi="仿宋" w:eastAsia="仿宋" w:cs="仿宋"/>
          <w:color w:val="000000"/>
          <w:sz w:val="32"/>
          <w:szCs w:val="32"/>
        </w:rPr>
        <w:t>。</w:t>
      </w:r>
    </w:p>
    <w:p w14:paraId="647F58E0">
      <w:pPr>
        <w:autoSpaceDE w:val="0"/>
        <w:autoSpaceDN w:val="0"/>
        <w:adjustRightInd w:val="0"/>
        <w:spacing w:line="600" w:lineRule="exact"/>
        <w:ind w:firstLine="643" w:firstLineChars="200"/>
        <w:jc w:val="left"/>
        <w:outlineLvl w:val="2"/>
        <w:rPr>
          <w:rFonts w:ascii="仿宋" w:hAnsi="仿宋" w:eastAsia="仿宋"/>
          <w:b/>
          <w:bCs/>
          <w:color w:val="000000"/>
          <w:sz w:val="32"/>
          <w:szCs w:val="32"/>
        </w:rPr>
      </w:pPr>
      <w:bookmarkStart w:id="32" w:name="_Toc15377223"/>
      <w:r>
        <w:rPr>
          <w:rFonts w:hint="eastAsia" w:ascii="仿宋" w:hAnsi="仿宋" w:eastAsia="仿宋" w:cs="仿宋"/>
          <w:b/>
          <w:bCs/>
          <w:color w:val="000000"/>
          <w:sz w:val="32"/>
          <w:szCs w:val="32"/>
        </w:rPr>
        <w:t>（二）政府采购支出情况</w:t>
      </w:r>
      <w:bookmarkEnd w:id="32"/>
    </w:p>
    <w:p w14:paraId="0CFEA0E6">
      <w:pPr>
        <w:spacing w:line="600" w:lineRule="exact"/>
        <w:ind w:firstLine="640" w:firstLineChars="200"/>
        <w:rPr>
          <w:rFonts w:hint="default" w:ascii="仿宋" w:hAnsi="仿宋" w:eastAsia="仿宋" w:cs="仿宋"/>
          <w:color w:val="000000"/>
          <w:sz w:val="32"/>
          <w:szCs w:val="32"/>
          <w:lang w:val="en-US" w:eastAsia="zh-CN"/>
        </w:rPr>
      </w:pPr>
      <w:r>
        <w:rPr>
          <w:rFonts w:hint="eastAsia" w:ascii="仿宋" w:hAnsi="仿宋" w:eastAsia="仿宋" w:cs="仿宋"/>
          <w:color w:val="000000"/>
          <w:sz w:val="32"/>
          <w:szCs w:val="32"/>
        </w:rPr>
        <w:t>20</w:t>
      </w:r>
      <w:r>
        <w:rPr>
          <w:rFonts w:hint="eastAsia" w:ascii="仿宋" w:hAnsi="仿宋" w:eastAsia="仿宋" w:cs="仿宋"/>
          <w:color w:val="000000"/>
          <w:sz w:val="32"/>
          <w:szCs w:val="32"/>
          <w:lang w:val="en-US" w:eastAsia="zh-CN"/>
        </w:rPr>
        <w:t>25</w:t>
      </w:r>
      <w:r>
        <w:rPr>
          <w:rFonts w:hint="eastAsia" w:ascii="仿宋" w:hAnsi="仿宋" w:eastAsia="仿宋" w:cs="仿宋"/>
          <w:color w:val="000000"/>
          <w:sz w:val="32"/>
          <w:szCs w:val="32"/>
        </w:rPr>
        <w:t>年</w:t>
      </w:r>
      <w:r>
        <w:rPr>
          <w:rFonts w:hint="eastAsia" w:ascii="仿宋" w:hAnsi="仿宋" w:eastAsia="仿宋" w:cs="仿宋"/>
          <w:color w:val="000000"/>
          <w:sz w:val="32"/>
          <w:szCs w:val="32"/>
          <w:lang w:eastAsia="zh-CN"/>
        </w:rPr>
        <w:t>度</w:t>
      </w:r>
      <w:r>
        <w:rPr>
          <w:rFonts w:hint="eastAsia" w:ascii="仿宋" w:hAnsi="仿宋" w:eastAsia="仿宋" w:cs="仿宋"/>
          <w:color w:val="000000"/>
          <w:sz w:val="32"/>
          <w:szCs w:val="32"/>
        </w:rPr>
        <w:t>，阿坝州</w:t>
      </w:r>
      <w:r>
        <w:rPr>
          <w:rFonts w:hint="eastAsia" w:ascii="仿宋" w:hAnsi="仿宋" w:eastAsia="仿宋" w:cs="仿宋"/>
          <w:color w:val="000000"/>
          <w:sz w:val="32"/>
          <w:szCs w:val="32"/>
          <w:lang w:eastAsia="zh-CN"/>
        </w:rPr>
        <w:t>市场</w:t>
      </w:r>
      <w:r>
        <w:rPr>
          <w:rFonts w:hint="eastAsia" w:ascii="仿宋" w:hAnsi="仿宋" w:eastAsia="仿宋" w:cs="仿宋"/>
          <w:color w:val="000000"/>
          <w:sz w:val="32"/>
          <w:szCs w:val="32"/>
        </w:rPr>
        <w:t>监督管理局</w:t>
      </w:r>
      <w:r>
        <w:rPr>
          <w:rFonts w:hint="eastAsia" w:ascii="仿宋" w:hAnsi="仿宋" w:eastAsia="仿宋" w:cs="仿宋"/>
          <w:color w:val="000000"/>
          <w:sz w:val="32"/>
          <w:szCs w:val="32"/>
          <w:lang w:eastAsia="zh-CN"/>
        </w:rPr>
        <w:t>部门</w:t>
      </w:r>
      <w:r>
        <w:rPr>
          <w:rFonts w:hint="eastAsia" w:ascii="仿宋" w:hAnsi="仿宋" w:eastAsia="仿宋" w:cs="仿宋"/>
          <w:color w:val="000000"/>
          <w:sz w:val="32"/>
          <w:szCs w:val="32"/>
        </w:rPr>
        <w:t>政府采购支出总额</w:t>
      </w:r>
      <w:r>
        <w:rPr>
          <w:rFonts w:hint="eastAsia" w:ascii="仿宋" w:hAnsi="仿宋" w:eastAsia="仿宋" w:cs="仿宋"/>
          <w:color w:val="000000"/>
          <w:sz w:val="32"/>
          <w:szCs w:val="32"/>
          <w:lang w:val="en-US" w:eastAsia="zh-CN"/>
        </w:rPr>
        <w:t>358.33</w:t>
      </w:r>
      <w:r>
        <w:rPr>
          <w:rFonts w:hint="eastAsia" w:ascii="仿宋" w:hAnsi="仿宋" w:eastAsia="仿宋" w:cs="仿宋"/>
          <w:color w:val="000000"/>
          <w:sz w:val="32"/>
          <w:szCs w:val="32"/>
        </w:rPr>
        <w:t>万元，其中：政府采购货物支出</w:t>
      </w:r>
      <w:r>
        <w:rPr>
          <w:rFonts w:hint="eastAsia" w:ascii="仿宋" w:hAnsi="仿宋" w:eastAsia="仿宋" w:cs="仿宋"/>
          <w:color w:val="000000"/>
          <w:sz w:val="32"/>
          <w:szCs w:val="32"/>
          <w:lang w:val="en-US" w:eastAsia="zh-CN"/>
        </w:rPr>
        <w:t>148.37</w:t>
      </w:r>
      <w:r>
        <w:rPr>
          <w:rFonts w:hint="eastAsia" w:ascii="仿宋" w:hAnsi="仿宋" w:eastAsia="仿宋" w:cs="仿宋"/>
          <w:color w:val="000000"/>
          <w:sz w:val="32"/>
          <w:szCs w:val="32"/>
        </w:rPr>
        <w:t>万元、政府采购工程支出</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万元、政府采购服务支出</w:t>
      </w:r>
      <w:r>
        <w:rPr>
          <w:rFonts w:hint="eastAsia" w:ascii="仿宋" w:hAnsi="仿宋" w:eastAsia="仿宋" w:cs="仿宋"/>
          <w:color w:val="000000"/>
          <w:sz w:val="32"/>
          <w:szCs w:val="32"/>
          <w:lang w:val="en-US" w:eastAsia="zh-CN"/>
        </w:rPr>
        <w:t>277.97</w:t>
      </w:r>
      <w:r>
        <w:rPr>
          <w:rFonts w:hint="eastAsia" w:ascii="仿宋" w:hAnsi="仿宋" w:eastAsia="仿宋" w:cs="仿宋"/>
          <w:color w:val="000000"/>
          <w:sz w:val="32"/>
          <w:szCs w:val="32"/>
        </w:rPr>
        <w:t>万元。主要用于</w:t>
      </w:r>
      <w:r>
        <w:rPr>
          <w:rFonts w:hint="eastAsia" w:ascii="仿宋" w:hAnsi="仿宋" w:eastAsia="仿宋" w:cs="仿宋"/>
          <w:color w:val="000000"/>
          <w:sz w:val="32"/>
          <w:szCs w:val="32"/>
          <w:lang w:eastAsia="zh-CN"/>
        </w:rPr>
        <w:t>商品质量和</w:t>
      </w:r>
      <w:r>
        <w:rPr>
          <w:rFonts w:hint="eastAsia" w:ascii="仿宋" w:hAnsi="仿宋" w:eastAsia="仿宋" w:cs="仿宋"/>
          <w:color w:val="000000"/>
          <w:sz w:val="32"/>
          <w:szCs w:val="32"/>
        </w:rPr>
        <w:t>食品</w:t>
      </w:r>
      <w:r>
        <w:rPr>
          <w:rFonts w:hint="eastAsia" w:ascii="仿宋" w:hAnsi="仿宋" w:eastAsia="仿宋" w:cs="仿宋"/>
          <w:color w:val="000000"/>
          <w:sz w:val="32"/>
          <w:szCs w:val="32"/>
          <w:lang w:eastAsia="zh-CN"/>
        </w:rPr>
        <w:t>安全</w:t>
      </w:r>
      <w:r>
        <w:rPr>
          <w:rFonts w:hint="eastAsia" w:ascii="仿宋" w:hAnsi="仿宋" w:eastAsia="仿宋" w:cs="仿宋"/>
          <w:color w:val="000000"/>
          <w:sz w:val="32"/>
          <w:szCs w:val="32"/>
        </w:rPr>
        <w:t>风险监测</w:t>
      </w:r>
      <w:r>
        <w:rPr>
          <w:rFonts w:hint="eastAsia" w:ascii="仿宋" w:hAnsi="仿宋" w:eastAsia="仿宋" w:cs="仿宋"/>
          <w:color w:val="000000"/>
          <w:sz w:val="32"/>
          <w:szCs w:val="32"/>
          <w:lang w:eastAsia="zh-CN"/>
        </w:rPr>
        <w:t>抽检、“双随机、一公开”检查等工作</w:t>
      </w:r>
      <w:r>
        <w:rPr>
          <w:rFonts w:hint="eastAsia" w:ascii="仿宋" w:hAnsi="仿宋" w:eastAsia="仿宋" w:cs="仿宋"/>
          <w:color w:val="000000"/>
          <w:sz w:val="32"/>
          <w:szCs w:val="32"/>
        </w:rPr>
        <w:t>。</w:t>
      </w:r>
      <w:r>
        <w:rPr>
          <w:rFonts w:hint="eastAsia" w:ascii="仿宋" w:hAnsi="仿宋" w:eastAsia="仿宋" w:cs="仿宋"/>
          <w:color w:val="000000"/>
          <w:sz w:val="32"/>
          <w:szCs w:val="32"/>
          <w:lang w:eastAsia="zh-CN"/>
        </w:rPr>
        <w:t>授予小微企业合同金额</w:t>
      </w:r>
      <w:r>
        <w:rPr>
          <w:rFonts w:hint="eastAsia" w:ascii="仿宋" w:hAnsi="仿宋" w:eastAsia="仿宋" w:cs="仿宋"/>
          <w:color w:val="000000"/>
          <w:sz w:val="32"/>
          <w:szCs w:val="32"/>
          <w:lang w:val="en-US" w:eastAsia="zh-CN"/>
        </w:rPr>
        <w:t>155.69万元，占政府采购支出总额的36.52%</w:t>
      </w:r>
      <w:r>
        <w:rPr>
          <w:rFonts w:hint="eastAsia" w:ascii="仿宋" w:hAnsi="仿宋" w:eastAsia="仿宋" w:cs="仿宋"/>
          <w:color w:val="000000"/>
          <w:sz w:val="32"/>
          <w:szCs w:val="32"/>
        </w:rPr>
        <w:t>。</w:t>
      </w:r>
    </w:p>
    <w:p w14:paraId="18A2DEBC">
      <w:pPr>
        <w:autoSpaceDE w:val="0"/>
        <w:autoSpaceDN w:val="0"/>
        <w:adjustRightInd w:val="0"/>
        <w:spacing w:line="600" w:lineRule="exact"/>
        <w:ind w:firstLine="643" w:firstLineChars="200"/>
        <w:jc w:val="left"/>
        <w:outlineLvl w:val="2"/>
        <w:rPr>
          <w:rFonts w:ascii="仿宋" w:hAnsi="仿宋" w:eastAsia="仿宋"/>
          <w:b/>
          <w:bCs/>
          <w:color w:val="000000"/>
          <w:sz w:val="32"/>
          <w:szCs w:val="32"/>
        </w:rPr>
      </w:pPr>
      <w:bookmarkStart w:id="33" w:name="_Toc15377224"/>
      <w:r>
        <w:rPr>
          <w:rFonts w:hint="eastAsia" w:ascii="仿宋" w:hAnsi="仿宋" w:eastAsia="仿宋" w:cs="仿宋"/>
          <w:b/>
          <w:bCs/>
          <w:color w:val="000000"/>
          <w:sz w:val="32"/>
          <w:szCs w:val="32"/>
        </w:rPr>
        <w:t>（三）国有资产占有使用情况</w:t>
      </w:r>
      <w:bookmarkEnd w:id="33"/>
    </w:p>
    <w:p w14:paraId="130088FB">
      <w:pPr>
        <w:spacing w:line="600" w:lineRule="exact"/>
        <w:ind w:firstLine="640" w:firstLineChars="200"/>
        <w:rPr>
          <w:rFonts w:hint="eastAsia" w:ascii="仿宋" w:hAnsi="仿宋" w:eastAsia="仿宋" w:cs="仿宋"/>
          <w:color w:val="auto"/>
          <w:sz w:val="32"/>
          <w:szCs w:val="32"/>
        </w:rPr>
      </w:pPr>
      <w:r>
        <w:rPr>
          <w:rFonts w:hint="eastAsia" w:ascii="仿宋" w:hAnsi="仿宋" w:eastAsia="仿宋" w:cs="仿宋"/>
          <w:color w:val="000000"/>
          <w:sz w:val="32"/>
          <w:szCs w:val="32"/>
        </w:rPr>
        <w:t>截至20</w:t>
      </w:r>
      <w:r>
        <w:rPr>
          <w:rFonts w:hint="eastAsia" w:ascii="仿宋" w:hAnsi="仿宋" w:eastAsia="仿宋" w:cs="仿宋"/>
          <w:color w:val="000000"/>
          <w:sz w:val="32"/>
          <w:szCs w:val="32"/>
          <w:lang w:val="en-US" w:eastAsia="zh-CN"/>
        </w:rPr>
        <w:t>25</w:t>
      </w:r>
      <w:r>
        <w:rPr>
          <w:rFonts w:hint="eastAsia" w:ascii="仿宋" w:hAnsi="仿宋" w:eastAsia="仿宋" w:cs="仿宋"/>
          <w:color w:val="000000"/>
          <w:sz w:val="32"/>
          <w:szCs w:val="32"/>
        </w:rPr>
        <w:t>年12月31日，阿坝州</w:t>
      </w:r>
      <w:r>
        <w:rPr>
          <w:rFonts w:hint="eastAsia" w:ascii="仿宋" w:hAnsi="仿宋" w:eastAsia="仿宋" w:cs="仿宋"/>
          <w:color w:val="000000"/>
          <w:sz w:val="32"/>
          <w:szCs w:val="32"/>
          <w:lang w:eastAsia="zh-CN"/>
        </w:rPr>
        <w:t>市场</w:t>
      </w:r>
      <w:r>
        <w:rPr>
          <w:rFonts w:hint="eastAsia" w:ascii="仿宋" w:hAnsi="仿宋" w:eastAsia="仿宋" w:cs="仿宋"/>
          <w:color w:val="000000"/>
          <w:sz w:val="32"/>
          <w:szCs w:val="32"/>
        </w:rPr>
        <w:t>监督管理局共有车辆</w:t>
      </w:r>
      <w:r>
        <w:rPr>
          <w:rFonts w:hint="eastAsia" w:ascii="仿宋" w:hAnsi="仿宋" w:eastAsia="仿宋" w:cs="仿宋"/>
          <w:color w:val="000000"/>
          <w:sz w:val="32"/>
          <w:szCs w:val="32"/>
          <w:lang w:val="en-US" w:eastAsia="zh-CN"/>
        </w:rPr>
        <w:t>32</w:t>
      </w:r>
      <w:r>
        <w:rPr>
          <w:rFonts w:hint="eastAsia" w:ascii="仿宋" w:hAnsi="仿宋" w:eastAsia="仿宋" w:cs="仿宋"/>
          <w:color w:val="000000"/>
          <w:sz w:val="32"/>
          <w:szCs w:val="32"/>
        </w:rPr>
        <w:t>辆，其中：部级领导干部用车0辆、主要领导干部用车0辆、机要通信用车0辆、应急保障用车</w:t>
      </w:r>
      <w:r>
        <w:rPr>
          <w:rFonts w:hint="eastAsia" w:ascii="仿宋" w:hAnsi="仿宋" w:eastAsia="仿宋" w:cs="仿宋"/>
          <w:color w:val="000000"/>
          <w:sz w:val="32"/>
          <w:szCs w:val="32"/>
          <w:lang w:val="en-US" w:eastAsia="zh-CN"/>
        </w:rPr>
        <w:t>7</w:t>
      </w:r>
      <w:r>
        <w:rPr>
          <w:rFonts w:hint="eastAsia" w:ascii="仿宋" w:hAnsi="仿宋" w:eastAsia="仿宋" w:cs="仿宋"/>
          <w:color w:val="000000"/>
          <w:sz w:val="32"/>
          <w:szCs w:val="32"/>
        </w:rPr>
        <w:t>辆、执法执勤用车</w:t>
      </w:r>
      <w:r>
        <w:rPr>
          <w:rFonts w:hint="eastAsia" w:ascii="仿宋" w:hAnsi="仿宋" w:eastAsia="仿宋" w:cs="仿宋"/>
          <w:color w:val="000000"/>
          <w:sz w:val="32"/>
          <w:szCs w:val="32"/>
          <w:lang w:val="en-US" w:eastAsia="zh-CN"/>
        </w:rPr>
        <w:t>16</w:t>
      </w:r>
      <w:r>
        <w:rPr>
          <w:rFonts w:hint="eastAsia" w:ascii="仿宋" w:hAnsi="仿宋" w:eastAsia="仿宋" w:cs="仿宋"/>
          <w:color w:val="000000"/>
          <w:sz w:val="32"/>
          <w:szCs w:val="32"/>
        </w:rPr>
        <w:t>辆、特种专业技术用车</w:t>
      </w:r>
      <w:r>
        <w:rPr>
          <w:rFonts w:hint="eastAsia" w:ascii="仿宋" w:hAnsi="仿宋" w:eastAsia="仿宋" w:cs="仿宋"/>
          <w:color w:val="000000"/>
          <w:sz w:val="32"/>
          <w:szCs w:val="32"/>
          <w:lang w:val="en-US" w:eastAsia="zh-CN"/>
        </w:rPr>
        <w:t>7</w:t>
      </w:r>
      <w:r>
        <w:rPr>
          <w:rFonts w:hint="eastAsia" w:ascii="仿宋" w:hAnsi="仿宋" w:eastAsia="仿宋" w:cs="仿宋"/>
          <w:color w:val="000000"/>
          <w:sz w:val="32"/>
          <w:szCs w:val="32"/>
        </w:rPr>
        <w:t>辆、离退休干部用车0辆、其他用车</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辆；</w:t>
      </w:r>
      <w:r>
        <w:rPr>
          <w:rFonts w:hint="eastAsia" w:ascii="仿宋" w:hAnsi="仿宋" w:eastAsia="仿宋" w:cs="仿宋"/>
          <w:color w:val="auto"/>
          <w:sz w:val="32"/>
          <w:szCs w:val="32"/>
        </w:rPr>
        <w:t>单价50万元以上通用设备</w:t>
      </w:r>
      <w:r>
        <w:rPr>
          <w:rFonts w:hint="eastAsia" w:ascii="仿宋" w:hAnsi="仿宋" w:eastAsia="仿宋" w:cs="仿宋"/>
          <w:color w:val="auto"/>
          <w:sz w:val="32"/>
          <w:szCs w:val="32"/>
          <w:lang w:val="en-US" w:eastAsia="zh-CN"/>
        </w:rPr>
        <w:t>17</w:t>
      </w:r>
      <w:r>
        <w:rPr>
          <w:rFonts w:hint="eastAsia" w:ascii="仿宋" w:hAnsi="仿宋" w:eastAsia="仿宋" w:cs="仿宋"/>
          <w:color w:val="auto"/>
          <w:sz w:val="32"/>
          <w:szCs w:val="32"/>
        </w:rPr>
        <w:t>套，单价100万元以上专用设备</w:t>
      </w:r>
      <w:r>
        <w:rPr>
          <w:rFonts w:hint="eastAsia" w:ascii="仿宋" w:hAnsi="仿宋" w:eastAsia="仿宋" w:cs="仿宋"/>
          <w:color w:val="auto"/>
          <w:sz w:val="32"/>
          <w:szCs w:val="32"/>
          <w:lang w:val="en-US" w:eastAsia="zh-CN"/>
        </w:rPr>
        <w:t>4套</w:t>
      </w:r>
      <w:r>
        <w:rPr>
          <w:rFonts w:hint="eastAsia" w:ascii="仿宋" w:hAnsi="仿宋" w:eastAsia="仿宋" w:cs="仿宋"/>
          <w:color w:val="auto"/>
          <w:sz w:val="32"/>
          <w:szCs w:val="32"/>
        </w:rPr>
        <w:t>。</w:t>
      </w:r>
    </w:p>
    <w:p w14:paraId="5C1FC3D6">
      <w:pPr>
        <w:numPr>
          <w:ilvl w:val="0"/>
          <w:numId w:val="0"/>
        </w:numPr>
        <w:spacing w:line="580" w:lineRule="exact"/>
        <w:rPr>
          <w:rFonts w:ascii="仿宋" w:hAnsi="仿宋" w:eastAsia="仿宋"/>
          <w:b/>
          <w:bCs/>
          <w:sz w:val="32"/>
          <w:szCs w:val="32"/>
        </w:rPr>
      </w:pPr>
      <w:r>
        <w:rPr>
          <w:rFonts w:hint="eastAsia" w:ascii="仿宋" w:hAnsi="仿宋" w:eastAsia="仿宋" w:cs="仿宋"/>
          <w:b/>
          <w:bCs/>
          <w:sz w:val="32"/>
          <w:szCs w:val="32"/>
          <w:lang w:eastAsia="zh-CN"/>
        </w:rPr>
        <w:t>　　</w:t>
      </w:r>
      <w:r>
        <w:rPr>
          <w:rFonts w:hint="eastAsia" w:ascii="仿宋" w:hAnsi="仿宋" w:eastAsia="仿宋" w:cs="仿宋"/>
          <w:b/>
          <w:bCs/>
          <w:color w:val="000000"/>
          <w:sz w:val="32"/>
          <w:szCs w:val="32"/>
        </w:rPr>
        <w:t>（</w:t>
      </w:r>
      <w:r>
        <w:rPr>
          <w:rFonts w:hint="eastAsia" w:ascii="仿宋" w:hAnsi="仿宋" w:eastAsia="仿宋" w:cs="仿宋"/>
          <w:b/>
          <w:bCs/>
          <w:color w:val="000000"/>
          <w:sz w:val="32"/>
          <w:szCs w:val="32"/>
          <w:lang w:eastAsia="zh-CN"/>
        </w:rPr>
        <w:t>四</w:t>
      </w:r>
      <w:r>
        <w:rPr>
          <w:rFonts w:hint="eastAsia" w:ascii="仿宋" w:hAnsi="仿宋" w:eastAsia="仿宋" w:cs="仿宋"/>
          <w:b/>
          <w:bCs/>
          <w:color w:val="000000"/>
          <w:sz w:val="32"/>
          <w:szCs w:val="32"/>
        </w:rPr>
        <w:t>）</w:t>
      </w:r>
      <w:r>
        <w:rPr>
          <w:rFonts w:hint="eastAsia" w:ascii="仿宋" w:hAnsi="仿宋" w:eastAsia="仿宋" w:cs="仿宋"/>
          <w:b/>
          <w:bCs/>
          <w:sz w:val="32"/>
          <w:szCs w:val="32"/>
        </w:rPr>
        <w:t>预算绩效管理情况。</w:t>
      </w:r>
    </w:p>
    <w:p w14:paraId="6A3A5EE1">
      <w:pPr>
        <w:spacing w:line="600" w:lineRule="exact"/>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rPr>
        <w:t>根据预算绩效管理要求，本部门在年初预算编制阶段，组织对</w:t>
      </w:r>
      <w:r>
        <w:rPr>
          <w:rFonts w:hint="eastAsia" w:ascii="仿宋" w:hAnsi="仿宋" w:eastAsia="仿宋" w:cs="仿宋"/>
          <w:color w:val="000000"/>
          <w:sz w:val="32"/>
          <w:szCs w:val="32"/>
          <w:lang w:eastAsia="zh-CN"/>
        </w:rPr>
        <w:t>质量与安全抽检业务</w:t>
      </w:r>
      <w:r>
        <w:rPr>
          <w:rFonts w:hint="eastAsia" w:ascii="仿宋" w:hAnsi="仿宋" w:eastAsia="仿宋" w:cs="仿宋"/>
          <w:color w:val="000000"/>
          <w:sz w:val="32"/>
          <w:szCs w:val="32"/>
        </w:rPr>
        <w:t>项目</w:t>
      </w:r>
      <w:r>
        <w:rPr>
          <w:rFonts w:hint="eastAsia" w:ascii="仿宋" w:hAnsi="仿宋" w:eastAsia="仿宋" w:cs="仿宋"/>
          <w:color w:val="000000"/>
          <w:sz w:val="32"/>
          <w:szCs w:val="32"/>
          <w:lang w:eastAsia="zh-CN"/>
        </w:rPr>
        <w:t>等</w:t>
      </w:r>
      <w:r>
        <w:rPr>
          <w:rFonts w:hint="eastAsia" w:ascii="仿宋" w:hAnsi="仿宋" w:eastAsia="仿宋" w:cs="仿宋"/>
          <w:color w:val="000000"/>
          <w:sz w:val="32"/>
          <w:szCs w:val="32"/>
          <w:lang w:val="en-US" w:eastAsia="zh-CN"/>
        </w:rPr>
        <w:t>51个项目</w:t>
      </w:r>
      <w:r>
        <w:rPr>
          <w:rFonts w:hint="eastAsia" w:ascii="仿宋" w:hAnsi="仿宋" w:eastAsia="仿宋" w:cs="仿宋"/>
          <w:color w:val="000000"/>
          <w:sz w:val="32"/>
          <w:szCs w:val="32"/>
        </w:rPr>
        <w:t>开展了预算事前绩效评估，对</w:t>
      </w:r>
      <w:r>
        <w:rPr>
          <w:rFonts w:hint="eastAsia" w:ascii="仿宋" w:hAnsi="仿宋" w:eastAsia="仿宋" w:cs="仿宋"/>
          <w:color w:val="000000"/>
          <w:sz w:val="32"/>
          <w:szCs w:val="32"/>
          <w:lang w:val="en-US" w:eastAsia="zh-CN"/>
        </w:rPr>
        <w:t>51</w:t>
      </w:r>
      <w:r>
        <w:rPr>
          <w:rFonts w:hint="eastAsia" w:ascii="仿宋" w:hAnsi="仿宋" w:eastAsia="仿宋" w:cs="仿宋"/>
          <w:color w:val="000000"/>
          <w:sz w:val="32"/>
          <w:szCs w:val="32"/>
        </w:rPr>
        <w:t>个项目编制了绩效目标</w:t>
      </w:r>
      <w:r>
        <w:rPr>
          <w:rFonts w:hint="eastAsia" w:ascii="仿宋" w:hAnsi="仿宋" w:eastAsia="仿宋" w:cs="仿宋"/>
          <w:color w:val="000000"/>
          <w:sz w:val="32"/>
          <w:szCs w:val="32"/>
          <w:lang w:eastAsia="zh-CN"/>
        </w:rPr>
        <w:t>，在</w:t>
      </w:r>
      <w:r>
        <w:rPr>
          <w:rFonts w:hint="eastAsia" w:ascii="仿宋" w:hAnsi="仿宋" w:eastAsia="仿宋" w:cs="仿宋"/>
          <w:color w:val="000000"/>
          <w:sz w:val="32"/>
          <w:szCs w:val="32"/>
        </w:rPr>
        <w:t>预算执行过程中，选取</w:t>
      </w:r>
      <w:r>
        <w:rPr>
          <w:rFonts w:hint="eastAsia" w:ascii="仿宋" w:hAnsi="仿宋" w:eastAsia="仿宋" w:cs="仿宋"/>
          <w:color w:val="000000"/>
          <w:sz w:val="32"/>
          <w:szCs w:val="32"/>
          <w:lang w:val="en-US" w:eastAsia="zh-CN"/>
        </w:rPr>
        <w:t>51</w:t>
      </w:r>
      <w:r>
        <w:rPr>
          <w:rFonts w:hint="eastAsia" w:ascii="仿宋" w:hAnsi="仿宋" w:eastAsia="仿宋" w:cs="仿宋"/>
          <w:color w:val="000000"/>
          <w:sz w:val="32"/>
          <w:szCs w:val="32"/>
        </w:rPr>
        <w:t>个项目开展绩效监控，年终执行完毕后，对</w:t>
      </w:r>
      <w:r>
        <w:rPr>
          <w:rFonts w:hint="eastAsia" w:ascii="仿宋" w:hAnsi="仿宋" w:eastAsia="仿宋" w:cs="仿宋"/>
          <w:color w:val="000000"/>
          <w:sz w:val="32"/>
          <w:szCs w:val="32"/>
          <w:lang w:val="en-US" w:eastAsia="zh-CN"/>
        </w:rPr>
        <w:t>51</w:t>
      </w:r>
      <w:r>
        <w:rPr>
          <w:rFonts w:hint="eastAsia" w:ascii="仿宋" w:hAnsi="仿宋" w:eastAsia="仿宋" w:cs="仿宋"/>
          <w:color w:val="000000"/>
          <w:sz w:val="32"/>
          <w:szCs w:val="32"/>
        </w:rPr>
        <w:t>个项目开展了绩效</w:t>
      </w:r>
      <w:r>
        <w:rPr>
          <w:rFonts w:hint="eastAsia" w:ascii="仿宋" w:hAnsi="仿宋" w:eastAsia="仿宋" w:cs="仿宋"/>
          <w:color w:val="000000"/>
          <w:sz w:val="32"/>
          <w:szCs w:val="32"/>
          <w:lang w:eastAsia="zh-CN"/>
        </w:rPr>
        <w:t>自评</w:t>
      </w:r>
      <w:r>
        <w:rPr>
          <w:rFonts w:hint="eastAsia" w:ascii="仿宋" w:hAnsi="仿宋" w:eastAsia="仿宋" w:cs="仿宋"/>
          <w:color w:val="000000"/>
          <w:sz w:val="32"/>
          <w:szCs w:val="32"/>
        </w:rPr>
        <w:t>。</w:t>
      </w:r>
    </w:p>
    <w:p w14:paraId="30ABD508">
      <w:pPr>
        <w:spacing w:line="600" w:lineRule="exact"/>
        <w:ind w:firstLine="640" w:firstLineChars="200"/>
        <w:rPr>
          <w:rFonts w:hint="default" w:ascii="仿宋" w:hAnsi="仿宋" w:eastAsia="仿宋" w:cs="仿宋"/>
          <w:color w:val="000000"/>
          <w:sz w:val="32"/>
          <w:szCs w:val="32"/>
          <w:lang w:val="en-US" w:eastAsia="zh-CN"/>
        </w:rPr>
      </w:pPr>
      <w:r>
        <w:rPr>
          <w:rFonts w:hint="eastAsia" w:ascii="仿宋" w:hAnsi="仿宋" w:eastAsia="仿宋" w:cs="仿宋"/>
          <w:color w:val="000000"/>
          <w:sz w:val="32"/>
          <w:szCs w:val="32"/>
          <w:lang w:eastAsia="zh-CN"/>
        </w:rPr>
        <w:t>组织对</w:t>
      </w:r>
      <w:r>
        <w:rPr>
          <w:rFonts w:hint="eastAsia" w:ascii="仿宋" w:hAnsi="仿宋" w:eastAsia="仿宋" w:cs="仿宋"/>
          <w:color w:val="000000"/>
          <w:sz w:val="32"/>
          <w:szCs w:val="32"/>
          <w:lang w:val="en-US" w:eastAsia="zh-CN"/>
        </w:rPr>
        <w:t>2025年度一般公共预算、政府性基金预算、国有资本经营预算等全面开展绩效自评，形成阿坝州市场监督管理部门整体绩效自评报告、质量与安全抽检业务项目等专项预算项目绩效自评报告，其中阿坝州市场监督管理部门整体绩效自评得分93.96分，</w:t>
      </w:r>
      <w:r>
        <w:rPr>
          <w:rFonts w:hint="eastAsia" w:ascii="仿宋" w:hAnsi="仿宋" w:eastAsia="仿宋" w:cs="仿宋"/>
          <w:color w:val="000000"/>
          <w:sz w:val="32"/>
          <w:szCs w:val="32"/>
          <w:lang w:eastAsia="zh-CN"/>
        </w:rPr>
        <w:t>本部门对</w:t>
      </w:r>
      <w:r>
        <w:rPr>
          <w:rFonts w:hint="eastAsia" w:ascii="仿宋" w:hAnsi="仿宋" w:eastAsia="仿宋" w:cs="仿宋"/>
          <w:color w:val="000000"/>
          <w:sz w:val="32"/>
          <w:szCs w:val="32"/>
          <w:lang w:val="en-US" w:eastAsia="zh-CN"/>
        </w:rPr>
        <w:t>2025年部门整体开展绩效自评，《2025年州市场监督管理部门整体绩效评价报告》见第四部分附件。</w:t>
      </w:r>
    </w:p>
    <w:p w14:paraId="43EE495E">
      <w:pPr>
        <w:spacing w:line="580" w:lineRule="exact"/>
        <w:ind w:firstLine="640" w:firstLineChars="200"/>
        <w:rPr>
          <w:rFonts w:hint="eastAsia" w:ascii="楷体_GB2312" w:hAnsi="楷体_GB2312" w:eastAsia="楷体_GB2312" w:cs="楷体_GB2312"/>
          <w:sz w:val="32"/>
          <w:szCs w:val="32"/>
        </w:rPr>
      </w:pPr>
    </w:p>
    <w:p w14:paraId="502BD739">
      <w:pPr>
        <w:pStyle w:val="10"/>
        <w:rPr>
          <w:rFonts w:hint="eastAsia" w:ascii="楷体_GB2312" w:hAnsi="楷体_GB2312" w:eastAsia="楷体_GB2312" w:cs="楷体_GB2312"/>
          <w:sz w:val="32"/>
          <w:szCs w:val="32"/>
        </w:rPr>
      </w:pPr>
    </w:p>
    <w:p w14:paraId="0737419C">
      <w:pPr>
        <w:pStyle w:val="6"/>
        <w:rPr>
          <w:rFonts w:hint="eastAsia" w:ascii="楷体_GB2312" w:hAnsi="楷体_GB2312" w:eastAsia="楷体_GB2312" w:cs="楷体_GB2312"/>
          <w:sz w:val="32"/>
          <w:szCs w:val="32"/>
        </w:rPr>
      </w:pPr>
    </w:p>
    <w:p w14:paraId="2A69035C">
      <w:pPr>
        <w:rPr>
          <w:rFonts w:hint="eastAsia" w:ascii="楷体_GB2312" w:hAnsi="楷体_GB2312" w:eastAsia="楷体_GB2312" w:cs="楷体_GB2312"/>
          <w:sz w:val="32"/>
          <w:szCs w:val="32"/>
        </w:rPr>
      </w:pPr>
    </w:p>
    <w:p w14:paraId="06766533">
      <w:pPr>
        <w:pStyle w:val="10"/>
        <w:rPr>
          <w:rFonts w:hint="eastAsia" w:ascii="楷体_GB2312" w:hAnsi="楷体_GB2312" w:eastAsia="楷体_GB2312" w:cs="楷体_GB2312"/>
          <w:sz w:val="32"/>
          <w:szCs w:val="32"/>
        </w:rPr>
      </w:pPr>
    </w:p>
    <w:p w14:paraId="654D597F">
      <w:pPr>
        <w:pStyle w:val="14"/>
        <w:ind w:left="0" w:leftChars="0" w:firstLine="0" w:firstLineChars="0"/>
      </w:pPr>
    </w:p>
    <w:p w14:paraId="24423B94">
      <w:pPr>
        <w:pStyle w:val="14"/>
        <w:ind w:left="0" w:leftChars="0" w:firstLine="0" w:firstLineChars="0"/>
      </w:pPr>
    </w:p>
    <w:p w14:paraId="6B586555">
      <w:pPr>
        <w:numPr>
          <w:ilvl w:val="0"/>
          <w:numId w:val="4"/>
        </w:numPr>
        <w:spacing w:line="600" w:lineRule="exact"/>
        <w:ind w:firstLine="663" w:firstLineChars="150"/>
        <w:jc w:val="center"/>
        <w:outlineLvl w:val="0"/>
        <w:rPr>
          <w:rStyle w:val="44"/>
          <w:rFonts w:ascii="黑体" w:hAnsi="黑体" w:eastAsia="黑体"/>
          <w:b w:val="0"/>
          <w:bCs w:val="0"/>
        </w:rPr>
      </w:pPr>
      <w:bookmarkStart w:id="34" w:name="_Toc15377225"/>
      <w:bookmarkStart w:id="35" w:name="_Toc15396613"/>
      <w:r>
        <w:rPr>
          <w:rFonts w:hint="eastAsia" w:ascii="黑体" w:hAnsi="黑体" w:eastAsia="黑体" w:cs="黑体"/>
          <w:b/>
          <w:bCs/>
          <w:color w:val="000000"/>
          <w:sz w:val="44"/>
          <w:szCs w:val="44"/>
        </w:rPr>
        <w:t>名</w:t>
      </w:r>
      <w:r>
        <w:rPr>
          <w:rStyle w:val="44"/>
          <w:rFonts w:hint="eastAsia" w:ascii="黑体" w:hAnsi="黑体" w:eastAsia="黑体" w:cs="黑体"/>
          <w:b w:val="0"/>
          <w:bCs w:val="0"/>
        </w:rPr>
        <w:t>词解释</w:t>
      </w:r>
      <w:bookmarkEnd w:id="34"/>
      <w:bookmarkEnd w:id="35"/>
    </w:p>
    <w:p w14:paraId="2C46CF0F">
      <w:pPr>
        <w:spacing w:line="600" w:lineRule="exact"/>
        <w:jc w:val="left"/>
        <w:rPr>
          <w:rFonts w:ascii="宋体"/>
          <w:b/>
          <w:bCs/>
          <w:color w:val="000000"/>
          <w:sz w:val="44"/>
          <w:szCs w:val="44"/>
        </w:rPr>
      </w:pPr>
    </w:p>
    <w:p w14:paraId="40887535">
      <w:pPr>
        <w:pStyle w:val="45"/>
        <w:spacing w:before="93" w:line="560" w:lineRule="exact"/>
        <w:ind w:firstLine="600" w:firstLineChars="200"/>
        <w:rPr>
          <w:rFonts w:ascii="??_GB2312" w:eastAsia="Times New Roman" w:cs="Times New Roman"/>
          <w:sz w:val="30"/>
          <w:szCs w:val="30"/>
        </w:rPr>
      </w:pPr>
      <w:r>
        <w:rPr>
          <w:rFonts w:ascii="??_GB2312" w:eastAsia="Times New Roman" w:cs="??_GB2312"/>
          <w:sz w:val="30"/>
          <w:szCs w:val="30"/>
        </w:rPr>
        <w:t>1.</w:t>
      </w:r>
      <w:r>
        <w:rPr>
          <w:rFonts w:ascii="??_GB2312" w:eastAsia="Times New Roman" w:cs="Times New Roman"/>
          <w:sz w:val="30"/>
          <w:szCs w:val="30"/>
        </w:rPr>
        <w:t>财政拨款收入：指单位从同级财政部门取得的财政预算资金。</w:t>
      </w:r>
    </w:p>
    <w:p w14:paraId="1F868C91">
      <w:pPr>
        <w:pStyle w:val="45"/>
        <w:spacing w:line="560" w:lineRule="exact"/>
        <w:ind w:firstLine="600" w:firstLineChars="200"/>
        <w:rPr>
          <w:rFonts w:hint="eastAsia" w:ascii="??_GB2312" w:eastAsia="宋体" w:cs="??_GB2312"/>
          <w:sz w:val="30"/>
          <w:szCs w:val="30"/>
          <w:lang w:eastAsia="zh-CN"/>
        </w:rPr>
      </w:pPr>
      <w:r>
        <w:rPr>
          <w:rFonts w:ascii="??_GB2312" w:eastAsia="Times New Roman" w:cs="??_GB2312"/>
          <w:sz w:val="30"/>
          <w:szCs w:val="30"/>
        </w:rPr>
        <w:t>2.</w:t>
      </w:r>
      <w:r>
        <w:rPr>
          <w:rFonts w:hint="eastAsia" w:ascii="??_GB2312" w:eastAsia="宋体" w:cs="??_GB2312"/>
          <w:sz w:val="30"/>
          <w:szCs w:val="30"/>
          <w:lang w:eastAsia="zh-CN"/>
        </w:rPr>
        <w:t>事业收入：指事业单位开展专业从业活动及辅助活动取得的收入</w:t>
      </w:r>
    </w:p>
    <w:p w14:paraId="2F9BA568">
      <w:pPr>
        <w:pStyle w:val="45"/>
        <w:spacing w:line="560" w:lineRule="exact"/>
        <w:ind w:firstLine="600" w:firstLineChars="200"/>
        <w:rPr>
          <w:rFonts w:hint="eastAsia" w:ascii="??_GB2312" w:eastAsia="宋体" w:cs="??_GB2312"/>
          <w:sz w:val="30"/>
          <w:szCs w:val="30"/>
          <w:lang w:val="en-US" w:eastAsia="zh-CN"/>
        </w:rPr>
      </w:pPr>
      <w:r>
        <w:rPr>
          <w:rFonts w:hint="eastAsia" w:ascii="??_GB2312" w:eastAsia="宋体" w:cs="??_GB2312"/>
          <w:sz w:val="30"/>
          <w:szCs w:val="30"/>
          <w:lang w:val="en-US" w:eastAsia="zh-CN"/>
        </w:rPr>
        <w:t>3.经营收入：指事业单位在专业业务活动及其辅助活动之外开展非独立核算经营活动取得的收入。</w:t>
      </w:r>
    </w:p>
    <w:p w14:paraId="75665EC2">
      <w:pPr>
        <w:pStyle w:val="45"/>
        <w:spacing w:line="560" w:lineRule="exact"/>
        <w:ind w:firstLine="600" w:firstLineChars="200"/>
        <w:rPr>
          <w:rFonts w:ascii="??_GB2312" w:eastAsia="Times New Roman" w:cs="Times New Roman"/>
          <w:sz w:val="30"/>
          <w:szCs w:val="30"/>
        </w:rPr>
      </w:pPr>
      <w:r>
        <w:rPr>
          <w:rFonts w:hint="eastAsia" w:ascii="??_GB2312" w:eastAsia="宋体" w:cs="??_GB2312"/>
          <w:sz w:val="30"/>
          <w:szCs w:val="30"/>
          <w:lang w:val="en-US" w:eastAsia="zh-CN"/>
        </w:rPr>
        <w:t>4.</w:t>
      </w:r>
      <w:r>
        <w:rPr>
          <w:rFonts w:ascii="??_GB2312" w:eastAsia="Times New Roman" w:cs="Times New Roman"/>
          <w:sz w:val="30"/>
          <w:szCs w:val="30"/>
        </w:rPr>
        <w:t>其他收入：指除上述</w:t>
      </w:r>
      <w:r>
        <w:rPr>
          <w:rFonts w:ascii="??_GB2312" w:eastAsia="Times New Roman" w:cs="Calibri"/>
          <w:sz w:val="30"/>
          <w:szCs w:val="30"/>
        </w:rPr>
        <w:t>“</w:t>
      </w:r>
      <w:r>
        <w:rPr>
          <w:rFonts w:ascii="??_GB2312" w:eastAsia="Times New Roman" w:cs="Times New Roman"/>
          <w:sz w:val="30"/>
          <w:szCs w:val="30"/>
        </w:rPr>
        <w:t>财政拨款收入</w:t>
      </w:r>
      <w:r>
        <w:rPr>
          <w:rFonts w:hint="eastAsia" w:ascii="??_GB2312" w:eastAsia="宋体" w:cs="Times New Roman"/>
          <w:sz w:val="30"/>
          <w:szCs w:val="30"/>
          <w:lang w:eastAsia="zh-CN"/>
        </w:rPr>
        <w:t>”“</w:t>
      </w:r>
      <w:r>
        <w:rPr>
          <w:rFonts w:ascii="??_GB2312" w:eastAsia="Times New Roman" w:cs="Times New Roman"/>
          <w:sz w:val="30"/>
          <w:szCs w:val="30"/>
        </w:rPr>
        <w:t>事业收入</w:t>
      </w:r>
      <w:r>
        <w:rPr>
          <w:rFonts w:hint="eastAsia" w:ascii="??_GB2312" w:eastAsia="宋体" w:cs="Times New Roman"/>
          <w:sz w:val="30"/>
          <w:szCs w:val="30"/>
          <w:lang w:eastAsia="zh-CN"/>
        </w:rPr>
        <w:t>”“</w:t>
      </w:r>
      <w:r>
        <w:rPr>
          <w:rFonts w:ascii="??_GB2312" w:eastAsia="Times New Roman" w:cs="Times New Roman"/>
          <w:sz w:val="30"/>
          <w:szCs w:val="30"/>
        </w:rPr>
        <w:t>经营收入</w:t>
      </w:r>
      <w:r>
        <w:rPr>
          <w:rFonts w:ascii="??_GB2312" w:eastAsia="Times New Roman" w:cs="Calibri"/>
          <w:sz w:val="30"/>
          <w:szCs w:val="30"/>
        </w:rPr>
        <w:t>”</w:t>
      </w:r>
      <w:r>
        <w:rPr>
          <w:rFonts w:ascii="??_GB2312" w:eastAsia="Times New Roman" w:cs="Times New Roman"/>
          <w:sz w:val="30"/>
          <w:szCs w:val="30"/>
        </w:rPr>
        <w:t>等以外的收入。主要是从非同级财政部门、上级主管部门等取得的用于完成项目或专项任务的资金、库存现金溢余等。</w:t>
      </w:r>
    </w:p>
    <w:p w14:paraId="227F7BBF">
      <w:pPr>
        <w:pStyle w:val="45"/>
        <w:spacing w:line="560" w:lineRule="exact"/>
        <w:ind w:firstLine="600" w:firstLineChars="200"/>
        <w:rPr>
          <w:rFonts w:hint="eastAsia" w:ascii="??_GB2312" w:eastAsia="宋体" w:cs="??_GB2312"/>
          <w:sz w:val="30"/>
          <w:szCs w:val="30"/>
          <w:lang w:val="en-US" w:eastAsia="zh-CN"/>
        </w:rPr>
      </w:pPr>
      <w:r>
        <w:rPr>
          <w:rFonts w:hint="eastAsia" w:ascii="??_GB2312" w:eastAsia="宋体" w:cs="??_GB2312"/>
          <w:sz w:val="30"/>
          <w:szCs w:val="30"/>
          <w:lang w:val="en-US" w:eastAsia="zh-CN"/>
        </w:rPr>
        <w:t>5</w:t>
      </w:r>
      <w:r>
        <w:rPr>
          <w:rFonts w:ascii="??_GB2312" w:eastAsia="Times New Roman" w:cs="??_GB2312"/>
          <w:sz w:val="30"/>
          <w:szCs w:val="30"/>
        </w:rPr>
        <w:t>.</w:t>
      </w:r>
      <w:r>
        <w:rPr>
          <w:rFonts w:hint="eastAsia" w:ascii="??_GB2312" w:eastAsia="宋体" w:cs="??_GB2312"/>
          <w:sz w:val="30"/>
          <w:szCs w:val="30"/>
          <w:lang w:eastAsia="zh-CN"/>
        </w:rPr>
        <w:t>非财政拨款结余：指事业单位使用以前年度积累的非财政拨款结余弥补当年</w:t>
      </w:r>
      <w:r>
        <w:rPr>
          <w:rFonts w:hint="eastAsia" w:ascii="??_GB2312" w:eastAsia="宋体" w:cs="??_GB2312"/>
          <w:sz w:val="30"/>
          <w:szCs w:val="30"/>
          <w:lang w:val="en-US" w:eastAsia="zh-CN"/>
        </w:rPr>
        <w:t xml:space="preserve"> 收支差额的金额。</w:t>
      </w:r>
    </w:p>
    <w:p w14:paraId="3798ED8B">
      <w:pPr>
        <w:pStyle w:val="45"/>
        <w:spacing w:line="560" w:lineRule="exact"/>
        <w:ind w:firstLine="600" w:firstLineChars="200"/>
        <w:rPr>
          <w:rFonts w:ascii="??_GB2312" w:eastAsia="Times New Roman" w:cs="Times New Roman"/>
          <w:sz w:val="30"/>
          <w:szCs w:val="30"/>
        </w:rPr>
      </w:pPr>
      <w:r>
        <w:rPr>
          <w:rFonts w:hint="eastAsia" w:ascii="??_GB2312" w:eastAsia="宋体" w:cs="??_GB2312"/>
          <w:sz w:val="30"/>
          <w:szCs w:val="30"/>
          <w:lang w:val="en-US" w:eastAsia="zh-CN"/>
        </w:rPr>
        <w:t>6.</w:t>
      </w:r>
      <w:r>
        <w:rPr>
          <w:rFonts w:ascii="??_GB2312" w:eastAsia="Times New Roman" w:cs="Times New Roman"/>
          <w:sz w:val="30"/>
          <w:szCs w:val="30"/>
        </w:rPr>
        <w:t>年初结转和结余：指以前年度尚未完成、结转到本年按有关规定继续使用的资金。</w:t>
      </w:r>
    </w:p>
    <w:p w14:paraId="0ED8B873">
      <w:pPr>
        <w:pStyle w:val="45"/>
        <w:spacing w:before="93" w:line="560" w:lineRule="exact"/>
        <w:ind w:firstLine="600" w:firstLineChars="200"/>
        <w:rPr>
          <w:rFonts w:ascii="??_GB2312" w:eastAsia="Times New Roman" w:cs="Times New Roman"/>
          <w:sz w:val="30"/>
          <w:szCs w:val="30"/>
        </w:rPr>
      </w:pPr>
      <w:r>
        <w:rPr>
          <w:rFonts w:hint="eastAsia" w:ascii="??_GB2312" w:eastAsia="Times New Roman" w:cs="Times New Roman"/>
          <w:sz w:val="30"/>
          <w:szCs w:val="30"/>
          <w:lang w:val="en-US" w:eastAsia="zh-CN"/>
        </w:rPr>
        <w:t>7</w:t>
      </w:r>
      <w:r>
        <w:rPr>
          <w:rFonts w:ascii="??_GB2312" w:eastAsia="Times New Roman" w:cs="Times New Roman"/>
          <w:sz w:val="30"/>
          <w:szCs w:val="30"/>
        </w:rPr>
        <w:t>.年末结转和结余：指本年度或以前年度预算安排、因客观条件发生变化无法按原计划实施，需延迟到以后年度按有关规定继续使用的资金。</w:t>
      </w:r>
    </w:p>
    <w:p w14:paraId="3F0D0129">
      <w:pPr>
        <w:pStyle w:val="45"/>
        <w:spacing w:before="93" w:line="560" w:lineRule="exact"/>
        <w:ind w:firstLine="600" w:firstLineChars="200"/>
        <w:rPr>
          <w:rFonts w:ascii="??_GB2312" w:eastAsia="Times New Roman" w:cs="Times New Roman"/>
          <w:sz w:val="30"/>
          <w:szCs w:val="30"/>
        </w:rPr>
      </w:pPr>
      <w:r>
        <w:rPr>
          <w:rFonts w:hint="eastAsia" w:ascii="??_GB2312" w:eastAsia="Times New Roman" w:cs="Times New Roman"/>
          <w:sz w:val="30"/>
          <w:szCs w:val="30"/>
          <w:lang w:val="en-US" w:eastAsia="zh-CN"/>
        </w:rPr>
        <w:t>8</w:t>
      </w:r>
      <w:r>
        <w:rPr>
          <w:rFonts w:ascii="??_GB2312" w:eastAsia="Times New Roman" w:cs="Times New Roman"/>
          <w:sz w:val="30"/>
          <w:szCs w:val="30"/>
        </w:rPr>
        <w:t>.社会保障和就业支出（208）行政事业单位离退休（05）机关事业单位基本养老保险缴费支出（05）：指机关事业单位实施养老保险制度由单位缴纳的基本养老保险费支出。</w:t>
      </w:r>
    </w:p>
    <w:p w14:paraId="78700C0E">
      <w:pPr>
        <w:pStyle w:val="45"/>
        <w:spacing w:before="93" w:line="560" w:lineRule="exact"/>
        <w:ind w:firstLine="600" w:firstLineChars="200"/>
        <w:rPr>
          <w:rFonts w:ascii="??_GB2312" w:eastAsia="Times New Roman" w:cs="Times New Roman"/>
          <w:sz w:val="30"/>
          <w:szCs w:val="30"/>
        </w:rPr>
      </w:pPr>
      <w:r>
        <w:rPr>
          <w:rFonts w:hint="eastAsia" w:ascii="??_GB2312" w:eastAsia="Times New Roman" w:cs="Times New Roman"/>
          <w:sz w:val="30"/>
          <w:szCs w:val="30"/>
          <w:lang w:val="en-US" w:eastAsia="zh-CN"/>
        </w:rPr>
        <w:t>9</w:t>
      </w:r>
      <w:r>
        <w:rPr>
          <w:rFonts w:ascii="??_GB2312" w:eastAsia="Times New Roman" w:cs="Times New Roman"/>
          <w:sz w:val="30"/>
          <w:szCs w:val="30"/>
        </w:rPr>
        <w:t>.社会保障和就业支出（208）行政事业单位离退休（05）机关事业单位职业年金缴费支出（06）：指机关事业单位实施养老保险制度由单位实际缴纳的职业年金支出。</w:t>
      </w:r>
    </w:p>
    <w:p w14:paraId="7227A738">
      <w:pPr>
        <w:pStyle w:val="45"/>
        <w:spacing w:before="93" w:line="560" w:lineRule="exact"/>
        <w:ind w:firstLine="600" w:firstLineChars="200"/>
        <w:rPr>
          <w:rFonts w:ascii="??_GB2312" w:eastAsia="Times New Roman" w:cs="Times New Roman"/>
          <w:sz w:val="30"/>
          <w:szCs w:val="30"/>
        </w:rPr>
      </w:pPr>
      <w:r>
        <w:rPr>
          <w:rFonts w:hint="eastAsia" w:ascii="??_GB2312" w:eastAsia="Times New Roman" w:cs="Times New Roman"/>
          <w:sz w:val="30"/>
          <w:szCs w:val="30"/>
          <w:lang w:val="en-US" w:eastAsia="zh-CN"/>
        </w:rPr>
        <w:t>10</w:t>
      </w:r>
      <w:r>
        <w:rPr>
          <w:rFonts w:ascii="??_GB2312" w:eastAsia="Times New Roman" w:cs="Times New Roman"/>
          <w:sz w:val="30"/>
          <w:szCs w:val="30"/>
        </w:rPr>
        <w:t>. 医疗卫生与计划生育支出（210）行政事业单位医疗（11）行政单位医疗（01）：</w:t>
      </w:r>
      <w:r>
        <w:rPr>
          <w:rFonts w:hint="eastAsia" w:ascii="??_GB2312" w:eastAsia="Times New Roman" w:cs="Times New Roman"/>
          <w:sz w:val="30"/>
          <w:szCs w:val="30"/>
          <w:lang w:eastAsia="zh-CN"/>
        </w:rPr>
        <w:t>指财政部门安排的行政单位基本医疗保险缴费时，未参加医疗保险的行政单位的公费医疗经费，按国家规定享受离休人员、红军老战士待遇人员的医疗经费</w:t>
      </w:r>
      <w:r>
        <w:rPr>
          <w:rFonts w:ascii="??_GB2312" w:eastAsia="Times New Roman" w:cs="Times New Roman"/>
          <w:sz w:val="30"/>
          <w:szCs w:val="30"/>
        </w:rPr>
        <w:t>。</w:t>
      </w:r>
    </w:p>
    <w:p w14:paraId="4C3BECA0">
      <w:pPr>
        <w:pStyle w:val="45"/>
        <w:spacing w:before="93" w:line="560" w:lineRule="exact"/>
        <w:ind w:firstLine="600" w:firstLineChars="200"/>
        <w:rPr>
          <w:rFonts w:hint="eastAsia" w:ascii="??_GB2312" w:eastAsia="Times New Roman" w:cs="Times New Roman"/>
          <w:sz w:val="30"/>
          <w:szCs w:val="30"/>
          <w:lang w:val="en-US" w:eastAsia="zh-CN"/>
        </w:rPr>
      </w:pPr>
      <w:r>
        <w:rPr>
          <w:rFonts w:hint="eastAsia" w:ascii="??_GB2312" w:eastAsia="Times New Roman" w:cs="Times New Roman"/>
          <w:sz w:val="30"/>
          <w:szCs w:val="30"/>
          <w:lang w:val="en-US" w:eastAsia="zh-CN"/>
        </w:rPr>
        <w:t>11.医疗卫生与计划生育支出（210）行政事业单位医疗（11）事业单位医疗（02）：指财政部门安排的事业单位基本医疗保险缴费经费，未参加医疗保险的事业单位的公费医疗经费，按国家规定享受离休人员待遇的医疗经费。</w:t>
      </w:r>
    </w:p>
    <w:p w14:paraId="6535EED3">
      <w:pPr>
        <w:pStyle w:val="45"/>
        <w:spacing w:before="93" w:line="560" w:lineRule="exact"/>
        <w:ind w:firstLine="600" w:firstLineChars="200"/>
        <w:rPr>
          <w:rFonts w:ascii="??_GB2312" w:eastAsia="Times New Roman" w:cs="Times New Roman"/>
          <w:sz w:val="30"/>
          <w:szCs w:val="30"/>
        </w:rPr>
      </w:pPr>
      <w:r>
        <w:rPr>
          <w:rFonts w:hint="eastAsia" w:ascii="??_GB2312" w:eastAsia="宋体" w:cs="Times New Roman"/>
          <w:sz w:val="30"/>
          <w:szCs w:val="30"/>
          <w:lang w:val="en-US" w:eastAsia="zh-CN"/>
        </w:rPr>
        <w:t>12.</w:t>
      </w:r>
      <w:r>
        <w:rPr>
          <w:rFonts w:ascii="??_GB2312" w:eastAsia="Times New Roman" w:cs="Times New Roman"/>
          <w:sz w:val="30"/>
          <w:szCs w:val="30"/>
        </w:rPr>
        <w:t>医疗卫生与计划生育支出（210）行政事业单位医疗（11）</w:t>
      </w:r>
      <w:r>
        <w:rPr>
          <w:rFonts w:hint="eastAsia" w:ascii="??_GB2312" w:eastAsia="Times New Roman" w:cs="Times New Roman"/>
          <w:sz w:val="30"/>
          <w:szCs w:val="30"/>
          <w:lang w:eastAsia="zh-CN"/>
        </w:rPr>
        <w:t>公务员医疗补助</w:t>
      </w:r>
      <w:r>
        <w:rPr>
          <w:rFonts w:ascii="??_GB2312" w:eastAsia="Times New Roman" w:cs="Times New Roman"/>
          <w:sz w:val="30"/>
          <w:szCs w:val="30"/>
        </w:rPr>
        <w:t>（0</w:t>
      </w:r>
      <w:r>
        <w:rPr>
          <w:rFonts w:hint="eastAsia" w:ascii="??_GB2312" w:eastAsia="Times New Roman" w:cs="Times New Roman"/>
          <w:sz w:val="30"/>
          <w:szCs w:val="30"/>
          <w:lang w:val="en-US" w:eastAsia="zh-CN"/>
        </w:rPr>
        <w:t>3</w:t>
      </w:r>
      <w:r>
        <w:rPr>
          <w:rFonts w:ascii="??_GB2312" w:eastAsia="Times New Roman" w:cs="Times New Roman"/>
          <w:sz w:val="30"/>
          <w:szCs w:val="30"/>
        </w:rPr>
        <w:t>）：</w:t>
      </w:r>
      <w:r>
        <w:rPr>
          <w:rFonts w:hint="eastAsia" w:ascii="??_GB2312" w:eastAsia="Times New Roman" w:cs="Times New Roman"/>
          <w:sz w:val="30"/>
          <w:szCs w:val="30"/>
          <w:lang w:eastAsia="zh-CN"/>
        </w:rPr>
        <w:t>指财政部门安排的公务员医疗补助经费</w:t>
      </w:r>
      <w:r>
        <w:rPr>
          <w:rFonts w:ascii="??_GB2312" w:eastAsia="Times New Roman" w:cs="Times New Roman"/>
          <w:sz w:val="30"/>
          <w:szCs w:val="30"/>
        </w:rPr>
        <w:t>。</w:t>
      </w:r>
    </w:p>
    <w:p w14:paraId="4AA97A93">
      <w:pPr>
        <w:pStyle w:val="45"/>
        <w:spacing w:before="93" w:line="560" w:lineRule="exact"/>
        <w:ind w:firstLine="600" w:firstLineChars="200"/>
        <w:rPr>
          <w:rFonts w:hint="eastAsia" w:ascii="??_GB2312" w:eastAsia="宋体" w:cs="Times New Roman"/>
          <w:sz w:val="30"/>
          <w:szCs w:val="30"/>
          <w:lang w:eastAsia="zh-CN"/>
        </w:rPr>
      </w:pPr>
      <w:r>
        <w:rPr>
          <w:rFonts w:hint="eastAsia" w:ascii="??_GB2312" w:eastAsia="宋体" w:cs="Times New Roman"/>
          <w:sz w:val="30"/>
          <w:szCs w:val="30"/>
          <w:lang w:val="en-US" w:eastAsia="zh-CN"/>
        </w:rPr>
        <w:t>13.</w:t>
      </w:r>
      <w:r>
        <w:rPr>
          <w:rFonts w:ascii="??_GB2312" w:eastAsia="Times New Roman" w:cs="Times New Roman"/>
          <w:sz w:val="30"/>
          <w:szCs w:val="30"/>
        </w:rPr>
        <w:t>医疗卫生与计划生育支出（210）行政事业单位医疗（11）</w:t>
      </w:r>
      <w:r>
        <w:rPr>
          <w:rFonts w:hint="eastAsia" w:ascii="??_GB2312" w:eastAsia="Times New Roman" w:cs="Times New Roman"/>
          <w:sz w:val="30"/>
          <w:szCs w:val="30"/>
          <w:lang w:eastAsia="zh-CN"/>
        </w:rPr>
        <w:t>其他行政事业单位医疗支出</w:t>
      </w:r>
      <w:r>
        <w:rPr>
          <w:rFonts w:ascii="??_GB2312" w:eastAsia="Times New Roman" w:cs="Times New Roman"/>
          <w:sz w:val="30"/>
          <w:szCs w:val="30"/>
        </w:rPr>
        <w:t>（</w:t>
      </w:r>
      <w:r>
        <w:rPr>
          <w:rFonts w:hint="eastAsia" w:ascii="??_GB2312" w:eastAsia="Times New Roman" w:cs="Times New Roman"/>
          <w:sz w:val="30"/>
          <w:szCs w:val="30"/>
          <w:lang w:val="en-US" w:eastAsia="zh-CN"/>
        </w:rPr>
        <w:t>99</w:t>
      </w:r>
      <w:r>
        <w:rPr>
          <w:rFonts w:ascii="??_GB2312" w:eastAsia="Times New Roman" w:cs="Times New Roman"/>
          <w:sz w:val="30"/>
          <w:szCs w:val="30"/>
        </w:rPr>
        <w:t>）：</w:t>
      </w:r>
      <w:r>
        <w:rPr>
          <w:rFonts w:hint="eastAsia" w:ascii="??_GB2312" w:eastAsia="宋体" w:cs="Times New Roman"/>
          <w:sz w:val="30"/>
          <w:szCs w:val="30"/>
          <w:lang w:eastAsia="zh-CN"/>
        </w:rPr>
        <w:t>指除行政事业单位医疗、公务员医疗补助以外的其他用于行政事业单位医疗方面的支出。</w:t>
      </w:r>
    </w:p>
    <w:p w14:paraId="639F79CA">
      <w:pPr>
        <w:pStyle w:val="45"/>
        <w:spacing w:before="93" w:line="560" w:lineRule="exact"/>
        <w:ind w:firstLine="600" w:firstLineChars="200"/>
        <w:rPr>
          <w:rFonts w:ascii="??_GB2312" w:eastAsia="Times New Roman" w:cs="Times New Roman"/>
          <w:sz w:val="30"/>
          <w:szCs w:val="30"/>
        </w:rPr>
      </w:pPr>
      <w:r>
        <w:rPr>
          <w:rFonts w:hint="eastAsia" w:ascii="??_GB2312" w:eastAsia="Times New Roman" w:cs="Times New Roman"/>
          <w:sz w:val="30"/>
          <w:szCs w:val="30"/>
          <w:lang w:val="en-US" w:eastAsia="zh-CN"/>
        </w:rPr>
        <w:t>14</w:t>
      </w:r>
      <w:r>
        <w:rPr>
          <w:rFonts w:ascii="??_GB2312" w:eastAsia="Times New Roman" w:cs="Times New Roman"/>
          <w:sz w:val="30"/>
          <w:szCs w:val="30"/>
        </w:rPr>
        <w:t>.</w:t>
      </w:r>
      <w:r>
        <w:rPr>
          <w:rFonts w:hint="eastAsia" w:ascii="??_GB2312" w:eastAsia="Times New Roman" w:cs="Times New Roman"/>
          <w:sz w:val="30"/>
          <w:szCs w:val="30"/>
          <w:lang w:eastAsia="zh-CN"/>
        </w:rPr>
        <w:t>一般公共服务支出</w:t>
      </w:r>
      <w:r>
        <w:rPr>
          <w:rFonts w:ascii="??_GB2312" w:eastAsia="Times New Roman" w:cs="Times New Roman"/>
          <w:sz w:val="30"/>
          <w:szCs w:val="30"/>
        </w:rPr>
        <w:t>（</w:t>
      </w:r>
      <w:r>
        <w:rPr>
          <w:rFonts w:hint="eastAsia" w:ascii="??_GB2312" w:eastAsia="Times New Roman" w:cs="Times New Roman"/>
          <w:sz w:val="30"/>
          <w:szCs w:val="30"/>
          <w:lang w:val="en-US" w:eastAsia="zh-CN"/>
        </w:rPr>
        <w:t>201</w:t>
      </w:r>
      <w:r>
        <w:rPr>
          <w:rFonts w:ascii="??_GB2312" w:eastAsia="Times New Roman" w:cs="Times New Roman"/>
          <w:sz w:val="30"/>
          <w:szCs w:val="30"/>
        </w:rPr>
        <w:t>）</w:t>
      </w:r>
      <w:r>
        <w:rPr>
          <w:rFonts w:hint="eastAsia" w:ascii="??_GB2312" w:eastAsia="Times New Roman" w:cs="Times New Roman"/>
          <w:sz w:val="30"/>
          <w:szCs w:val="30"/>
          <w:lang w:eastAsia="zh-CN"/>
        </w:rPr>
        <w:t>市场监督管理事务</w:t>
      </w:r>
      <w:r>
        <w:rPr>
          <w:rFonts w:ascii="??_GB2312" w:eastAsia="Times New Roman" w:cs="Times New Roman"/>
          <w:sz w:val="30"/>
          <w:szCs w:val="30"/>
        </w:rPr>
        <w:t>（</w:t>
      </w:r>
      <w:r>
        <w:rPr>
          <w:rFonts w:hint="eastAsia" w:ascii="??_GB2312" w:eastAsia="Times New Roman" w:cs="Times New Roman"/>
          <w:sz w:val="30"/>
          <w:szCs w:val="30"/>
          <w:lang w:val="en-US" w:eastAsia="zh-CN"/>
        </w:rPr>
        <w:t>38</w:t>
      </w:r>
      <w:r>
        <w:rPr>
          <w:rFonts w:ascii="??_GB2312" w:eastAsia="Times New Roman" w:cs="Times New Roman"/>
          <w:sz w:val="30"/>
          <w:szCs w:val="30"/>
        </w:rPr>
        <w:t>）</w:t>
      </w:r>
      <w:r>
        <w:rPr>
          <w:rFonts w:hint="eastAsia" w:ascii="??_GB2312" w:eastAsia="Times New Roman" w:cs="Times New Roman"/>
          <w:sz w:val="30"/>
          <w:szCs w:val="30"/>
          <w:lang w:eastAsia="zh-CN"/>
        </w:rPr>
        <w:t>行政运行</w:t>
      </w:r>
      <w:r>
        <w:rPr>
          <w:rFonts w:ascii="??_GB2312" w:eastAsia="Times New Roman" w:cs="Times New Roman"/>
          <w:sz w:val="30"/>
          <w:szCs w:val="30"/>
        </w:rPr>
        <w:t>（</w:t>
      </w:r>
      <w:r>
        <w:rPr>
          <w:rFonts w:hint="eastAsia" w:ascii="??_GB2312" w:eastAsia="Times New Roman" w:cs="Times New Roman"/>
          <w:sz w:val="30"/>
          <w:szCs w:val="30"/>
          <w:lang w:val="en-US" w:eastAsia="zh-CN"/>
        </w:rPr>
        <w:t>01</w:t>
      </w:r>
      <w:r>
        <w:rPr>
          <w:rFonts w:ascii="??_GB2312" w:eastAsia="Times New Roman" w:cs="Times New Roman"/>
          <w:sz w:val="30"/>
          <w:szCs w:val="30"/>
        </w:rPr>
        <w:t>）：</w:t>
      </w:r>
      <w:r>
        <w:rPr>
          <w:rFonts w:hint="eastAsia" w:ascii="??_GB2312" w:eastAsia="Times New Roman" w:cs="Times New Roman"/>
          <w:sz w:val="30"/>
          <w:szCs w:val="30"/>
          <w:lang w:eastAsia="zh-CN"/>
        </w:rPr>
        <w:t>指行政单位的基本支出</w:t>
      </w:r>
      <w:r>
        <w:rPr>
          <w:rFonts w:ascii="??_GB2312" w:eastAsia="Times New Roman" w:cs="Times New Roman"/>
          <w:sz w:val="30"/>
          <w:szCs w:val="30"/>
        </w:rPr>
        <w:t>。</w:t>
      </w:r>
    </w:p>
    <w:p w14:paraId="6D649DD9">
      <w:pPr>
        <w:pStyle w:val="45"/>
        <w:spacing w:before="93" w:line="560" w:lineRule="exact"/>
        <w:ind w:firstLine="600" w:firstLineChars="200"/>
        <w:rPr>
          <w:rFonts w:ascii="??_GB2312" w:eastAsia="Times New Roman" w:cs="Times New Roman"/>
          <w:sz w:val="30"/>
          <w:szCs w:val="30"/>
        </w:rPr>
      </w:pPr>
      <w:r>
        <w:rPr>
          <w:rFonts w:hint="eastAsia" w:ascii="??_GB2312" w:eastAsia="Times New Roman" w:cs="Times New Roman"/>
          <w:sz w:val="30"/>
          <w:szCs w:val="30"/>
          <w:lang w:val="en-US" w:eastAsia="zh-CN"/>
        </w:rPr>
        <w:t>15</w:t>
      </w:r>
      <w:r>
        <w:rPr>
          <w:rFonts w:ascii="??_GB2312" w:eastAsia="Times New Roman" w:cs="Times New Roman"/>
          <w:sz w:val="30"/>
          <w:szCs w:val="30"/>
        </w:rPr>
        <w:t>.</w:t>
      </w:r>
      <w:r>
        <w:rPr>
          <w:rFonts w:hint="eastAsia" w:ascii="??_GB2312" w:eastAsia="Times New Roman" w:cs="Times New Roman"/>
          <w:sz w:val="30"/>
          <w:szCs w:val="30"/>
          <w:lang w:eastAsia="zh-CN"/>
        </w:rPr>
        <w:t>一般公共服务支出</w:t>
      </w:r>
      <w:r>
        <w:rPr>
          <w:rFonts w:ascii="??_GB2312" w:eastAsia="Times New Roman" w:cs="Times New Roman"/>
          <w:sz w:val="30"/>
          <w:szCs w:val="30"/>
        </w:rPr>
        <w:t>（</w:t>
      </w:r>
      <w:r>
        <w:rPr>
          <w:rFonts w:hint="eastAsia" w:ascii="??_GB2312" w:eastAsia="Times New Roman" w:cs="Times New Roman"/>
          <w:sz w:val="30"/>
          <w:szCs w:val="30"/>
          <w:lang w:val="en-US" w:eastAsia="zh-CN"/>
        </w:rPr>
        <w:t>201</w:t>
      </w:r>
      <w:r>
        <w:rPr>
          <w:rFonts w:ascii="??_GB2312" w:eastAsia="Times New Roman" w:cs="Times New Roman"/>
          <w:sz w:val="30"/>
          <w:szCs w:val="30"/>
        </w:rPr>
        <w:t>）</w:t>
      </w:r>
      <w:r>
        <w:rPr>
          <w:rFonts w:hint="eastAsia" w:ascii="??_GB2312" w:eastAsia="Times New Roman" w:cs="Times New Roman"/>
          <w:sz w:val="30"/>
          <w:szCs w:val="30"/>
          <w:lang w:eastAsia="zh-CN"/>
        </w:rPr>
        <w:t>市场监督管理事务</w:t>
      </w:r>
      <w:r>
        <w:rPr>
          <w:rFonts w:ascii="??_GB2312" w:eastAsia="Times New Roman" w:cs="Times New Roman"/>
          <w:sz w:val="30"/>
          <w:szCs w:val="30"/>
        </w:rPr>
        <w:t>（</w:t>
      </w:r>
      <w:r>
        <w:rPr>
          <w:rFonts w:hint="eastAsia" w:ascii="??_GB2312" w:eastAsia="Times New Roman" w:cs="Times New Roman"/>
          <w:sz w:val="30"/>
          <w:szCs w:val="30"/>
          <w:lang w:val="en-US" w:eastAsia="zh-CN"/>
        </w:rPr>
        <w:t>38</w:t>
      </w:r>
      <w:r>
        <w:rPr>
          <w:rFonts w:ascii="??_GB2312" w:eastAsia="Times New Roman" w:cs="Times New Roman"/>
          <w:sz w:val="30"/>
          <w:szCs w:val="30"/>
        </w:rPr>
        <w:t>）</w:t>
      </w:r>
      <w:r>
        <w:rPr>
          <w:rFonts w:hint="eastAsia" w:ascii="??_GB2312" w:eastAsia="Times New Roman" w:cs="Times New Roman"/>
          <w:sz w:val="30"/>
          <w:szCs w:val="30"/>
          <w:lang w:eastAsia="zh-CN"/>
        </w:rPr>
        <w:t>一般行政管理事务</w:t>
      </w:r>
      <w:r>
        <w:rPr>
          <w:rFonts w:ascii="??_GB2312" w:eastAsia="Times New Roman" w:cs="Times New Roman"/>
          <w:sz w:val="30"/>
          <w:szCs w:val="30"/>
        </w:rPr>
        <w:t>（</w:t>
      </w:r>
      <w:r>
        <w:rPr>
          <w:rFonts w:hint="eastAsia" w:ascii="??_GB2312" w:eastAsia="Times New Roman" w:cs="Times New Roman"/>
          <w:sz w:val="30"/>
          <w:szCs w:val="30"/>
          <w:lang w:val="en-US" w:eastAsia="zh-CN"/>
        </w:rPr>
        <w:t>02</w:t>
      </w:r>
      <w:r>
        <w:rPr>
          <w:rFonts w:ascii="??_GB2312" w:eastAsia="Times New Roman" w:cs="Times New Roman"/>
          <w:sz w:val="30"/>
          <w:szCs w:val="30"/>
        </w:rPr>
        <w:t>）：</w:t>
      </w:r>
      <w:r>
        <w:rPr>
          <w:rFonts w:hint="eastAsia" w:ascii="??_GB2312" w:eastAsia="Times New Roman" w:cs="Times New Roman"/>
          <w:sz w:val="30"/>
          <w:szCs w:val="30"/>
          <w:lang w:eastAsia="zh-CN"/>
        </w:rPr>
        <w:t>指行政单位未单独设置项级科目的其他项目支出</w:t>
      </w:r>
      <w:r>
        <w:rPr>
          <w:rFonts w:ascii="??_GB2312" w:eastAsia="Times New Roman" w:cs="Times New Roman"/>
          <w:sz w:val="30"/>
          <w:szCs w:val="30"/>
        </w:rPr>
        <w:t>。</w:t>
      </w:r>
    </w:p>
    <w:p w14:paraId="5F45BC6E">
      <w:pPr>
        <w:pStyle w:val="45"/>
        <w:spacing w:before="93" w:line="560" w:lineRule="exact"/>
        <w:ind w:firstLine="600" w:firstLineChars="200"/>
        <w:rPr>
          <w:rFonts w:ascii="??_GB2312" w:eastAsia="Times New Roman" w:cs="Times New Roman"/>
          <w:sz w:val="30"/>
          <w:szCs w:val="30"/>
        </w:rPr>
      </w:pPr>
      <w:r>
        <w:rPr>
          <w:rFonts w:hint="eastAsia" w:ascii="??_GB2312" w:eastAsia="Times New Roman" w:cs="Times New Roman"/>
          <w:sz w:val="30"/>
          <w:szCs w:val="30"/>
          <w:lang w:val="en-US" w:eastAsia="zh-CN"/>
        </w:rPr>
        <w:t>16</w:t>
      </w:r>
      <w:r>
        <w:rPr>
          <w:rFonts w:ascii="??_GB2312" w:eastAsia="Times New Roman" w:cs="Times New Roman"/>
          <w:sz w:val="30"/>
          <w:szCs w:val="30"/>
        </w:rPr>
        <w:t>.</w:t>
      </w:r>
      <w:r>
        <w:rPr>
          <w:rFonts w:hint="eastAsia" w:ascii="??_GB2312" w:eastAsia="Times New Roman" w:cs="Times New Roman"/>
          <w:sz w:val="30"/>
          <w:szCs w:val="30"/>
          <w:lang w:eastAsia="zh-CN"/>
        </w:rPr>
        <w:t>一般公共服务支出</w:t>
      </w:r>
      <w:r>
        <w:rPr>
          <w:rFonts w:ascii="??_GB2312" w:eastAsia="Times New Roman" w:cs="Times New Roman"/>
          <w:sz w:val="30"/>
          <w:szCs w:val="30"/>
        </w:rPr>
        <w:t>（</w:t>
      </w:r>
      <w:r>
        <w:rPr>
          <w:rFonts w:hint="eastAsia" w:ascii="??_GB2312" w:eastAsia="Times New Roman" w:cs="Times New Roman"/>
          <w:sz w:val="30"/>
          <w:szCs w:val="30"/>
          <w:lang w:val="en-US" w:eastAsia="zh-CN"/>
        </w:rPr>
        <w:t>201</w:t>
      </w:r>
      <w:r>
        <w:rPr>
          <w:rFonts w:ascii="??_GB2312" w:eastAsia="Times New Roman" w:cs="Times New Roman"/>
          <w:sz w:val="30"/>
          <w:szCs w:val="30"/>
        </w:rPr>
        <w:t>）</w:t>
      </w:r>
      <w:r>
        <w:rPr>
          <w:rFonts w:hint="eastAsia" w:ascii="??_GB2312" w:eastAsia="Times New Roman" w:cs="Times New Roman"/>
          <w:sz w:val="30"/>
          <w:szCs w:val="30"/>
          <w:lang w:eastAsia="zh-CN"/>
        </w:rPr>
        <w:t>市场监督管理事务</w:t>
      </w:r>
      <w:r>
        <w:rPr>
          <w:rFonts w:ascii="??_GB2312" w:eastAsia="Times New Roman" w:cs="Times New Roman"/>
          <w:sz w:val="30"/>
          <w:szCs w:val="30"/>
        </w:rPr>
        <w:t>（</w:t>
      </w:r>
      <w:r>
        <w:rPr>
          <w:rFonts w:hint="eastAsia" w:ascii="??_GB2312" w:eastAsia="Times New Roman" w:cs="Times New Roman"/>
          <w:sz w:val="30"/>
          <w:szCs w:val="30"/>
          <w:lang w:val="en-US" w:eastAsia="zh-CN"/>
        </w:rPr>
        <w:t>38</w:t>
      </w:r>
      <w:r>
        <w:rPr>
          <w:rFonts w:ascii="??_GB2312" w:eastAsia="Times New Roman" w:cs="Times New Roman"/>
          <w:sz w:val="30"/>
          <w:szCs w:val="30"/>
        </w:rPr>
        <w:t>）</w:t>
      </w:r>
      <w:r>
        <w:rPr>
          <w:rFonts w:hint="eastAsia" w:ascii="??_GB2312" w:eastAsia="Times New Roman" w:cs="Times New Roman"/>
          <w:sz w:val="30"/>
          <w:szCs w:val="30"/>
          <w:lang w:eastAsia="zh-CN"/>
        </w:rPr>
        <w:t>市场监督管理专项</w:t>
      </w:r>
      <w:r>
        <w:rPr>
          <w:rFonts w:ascii="??_GB2312" w:eastAsia="Times New Roman" w:cs="Times New Roman"/>
          <w:sz w:val="30"/>
          <w:szCs w:val="30"/>
        </w:rPr>
        <w:t>（</w:t>
      </w:r>
      <w:r>
        <w:rPr>
          <w:rFonts w:hint="eastAsia" w:ascii="??_GB2312" w:eastAsia="Times New Roman" w:cs="Times New Roman"/>
          <w:sz w:val="30"/>
          <w:szCs w:val="30"/>
          <w:lang w:val="en-US" w:eastAsia="zh-CN"/>
        </w:rPr>
        <w:t>04</w:t>
      </w:r>
      <w:r>
        <w:rPr>
          <w:rFonts w:ascii="??_GB2312" w:eastAsia="Times New Roman" w:cs="Times New Roman"/>
          <w:sz w:val="30"/>
          <w:szCs w:val="30"/>
        </w:rPr>
        <w:t>）：</w:t>
      </w:r>
      <w:r>
        <w:rPr>
          <w:rFonts w:hint="eastAsia" w:ascii="??_GB2312" w:eastAsia="Times New Roman" w:cs="Times New Roman"/>
          <w:sz w:val="30"/>
          <w:szCs w:val="30"/>
          <w:lang w:eastAsia="zh-CN"/>
        </w:rPr>
        <w:t>指从事市场监督管理专项业务方面的支出，单设科目的业务除外</w:t>
      </w:r>
      <w:r>
        <w:rPr>
          <w:rFonts w:ascii="??_GB2312" w:eastAsia="Times New Roman" w:cs="Times New Roman"/>
          <w:sz w:val="30"/>
          <w:szCs w:val="30"/>
        </w:rPr>
        <w:t>。</w:t>
      </w:r>
    </w:p>
    <w:p w14:paraId="2BE5FBDE">
      <w:pPr>
        <w:pStyle w:val="45"/>
        <w:spacing w:before="93" w:line="560" w:lineRule="exact"/>
        <w:ind w:firstLine="600" w:firstLineChars="200"/>
        <w:rPr>
          <w:rFonts w:ascii="??_GB2312" w:eastAsia="Times New Roman" w:cs="Times New Roman"/>
          <w:sz w:val="30"/>
          <w:szCs w:val="30"/>
        </w:rPr>
      </w:pPr>
      <w:r>
        <w:rPr>
          <w:rFonts w:hint="eastAsia" w:ascii="??_GB2312" w:eastAsia="Times New Roman" w:cs="Times New Roman"/>
          <w:sz w:val="30"/>
          <w:szCs w:val="30"/>
          <w:lang w:val="en-US" w:eastAsia="zh-CN"/>
        </w:rPr>
        <w:t>17</w:t>
      </w:r>
      <w:r>
        <w:rPr>
          <w:rFonts w:ascii="??_GB2312" w:eastAsia="Times New Roman" w:cs="Times New Roman"/>
          <w:sz w:val="30"/>
          <w:szCs w:val="30"/>
        </w:rPr>
        <w:t>.</w:t>
      </w:r>
      <w:r>
        <w:rPr>
          <w:rFonts w:hint="eastAsia" w:ascii="??_GB2312" w:eastAsia="Times New Roman" w:cs="Times New Roman"/>
          <w:sz w:val="30"/>
          <w:szCs w:val="30"/>
          <w:lang w:eastAsia="zh-CN"/>
        </w:rPr>
        <w:t>一般公共服务支出</w:t>
      </w:r>
      <w:r>
        <w:rPr>
          <w:rFonts w:ascii="??_GB2312" w:eastAsia="Times New Roman" w:cs="Times New Roman"/>
          <w:sz w:val="30"/>
          <w:szCs w:val="30"/>
        </w:rPr>
        <w:t>（</w:t>
      </w:r>
      <w:r>
        <w:rPr>
          <w:rFonts w:hint="eastAsia" w:ascii="??_GB2312" w:eastAsia="Times New Roman" w:cs="Times New Roman"/>
          <w:sz w:val="30"/>
          <w:szCs w:val="30"/>
          <w:lang w:val="en-US" w:eastAsia="zh-CN"/>
        </w:rPr>
        <w:t>201</w:t>
      </w:r>
      <w:r>
        <w:rPr>
          <w:rFonts w:ascii="??_GB2312" w:eastAsia="Times New Roman" w:cs="Times New Roman"/>
          <w:sz w:val="30"/>
          <w:szCs w:val="30"/>
        </w:rPr>
        <w:t>）</w:t>
      </w:r>
      <w:r>
        <w:rPr>
          <w:rFonts w:hint="eastAsia" w:ascii="??_GB2312" w:eastAsia="Times New Roman" w:cs="Times New Roman"/>
          <w:sz w:val="30"/>
          <w:szCs w:val="30"/>
          <w:lang w:eastAsia="zh-CN"/>
        </w:rPr>
        <w:t>市场监督管理事务</w:t>
      </w:r>
      <w:r>
        <w:rPr>
          <w:rFonts w:ascii="??_GB2312" w:eastAsia="Times New Roman" w:cs="Times New Roman"/>
          <w:sz w:val="30"/>
          <w:szCs w:val="30"/>
        </w:rPr>
        <w:t>（</w:t>
      </w:r>
      <w:r>
        <w:rPr>
          <w:rFonts w:hint="eastAsia" w:ascii="??_GB2312" w:eastAsia="Times New Roman" w:cs="Times New Roman"/>
          <w:sz w:val="30"/>
          <w:szCs w:val="30"/>
          <w:lang w:val="en-US" w:eastAsia="zh-CN"/>
        </w:rPr>
        <w:t>38</w:t>
      </w:r>
      <w:r>
        <w:rPr>
          <w:rFonts w:ascii="??_GB2312" w:eastAsia="Times New Roman" w:cs="Times New Roman"/>
          <w:sz w:val="30"/>
          <w:szCs w:val="30"/>
        </w:rPr>
        <w:t>）</w:t>
      </w:r>
      <w:r>
        <w:rPr>
          <w:rFonts w:hint="eastAsia" w:ascii="??_GB2312" w:eastAsia="Times New Roman" w:cs="Times New Roman"/>
          <w:sz w:val="30"/>
          <w:szCs w:val="30"/>
          <w:lang w:eastAsia="zh-CN"/>
        </w:rPr>
        <w:t>市场监管执法</w:t>
      </w:r>
      <w:r>
        <w:rPr>
          <w:rFonts w:ascii="??_GB2312" w:eastAsia="Times New Roman" w:cs="Times New Roman"/>
          <w:sz w:val="30"/>
          <w:szCs w:val="30"/>
        </w:rPr>
        <w:t>（</w:t>
      </w:r>
      <w:r>
        <w:rPr>
          <w:rFonts w:hint="eastAsia" w:ascii="??_GB2312" w:eastAsia="Times New Roman" w:cs="Times New Roman"/>
          <w:sz w:val="30"/>
          <w:szCs w:val="30"/>
          <w:lang w:val="en-US" w:eastAsia="zh-CN"/>
        </w:rPr>
        <w:t>05</w:t>
      </w:r>
      <w:r>
        <w:rPr>
          <w:rFonts w:ascii="??_GB2312" w:eastAsia="Times New Roman" w:cs="Times New Roman"/>
          <w:sz w:val="30"/>
          <w:szCs w:val="30"/>
        </w:rPr>
        <w:t>）：</w:t>
      </w:r>
      <w:r>
        <w:rPr>
          <w:rFonts w:hint="eastAsia" w:ascii="??_GB2312" w:eastAsia="Times New Roman" w:cs="Times New Roman"/>
          <w:sz w:val="30"/>
          <w:szCs w:val="30"/>
          <w:lang w:eastAsia="zh-CN"/>
        </w:rPr>
        <w:t>指敲击监督管理部门依法开展各类执法（含食品、药品物价等）活动、查处各类经济违法案件的专项工作支出</w:t>
      </w:r>
      <w:r>
        <w:rPr>
          <w:rFonts w:ascii="??_GB2312" w:eastAsia="Times New Roman" w:cs="Times New Roman"/>
          <w:sz w:val="30"/>
          <w:szCs w:val="30"/>
        </w:rPr>
        <w:t>。</w:t>
      </w:r>
    </w:p>
    <w:p w14:paraId="3AF6C567">
      <w:pPr>
        <w:pStyle w:val="45"/>
        <w:spacing w:before="93" w:line="560" w:lineRule="exact"/>
        <w:ind w:firstLine="600" w:firstLineChars="200"/>
        <w:rPr>
          <w:rFonts w:ascii="??_GB2312" w:eastAsia="Times New Roman" w:cs="Times New Roman"/>
          <w:sz w:val="30"/>
          <w:szCs w:val="30"/>
        </w:rPr>
      </w:pPr>
      <w:r>
        <w:rPr>
          <w:rFonts w:hint="eastAsia" w:ascii="??_GB2312" w:eastAsia="Times New Roman" w:cs="Times New Roman"/>
          <w:sz w:val="30"/>
          <w:szCs w:val="30"/>
          <w:lang w:val="en-US" w:eastAsia="zh-CN"/>
        </w:rPr>
        <w:t>18</w:t>
      </w:r>
      <w:r>
        <w:rPr>
          <w:rFonts w:ascii="??_GB2312" w:eastAsia="Times New Roman" w:cs="Times New Roman"/>
          <w:sz w:val="30"/>
          <w:szCs w:val="30"/>
        </w:rPr>
        <w:t>.</w:t>
      </w:r>
      <w:r>
        <w:rPr>
          <w:rFonts w:hint="eastAsia" w:ascii="??_GB2312" w:eastAsia="Times New Roman" w:cs="Times New Roman"/>
          <w:sz w:val="30"/>
          <w:szCs w:val="30"/>
          <w:lang w:eastAsia="zh-CN"/>
        </w:rPr>
        <w:t>一般公共服务支出</w:t>
      </w:r>
      <w:r>
        <w:rPr>
          <w:rFonts w:ascii="??_GB2312" w:eastAsia="Times New Roman" w:cs="Times New Roman"/>
          <w:sz w:val="30"/>
          <w:szCs w:val="30"/>
        </w:rPr>
        <w:t>（</w:t>
      </w:r>
      <w:r>
        <w:rPr>
          <w:rFonts w:hint="eastAsia" w:ascii="??_GB2312" w:eastAsia="Times New Roman" w:cs="Times New Roman"/>
          <w:sz w:val="30"/>
          <w:szCs w:val="30"/>
          <w:lang w:val="en-US" w:eastAsia="zh-CN"/>
        </w:rPr>
        <w:t>201</w:t>
      </w:r>
      <w:r>
        <w:rPr>
          <w:rFonts w:ascii="??_GB2312" w:eastAsia="Times New Roman" w:cs="Times New Roman"/>
          <w:sz w:val="30"/>
          <w:szCs w:val="30"/>
        </w:rPr>
        <w:t>）</w:t>
      </w:r>
      <w:r>
        <w:rPr>
          <w:rFonts w:hint="eastAsia" w:ascii="??_GB2312" w:eastAsia="Times New Roman" w:cs="Times New Roman"/>
          <w:sz w:val="30"/>
          <w:szCs w:val="30"/>
          <w:lang w:eastAsia="zh-CN"/>
        </w:rPr>
        <w:t>市场监督管理事务</w:t>
      </w:r>
      <w:r>
        <w:rPr>
          <w:rFonts w:ascii="??_GB2312" w:eastAsia="Times New Roman" w:cs="Times New Roman"/>
          <w:sz w:val="30"/>
          <w:szCs w:val="30"/>
        </w:rPr>
        <w:t>（</w:t>
      </w:r>
      <w:r>
        <w:rPr>
          <w:rFonts w:hint="eastAsia" w:ascii="??_GB2312" w:eastAsia="Times New Roman" w:cs="Times New Roman"/>
          <w:sz w:val="30"/>
          <w:szCs w:val="30"/>
          <w:lang w:val="en-US" w:eastAsia="zh-CN"/>
        </w:rPr>
        <w:t>38</w:t>
      </w:r>
      <w:r>
        <w:rPr>
          <w:rFonts w:ascii="??_GB2312" w:eastAsia="Times New Roman" w:cs="Times New Roman"/>
          <w:sz w:val="30"/>
          <w:szCs w:val="30"/>
        </w:rPr>
        <w:t>）</w:t>
      </w:r>
      <w:r>
        <w:rPr>
          <w:rFonts w:hint="eastAsia" w:ascii="??_GB2312" w:eastAsia="Times New Roman" w:cs="Times New Roman"/>
          <w:sz w:val="30"/>
          <w:szCs w:val="30"/>
          <w:lang w:eastAsia="zh-CN"/>
        </w:rPr>
        <w:t>信息化建设</w:t>
      </w:r>
      <w:r>
        <w:rPr>
          <w:rFonts w:ascii="??_GB2312" w:eastAsia="Times New Roman" w:cs="Times New Roman"/>
          <w:sz w:val="30"/>
          <w:szCs w:val="30"/>
        </w:rPr>
        <w:t>（</w:t>
      </w:r>
      <w:r>
        <w:rPr>
          <w:rFonts w:hint="eastAsia" w:ascii="??_GB2312" w:eastAsia="Times New Roman" w:cs="Times New Roman"/>
          <w:sz w:val="30"/>
          <w:szCs w:val="30"/>
          <w:lang w:val="en-US" w:eastAsia="zh-CN"/>
        </w:rPr>
        <w:t>08</w:t>
      </w:r>
      <w:r>
        <w:rPr>
          <w:rFonts w:ascii="??_GB2312" w:eastAsia="Times New Roman" w:cs="Times New Roman"/>
          <w:sz w:val="30"/>
          <w:szCs w:val="30"/>
        </w:rPr>
        <w:t>）：</w:t>
      </w:r>
      <w:r>
        <w:rPr>
          <w:rFonts w:hint="eastAsia" w:ascii="??_GB2312" w:eastAsia="Times New Roman" w:cs="Times New Roman"/>
          <w:sz w:val="30"/>
          <w:szCs w:val="30"/>
          <w:lang w:eastAsia="zh-CN"/>
        </w:rPr>
        <w:t>指市场监督管理、药品监督管理部门用于信息化建设及运行维护方面的支出</w:t>
      </w:r>
      <w:r>
        <w:rPr>
          <w:rFonts w:ascii="??_GB2312" w:eastAsia="Times New Roman" w:cs="Times New Roman"/>
          <w:sz w:val="30"/>
          <w:szCs w:val="30"/>
        </w:rPr>
        <w:t>。</w:t>
      </w:r>
    </w:p>
    <w:p w14:paraId="715818EA">
      <w:pPr>
        <w:pStyle w:val="45"/>
        <w:spacing w:before="93" w:line="560" w:lineRule="exact"/>
        <w:ind w:firstLine="600" w:firstLineChars="200"/>
        <w:rPr>
          <w:rFonts w:hint="eastAsia" w:ascii="??_GB2312" w:eastAsia="宋体" w:cs="Times New Roman"/>
          <w:sz w:val="30"/>
          <w:szCs w:val="30"/>
          <w:lang w:eastAsia="zh-CN"/>
        </w:rPr>
      </w:pPr>
      <w:r>
        <w:rPr>
          <w:rFonts w:hint="eastAsia" w:ascii="??_GB2312" w:eastAsia="Times New Roman" w:cs="Times New Roman"/>
          <w:sz w:val="30"/>
          <w:szCs w:val="30"/>
          <w:lang w:val="en-US" w:eastAsia="zh-CN"/>
        </w:rPr>
        <w:t>19.</w:t>
      </w:r>
      <w:r>
        <w:rPr>
          <w:rFonts w:hint="eastAsia" w:ascii="??_GB2312" w:eastAsia="Times New Roman" w:cs="Times New Roman"/>
          <w:sz w:val="30"/>
          <w:szCs w:val="30"/>
          <w:lang w:eastAsia="zh-CN"/>
        </w:rPr>
        <w:t>一般公共服务支出</w:t>
      </w:r>
      <w:r>
        <w:rPr>
          <w:rFonts w:ascii="??_GB2312" w:eastAsia="Times New Roman" w:cs="Times New Roman"/>
          <w:sz w:val="30"/>
          <w:szCs w:val="30"/>
        </w:rPr>
        <w:t>（</w:t>
      </w:r>
      <w:r>
        <w:rPr>
          <w:rFonts w:hint="eastAsia" w:ascii="??_GB2312" w:eastAsia="Times New Roman" w:cs="Times New Roman"/>
          <w:sz w:val="30"/>
          <w:szCs w:val="30"/>
          <w:lang w:val="en-US" w:eastAsia="zh-CN"/>
        </w:rPr>
        <w:t>201</w:t>
      </w:r>
      <w:r>
        <w:rPr>
          <w:rFonts w:ascii="??_GB2312" w:eastAsia="Times New Roman" w:cs="Times New Roman"/>
          <w:sz w:val="30"/>
          <w:szCs w:val="30"/>
        </w:rPr>
        <w:t>）</w:t>
      </w:r>
      <w:r>
        <w:rPr>
          <w:rFonts w:hint="eastAsia" w:ascii="??_GB2312" w:eastAsia="Times New Roman" w:cs="Times New Roman"/>
          <w:sz w:val="30"/>
          <w:szCs w:val="30"/>
          <w:lang w:eastAsia="zh-CN"/>
        </w:rPr>
        <w:t>市场监督管理事务</w:t>
      </w:r>
      <w:r>
        <w:rPr>
          <w:rFonts w:ascii="??_GB2312" w:eastAsia="Times New Roman" w:cs="Times New Roman"/>
          <w:sz w:val="30"/>
          <w:szCs w:val="30"/>
        </w:rPr>
        <w:t>（</w:t>
      </w:r>
      <w:r>
        <w:rPr>
          <w:rFonts w:hint="eastAsia" w:ascii="??_GB2312" w:eastAsia="Times New Roman" w:cs="Times New Roman"/>
          <w:sz w:val="30"/>
          <w:szCs w:val="30"/>
          <w:lang w:val="en-US" w:eastAsia="zh-CN"/>
        </w:rPr>
        <w:t>38</w:t>
      </w:r>
      <w:r>
        <w:rPr>
          <w:rFonts w:ascii="??_GB2312" w:eastAsia="Times New Roman" w:cs="Times New Roman"/>
          <w:sz w:val="30"/>
          <w:szCs w:val="30"/>
        </w:rPr>
        <w:t>）</w:t>
      </w:r>
      <w:r>
        <w:rPr>
          <w:rFonts w:hint="eastAsia" w:ascii="??_GB2312" w:eastAsia="Times New Roman" w:cs="Times New Roman"/>
          <w:sz w:val="30"/>
          <w:szCs w:val="30"/>
          <w:lang w:eastAsia="zh-CN"/>
        </w:rPr>
        <w:t>质量基础</w:t>
      </w:r>
      <w:r>
        <w:rPr>
          <w:rFonts w:ascii="??_GB2312" w:eastAsia="Times New Roman" w:cs="Times New Roman"/>
          <w:sz w:val="30"/>
          <w:szCs w:val="30"/>
        </w:rPr>
        <w:t>（</w:t>
      </w:r>
      <w:r>
        <w:rPr>
          <w:rFonts w:hint="eastAsia" w:ascii="??_GB2312" w:eastAsia="Times New Roman" w:cs="Times New Roman"/>
          <w:sz w:val="30"/>
          <w:szCs w:val="30"/>
          <w:lang w:val="en-US" w:eastAsia="zh-CN"/>
        </w:rPr>
        <w:t>10</w:t>
      </w:r>
      <w:r>
        <w:rPr>
          <w:rFonts w:ascii="??_GB2312" w:eastAsia="Times New Roman" w:cs="Times New Roman"/>
          <w:sz w:val="30"/>
          <w:szCs w:val="30"/>
        </w:rPr>
        <w:t>）：</w:t>
      </w:r>
      <w:r>
        <w:rPr>
          <w:rFonts w:hint="eastAsia" w:ascii="??_GB2312" w:eastAsia="宋体" w:cs="Times New Roman"/>
          <w:sz w:val="30"/>
          <w:szCs w:val="30"/>
          <w:lang w:eastAsia="zh-CN"/>
        </w:rPr>
        <w:t>指计量、标准、认证认可、检验检测等质量基础专项工作支出。</w:t>
      </w:r>
    </w:p>
    <w:p w14:paraId="37417ADD">
      <w:pPr>
        <w:pStyle w:val="45"/>
        <w:spacing w:before="93" w:line="560" w:lineRule="exact"/>
        <w:ind w:firstLine="600" w:firstLineChars="200"/>
        <w:rPr>
          <w:rFonts w:ascii="??_GB2312" w:eastAsia="Times New Roman" w:cs="Times New Roman"/>
          <w:sz w:val="30"/>
          <w:szCs w:val="30"/>
        </w:rPr>
      </w:pPr>
      <w:r>
        <w:rPr>
          <w:rFonts w:hint="eastAsia" w:ascii="??_GB2312" w:eastAsia="Times New Roman" w:cs="Times New Roman"/>
          <w:sz w:val="30"/>
          <w:szCs w:val="30"/>
          <w:lang w:val="en-US" w:eastAsia="zh-CN"/>
        </w:rPr>
        <w:t>20</w:t>
      </w:r>
      <w:r>
        <w:rPr>
          <w:rFonts w:ascii="??_GB2312" w:eastAsia="Times New Roman" w:cs="Times New Roman"/>
          <w:sz w:val="30"/>
          <w:szCs w:val="30"/>
        </w:rPr>
        <w:t>.</w:t>
      </w:r>
      <w:r>
        <w:rPr>
          <w:rFonts w:hint="eastAsia" w:ascii="??_GB2312" w:eastAsia="Times New Roman" w:cs="Times New Roman"/>
          <w:sz w:val="30"/>
          <w:szCs w:val="30"/>
          <w:lang w:eastAsia="zh-CN"/>
        </w:rPr>
        <w:t>一般公共服务支出</w:t>
      </w:r>
      <w:r>
        <w:rPr>
          <w:rFonts w:ascii="??_GB2312" w:eastAsia="Times New Roman" w:cs="Times New Roman"/>
          <w:sz w:val="30"/>
          <w:szCs w:val="30"/>
        </w:rPr>
        <w:t>（</w:t>
      </w:r>
      <w:r>
        <w:rPr>
          <w:rFonts w:hint="eastAsia" w:ascii="??_GB2312" w:eastAsia="Times New Roman" w:cs="Times New Roman"/>
          <w:sz w:val="30"/>
          <w:szCs w:val="30"/>
          <w:lang w:val="en-US" w:eastAsia="zh-CN"/>
        </w:rPr>
        <w:t>201</w:t>
      </w:r>
      <w:r>
        <w:rPr>
          <w:rFonts w:ascii="??_GB2312" w:eastAsia="Times New Roman" w:cs="Times New Roman"/>
          <w:sz w:val="30"/>
          <w:szCs w:val="30"/>
        </w:rPr>
        <w:t>）</w:t>
      </w:r>
      <w:r>
        <w:rPr>
          <w:rFonts w:hint="eastAsia" w:ascii="??_GB2312" w:eastAsia="Times New Roman" w:cs="Times New Roman"/>
          <w:sz w:val="30"/>
          <w:szCs w:val="30"/>
          <w:lang w:eastAsia="zh-CN"/>
        </w:rPr>
        <w:t>市场监督管理事务</w:t>
      </w:r>
      <w:r>
        <w:rPr>
          <w:rFonts w:ascii="??_GB2312" w:eastAsia="Times New Roman" w:cs="Times New Roman"/>
          <w:sz w:val="30"/>
          <w:szCs w:val="30"/>
        </w:rPr>
        <w:t>（</w:t>
      </w:r>
      <w:r>
        <w:rPr>
          <w:rFonts w:hint="eastAsia" w:ascii="??_GB2312" w:eastAsia="Times New Roman" w:cs="Times New Roman"/>
          <w:sz w:val="30"/>
          <w:szCs w:val="30"/>
          <w:lang w:val="en-US" w:eastAsia="zh-CN"/>
        </w:rPr>
        <w:t>38</w:t>
      </w:r>
      <w:r>
        <w:rPr>
          <w:rFonts w:ascii="??_GB2312" w:eastAsia="Times New Roman" w:cs="Times New Roman"/>
          <w:sz w:val="30"/>
          <w:szCs w:val="30"/>
        </w:rPr>
        <w:t>）</w:t>
      </w:r>
      <w:r>
        <w:rPr>
          <w:rFonts w:hint="eastAsia" w:ascii="??_GB2312" w:eastAsia="Times New Roman" w:cs="Times New Roman"/>
          <w:sz w:val="30"/>
          <w:szCs w:val="30"/>
          <w:lang w:eastAsia="zh-CN"/>
        </w:rPr>
        <w:t>药品事务</w:t>
      </w:r>
      <w:r>
        <w:rPr>
          <w:rFonts w:ascii="??_GB2312" w:eastAsia="Times New Roman" w:cs="Times New Roman"/>
          <w:sz w:val="30"/>
          <w:szCs w:val="30"/>
        </w:rPr>
        <w:t>（</w:t>
      </w:r>
      <w:r>
        <w:rPr>
          <w:rFonts w:hint="eastAsia" w:ascii="??_GB2312" w:eastAsia="Times New Roman" w:cs="Times New Roman"/>
          <w:sz w:val="30"/>
          <w:szCs w:val="30"/>
          <w:lang w:val="en-US" w:eastAsia="zh-CN"/>
        </w:rPr>
        <w:t>12</w:t>
      </w:r>
      <w:r>
        <w:rPr>
          <w:rFonts w:ascii="??_GB2312" w:eastAsia="Times New Roman" w:cs="Times New Roman"/>
          <w:sz w:val="30"/>
          <w:szCs w:val="30"/>
        </w:rPr>
        <w:t>）：</w:t>
      </w:r>
      <w:r>
        <w:rPr>
          <w:rFonts w:hint="eastAsia" w:ascii="??_GB2312" w:eastAsia="Times New Roman" w:cs="Times New Roman"/>
          <w:sz w:val="30"/>
          <w:szCs w:val="30"/>
          <w:lang w:eastAsia="zh-CN"/>
        </w:rPr>
        <w:t>指用于药品（含中药、民族药）监督管理方面的支出</w:t>
      </w:r>
      <w:r>
        <w:rPr>
          <w:rFonts w:ascii="??_GB2312" w:eastAsia="Times New Roman" w:cs="Times New Roman"/>
          <w:sz w:val="30"/>
          <w:szCs w:val="30"/>
        </w:rPr>
        <w:t>。</w:t>
      </w:r>
    </w:p>
    <w:p w14:paraId="56730674">
      <w:pPr>
        <w:pStyle w:val="45"/>
        <w:spacing w:before="93" w:line="560" w:lineRule="exact"/>
        <w:ind w:firstLine="600" w:firstLineChars="200"/>
        <w:rPr>
          <w:rFonts w:ascii="??_GB2312" w:eastAsia="Times New Roman" w:cs="Times New Roman"/>
          <w:sz w:val="30"/>
          <w:szCs w:val="30"/>
        </w:rPr>
      </w:pPr>
      <w:r>
        <w:rPr>
          <w:rFonts w:hint="eastAsia" w:ascii="??_GB2312" w:eastAsia="Times New Roman" w:cs="Times New Roman"/>
          <w:sz w:val="30"/>
          <w:szCs w:val="30"/>
          <w:lang w:val="en-US" w:eastAsia="zh-CN"/>
        </w:rPr>
        <w:t>21</w:t>
      </w:r>
      <w:r>
        <w:rPr>
          <w:rFonts w:ascii="??_GB2312" w:eastAsia="Times New Roman" w:cs="Times New Roman"/>
          <w:sz w:val="30"/>
          <w:szCs w:val="30"/>
        </w:rPr>
        <w:t>.</w:t>
      </w:r>
      <w:r>
        <w:rPr>
          <w:rFonts w:hint="eastAsia" w:ascii="??_GB2312" w:eastAsia="Times New Roman" w:cs="Times New Roman"/>
          <w:sz w:val="30"/>
          <w:szCs w:val="30"/>
          <w:lang w:eastAsia="zh-CN"/>
        </w:rPr>
        <w:t>一般公共服务支出</w:t>
      </w:r>
      <w:r>
        <w:rPr>
          <w:rFonts w:ascii="??_GB2312" w:eastAsia="Times New Roman" w:cs="Times New Roman"/>
          <w:sz w:val="30"/>
          <w:szCs w:val="30"/>
        </w:rPr>
        <w:t>（</w:t>
      </w:r>
      <w:r>
        <w:rPr>
          <w:rFonts w:hint="eastAsia" w:ascii="??_GB2312" w:eastAsia="Times New Roman" w:cs="Times New Roman"/>
          <w:sz w:val="30"/>
          <w:szCs w:val="30"/>
          <w:lang w:val="en-US" w:eastAsia="zh-CN"/>
        </w:rPr>
        <w:t>201</w:t>
      </w:r>
      <w:r>
        <w:rPr>
          <w:rFonts w:ascii="??_GB2312" w:eastAsia="Times New Roman" w:cs="Times New Roman"/>
          <w:sz w:val="30"/>
          <w:szCs w:val="30"/>
        </w:rPr>
        <w:t>）</w:t>
      </w:r>
      <w:r>
        <w:rPr>
          <w:rFonts w:hint="eastAsia" w:ascii="??_GB2312" w:eastAsia="Times New Roman" w:cs="Times New Roman"/>
          <w:sz w:val="30"/>
          <w:szCs w:val="30"/>
          <w:lang w:eastAsia="zh-CN"/>
        </w:rPr>
        <w:t>市场监督管理事务</w:t>
      </w:r>
      <w:r>
        <w:rPr>
          <w:rFonts w:ascii="??_GB2312" w:eastAsia="Times New Roman" w:cs="Times New Roman"/>
          <w:sz w:val="30"/>
          <w:szCs w:val="30"/>
        </w:rPr>
        <w:t>（</w:t>
      </w:r>
      <w:r>
        <w:rPr>
          <w:rFonts w:hint="eastAsia" w:ascii="??_GB2312" w:eastAsia="Times New Roman" w:cs="Times New Roman"/>
          <w:sz w:val="30"/>
          <w:szCs w:val="30"/>
          <w:lang w:val="en-US" w:eastAsia="zh-CN"/>
        </w:rPr>
        <w:t>38</w:t>
      </w:r>
      <w:r>
        <w:rPr>
          <w:rFonts w:ascii="??_GB2312" w:eastAsia="Times New Roman" w:cs="Times New Roman"/>
          <w:sz w:val="30"/>
          <w:szCs w:val="30"/>
        </w:rPr>
        <w:t>）</w:t>
      </w:r>
      <w:r>
        <w:rPr>
          <w:rFonts w:hint="eastAsia" w:ascii="??_GB2312" w:eastAsia="Times New Roman" w:cs="Times New Roman"/>
          <w:sz w:val="30"/>
          <w:szCs w:val="30"/>
          <w:lang w:eastAsia="zh-CN"/>
        </w:rPr>
        <w:t>质量安全监管</w:t>
      </w:r>
      <w:r>
        <w:rPr>
          <w:rFonts w:ascii="??_GB2312" w:eastAsia="Times New Roman" w:cs="Times New Roman"/>
          <w:sz w:val="30"/>
          <w:szCs w:val="30"/>
        </w:rPr>
        <w:t>（</w:t>
      </w:r>
      <w:r>
        <w:rPr>
          <w:rFonts w:hint="eastAsia" w:ascii="??_GB2312" w:eastAsia="Times New Roman" w:cs="Times New Roman"/>
          <w:sz w:val="30"/>
          <w:szCs w:val="30"/>
          <w:lang w:val="en-US" w:eastAsia="zh-CN"/>
        </w:rPr>
        <w:t>15</w:t>
      </w:r>
      <w:r>
        <w:rPr>
          <w:rFonts w:ascii="??_GB2312" w:eastAsia="Times New Roman" w:cs="Times New Roman"/>
          <w:sz w:val="30"/>
          <w:szCs w:val="30"/>
        </w:rPr>
        <w:t>）：</w:t>
      </w:r>
      <w:r>
        <w:rPr>
          <w:rFonts w:hint="eastAsia" w:ascii="??_GB2312" w:eastAsia="Times New Roman" w:cs="Times New Roman"/>
          <w:sz w:val="30"/>
          <w:szCs w:val="30"/>
          <w:lang w:eastAsia="zh-CN"/>
        </w:rPr>
        <w:t>指产品质量安全监管、特种设备安全监管等质量监管专项工作支出</w:t>
      </w:r>
      <w:r>
        <w:rPr>
          <w:rFonts w:ascii="??_GB2312" w:eastAsia="Times New Roman" w:cs="Times New Roman"/>
          <w:sz w:val="30"/>
          <w:szCs w:val="30"/>
        </w:rPr>
        <w:t>。</w:t>
      </w:r>
    </w:p>
    <w:p w14:paraId="52ACE6F0">
      <w:pPr>
        <w:pStyle w:val="45"/>
        <w:spacing w:before="93" w:line="560" w:lineRule="exact"/>
        <w:ind w:firstLine="600" w:firstLineChars="200"/>
        <w:rPr>
          <w:rFonts w:ascii="??_GB2312" w:eastAsia="Times New Roman" w:cs="Times New Roman"/>
          <w:sz w:val="30"/>
          <w:szCs w:val="30"/>
        </w:rPr>
      </w:pPr>
      <w:r>
        <w:rPr>
          <w:rFonts w:hint="eastAsia" w:ascii="??_GB2312" w:eastAsia="Times New Roman" w:cs="Times New Roman"/>
          <w:sz w:val="30"/>
          <w:szCs w:val="30"/>
          <w:lang w:val="en-US" w:eastAsia="zh-CN"/>
        </w:rPr>
        <w:t>22</w:t>
      </w:r>
      <w:r>
        <w:rPr>
          <w:rFonts w:ascii="??_GB2312" w:eastAsia="Times New Roman" w:cs="Times New Roman"/>
          <w:sz w:val="30"/>
          <w:szCs w:val="30"/>
        </w:rPr>
        <w:t>.</w:t>
      </w:r>
      <w:r>
        <w:rPr>
          <w:rFonts w:hint="eastAsia" w:ascii="??_GB2312" w:eastAsia="Times New Roman" w:cs="Times New Roman"/>
          <w:sz w:val="30"/>
          <w:szCs w:val="30"/>
          <w:lang w:eastAsia="zh-CN"/>
        </w:rPr>
        <w:t>一般公共服务支出</w:t>
      </w:r>
      <w:r>
        <w:rPr>
          <w:rFonts w:ascii="??_GB2312" w:eastAsia="Times New Roman" w:cs="Times New Roman"/>
          <w:sz w:val="30"/>
          <w:szCs w:val="30"/>
        </w:rPr>
        <w:t>（</w:t>
      </w:r>
      <w:r>
        <w:rPr>
          <w:rFonts w:hint="eastAsia" w:ascii="??_GB2312" w:eastAsia="Times New Roman" w:cs="Times New Roman"/>
          <w:sz w:val="30"/>
          <w:szCs w:val="30"/>
          <w:lang w:val="en-US" w:eastAsia="zh-CN"/>
        </w:rPr>
        <w:t>201</w:t>
      </w:r>
      <w:r>
        <w:rPr>
          <w:rFonts w:ascii="??_GB2312" w:eastAsia="Times New Roman" w:cs="Times New Roman"/>
          <w:sz w:val="30"/>
          <w:szCs w:val="30"/>
        </w:rPr>
        <w:t>）</w:t>
      </w:r>
      <w:r>
        <w:rPr>
          <w:rFonts w:hint="eastAsia" w:ascii="??_GB2312" w:eastAsia="Times New Roman" w:cs="Times New Roman"/>
          <w:sz w:val="30"/>
          <w:szCs w:val="30"/>
          <w:lang w:eastAsia="zh-CN"/>
        </w:rPr>
        <w:t>市场监督管理事务</w:t>
      </w:r>
      <w:r>
        <w:rPr>
          <w:rFonts w:ascii="??_GB2312" w:eastAsia="Times New Roman" w:cs="Times New Roman"/>
          <w:sz w:val="30"/>
          <w:szCs w:val="30"/>
        </w:rPr>
        <w:t>（</w:t>
      </w:r>
      <w:r>
        <w:rPr>
          <w:rFonts w:hint="eastAsia" w:ascii="??_GB2312" w:eastAsia="Times New Roman" w:cs="Times New Roman"/>
          <w:sz w:val="30"/>
          <w:szCs w:val="30"/>
          <w:lang w:val="en-US" w:eastAsia="zh-CN"/>
        </w:rPr>
        <w:t>38</w:t>
      </w:r>
      <w:r>
        <w:rPr>
          <w:rFonts w:ascii="??_GB2312" w:eastAsia="Times New Roman" w:cs="Times New Roman"/>
          <w:sz w:val="30"/>
          <w:szCs w:val="30"/>
        </w:rPr>
        <w:t>）</w:t>
      </w:r>
      <w:r>
        <w:rPr>
          <w:rFonts w:hint="eastAsia" w:ascii="??_GB2312" w:eastAsia="Times New Roman" w:cs="Times New Roman"/>
          <w:sz w:val="30"/>
          <w:szCs w:val="30"/>
          <w:lang w:eastAsia="zh-CN"/>
        </w:rPr>
        <w:t>食品安全监管</w:t>
      </w:r>
      <w:r>
        <w:rPr>
          <w:rFonts w:ascii="??_GB2312" w:eastAsia="Times New Roman" w:cs="Times New Roman"/>
          <w:sz w:val="30"/>
          <w:szCs w:val="30"/>
        </w:rPr>
        <w:t>（</w:t>
      </w:r>
      <w:r>
        <w:rPr>
          <w:rFonts w:hint="eastAsia" w:ascii="??_GB2312" w:eastAsia="Times New Roman" w:cs="Times New Roman"/>
          <w:sz w:val="30"/>
          <w:szCs w:val="30"/>
          <w:lang w:val="en-US" w:eastAsia="zh-CN"/>
        </w:rPr>
        <w:t>16</w:t>
      </w:r>
      <w:r>
        <w:rPr>
          <w:rFonts w:ascii="??_GB2312" w:eastAsia="Times New Roman" w:cs="Times New Roman"/>
          <w:sz w:val="30"/>
          <w:szCs w:val="30"/>
        </w:rPr>
        <w:t>）：</w:t>
      </w:r>
      <w:r>
        <w:rPr>
          <w:rFonts w:hint="eastAsia" w:ascii="??_GB2312" w:eastAsia="Times New Roman" w:cs="Times New Roman"/>
          <w:sz w:val="30"/>
          <w:szCs w:val="30"/>
          <w:lang w:eastAsia="zh-CN"/>
        </w:rPr>
        <w:t>反映食品安全监管专项工作支出</w:t>
      </w:r>
      <w:r>
        <w:rPr>
          <w:rFonts w:ascii="??_GB2312" w:eastAsia="Times New Roman" w:cs="Times New Roman"/>
          <w:sz w:val="30"/>
          <w:szCs w:val="30"/>
        </w:rPr>
        <w:t>。</w:t>
      </w:r>
    </w:p>
    <w:p w14:paraId="597D7E7B">
      <w:pPr>
        <w:pStyle w:val="45"/>
        <w:spacing w:before="93" w:line="560" w:lineRule="exact"/>
        <w:ind w:firstLine="600" w:firstLineChars="200"/>
        <w:rPr>
          <w:rFonts w:hint="eastAsia" w:ascii="??_GB2312" w:eastAsia="宋体" w:cs="Times New Roman"/>
          <w:sz w:val="30"/>
          <w:szCs w:val="30"/>
          <w:lang w:eastAsia="zh-CN"/>
        </w:rPr>
      </w:pPr>
      <w:r>
        <w:rPr>
          <w:rFonts w:hint="eastAsia" w:ascii="??_GB2312" w:eastAsia="Times New Roman" w:cs="Times New Roman"/>
          <w:sz w:val="30"/>
          <w:szCs w:val="30"/>
          <w:lang w:val="en-US" w:eastAsia="zh-CN"/>
        </w:rPr>
        <w:t>23.</w:t>
      </w:r>
      <w:r>
        <w:rPr>
          <w:rFonts w:hint="eastAsia" w:ascii="??_GB2312" w:eastAsia="Times New Roman" w:cs="Times New Roman"/>
          <w:sz w:val="30"/>
          <w:szCs w:val="30"/>
          <w:lang w:eastAsia="zh-CN"/>
        </w:rPr>
        <w:t>一般公共服务支出</w:t>
      </w:r>
      <w:r>
        <w:rPr>
          <w:rFonts w:ascii="??_GB2312" w:eastAsia="Times New Roman" w:cs="Times New Roman"/>
          <w:sz w:val="30"/>
          <w:szCs w:val="30"/>
        </w:rPr>
        <w:t>（</w:t>
      </w:r>
      <w:r>
        <w:rPr>
          <w:rFonts w:hint="eastAsia" w:ascii="??_GB2312" w:eastAsia="Times New Roman" w:cs="Times New Roman"/>
          <w:sz w:val="30"/>
          <w:szCs w:val="30"/>
          <w:lang w:val="en-US" w:eastAsia="zh-CN"/>
        </w:rPr>
        <w:t>201</w:t>
      </w:r>
      <w:r>
        <w:rPr>
          <w:rFonts w:ascii="??_GB2312" w:eastAsia="Times New Roman" w:cs="Times New Roman"/>
          <w:sz w:val="30"/>
          <w:szCs w:val="30"/>
        </w:rPr>
        <w:t>）</w:t>
      </w:r>
      <w:r>
        <w:rPr>
          <w:rFonts w:hint="eastAsia" w:ascii="??_GB2312" w:eastAsia="Times New Roman" w:cs="Times New Roman"/>
          <w:sz w:val="30"/>
          <w:szCs w:val="30"/>
          <w:lang w:eastAsia="zh-CN"/>
        </w:rPr>
        <w:t>市场监督管理事务</w:t>
      </w:r>
      <w:r>
        <w:rPr>
          <w:rFonts w:ascii="??_GB2312" w:eastAsia="Times New Roman" w:cs="Times New Roman"/>
          <w:sz w:val="30"/>
          <w:szCs w:val="30"/>
        </w:rPr>
        <w:t>（</w:t>
      </w:r>
      <w:r>
        <w:rPr>
          <w:rFonts w:hint="eastAsia" w:ascii="??_GB2312" w:eastAsia="Times New Roman" w:cs="Times New Roman"/>
          <w:sz w:val="30"/>
          <w:szCs w:val="30"/>
          <w:lang w:val="en-US" w:eastAsia="zh-CN"/>
        </w:rPr>
        <w:t>38</w:t>
      </w:r>
      <w:r>
        <w:rPr>
          <w:rFonts w:ascii="??_GB2312" w:eastAsia="Times New Roman" w:cs="Times New Roman"/>
          <w:sz w:val="30"/>
          <w:szCs w:val="30"/>
        </w:rPr>
        <w:t>）</w:t>
      </w:r>
      <w:r>
        <w:rPr>
          <w:rFonts w:hint="eastAsia" w:ascii="??_GB2312" w:eastAsia="Times New Roman" w:cs="Times New Roman"/>
          <w:sz w:val="30"/>
          <w:szCs w:val="30"/>
          <w:lang w:eastAsia="zh-CN"/>
        </w:rPr>
        <w:t>事业运行</w:t>
      </w:r>
      <w:r>
        <w:rPr>
          <w:rFonts w:ascii="??_GB2312" w:eastAsia="Times New Roman" w:cs="Times New Roman"/>
          <w:sz w:val="30"/>
          <w:szCs w:val="30"/>
        </w:rPr>
        <w:t>（</w:t>
      </w:r>
      <w:r>
        <w:rPr>
          <w:rFonts w:hint="eastAsia" w:ascii="??_GB2312" w:eastAsia="Times New Roman" w:cs="Times New Roman"/>
          <w:sz w:val="30"/>
          <w:szCs w:val="30"/>
          <w:lang w:val="en-US" w:eastAsia="zh-CN"/>
        </w:rPr>
        <w:t>50</w:t>
      </w:r>
      <w:r>
        <w:rPr>
          <w:rFonts w:ascii="??_GB2312" w:eastAsia="Times New Roman" w:cs="Times New Roman"/>
          <w:sz w:val="30"/>
          <w:szCs w:val="30"/>
        </w:rPr>
        <w:t>）：</w:t>
      </w:r>
      <w:r>
        <w:rPr>
          <w:rFonts w:hint="eastAsia" w:ascii="??_GB2312" w:eastAsia="宋体" w:cs="Times New Roman"/>
          <w:sz w:val="30"/>
          <w:szCs w:val="30"/>
          <w:lang w:eastAsia="zh-CN"/>
        </w:rPr>
        <w:t>指事业单位的基本支出，不包括行政单位（包括实行公务员管理的事业单位）后勤服务中心、医务室等附属事业单位。</w:t>
      </w:r>
    </w:p>
    <w:p w14:paraId="25247C51">
      <w:pPr>
        <w:pStyle w:val="45"/>
        <w:spacing w:before="93" w:line="560" w:lineRule="exact"/>
        <w:ind w:firstLine="600" w:firstLineChars="200"/>
        <w:rPr>
          <w:rFonts w:ascii="??_GB2312" w:eastAsia="Times New Roman" w:cs="Times New Roman"/>
          <w:sz w:val="30"/>
          <w:szCs w:val="30"/>
        </w:rPr>
      </w:pPr>
      <w:r>
        <w:rPr>
          <w:rFonts w:hint="eastAsia" w:ascii="??_GB2312" w:eastAsia="Times New Roman" w:cs="Times New Roman"/>
          <w:sz w:val="30"/>
          <w:szCs w:val="30"/>
          <w:lang w:val="en-US" w:eastAsia="zh-CN"/>
        </w:rPr>
        <w:t>24</w:t>
      </w:r>
      <w:r>
        <w:rPr>
          <w:rFonts w:ascii="??_GB2312" w:eastAsia="Times New Roman" w:cs="Times New Roman"/>
          <w:sz w:val="30"/>
          <w:szCs w:val="30"/>
        </w:rPr>
        <w:t>.</w:t>
      </w:r>
      <w:r>
        <w:rPr>
          <w:rFonts w:hint="eastAsia" w:ascii="??_GB2312" w:eastAsia="Times New Roman" w:cs="Times New Roman"/>
          <w:sz w:val="30"/>
          <w:szCs w:val="30"/>
          <w:lang w:eastAsia="zh-CN"/>
        </w:rPr>
        <w:t>一般公共服务支出</w:t>
      </w:r>
      <w:r>
        <w:rPr>
          <w:rFonts w:ascii="??_GB2312" w:eastAsia="Times New Roman" w:cs="Times New Roman"/>
          <w:sz w:val="30"/>
          <w:szCs w:val="30"/>
        </w:rPr>
        <w:t>（</w:t>
      </w:r>
      <w:r>
        <w:rPr>
          <w:rFonts w:hint="eastAsia" w:ascii="??_GB2312" w:eastAsia="Times New Roman" w:cs="Times New Roman"/>
          <w:sz w:val="30"/>
          <w:szCs w:val="30"/>
          <w:lang w:val="en-US" w:eastAsia="zh-CN"/>
        </w:rPr>
        <w:t>201</w:t>
      </w:r>
      <w:r>
        <w:rPr>
          <w:rFonts w:ascii="??_GB2312" w:eastAsia="Times New Roman" w:cs="Times New Roman"/>
          <w:sz w:val="30"/>
          <w:szCs w:val="30"/>
        </w:rPr>
        <w:t>）</w:t>
      </w:r>
      <w:r>
        <w:rPr>
          <w:rFonts w:hint="eastAsia" w:ascii="??_GB2312" w:eastAsia="Times New Roman" w:cs="Times New Roman"/>
          <w:sz w:val="30"/>
          <w:szCs w:val="30"/>
          <w:lang w:eastAsia="zh-CN"/>
        </w:rPr>
        <w:t>市场监督管理事务</w:t>
      </w:r>
      <w:r>
        <w:rPr>
          <w:rFonts w:ascii="??_GB2312" w:eastAsia="Times New Roman" w:cs="Times New Roman"/>
          <w:sz w:val="30"/>
          <w:szCs w:val="30"/>
        </w:rPr>
        <w:t>（</w:t>
      </w:r>
      <w:r>
        <w:rPr>
          <w:rFonts w:hint="eastAsia" w:ascii="??_GB2312" w:eastAsia="Times New Roman" w:cs="Times New Roman"/>
          <w:sz w:val="30"/>
          <w:szCs w:val="30"/>
          <w:lang w:val="en-US" w:eastAsia="zh-CN"/>
        </w:rPr>
        <w:t>38</w:t>
      </w:r>
      <w:r>
        <w:rPr>
          <w:rFonts w:ascii="??_GB2312" w:eastAsia="Times New Roman" w:cs="Times New Roman"/>
          <w:sz w:val="30"/>
          <w:szCs w:val="30"/>
        </w:rPr>
        <w:t>）</w:t>
      </w:r>
      <w:r>
        <w:rPr>
          <w:rFonts w:hint="eastAsia" w:ascii="??_GB2312" w:eastAsia="Times New Roman" w:cs="Times New Roman"/>
          <w:sz w:val="30"/>
          <w:szCs w:val="30"/>
          <w:lang w:eastAsia="zh-CN"/>
        </w:rPr>
        <w:t>其他市场监督管理事务</w:t>
      </w:r>
      <w:r>
        <w:rPr>
          <w:rFonts w:ascii="??_GB2312" w:eastAsia="Times New Roman" w:cs="Times New Roman"/>
          <w:sz w:val="30"/>
          <w:szCs w:val="30"/>
        </w:rPr>
        <w:t>（</w:t>
      </w:r>
      <w:r>
        <w:rPr>
          <w:rFonts w:hint="eastAsia" w:ascii="??_GB2312" w:eastAsia="Times New Roman" w:cs="Times New Roman"/>
          <w:sz w:val="30"/>
          <w:szCs w:val="30"/>
          <w:lang w:val="en-US" w:eastAsia="zh-CN"/>
        </w:rPr>
        <w:t>99</w:t>
      </w:r>
      <w:r>
        <w:rPr>
          <w:rFonts w:ascii="??_GB2312" w:eastAsia="Times New Roman" w:cs="Times New Roman"/>
          <w:sz w:val="30"/>
          <w:szCs w:val="30"/>
        </w:rPr>
        <w:t>）：</w:t>
      </w:r>
      <w:r>
        <w:rPr>
          <w:rFonts w:hint="eastAsia" w:ascii="??_GB2312" w:eastAsia="Times New Roman" w:cs="Times New Roman"/>
          <w:sz w:val="30"/>
          <w:szCs w:val="30"/>
          <w:lang w:eastAsia="zh-CN"/>
        </w:rPr>
        <w:t>指用于除上述项目以外其他市场监督管理事务的支出</w:t>
      </w:r>
      <w:r>
        <w:rPr>
          <w:rFonts w:ascii="??_GB2312" w:eastAsia="Times New Roman" w:cs="Times New Roman"/>
          <w:sz w:val="30"/>
          <w:szCs w:val="30"/>
        </w:rPr>
        <w:t>。</w:t>
      </w:r>
    </w:p>
    <w:p w14:paraId="56F0F888">
      <w:pPr>
        <w:pStyle w:val="45"/>
        <w:spacing w:before="93" w:line="560" w:lineRule="exact"/>
        <w:ind w:firstLine="600" w:firstLineChars="200"/>
        <w:rPr>
          <w:rFonts w:hint="eastAsia" w:ascii="??_GB2312" w:eastAsia="Times New Roman" w:cs="Times New Roman"/>
          <w:sz w:val="30"/>
          <w:szCs w:val="30"/>
          <w:lang w:eastAsia="zh-CN"/>
        </w:rPr>
      </w:pPr>
      <w:r>
        <w:rPr>
          <w:rFonts w:hint="eastAsia" w:ascii="??_GB2312" w:eastAsia="Times New Roman" w:cs="Times New Roman"/>
          <w:sz w:val="30"/>
          <w:szCs w:val="30"/>
          <w:lang w:val="en-US" w:eastAsia="zh-CN"/>
        </w:rPr>
        <w:t>25</w:t>
      </w:r>
      <w:r>
        <w:rPr>
          <w:rFonts w:ascii="??_GB2312" w:eastAsia="Times New Roman" w:cs="Times New Roman"/>
          <w:sz w:val="30"/>
          <w:szCs w:val="30"/>
        </w:rPr>
        <w:t>.住房保障支出（221）住房改革支出（02）住房公积金（01）</w:t>
      </w:r>
      <w:r>
        <w:rPr>
          <w:rFonts w:hint="eastAsia" w:ascii="??_GB2312" w:eastAsia="宋体" w:cs="Times New Roman"/>
          <w:sz w:val="30"/>
          <w:szCs w:val="30"/>
          <w:lang w:eastAsia="zh-CN"/>
        </w:rPr>
        <w:t>：</w:t>
      </w:r>
      <w:r>
        <w:rPr>
          <w:rFonts w:hint="eastAsia" w:ascii="??_GB2312" w:eastAsia="Times New Roman" w:cs="Times New Roman"/>
          <w:sz w:val="30"/>
          <w:szCs w:val="30"/>
          <w:lang w:eastAsia="zh-CN"/>
        </w:rPr>
        <w:t>指行政事业单位按人力资源和社会保障部、财政部规定的基本工资和津贴补贴以及规定比例为职工缴纳的住房公积金。</w:t>
      </w:r>
    </w:p>
    <w:p w14:paraId="2513557D">
      <w:pPr>
        <w:pStyle w:val="45"/>
        <w:spacing w:before="93" w:line="560" w:lineRule="exact"/>
        <w:ind w:firstLine="600" w:firstLineChars="200"/>
        <w:rPr>
          <w:rFonts w:hint="eastAsia" w:ascii="??_GB2312" w:eastAsia="Times New Roman" w:cs="Times New Roman"/>
          <w:sz w:val="30"/>
          <w:szCs w:val="30"/>
          <w:lang w:eastAsia="zh-CN"/>
        </w:rPr>
      </w:pPr>
      <w:r>
        <w:rPr>
          <w:rFonts w:hint="eastAsia" w:ascii="??_GB2312" w:eastAsia="Times New Roman" w:cs="Times New Roman"/>
          <w:sz w:val="30"/>
          <w:szCs w:val="30"/>
          <w:lang w:val="en-US" w:eastAsia="zh-CN"/>
        </w:rPr>
        <w:t>26</w:t>
      </w:r>
      <w:r>
        <w:rPr>
          <w:rFonts w:ascii="??_GB2312" w:eastAsia="Times New Roman" w:cs="Times New Roman"/>
          <w:sz w:val="30"/>
          <w:szCs w:val="30"/>
        </w:rPr>
        <w:t>.住房保障支出（221）住房改革支出（02）</w:t>
      </w:r>
      <w:r>
        <w:rPr>
          <w:rFonts w:hint="eastAsia" w:ascii="??_GB2312" w:eastAsia="Times New Roman" w:cs="Times New Roman"/>
          <w:sz w:val="30"/>
          <w:szCs w:val="30"/>
          <w:lang w:eastAsia="zh-CN"/>
        </w:rPr>
        <w:t>购房补贴</w:t>
      </w:r>
      <w:r>
        <w:rPr>
          <w:rFonts w:ascii="??_GB2312" w:eastAsia="Times New Roman" w:cs="Times New Roman"/>
          <w:sz w:val="30"/>
          <w:szCs w:val="30"/>
        </w:rPr>
        <w:t>（0</w:t>
      </w:r>
      <w:r>
        <w:rPr>
          <w:rFonts w:hint="eastAsia" w:ascii="??_GB2312" w:eastAsia="Times New Roman" w:cs="Times New Roman"/>
          <w:sz w:val="30"/>
          <w:szCs w:val="30"/>
          <w:lang w:val="en-US" w:eastAsia="zh-CN"/>
        </w:rPr>
        <w:t>3</w:t>
      </w:r>
      <w:r>
        <w:rPr>
          <w:rFonts w:ascii="??_GB2312" w:eastAsia="Times New Roman" w:cs="Times New Roman"/>
          <w:sz w:val="30"/>
          <w:szCs w:val="30"/>
        </w:rPr>
        <w:t>）</w:t>
      </w:r>
      <w:r>
        <w:rPr>
          <w:rFonts w:hint="eastAsia" w:ascii="??_GB2312" w:eastAsia="宋体" w:cs="Times New Roman"/>
          <w:sz w:val="30"/>
          <w:szCs w:val="30"/>
          <w:lang w:eastAsia="zh-CN"/>
        </w:rPr>
        <w:t>：</w:t>
      </w:r>
      <w:r>
        <w:rPr>
          <w:rFonts w:hint="eastAsia" w:ascii="??_GB2312" w:eastAsia="Times New Roman" w:cs="Times New Roman"/>
          <w:sz w:val="30"/>
          <w:szCs w:val="30"/>
          <w:lang w:eastAsia="zh-CN"/>
        </w:rPr>
        <w:t>指按房改政策规定，行政事业单位向转役复员离退休人员发放的用于</w:t>
      </w:r>
    </w:p>
    <w:p w14:paraId="3B94AD46">
      <w:pPr>
        <w:pStyle w:val="45"/>
        <w:spacing w:before="93" w:line="560" w:lineRule="exact"/>
        <w:ind w:firstLine="600" w:firstLineChars="200"/>
        <w:rPr>
          <w:rFonts w:ascii="??_GB2312" w:eastAsia="Times New Roman" w:cs="Times New Roman"/>
          <w:sz w:val="30"/>
          <w:szCs w:val="30"/>
        </w:rPr>
      </w:pPr>
      <w:r>
        <w:rPr>
          <w:rFonts w:hint="eastAsia" w:ascii="??_GB2312" w:eastAsia="Times New Roman" w:cs="Times New Roman"/>
          <w:sz w:val="30"/>
          <w:szCs w:val="30"/>
          <w:lang w:val="en-US" w:eastAsia="zh-CN"/>
        </w:rPr>
        <w:t>27</w:t>
      </w:r>
      <w:r>
        <w:rPr>
          <w:rFonts w:ascii="??_GB2312" w:eastAsia="Times New Roman" w:cs="Times New Roman"/>
          <w:sz w:val="30"/>
          <w:szCs w:val="30"/>
        </w:rPr>
        <w:t>.</w:t>
      </w:r>
      <w:r>
        <w:rPr>
          <w:rFonts w:hint="eastAsia" w:ascii="??_GB2312" w:eastAsia="Times New Roman" w:cs="Times New Roman"/>
          <w:sz w:val="30"/>
          <w:szCs w:val="30"/>
          <w:lang w:eastAsia="zh-CN"/>
        </w:rPr>
        <w:t>其他支出</w:t>
      </w:r>
      <w:r>
        <w:rPr>
          <w:rFonts w:ascii="??_GB2312" w:eastAsia="Times New Roman" w:cs="Times New Roman"/>
          <w:sz w:val="30"/>
          <w:szCs w:val="30"/>
        </w:rPr>
        <w:t>（</w:t>
      </w:r>
      <w:r>
        <w:rPr>
          <w:rFonts w:hint="eastAsia" w:ascii="??_GB2312" w:eastAsia="Times New Roman" w:cs="Times New Roman"/>
          <w:sz w:val="30"/>
          <w:szCs w:val="30"/>
          <w:lang w:val="en-US" w:eastAsia="zh-CN"/>
        </w:rPr>
        <w:t>229</w:t>
      </w:r>
      <w:r>
        <w:rPr>
          <w:rFonts w:ascii="??_GB2312" w:eastAsia="Times New Roman" w:cs="Times New Roman"/>
          <w:sz w:val="30"/>
          <w:szCs w:val="30"/>
        </w:rPr>
        <w:t>）</w:t>
      </w:r>
      <w:r>
        <w:rPr>
          <w:rFonts w:hint="eastAsia" w:ascii="??_GB2312" w:eastAsia="Times New Roman" w:cs="Times New Roman"/>
          <w:sz w:val="30"/>
          <w:szCs w:val="30"/>
          <w:lang w:eastAsia="zh-CN"/>
        </w:rPr>
        <w:t>其他支出</w:t>
      </w:r>
      <w:r>
        <w:rPr>
          <w:rFonts w:ascii="??_GB2312" w:eastAsia="Times New Roman" w:cs="Times New Roman"/>
          <w:sz w:val="30"/>
          <w:szCs w:val="30"/>
        </w:rPr>
        <w:t>（</w:t>
      </w:r>
      <w:r>
        <w:rPr>
          <w:rFonts w:hint="eastAsia" w:ascii="??_GB2312" w:eastAsia="Times New Roman" w:cs="Times New Roman"/>
          <w:sz w:val="30"/>
          <w:szCs w:val="30"/>
          <w:lang w:val="en-US" w:eastAsia="zh-CN"/>
        </w:rPr>
        <w:t>99</w:t>
      </w:r>
      <w:r>
        <w:rPr>
          <w:rFonts w:ascii="??_GB2312" w:eastAsia="Times New Roman" w:cs="Times New Roman"/>
          <w:sz w:val="30"/>
          <w:szCs w:val="30"/>
        </w:rPr>
        <w:t>）</w:t>
      </w:r>
      <w:r>
        <w:rPr>
          <w:rFonts w:hint="eastAsia" w:ascii="??_GB2312" w:eastAsia="Times New Roman" w:cs="Times New Roman"/>
          <w:sz w:val="30"/>
          <w:szCs w:val="30"/>
          <w:lang w:eastAsia="zh-CN"/>
        </w:rPr>
        <w:t>其他支出（</w:t>
      </w:r>
      <w:r>
        <w:rPr>
          <w:rFonts w:hint="eastAsia" w:ascii="??_GB2312" w:eastAsia="Times New Roman" w:cs="Times New Roman"/>
          <w:sz w:val="30"/>
          <w:szCs w:val="30"/>
          <w:lang w:val="en-US" w:eastAsia="zh-CN"/>
        </w:rPr>
        <w:t>99</w:t>
      </w:r>
      <w:r>
        <w:rPr>
          <w:rFonts w:ascii="??_GB2312" w:eastAsia="Times New Roman" w:cs="Times New Roman"/>
          <w:sz w:val="30"/>
          <w:szCs w:val="30"/>
        </w:rPr>
        <w:t>）：</w:t>
      </w:r>
      <w:r>
        <w:rPr>
          <w:rFonts w:hint="eastAsia" w:ascii="??_GB2312" w:eastAsia="Times New Roman" w:cs="Times New Roman"/>
          <w:sz w:val="30"/>
          <w:szCs w:val="30"/>
          <w:lang w:eastAsia="zh-CN"/>
        </w:rPr>
        <w:t>反映其他不能划分到具体功能科目中的支出项目</w:t>
      </w:r>
      <w:r>
        <w:rPr>
          <w:rFonts w:ascii="??_GB2312" w:eastAsia="Times New Roman" w:cs="Times New Roman"/>
          <w:sz w:val="30"/>
          <w:szCs w:val="30"/>
        </w:rPr>
        <w:t>。</w:t>
      </w:r>
    </w:p>
    <w:p w14:paraId="34474D79">
      <w:pPr>
        <w:pStyle w:val="45"/>
        <w:spacing w:before="93" w:line="560" w:lineRule="exact"/>
        <w:ind w:firstLine="600" w:firstLineChars="200"/>
        <w:rPr>
          <w:rFonts w:hint="eastAsia" w:ascii="??_GB2312" w:eastAsia="宋体" w:cs="Times New Roman"/>
          <w:sz w:val="30"/>
          <w:szCs w:val="30"/>
          <w:lang w:eastAsia="zh-CN"/>
        </w:rPr>
      </w:pPr>
      <w:r>
        <w:rPr>
          <w:rFonts w:hint="eastAsia" w:ascii="??_GB2312" w:eastAsia="Times New Roman" w:cs="Times New Roman"/>
          <w:sz w:val="30"/>
          <w:szCs w:val="30"/>
          <w:lang w:val="en-US" w:eastAsia="zh-CN"/>
        </w:rPr>
        <w:t>28.</w:t>
      </w:r>
      <w:r>
        <w:rPr>
          <w:rFonts w:hint="eastAsia" w:ascii="??_GB2312" w:eastAsia="Times New Roman" w:cs="Times New Roman"/>
          <w:sz w:val="30"/>
          <w:szCs w:val="30"/>
          <w:lang w:eastAsia="zh-CN"/>
        </w:rPr>
        <w:t>科学技术支出</w:t>
      </w:r>
      <w:r>
        <w:rPr>
          <w:rFonts w:ascii="??_GB2312" w:eastAsia="Times New Roman" w:cs="Times New Roman"/>
          <w:sz w:val="30"/>
          <w:szCs w:val="30"/>
        </w:rPr>
        <w:t>（</w:t>
      </w:r>
      <w:r>
        <w:rPr>
          <w:rFonts w:hint="eastAsia" w:ascii="??_GB2312" w:eastAsia="Times New Roman" w:cs="Times New Roman"/>
          <w:sz w:val="30"/>
          <w:szCs w:val="30"/>
          <w:lang w:val="en-US" w:eastAsia="zh-CN"/>
        </w:rPr>
        <w:t>206</w:t>
      </w:r>
      <w:r>
        <w:rPr>
          <w:rFonts w:ascii="??_GB2312" w:eastAsia="Times New Roman" w:cs="Times New Roman"/>
          <w:sz w:val="30"/>
          <w:szCs w:val="30"/>
        </w:rPr>
        <w:t>）</w:t>
      </w:r>
      <w:r>
        <w:rPr>
          <w:rFonts w:hint="eastAsia" w:ascii="??_GB2312" w:eastAsia="Times New Roman" w:cs="Times New Roman"/>
          <w:sz w:val="30"/>
          <w:szCs w:val="30"/>
          <w:lang w:eastAsia="zh-CN"/>
        </w:rPr>
        <w:t>科技条件与服务</w:t>
      </w:r>
      <w:r>
        <w:rPr>
          <w:rFonts w:ascii="??_GB2312" w:eastAsia="Times New Roman" w:cs="Times New Roman"/>
          <w:sz w:val="30"/>
          <w:szCs w:val="30"/>
        </w:rPr>
        <w:t>（</w:t>
      </w:r>
      <w:r>
        <w:rPr>
          <w:rFonts w:hint="eastAsia" w:ascii="??_GB2312" w:eastAsia="Times New Roman" w:cs="Times New Roman"/>
          <w:sz w:val="30"/>
          <w:szCs w:val="30"/>
          <w:lang w:val="en-US" w:eastAsia="zh-CN"/>
        </w:rPr>
        <w:t>05</w:t>
      </w:r>
      <w:r>
        <w:rPr>
          <w:rFonts w:ascii="??_GB2312" w:eastAsia="Times New Roman" w:cs="Times New Roman"/>
          <w:sz w:val="30"/>
          <w:szCs w:val="30"/>
        </w:rPr>
        <w:t>）</w:t>
      </w:r>
      <w:r>
        <w:rPr>
          <w:rFonts w:hint="eastAsia" w:ascii="??_GB2312" w:eastAsia="Times New Roman" w:cs="Times New Roman"/>
          <w:sz w:val="30"/>
          <w:szCs w:val="30"/>
          <w:lang w:eastAsia="zh-CN"/>
        </w:rPr>
        <w:t>科技条件专项</w:t>
      </w:r>
      <w:r>
        <w:rPr>
          <w:rFonts w:ascii="??_GB2312" w:eastAsia="Times New Roman" w:cs="Times New Roman"/>
          <w:sz w:val="30"/>
          <w:szCs w:val="30"/>
        </w:rPr>
        <w:t>（</w:t>
      </w:r>
      <w:r>
        <w:rPr>
          <w:rFonts w:hint="eastAsia" w:ascii="??_GB2312" w:eastAsia="Times New Roman" w:cs="Times New Roman"/>
          <w:sz w:val="30"/>
          <w:szCs w:val="30"/>
          <w:lang w:val="en-US" w:eastAsia="zh-CN"/>
        </w:rPr>
        <w:t>03</w:t>
      </w:r>
      <w:r>
        <w:rPr>
          <w:rFonts w:ascii="??_GB2312" w:eastAsia="Times New Roman" w:cs="Times New Roman"/>
          <w:sz w:val="30"/>
          <w:szCs w:val="30"/>
        </w:rPr>
        <w:t>）</w:t>
      </w:r>
      <w:r>
        <w:rPr>
          <w:rFonts w:hint="eastAsia" w:ascii="??_GB2312" w:eastAsia="宋体" w:cs="Times New Roman"/>
          <w:sz w:val="30"/>
          <w:szCs w:val="30"/>
          <w:lang w:eastAsia="zh-CN"/>
        </w:rPr>
        <w:t>：指国家用于完善科技条件的支出，包括科技文献信息、网络环境支撑等科技条件专项支出等。</w:t>
      </w:r>
    </w:p>
    <w:p w14:paraId="3B74C6C1">
      <w:pPr>
        <w:pStyle w:val="45"/>
        <w:spacing w:before="93" w:line="560" w:lineRule="exact"/>
        <w:ind w:firstLine="600" w:firstLineChars="200"/>
        <w:rPr>
          <w:rFonts w:hint="eastAsia" w:ascii="??_GB2312" w:eastAsia="宋体" w:cs="Times New Roman"/>
          <w:sz w:val="30"/>
          <w:szCs w:val="30"/>
          <w:lang w:eastAsia="zh-CN"/>
        </w:rPr>
      </w:pPr>
      <w:r>
        <w:rPr>
          <w:rFonts w:hint="eastAsia" w:ascii="??_GB2312" w:eastAsia="宋体" w:cs="Times New Roman"/>
          <w:sz w:val="30"/>
          <w:szCs w:val="30"/>
          <w:lang w:val="en-US" w:eastAsia="zh-CN"/>
        </w:rPr>
        <w:t>29.</w:t>
      </w:r>
      <w:r>
        <w:rPr>
          <w:rFonts w:hint="eastAsia" w:ascii="??_GB2312" w:eastAsia="宋体" w:cs="Times New Roman"/>
          <w:sz w:val="30"/>
          <w:szCs w:val="30"/>
          <w:lang w:eastAsia="zh-CN"/>
        </w:rPr>
        <w:t>一般公共服务支出（</w:t>
      </w:r>
      <w:r>
        <w:rPr>
          <w:rFonts w:hint="eastAsia" w:ascii="??_GB2312" w:eastAsia="宋体" w:cs="Times New Roman"/>
          <w:sz w:val="30"/>
          <w:szCs w:val="30"/>
          <w:lang w:val="en-US" w:eastAsia="zh-CN"/>
        </w:rPr>
        <w:t>201</w:t>
      </w:r>
      <w:r>
        <w:rPr>
          <w:rFonts w:hint="eastAsia" w:ascii="??_GB2312" w:eastAsia="宋体" w:cs="Times New Roman"/>
          <w:sz w:val="30"/>
          <w:szCs w:val="30"/>
          <w:lang w:eastAsia="zh-CN"/>
        </w:rPr>
        <w:t>）知识产权事务（</w:t>
      </w:r>
      <w:r>
        <w:rPr>
          <w:rFonts w:hint="eastAsia" w:ascii="??_GB2312" w:eastAsia="宋体" w:cs="Times New Roman"/>
          <w:sz w:val="30"/>
          <w:szCs w:val="30"/>
          <w:lang w:val="en-US" w:eastAsia="zh-CN"/>
        </w:rPr>
        <w:t>14</w:t>
      </w:r>
      <w:r>
        <w:rPr>
          <w:rFonts w:hint="eastAsia" w:ascii="??_GB2312" w:eastAsia="宋体" w:cs="Times New Roman"/>
          <w:sz w:val="30"/>
          <w:szCs w:val="30"/>
          <w:lang w:eastAsia="zh-CN"/>
        </w:rPr>
        <w:t>）其他知识事务支出（</w:t>
      </w:r>
      <w:r>
        <w:rPr>
          <w:rFonts w:hint="eastAsia" w:ascii="??_GB2312" w:eastAsia="宋体" w:cs="Times New Roman"/>
          <w:sz w:val="30"/>
          <w:szCs w:val="30"/>
          <w:lang w:val="en-US" w:eastAsia="zh-CN"/>
        </w:rPr>
        <w:t>99</w:t>
      </w:r>
      <w:r>
        <w:rPr>
          <w:rFonts w:hint="eastAsia" w:ascii="??_GB2312" w:eastAsia="宋体" w:cs="Times New Roman"/>
          <w:sz w:val="30"/>
          <w:szCs w:val="30"/>
          <w:lang w:eastAsia="zh-CN"/>
        </w:rPr>
        <w:t>）</w:t>
      </w:r>
      <w:r>
        <w:rPr>
          <w:rFonts w:ascii="??_GB2312" w:eastAsia="Times New Roman" w:cs="Times New Roman"/>
          <w:sz w:val="30"/>
          <w:szCs w:val="30"/>
        </w:rPr>
        <w:t>：</w:t>
      </w:r>
      <w:r>
        <w:rPr>
          <w:rFonts w:hint="eastAsia" w:ascii="??_GB2312" w:eastAsia="宋体" w:cs="Times New Roman"/>
          <w:sz w:val="30"/>
          <w:szCs w:val="30"/>
          <w:lang w:eastAsia="zh-CN"/>
        </w:rPr>
        <w:t>指知识产权事务中除以上项目以外其他用于知识产权事务方面的支出。</w:t>
      </w:r>
    </w:p>
    <w:p w14:paraId="06DA59F6">
      <w:pPr>
        <w:pStyle w:val="45"/>
        <w:spacing w:before="93" w:line="560" w:lineRule="exact"/>
        <w:ind w:firstLine="600" w:firstLineChars="200"/>
        <w:rPr>
          <w:rFonts w:hint="eastAsia" w:ascii="??_GB2312" w:eastAsia="Times New Roman" w:cs="Times New Roman"/>
          <w:sz w:val="30"/>
          <w:szCs w:val="30"/>
          <w:lang w:val="en-US" w:eastAsia="zh-CN"/>
        </w:rPr>
      </w:pPr>
      <w:r>
        <w:rPr>
          <w:rFonts w:hint="eastAsia" w:ascii="??_GB2312" w:eastAsia="Times New Roman" w:cs="Times New Roman"/>
          <w:sz w:val="30"/>
          <w:szCs w:val="30"/>
          <w:lang w:val="en-US" w:eastAsia="zh-CN"/>
        </w:rPr>
        <w:t>30.科学技术支出（206）科技重大项目（09）重点研发计划（02）：指用于重点研发计划的有关经费支出。</w:t>
      </w:r>
    </w:p>
    <w:p w14:paraId="307F2A10">
      <w:pPr>
        <w:pStyle w:val="45"/>
        <w:spacing w:before="93" w:line="560" w:lineRule="exact"/>
        <w:ind w:firstLine="600" w:firstLineChars="200"/>
        <w:rPr>
          <w:rFonts w:hint="eastAsia" w:ascii="??_GB2312" w:eastAsia="Times New Roman" w:cs="Times New Roman"/>
          <w:sz w:val="30"/>
          <w:szCs w:val="30"/>
          <w:lang w:val="en-US" w:eastAsia="zh-CN"/>
        </w:rPr>
      </w:pPr>
      <w:r>
        <w:rPr>
          <w:rFonts w:hint="eastAsia" w:ascii="??_GB2312" w:eastAsia="Times New Roman" w:cs="Times New Roman"/>
          <w:sz w:val="30"/>
          <w:szCs w:val="30"/>
          <w:lang w:val="en-US" w:eastAsia="zh-CN"/>
        </w:rPr>
        <w:t>31.科学技术支出（206）其他科学技术支出（99）其他科学技术支出（99）：指其他科学技术支出中除以上各项外用于科技方面的支出。</w:t>
      </w:r>
    </w:p>
    <w:p w14:paraId="567AB72B">
      <w:pPr>
        <w:pStyle w:val="45"/>
        <w:spacing w:before="93" w:line="560" w:lineRule="exact"/>
        <w:ind w:firstLine="600" w:firstLineChars="200"/>
        <w:rPr>
          <w:rFonts w:ascii="??_GB2312" w:eastAsia="Times New Roman" w:cs="Times New Roman"/>
          <w:sz w:val="30"/>
          <w:szCs w:val="30"/>
        </w:rPr>
      </w:pPr>
      <w:r>
        <w:rPr>
          <w:rFonts w:hint="eastAsia" w:ascii="??_GB2312" w:eastAsia="Times New Roman" w:cs="Times New Roman"/>
          <w:sz w:val="30"/>
          <w:szCs w:val="30"/>
          <w:lang w:val="en-US" w:eastAsia="zh-CN"/>
        </w:rPr>
        <w:t>32</w:t>
      </w:r>
      <w:r>
        <w:rPr>
          <w:rFonts w:ascii="??_GB2312" w:eastAsia="Times New Roman" w:cs="Times New Roman"/>
          <w:sz w:val="30"/>
          <w:szCs w:val="30"/>
        </w:rPr>
        <w:t>.基本支出：指为保障机构正常运转、完成日常工作任务而发生的人员支出和公用支出。</w:t>
      </w:r>
    </w:p>
    <w:p w14:paraId="7ACF6AC2">
      <w:pPr>
        <w:pStyle w:val="45"/>
        <w:spacing w:before="93" w:line="560" w:lineRule="exact"/>
        <w:ind w:firstLine="600" w:firstLineChars="200"/>
        <w:rPr>
          <w:rFonts w:ascii="??_GB2312" w:eastAsia="Times New Roman" w:cs="Times New Roman"/>
          <w:sz w:val="30"/>
          <w:szCs w:val="30"/>
        </w:rPr>
      </w:pPr>
      <w:r>
        <w:rPr>
          <w:rFonts w:hint="eastAsia" w:ascii="??_GB2312" w:eastAsia="Times New Roman" w:cs="Times New Roman"/>
          <w:sz w:val="30"/>
          <w:szCs w:val="30"/>
          <w:lang w:val="en-US" w:eastAsia="zh-CN"/>
        </w:rPr>
        <w:t>33</w:t>
      </w:r>
      <w:r>
        <w:rPr>
          <w:rFonts w:ascii="??_GB2312" w:eastAsia="Times New Roman" w:cs="Times New Roman"/>
          <w:sz w:val="30"/>
          <w:szCs w:val="30"/>
        </w:rPr>
        <w:t>.项目支出：指在基本支出之外为完成特定行政任务和事业发展目标所发生的支出。</w:t>
      </w:r>
    </w:p>
    <w:p w14:paraId="676A2E17">
      <w:pPr>
        <w:pStyle w:val="45"/>
        <w:spacing w:before="93" w:line="560" w:lineRule="exact"/>
        <w:ind w:firstLine="600" w:firstLineChars="200"/>
        <w:rPr>
          <w:rFonts w:hint="default" w:ascii="??_GB2312" w:eastAsia="Times New Roman" w:cs="Times New Roman"/>
          <w:sz w:val="30"/>
          <w:szCs w:val="30"/>
          <w:lang w:val="en-US" w:eastAsia="zh-CN"/>
        </w:rPr>
      </w:pPr>
      <w:r>
        <w:rPr>
          <w:rFonts w:hint="eastAsia" w:ascii="??_GB2312" w:eastAsia="Times New Roman" w:cs="Times New Roman"/>
          <w:sz w:val="30"/>
          <w:szCs w:val="30"/>
          <w:lang w:val="en-US" w:eastAsia="zh-CN"/>
        </w:rPr>
        <w:t>34.经营支出：指事业单位在专业业务活动及其辅助活动之外开展非独立核算经营活动发生的支出。</w:t>
      </w:r>
    </w:p>
    <w:p w14:paraId="49C22596">
      <w:pPr>
        <w:pStyle w:val="45"/>
        <w:spacing w:before="93" w:line="560" w:lineRule="exact"/>
        <w:ind w:firstLine="600" w:firstLineChars="200"/>
        <w:rPr>
          <w:rFonts w:ascii="??_GB2312" w:eastAsia="Times New Roman" w:cs="Times New Roman"/>
          <w:sz w:val="30"/>
          <w:szCs w:val="30"/>
        </w:rPr>
      </w:pPr>
      <w:r>
        <w:rPr>
          <w:rFonts w:hint="eastAsia" w:ascii="??_GB2312" w:eastAsia="Times New Roman" w:cs="Times New Roman"/>
          <w:sz w:val="30"/>
          <w:szCs w:val="30"/>
          <w:lang w:val="en-US" w:eastAsia="zh-CN"/>
        </w:rPr>
        <w:t>35</w:t>
      </w:r>
      <w:r>
        <w:rPr>
          <w:rFonts w:ascii="??_GB2312" w:eastAsia="Times New Roman" w:cs="Times New Roman"/>
          <w:sz w:val="30"/>
          <w:szCs w:val="30"/>
        </w:rPr>
        <w:t>.“三公”经费：纳入州级财政预决算管理的“三公”经费，是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5A0D57D6">
      <w:pPr>
        <w:pStyle w:val="45"/>
        <w:spacing w:before="93" w:line="560" w:lineRule="exact"/>
        <w:ind w:firstLine="600" w:firstLineChars="200"/>
        <w:rPr>
          <w:rFonts w:ascii="??_GB2312" w:eastAsia="Times New Roman" w:cs="Times New Roman"/>
          <w:sz w:val="30"/>
          <w:szCs w:val="30"/>
        </w:rPr>
      </w:pPr>
      <w:r>
        <w:rPr>
          <w:rFonts w:hint="eastAsia" w:ascii="??_GB2312" w:eastAsia="Times New Roman" w:cs="Times New Roman"/>
          <w:sz w:val="30"/>
          <w:szCs w:val="30"/>
          <w:lang w:val="en-US" w:eastAsia="zh-CN"/>
        </w:rPr>
        <w:t>36</w:t>
      </w:r>
      <w:r>
        <w:rPr>
          <w:rFonts w:ascii="??_GB2312" w:eastAsia="Times New Roman" w:cs="Times New Roman"/>
          <w:sz w:val="30"/>
          <w:szCs w:val="30"/>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5258CDC">
      <w:pPr>
        <w:pStyle w:val="45"/>
        <w:spacing w:line="560" w:lineRule="exact"/>
        <w:rPr>
          <w:rFonts w:hint="eastAsia" w:ascii="??_GB2312" w:eastAsia="宋体" w:cs="Times New Roman"/>
          <w:sz w:val="32"/>
          <w:szCs w:val="32"/>
          <w:lang w:eastAsia="zh-CN"/>
        </w:rPr>
      </w:pPr>
    </w:p>
    <w:p w14:paraId="318F8DE4">
      <w:pPr>
        <w:pStyle w:val="45"/>
        <w:spacing w:line="560" w:lineRule="exact"/>
        <w:ind w:firstLine="640" w:firstLineChars="200"/>
        <w:rPr>
          <w:rFonts w:ascii="??_GB2312" w:eastAsia="Times New Roman" w:cs="Times New Roman"/>
          <w:sz w:val="32"/>
          <w:szCs w:val="32"/>
        </w:rPr>
      </w:pPr>
    </w:p>
    <w:p w14:paraId="0052DE40">
      <w:pPr>
        <w:pStyle w:val="14"/>
        <w:ind w:left="0" w:leftChars="0" w:firstLine="0" w:firstLineChars="0"/>
        <w:rPr>
          <w:rFonts w:ascii="??_GB2312" w:eastAsia="Times New Roman" w:cs="Times New Roman"/>
          <w:sz w:val="32"/>
          <w:szCs w:val="32"/>
        </w:rPr>
      </w:pPr>
    </w:p>
    <w:p w14:paraId="28FB77C3">
      <w:pPr>
        <w:spacing w:line="600" w:lineRule="exact"/>
        <w:jc w:val="center"/>
        <w:outlineLvl w:val="0"/>
        <w:rPr>
          <w:rStyle w:val="44"/>
          <w:rFonts w:ascii="黑体" w:hAnsi="黑体" w:eastAsia="黑体"/>
          <w:b w:val="0"/>
          <w:bCs w:val="0"/>
        </w:rPr>
      </w:pPr>
      <w:bookmarkStart w:id="36" w:name="_Toc15396614"/>
      <w:r>
        <w:rPr>
          <w:rFonts w:hint="eastAsia" w:ascii="黑体" w:hAnsi="黑体" w:eastAsia="黑体" w:cs="黑体"/>
          <w:color w:val="000000"/>
          <w:sz w:val="44"/>
          <w:szCs w:val="44"/>
        </w:rPr>
        <w:t>第</w:t>
      </w:r>
      <w:r>
        <w:rPr>
          <w:rStyle w:val="44"/>
          <w:rFonts w:hint="eastAsia" w:ascii="黑体" w:hAnsi="黑体" w:eastAsia="黑体" w:cs="黑体"/>
          <w:b w:val="0"/>
          <w:bCs w:val="0"/>
        </w:rPr>
        <w:t>四部分附件</w:t>
      </w:r>
      <w:bookmarkEnd w:id="36"/>
    </w:p>
    <w:p w14:paraId="20C3D7E5">
      <w:pPr>
        <w:keepNext w:val="0"/>
        <w:keepLines w:val="0"/>
        <w:pageBreakBefore w:val="0"/>
        <w:widowControl/>
        <w:kinsoku/>
        <w:wordWrap/>
        <w:overflowPunct/>
        <w:topLinePunct w:val="0"/>
        <w:autoSpaceDE/>
        <w:autoSpaceDN/>
        <w:bidi w:val="0"/>
        <w:adjustRightInd/>
        <w:snapToGrid/>
        <w:spacing w:line="600" w:lineRule="exact"/>
        <w:ind w:firstLine="0" w:firstLineChars="0"/>
        <w:contextualSpacing/>
        <w:jc w:val="both"/>
        <w:textAlignment w:val="auto"/>
        <w:outlineLvl w:val="9"/>
        <w:rPr>
          <w:rFonts w:hint="eastAsia" w:ascii="仿宋" w:hAnsi="仿宋" w:eastAsia="仿宋" w:cs="仿宋"/>
          <w:b w:val="0"/>
          <w:bCs/>
          <w:sz w:val="30"/>
          <w:szCs w:val="30"/>
          <w:highlight w:val="none"/>
          <w:shd w:val="clear" w:color="auto" w:fill="FFFFFF"/>
          <w:lang w:val="en-US" w:eastAsia="zh-CN"/>
        </w:rPr>
      </w:pPr>
      <w:r>
        <w:rPr>
          <w:rFonts w:hint="eastAsia" w:ascii="仿宋" w:hAnsi="仿宋" w:eastAsia="仿宋" w:cs="仿宋"/>
          <w:b w:val="0"/>
          <w:bCs/>
          <w:sz w:val="30"/>
          <w:szCs w:val="30"/>
          <w:highlight w:val="none"/>
          <w:shd w:val="clear" w:color="auto" w:fill="FFFFFF"/>
          <w:lang w:val="en-US" w:eastAsia="zh-CN"/>
        </w:rPr>
        <w:t>附件1</w:t>
      </w:r>
    </w:p>
    <w:p w14:paraId="3CBD3CDA">
      <w:pPr>
        <w:keepNext w:val="0"/>
        <w:keepLines w:val="0"/>
        <w:pageBreakBefore w:val="0"/>
        <w:widowControl/>
        <w:kinsoku/>
        <w:wordWrap/>
        <w:overflowPunct/>
        <w:topLinePunct w:val="0"/>
        <w:autoSpaceDE/>
        <w:autoSpaceDN/>
        <w:bidi w:val="0"/>
        <w:adjustRightInd/>
        <w:snapToGrid/>
        <w:spacing w:line="600" w:lineRule="exact"/>
        <w:ind w:firstLine="0" w:firstLineChars="0"/>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lang w:val="en-US" w:eastAsia="zh-CN"/>
        </w:rPr>
      </w:pPr>
      <w:r>
        <w:rPr>
          <w:rFonts w:hint="default" w:ascii="Times New Roman" w:hAnsi="Times New Roman" w:eastAsia="方正小标宋简体" w:cs="Times New Roman"/>
          <w:b w:val="0"/>
          <w:bCs/>
          <w:sz w:val="44"/>
          <w:szCs w:val="44"/>
          <w:highlight w:val="none"/>
          <w:shd w:val="clear" w:color="auto" w:fill="FFFFFF"/>
          <w:lang w:val="en-US" w:eastAsia="zh-CN"/>
        </w:rPr>
        <w:t>阿坝藏族羌族自治州市场监督管理局</w:t>
      </w:r>
    </w:p>
    <w:p w14:paraId="5F3D57BF">
      <w:pPr>
        <w:keepNext w:val="0"/>
        <w:keepLines w:val="0"/>
        <w:pageBreakBefore w:val="0"/>
        <w:widowControl/>
        <w:kinsoku/>
        <w:wordWrap/>
        <w:overflowPunct/>
        <w:topLinePunct w:val="0"/>
        <w:autoSpaceDE/>
        <w:autoSpaceDN/>
        <w:bidi w:val="0"/>
        <w:adjustRightInd/>
        <w:snapToGrid/>
        <w:spacing w:line="600" w:lineRule="exact"/>
        <w:ind w:firstLine="0" w:firstLineChars="0"/>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lang w:eastAsia="zh-CN"/>
        </w:rPr>
        <w:t>部</w:t>
      </w:r>
      <w:r>
        <w:rPr>
          <w:rFonts w:hint="default" w:ascii="Times New Roman" w:hAnsi="Times New Roman" w:eastAsia="方正小标宋简体" w:cs="Times New Roman"/>
          <w:b w:val="0"/>
          <w:bCs/>
          <w:sz w:val="44"/>
          <w:szCs w:val="44"/>
          <w:highlight w:val="none"/>
          <w:shd w:val="clear" w:color="auto" w:fill="FFFFFF"/>
        </w:rPr>
        <w:t>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w:t>
      </w:r>
    </w:p>
    <w:p w14:paraId="7BE752FB">
      <w:pPr>
        <w:keepNext w:val="0"/>
        <w:keepLines w:val="0"/>
        <w:pageBreakBefore w:val="0"/>
        <w:widowControl/>
        <w:kinsoku/>
        <w:wordWrap/>
        <w:overflowPunct/>
        <w:topLinePunct w:val="0"/>
        <w:autoSpaceDE/>
        <w:autoSpaceDN/>
        <w:bidi w:val="0"/>
        <w:spacing w:line="600" w:lineRule="exact"/>
        <w:contextualSpacing/>
        <w:jc w:val="center"/>
        <w:textAlignment w:val="auto"/>
        <w:outlineLvl w:val="9"/>
        <w:rPr>
          <w:rFonts w:hint="default" w:ascii="Times New Roman" w:hAnsi="Times New Roman" w:cs="Times New Roman"/>
          <w:szCs w:val="32"/>
          <w:highlight w:val="none"/>
          <w:shd w:val="clear" w:color="auto" w:fill="FFFFFF"/>
        </w:rPr>
      </w:pPr>
    </w:p>
    <w:p w14:paraId="25ED173F">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0"/>
        <w:rPr>
          <w:rFonts w:hint="default" w:ascii="Times New Roman" w:hAnsi="Times New Roman" w:cs="Times New Roman"/>
          <w:szCs w:val="32"/>
          <w:highlight w:val="none"/>
        </w:rPr>
      </w:pPr>
      <w:r>
        <w:rPr>
          <w:rFonts w:hint="eastAsia" w:ascii="Times New Roman" w:hAnsi="Times New Roman" w:eastAsia="黑体" w:cs="Times New Roman"/>
          <w:color w:val="000000"/>
          <w:kern w:val="0"/>
          <w:szCs w:val="32"/>
          <w:highlight w:val="none"/>
          <w:shd w:val="clear" w:color="auto" w:fill="FFFFFF"/>
          <w:lang w:val="zh-CN"/>
        </w:rPr>
        <w:t>一、</w:t>
      </w:r>
      <w:r>
        <w:rPr>
          <w:rFonts w:hint="default" w:ascii="Times New Roman" w:hAnsi="Times New Roman" w:eastAsia="黑体" w:cs="Times New Roman"/>
          <w:color w:val="000000"/>
          <w:kern w:val="0"/>
          <w:szCs w:val="32"/>
          <w:highlight w:val="none"/>
          <w:shd w:val="clear" w:color="auto" w:fill="FFFFFF"/>
          <w:lang w:val="zh-CN"/>
        </w:rPr>
        <w:t>部门（单位）基本情况</w:t>
      </w:r>
    </w:p>
    <w:p w14:paraId="55061361">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firstLine="643" w:firstLineChars="200"/>
        <w:contextualSpacing/>
        <w:jc w:val="left"/>
        <w:textAlignment w:val="auto"/>
        <w:outlineLvl w:val="1"/>
        <w:rPr>
          <w:rFonts w:hint="default" w:ascii="Times New Roman" w:hAnsi="Times New Roman" w:eastAsia="楷体_GB2312" w:cs="Times New Roman"/>
          <w:b/>
          <w:bCs/>
          <w:color w:val="000000"/>
          <w:kern w:val="0"/>
          <w:szCs w:val="32"/>
          <w:highlight w:val="none"/>
          <w:shd w:val="clear" w:color="auto" w:fill="FFFFFF"/>
          <w:lang w:val="zh-CN"/>
        </w:rPr>
      </w:pPr>
      <w:r>
        <w:rPr>
          <w:rFonts w:hint="eastAsia" w:ascii="Times New Roman" w:hAnsi="Times New Roman" w:eastAsia="楷体_GB2312" w:cs="Times New Roman"/>
          <w:b/>
          <w:bCs/>
          <w:color w:val="000000"/>
          <w:kern w:val="0"/>
          <w:szCs w:val="32"/>
          <w:highlight w:val="none"/>
          <w:shd w:val="clear" w:color="auto" w:fill="FFFFFF"/>
          <w:lang w:val="zh-CN"/>
        </w:rPr>
        <w:t>（一）</w:t>
      </w:r>
      <w:r>
        <w:rPr>
          <w:rFonts w:hint="default" w:ascii="Times New Roman" w:hAnsi="Times New Roman" w:eastAsia="楷体_GB2312" w:cs="Times New Roman"/>
          <w:b/>
          <w:bCs/>
          <w:color w:val="000000"/>
          <w:kern w:val="0"/>
          <w:szCs w:val="32"/>
          <w:highlight w:val="none"/>
          <w:shd w:val="clear" w:color="auto" w:fill="FFFFFF"/>
          <w:lang w:val="zh-CN"/>
        </w:rPr>
        <w:t>机构组成</w:t>
      </w:r>
    </w:p>
    <w:p w14:paraId="52AD9CB6">
      <w:pPr>
        <w:pageBreakBefore w:val="0"/>
        <w:kinsoku/>
        <w:wordWrap/>
        <w:overflowPunct/>
        <w:topLinePunct w:val="0"/>
        <w:autoSpaceDE/>
        <w:bidi w:val="0"/>
        <w:spacing w:line="600" w:lineRule="exact"/>
        <w:ind w:firstLine="640" w:firstLineChars="200"/>
        <w:rPr>
          <w:rFonts w:hint="default" w:ascii="Times New Roman" w:hAnsi="Times New Roman" w:cs="Times New Roman"/>
          <w:color w:val="000000"/>
          <w:sz w:val="32"/>
          <w:szCs w:val="32"/>
          <w:highlight w:val="none"/>
          <w:lang w:val="en-US" w:eastAsia="zh-CN" w:bidi="ar-SA"/>
        </w:rPr>
      </w:pPr>
      <w:r>
        <w:rPr>
          <w:rFonts w:hint="default" w:ascii="Times New Roman" w:hAnsi="Times New Roman" w:cs="Times New Roman"/>
          <w:color w:val="000000"/>
          <w:sz w:val="32"/>
          <w:szCs w:val="32"/>
          <w:highlight w:val="none"/>
          <w:lang w:val="en-US" w:eastAsia="zh-CN" w:bidi="ar-SA"/>
        </w:rPr>
        <w:t>阿坝藏族羌族自治州市场监督管理局（后文简称“</w:t>
      </w:r>
      <w:r>
        <w:rPr>
          <w:rFonts w:hint="eastAsia" w:ascii="Times New Roman" w:hAnsi="Times New Roman" w:cs="Times New Roman"/>
          <w:color w:val="000000"/>
          <w:sz w:val="32"/>
          <w:szCs w:val="32"/>
          <w:highlight w:val="none"/>
          <w:lang w:val="en-US" w:eastAsia="zh-CN" w:bidi="ar-SA"/>
        </w:rPr>
        <w:t>我局</w:t>
      </w:r>
      <w:r>
        <w:rPr>
          <w:rFonts w:hint="default" w:ascii="Times New Roman" w:hAnsi="Times New Roman" w:cs="Times New Roman"/>
          <w:color w:val="000000"/>
          <w:sz w:val="32"/>
          <w:szCs w:val="32"/>
          <w:highlight w:val="none"/>
          <w:lang w:val="en-US" w:eastAsia="zh-CN" w:bidi="ar-SA"/>
        </w:rPr>
        <w:t>”）设下列内设机构：</w:t>
      </w:r>
    </w:p>
    <w:p w14:paraId="73117DC1">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firstLine="640" w:firstLineChars="200"/>
        <w:contextualSpacing/>
        <w:jc w:val="both"/>
        <w:textAlignment w:val="auto"/>
        <w:outlineLvl w:val="1"/>
        <w:rPr>
          <w:rFonts w:hint="default" w:ascii="Times New Roman" w:hAnsi="Times New Roman" w:cs="Times New Roman"/>
          <w:color w:val="000000"/>
          <w:sz w:val="32"/>
          <w:szCs w:val="32"/>
          <w:highlight w:val="none"/>
          <w:lang w:val="en-US" w:eastAsia="zh-CN" w:bidi="ar-SA"/>
        </w:rPr>
      </w:pPr>
      <w:r>
        <w:rPr>
          <w:rFonts w:hint="default" w:ascii="Times New Roman" w:hAnsi="Times New Roman" w:cs="Times New Roman"/>
          <w:color w:val="000000"/>
          <w:sz w:val="32"/>
          <w:szCs w:val="32"/>
          <w:highlight w:val="none"/>
          <w:lang w:val="en-US" w:eastAsia="zh-CN" w:bidi="ar-SA"/>
        </w:rPr>
        <w:t>阿坝市场监督管理局属一级预算单位，下属二级预算单位4个，其中：其他事业单位4个。分别是：阿坝州产品质量和特种设备监督检验所、阿坝州计量检定测试所、阿坝州食品药品检验研究中心、阿坝州市场监督管理综合保障中心。</w:t>
      </w:r>
    </w:p>
    <w:p w14:paraId="4704D8DD">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firstLine="643" w:firstLineChars="200"/>
        <w:contextualSpacing/>
        <w:jc w:val="both"/>
        <w:textAlignment w:val="auto"/>
        <w:outlineLvl w:val="1"/>
        <w:rPr>
          <w:rFonts w:hint="eastAsia" w:ascii="Times New Roman" w:hAnsi="Times New Roman" w:eastAsia="楷体_GB2312" w:cs="Times New Roman"/>
          <w:b/>
          <w:bCs/>
          <w:color w:val="000000"/>
          <w:kern w:val="0"/>
          <w:szCs w:val="32"/>
          <w:highlight w:val="none"/>
          <w:shd w:val="clear" w:color="auto" w:fill="FFFFFF"/>
          <w:lang w:val="zh-CN"/>
        </w:rPr>
      </w:pPr>
      <w:r>
        <w:rPr>
          <w:rFonts w:hint="eastAsia" w:ascii="Times New Roman" w:hAnsi="Times New Roman" w:eastAsia="楷体_GB2312" w:cs="Times New Roman"/>
          <w:b/>
          <w:bCs/>
          <w:color w:val="000000"/>
          <w:kern w:val="0"/>
          <w:szCs w:val="32"/>
          <w:highlight w:val="none"/>
          <w:shd w:val="clear" w:color="auto" w:fill="FFFFFF"/>
          <w:lang w:val="zh-CN"/>
        </w:rPr>
        <w:t>（</w:t>
      </w:r>
      <w:r>
        <w:rPr>
          <w:rFonts w:hint="eastAsia" w:ascii="Times New Roman" w:hAnsi="Times New Roman" w:eastAsia="楷体_GB2312" w:cs="Times New Roman"/>
          <w:b/>
          <w:bCs/>
          <w:color w:val="000000"/>
          <w:kern w:val="0"/>
          <w:szCs w:val="32"/>
          <w:highlight w:val="none"/>
          <w:shd w:val="clear" w:color="auto" w:fill="FFFFFF"/>
          <w:lang w:val="en-US" w:eastAsia="zh-CN"/>
        </w:rPr>
        <w:t>二）</w:t>
      </w:r>
      <w:r>
        <w:rPr>
          <w:rFonts w:hint="default" w:ascii="Times New Roman" w:hAnsi="Times New Roman" w:eastAsia="楷体_GB2312" w:cs="Times New Roman"/>
          <w:b/>
          <w:bCs/>
          <w:color w:val="000000"/>
          <w:kern w:val="0"/>
          <w:szCs w:val="32"/>
          <w:highlight w:val="none"/>
          <w:shd w:val="clear" w:color="auto" w:fill="FFFFFF"/>
          <w:lang w:val="zh-CN"/>
        </w:rPr>
        <w:t>机构职能</w:t>
      </w:r>
    </w:p>
    <w:p w14:paraId="07898365">
      <w:pPr>
        <w:pageBreakBefore w:val="0"/>
        <w:numPr>
          <w:ilvl w:val="0"/>
          <w:numId w:val="0"/>
        </w:numPr>
        <w:kinsoku/>
        <w:wordWrap/>
        <w:overflowPunct/>
        <w:topLinePunct w:val="0"/>
        <w:autoSpaceDE/>
        <w:bidi w:val="0"/>
        <w:spacing w:line="600" w:lineRule="exact"/>
        <w:ind w:firstLine="640" w:firstLineChars="200"/>
        <w:outlineLvl w:val="9"/>
        <w:rPr>
          <w:rFonts w:ascii="Times New Roman" w:hAnsi="Times New Roman"/>
        </w:rPr>
      </w:pPr>
      <w:r>
        <w:rPr>
          <w:rFonts w:ascii="Times New Roman" w:hAnsi="Times New Roman"/>
        </w:rPr>
        <w:t>根据《中国共产党机构编制工作条例》和《阿坝州机构改革方案》（阿委发〔2024〕1号以及《中共阿坝州委办公室阿坝州人民政府办公室关于印发阿坝州市场监督管理局职能配置、内设机构和人员编制规定的通知》（阿委办发〔2024〕29号），成立阿坝州市场监督管理局（简称州市场监管局）是阿坝州人民政府工作部门，为正县级。主要职能是：</w:t>
      </w:r>
    </w:p>
    <w:p w14:paraId="07651C26">
      <w:pPr>
        <w:pageBreakBefore w:val="0"/>
        <w:numPr>
          <w:ilvl w:val="0"/>
          <w:numId w:val="0"/>
        </w:numPr>
        <w:kinsoku/>
        <w:wordWrap/>
        <w:overflowPunct/>
        <w:topLinePunct w:val="0"/>
        <w:autoSpaceDE/>
        <w:bidi w:val="0"/>
        <w:spacing w:line="600" w:lineRule="exact"/>
        <w:ind w:firstLine="640" w:firstLineChars="200"/>
        <w:outlineLvl w:val="9"/>
        <w:rPr>
          <w:rFonts w:hint="default" w:ascii="Times New Roman" w:hAnsi="Times New Roman"/>
          <w:highlight w:val="none"/>
          <w:lang w:val="en-US"/>
        </w:rPr>
      </w:pPr>
      <w:r>
        <w:rPr>
          <w:rFonts w:hint="default" w:ascii="Times New Roman" w:hAnsi="Times New Roman" w:cs="Times New Roman"/>
          <w:color w:val="000000"/>
          <w:sz w:val="32"/>
          <w:szCs w:val="32"/>
          <w:highlight w:val="none"/>
          <w:lang w:val="en-US" w:eastAsia="zh-CN" w:bidi="ar-SA"/>
        </w:rPr>
        <w:t>1.负责全州市场综合监督管理工作。起草市场监督管理有关地方性法规规章草案和规范性文件。组织实施质量强州、食品安全、标准化和知识产权战略，拟订并组织实施全州食品安全等规划，规范和维护市场秩序，推进科技信息化建设和新闻宣传工作，营造诚实守信、公平竞争的市场环境。</w:t>
      </w:r>
    </w:p>
    <w:p w14:paraId="44B4D894">
      <w:pPr>
        <w:pageBreakBefore w:val="0"/>
        <w:numPr>
          <w:ilvl w:val="0"/>
          <w:numId w:val="0"/>
        </w:numPr>
        <w:kinsoku/>
        <w:wordWrap/>
        <w:overflowPunct/>
        <w:topLinePunct w:val="0"/>
        <w:autoSpaceDE/>
        <w:bidi w:val="0"/>
        <w:spacing w:line="600" w:lineRule="exact"/>
        <w:ind w:firstLine="640" w:firstLineChars="200"/>
        <w:outlineLvl w:val="9"/>
        <w:rPr>
          <w:rFonts w:hint="default" w:ascii="Times New Roman" w:hAnsi="Times New Roman"/>
          <w:highlight w:val="none"/>
          <w:lang w:val="en-US"/>
        </w:rPr>
      </w:pPr>
      <w:r>
        <w:rPr>
          <w:rFonts w:hint="default" w:ascii="Times New Roman" w:hAnsi="Times New Roman" w:cs="Times New Roman"/>
          <w:color w:val="000000"/>
          <w:sz w:val="32"/>
          <w:szCs w:val="32"/>
          <w:highlight w:val="none"/>
          <w:lang w:val="en-US" w:eastAsia="zh-CN" w:bidi="ar-SA"/>
        </w:rPr>
        <w:t>2.负责全州市场主体统一登记注册。负责全州各类企业、农民专业合作社和从事经营活动的单位、个体工商户以及外国（地区）企业、常驻代表机构等经营主体的登记注册和监督管理工作。承担审批服务便民化有关工作。建立市场主体信息公示和共享机制，依法公示和共享有关信息，加强信用监管，推动市场主体信用体系建设。指导监督各县（市）市场监管行政审批工作。</w:t>
      </w:r>
    </w:p>
    <w:p w14:paraId="3A820466">
      <w:pPr>
        <w:pageBreakBefore w:val="0"/>
        <w:numPr>
          <w:ilvl w:val="0"/>
          <w:numId w:val="0"/>
        </w:numPr>
        <w:kinsoku/>
        <w:wordWrap/>
        <w:overflowPunct/>
        <w:topLinePunct w:val="0"/>
        <w:autoSpaceDE/>
        <w:bidi w:val="0"/>
        <w:spacing w:line="600" w:lineRule="exact"/>
        <w:ind w:firstLine="640" w:firstLineChars="200"/>
        <w:outlineLvl w:val="9"/>
        <w:rPr>
          <w:rFonts w:hint="default" w:ascii="Times New Roman" w:hAnsi="Times New Roman"/>
          <w:highlight w:val="none"/>
          <w:lang w:val="en-US"/>
        </w:rPr>
      </w:pPr>
      <w:r>
        <w:rPr>
          <w:rFonts w:hint="default" w:ascii="Times New Roman" w:hAnsi="Times New Roman" w:cs="Times New Roman"/>
          <w:color w:val="000000"/>
          <w:sz w:val="32"/>
          <w:szCs w:val="32"/>
          <w:highlight w:val="none"/>
          <w:lang w:val="en-US" w:eastAsia="zh-CN" w:bidi="ar-SA"/>
        </w:rPr>
        <w:t>3.负责组织和指导全州市场监督管理综合行政执法工作。指导全州市场监管综合执法队伍建设，推动实行统一的市场监管。组织查处和督办大案要案、疑难案件、跨区域案件。规范市场监督管理行政执法行为。指导监督各县（市）综合行政执法局市场监管综合行政执法工作。</w:t>
      </w:r>
    </w:p>
    <w:p w14:paraId="43B2D15C">
      <w:pPr>
        <w:pageBreakBefore w:val="0"/>
        <w:numPr>
          <w:ilvl w:val="0"/>
          <w:numId w:val="0"/>
        </w:numPr>
        <w:kinsoku/>
        <w:wordWrap/>
        <w:overflowPunct/>
        <w:topLinePunct w:val="0"/>
        <w:autoSpaceDE/>
        <w:bidi w:val="0"/>
        <w:spacing w:line="600" w:lineRule="exact"/>
        <w:ind w:firstLine="640" w:firstLineChars="200"/>
        <w:outlineLvl w:val="9"/>
        <w:rPr>
          <w:rFonts w:hint="default" w:ascii="Times New Roman" w:hAnsi="Times New Roman"/>
          <w:highlight w:val="none"/>
          <w:lang w:val="en-US"/>
        </w:rPr>
      </w:pPr>
      <w:r>
        <w:rPr>
          <w:rFonts w:hint="default" w:ascii="Times New Roman" w:hAnsi="Times New Roman" w:cs="Times New Roman"/>
          <w:color w:val="000000"/>
          <w:sz w:val="32"/>
          <w:szCs w:val="32"/>
          <w:highlight w:val="none"/>
          <w:lang w:val="en-US" w:eastAsia="zh-CN" w:bidi="ar-SA"/>
        </w:rPr>
        <w:t>4.负责全州反垄断统一执法。统筹推进竞争政策实施，组织实施公平竞争审查制度；依委托协助开展垄断协议、滥用市场支配地位和滥用行政权力排除、限制竞争等反垄断执法调查工作。指导在州企业在国外的反垄断应诉工作。</w:t>
      </w:r>
    </w:p>
    <w:p w14:paraId="4280959A">
      <w:pPr>
        <w:pageBreakBefore w:val="0"/>
        <w:numPr>
          <w:ilvl w:val="0"/>
          <w:numId w:val="0"/>
        </w:numPr>
        <w:kinsoku/>
        <w:wordWrap/>
        <w:overflowPunct/>
        <w:topLinePunct w:val="0"/>
        <w:autoSpaceDE/>
        <w:bidi w:val="0"/>
        <w:spacing w:line="600" w:lineRule="exact"/>
        <w:ind w:firstLine="640" w:firstLineChars="200"/>
        <w:outlineLvl w:val="9"/>
        <w:rPr>
          <w:rFonts w:hint="default" w:ascii="Times New Roman" w:hAnsi="Times New Roman"/>
          <w:highlight w:val="none"/>
          <w:lang w:val="en-US"/>
        </w:rPr>
      </w:pPr>
      <w:r>
        <w:rPr>
          <w:rFonts w:hint="default" w:ascii="Times New Roman" w:hAnsi="Times New Roman" w:cs="Times New Roman"/>
          <w:color w:val="000000"/>
          <w:sz w:val="32"/>
          <w:szCs w:val="32"/>
          <w:highlight w:val="none"/>
          <w:lang w:val="en-US" w:eastAsia="zh-CN" w:bidi="ar-SA"/>
        </w:rPr>
        <w:t>5.负责监督管理全州市场秩序。依法监督管理市场交易、网络商品交易及有关服务的行为。组织指导查处价格收费违法违规、不正当竞争、违法直销、传销、侵犯知识产权和制售假冒伪劣行为。指导广告业发展，监督管理广告活动。依法查处无照生产经营和相关无证生产经营行为。依法开展消费者权益保护工作。指导州保护消费者权益委员会开展消费维权工作。</w:t>
      </w:r>
    </w:p>
    <w:p w14:paraId="516F1C69">
      <w:pPr>
        <w:pageBreakBefore w:val="0"/>
        <w:numPr>
          <w:ilvl w:val="0"/>
          <w:numId w:val="0"/>
        </w:numPr>
        <w:kinsoku/>
        <w:wordWrap/>
        <w:overflowPunct/>
        <w:topLinePunct w:val="0"/>
        <w:autoSpaceDE/>
        <w:bidi w:val="0"/>
        <w:spacing w:line="600" w:lineRule="exact"/>
        <w:ind w:firstLine="640" w:firstLineChars="200"/>
        <w:outlineLvl w:val="9"/>
        <w:rPr>
          <w:rFonts w:hint="default" w:ascii="Times New Roman" w:hAnsi="Times New Roman"/>
          <w:highlight w:val="none"/>
          <w:lang w:val="en-US"/>
        </w:rPr>
      </w:pPr>
      <w:r>
        <w:rPr>
          <w:rFonts w:hint="default" w:ascii="Times New Roman" w:hAnsi="Times New Roman" w:cs="Times New Roman"/>
          <w:color w:val="000000"/>
          <w:sz w:val="32"/>
          <w:szCs w:val="32"/>
          <w:highlight w:val="none"/>
          <w:lang w:val="en-US" w:eastAsia="zh-CN" w:bidi="ar-SA"/>
        </w:rPr>
        <w:t>6.负责全州宏观质量管理。拟订并组织实施质量发展的制度措施。统筹全州质量基础设施建设与应用。会同有关部门组织实施重大工程设备质量监理制度，组织产品质量事故调查，贯彻实施缺陷产品召回制度，监督管理产品防伪工作。</w:t>
      </w:r>
    </w:p>
    <w:p w14:paraId="61CF5E32">
      <w:pPr>
        <w:pageBreakBefore w:val="0"/>
        <w:numPr>
          <w:ilvl w:val="0"/>
          <w:numId w:val="0"/>
        </w:numPr>
        <w:kinsoku/>
        <w:wordWrap/>
        <w:overflowPunct/>
        <w:topLinePunct w:val="0"/>
        <w:autoSpaceDE/>
        <w:bidi w:val="0"/>
        <w:spacing w:line="600" w:lineRule="exact"/>
        <w:ind w:firstLine="640" w:firstLineChars="200"/>
        <w:outlineLvl w:val="9"/>
        <w:rPr>
          <w:rFonts w:hint="default" w:ascii="Times New Roman" w:hAnsi="Times New Roman"/>
          <w:highlight w:val="none"/>
          <w:lang w:val="en-US"/>
        </w:rPr>
      </w:pPr>
      <w:r>
        <w:rPr>
          <w:rFonts w:hint="default" w:ascii="Times New Roman" w:hAnsi="Times New Roman" w:cs="Times New Roman"/>
          <w:color w:val="000000"/>
          <w:sz w:val="32"/>
          <w:szCs w:val="32"/>
          <w:highlight w:val="none"/>
          <w:lang w:val="en-US" w:eastAsia="zh-CN" w:bidi="ar-SA"/>
        </w:rPr>
        <w:t>7.负责全州产品质量安全监督管理。负责产品质量监督抽查和风险监控工作，组织实施质量分级制度、质量安全追溯制度。负责工业产品生产许可的证后管理。负责纤维质量监督工作。</w:t>
      </w:r>
    </w:p>
    <w:p w14:paraId="67ED8819">
      <w:pPr>
        <w:pageBreakBefore w:val="0"/>
        <w:numPr>
          <w:ilvl w:val="0"/>
          <w:numId w:val="0"/>
        </w:numPr>
        <w:kinsoku/>
        <w:wordWrap/>
        <w:overflowPunct/>
        <w:topLinePunct w:val="0"/>
        <w:autoSpaceDE/>
        <w:bidi w:val="0"/>
        <w:spacing w:line="600" w:lineRule="exact"/>
        <w:ind w:firstLine="640" w:firstLineChars="200"/>
        <w:outlineLvl w:val="9"/>
        <w:rPr>
          <w:rFonts w:hint="default" w:ascii="Times New Roman" w:hAnsi="Times New Roman"/>
          <w:highlight w:val="none"/>
          <w:lang w:val="en-US"/>
        </w:rPr>
      </w:pPr>
      <w:r>
        <w:rPr>
          <w:rFonts w:hint="default" w:ascii="Times New Roman" w:hAnsi="Times New Roman" w:cs="Times New Roman"/>
          <w:color w:val="000000"/>
          <w:sz w:val="32"/>
          <w:szCs w:val="32"/>
          <w:highlight w:val="none"/>
          <w:lang w:val="en-US" w:eastAsia="zh-CN" w:bidi="ar-SA"/>
        </w:rPr>
        <w:t>8.负责全州特种设备安全监督管理。综合管理特种设备安全监察、监督工作，监督检查高耗能特种设备节能标准和锅炉产品环境保护标准的执行情况。</w:t>
      </w:r>
    </w:p>
    <w:p w14:paraId="1A7854EE">
      <w:pPr>
        <w:pageBreakBefore w:val="0"/>
        <w:numPr>
          <w:ilvl w:val="0"/>
          <w:numId w:val="0"/>
        </w:numPr>
        <w:kinsoku/>
        <w:wordWrap/>
        <w:overflowPunct/>
        <w:topLinePunct w:val="0"/>
        <w:autoSpaceDE/>
        <w:bidi w:val="0"/>
        <w:spacing w:line="600" w:lineRule="exact"/>
        <w:ind w:firstLine="640" w:firstLineChars="200"/>
        <w:outlineLvl w:val="9"/>
        <w:rPr>
          <w:rFonts w:hint="default" w:ascii="Times New Roman" w:hAnsi="Times New Roman"/>
          <w:highlight w:val="none"/>
          <w:lang w:val="en-US"/>
        </w:rPr>
      </w:pPr>
      <w:r>
        <w:rPr>
          <w:rFonts w:hint="default" w:ascii="Times New Roman" w:hAnsi="Times New Roman" w:cs="Times New Roman"/>
          <w:color w:val="000000"/>
          <w:sz w:val="32"/>
          <w:szCs w:val="32"/>
          <w:highlight w:val="none"/>
          <w:lang w:val="en-US" w:eastAsia="zh-CN" w:bidi="ar-SA"/>
        </w:rPr>
        <w:t>9.负责全州食品安全监督管理及综合协调。统筹指导全州食品安全工作。负责食品安全应急体系建设，组织指导重大食品安全事件应急处置和调查处理工作。承担州食品安全委员会日常工作。指导督促食品生产经营企业落实食品安全主体责任，组织开展食品安全监督抽检、风险监测、核查处置和风险预警工作。</w:t>
      </w:r>
    </w:p>
    <w:p w14:paraId="70FAA0C9">
      <w:pPr>
        <w:pageBreakBefore w:val="0"/>
        <w:numPr>
          <w:ilvl w:val="0"/>
          <w:numId w:val="0"/>
        </w:numPr>
        <w:kinsoku/>
        <w:wordWrap/>
        <w:overflowPunct/>
        <w:topLinePunct w:val="0"/>
        <w:autoSpaceDE/>
        <w:bidi w:val="0"/>
        <w:spacing w:line="600" w:lineRule="exact"/>
        <w:ind w:firstLine="640" w:firstLineChars="200"/>
        <w:outlineLvl w:val="9"/>
        <w:rPr>
          <w:rFonts w:hint="default" w:ascii="Times New Roman" w:hAnsi="Times New Roman"/>
          <w:highlight w:val="none"/>
          <w:lang w:val="en-US"/>
        </w:rPr>
      </w:pPr>
      <w:r>
        <w:rPr>
          <w:rFonts w:hint="default" w:ascii="Times New Roman" w:hAnsi="Times New Roman" w:cs="Times New Roman"/>
          <w:color w:val="000000"/>
          <w:sz w:val="32"/>
          <w:szCs w:val="32"/>
          <w:highlight w:val="none"/>
          <w:lang w:val="en-US" w:eastAsia="zh-CN" w:bidi="ar-SA"/>
        </w:rPr>
        <w:t>10.负责药品（含中药、民族药，下同）、医疗器械、化妆品的质量安全监督管理及上市后风险管理。依法依授权组织实施药品、医疗器械、化妆品的许可、备案、检查、安全监测和处罚。掌握分析药品安全形势并提出改进工作的建议。参与省药监局组织的监督检查。指导县（市）药品、医疗器械和化妆品监督管理工作。依法依授权承担我州执业药师注册管理工作，贯彻执行执业药师其他相关管理制度。</w:t>
      </w:r>
    </w:p>
    <w:p w14:paraId="7095D08B">
      <w:pPr>
        <w:pageBreakBefore w:val="0"/>
        <w:numPr>
          <w:ilvl w:val="0"/>
          <w:numId w:val="0"/>
        </w:numPr>
        <w:kinsoku/>
        <w:wordWrap/>
        <w:overflowPunct/>
        <w:topLinePunct w:val="0"/>
        <w:autoSpaceDE/>
        <w:bidi w:val="0"/>
        <w:spacing w:line="600" w:lineRule="exact"/>
        <w:ind w:firstLine="640" w:firstLineChars="200"/>
        <w:outlineLvl w:val="9"/>
        <w:rPr>
          <w:rFonts w:hint="default" w:ascii="Times New Roman" w:hAnsi="Times New Roman"/>
          <w:highlight w:val="none"/>
          <w:lang w:val="en-US"/>
        </w:rPr>
      </w:pPr>
      <w:r>
        <w:rPr>
          <w:rFonts w:hint="default" w:ascii="Times New Roman" w:hAnsi="Times New Roman" w:cs="Times New Roman"/>
          <w:color w:val="000000"/>
          <w:sz w:val="32"/>
          <w:szCs w:val="32"/>
          <w:highlight w:val="none"/>
          <w:lang w:val="en-US" w:eastAsia="zh-CN" w:bidi="ar-SA"/>
        </w:rPr>
        <w:t>11.负责统一管理全州计量工作。推行法定计量单位，执行国家计量制度，管理计量器具及量值传递和比对工作。规范、监督商品量和计量行为。</w:t>
      </w:r>
    </w:p>
    <w:p w14:paraId="1FD98080">
      <w:pPr>
        <w:pageBreakBefore w:val="0"/>
        <w:numPr>
          <w:ilvl w:val="0"/>
          <w:numId w:val="0"/>
        </w:numPr>
        <w:kinsoku/>
        <w:wordWrap/>
        <w:overflowPunct/>
        <w:topLinePunct w:val="0"/>
        <w:autoSpaceDE/>
        <w:bidi w:val="0"/>
        <w:spacing w:line="600" w:lineRule="exact"/>
        <w:ind w:firstLine="640" w:firstLineChars="200"/>
        <w:outlineLvl w:val="9"/>
        <w:rPr>
          <w:rFonts w:hint="default" w:ascii="Times New Roman" w:hAnsi="Times New Roman"/>
          <w:highlight w:val="none"/>
          <w:lang w:val="en-US"/>
        </w:rPr>
      </w:pPr>
      <w:r>
        <w:rPr>
          <w:rFonts w:hint="default" w:ascii="Times New Roman" w:hAnsi="Times New Roman" w:cs="Times New Roman"/>
          <w:color w:val="000000"/>
          <w:sz w:val="32"/>
          <w:szCs w:val="32"/>
          <w:highlight w:val="none"/>
          <w:lang w:val="en-US" w:eastAsia="zh-CN" w:bidi="ar-SA"/>
        </w:rPr>
        <w:t>12.负责统一管理全州标准化工作。依法承担地方标准立项、编号和发布等工作，协调指导地方标准、团体标准、企业标准制定工作，依法对标准制定和实施情况开展监督检查。</w:t>
      </w:r>
    </w:p>
    <w:p w14:paraId="209583BC">
      <w:pPr>
        <w:pageBreakBefore w:val="0"/>
        <w:numPr>
          <w:ilvl w:val="0"/>
          <w:numId w:val="0"/>
        </w:numPr>
        <w:kinsoku/>
        <w:wordWrap/>
        <w:overflowPunct/>
        <w:topLinePunct w:val="0"/>
        <w:autoSpaceDE/>
        <w:bidi w:val="0"/>
        <w:spacing w:line="600" w:lineRule="exact"/>
        <w:ind w:firstLine="640" w:firstLineChars="200"/>
        <w:outlineLvl w:val="9"/>
        <w:rPr>
          <w:rFonts w:hint="default" w:ascii="Times New Roman" w:hAnsi="Times New Roman"/>
          <w:highlight w:val="none"/>
          <w:lang w:val="en-US"/>
        </w:rPr>
      </w:pPr>
      <w:r>
        <w:rPr>
          <w:rFonts w:hint="default" w:ascii="Times New Roman" w:hAnsi="Times New Roman" w:cs="Times New Roman"/>
          <w:color w:val="000000"/>
          <w:sz w:val="32"/>
          <w:szCs w:val="32"/>
          <w:highlight w:val="none"/>
          <w:lang w:val="en-US" w:eastAsia="zh-CN" w:bidi="ar-SA"/>
        </w:rPr>
        <w:t>13.负责统一管理全州检验检测工作。规范检验检测市场，完善检验检测体系，指导协调检验检测行业发展。</w:t>
      </w:r>
    </w:p>
    <w:p w14:paraId="443D3240">
      <w:pPr>
        <w:pageBreakBefore w:val="0"/>
        <w:numPr>
          <w:ilvl w:val="0"/>
          <w:numId w:val="0"/>
        </w:numPr>
        <w:kinsoku/>
        <w:wordWrap/>
        <w:overflowPunct/>
        <w:topLinePunct w:val="0"/>
        <w:autoSpaceDE/>
        <w:bidi w:val="0"/>
        <w:spacing w:line="600" w:lineRule="exact"/>
        <w:ind w:firstLine="640" w:firstLineChars="200"/>
        <w:outlineLvl w:val="9"/>
        <w:rPr>
          <w:rFonts w:hint="default" w:ascii="Times New Roman" w:hAnsi="Times New Roman"/>
          <w:highlight w:val="none"/>
          <w:lang w:val="en-US"/>
        </w:rPr>
      </w:pPr>
      <w:r>
        <w:rPr>
          <w:rFonts w:hint="default" w:ascii="Times New Roman" w:hAnsi="Times New Roman" w:cs="Times New Roman"/>
          <w:color w:val="000000"/>
          <w:sz w:val="32"/>
          <w:szCs w:val="32"/>
          <w:highlight w:val="none"/>
          <w:lang w:val="en-US" w:eastAsia="zh-CN" w:bidi="ar-SA"/>
        </w:rPr>
        <w:t>14.负责统一管理全州认证认可工作。监督管理认证认可和合格评定工作。</w:t>
      </w:r>
    </w:p>
    <w:p w14:paraId="7CA3857F">
      <w:pPr>
        <w:pageBreakBefore w:val="0"/>
        <w:numPr>
          <w:ilvl w:val="0"/>
          <w:numId w:val="0"/>
        </w:numPr>
        <w:kinsoku/>
        <w:wordWrap/>
        <w:overflowPunct/>
        <w:topLinePunct w:val="0"/>
        <w:autoSpaceDE/>
        <w:bidi w:val="0"/>
        <w:spacing w:line="600" w:lineRule="exact"/>
        <w:ind w:firstLine="640" w:firstLineChars="200"/>
        <w:outlineLvl w:val="9"/>
        <w:rPr>
          <w:rFonts w:hint="default" w:ascii="Times New Roman" w:hAnsi="Times New Roman"/>
          <w:highlight w:val="none"/>
          <w:lang w:val="en-US"/>
        </w:rPr>
      </w:pPr>
      <w:r>
        <w:rPr>
          <w:rFonts w:hint="default" w:ascii="Times New Roman" w:hAnsi="Times New Roman" w:cs="Times New Roman"/>
          <w:color w:val="000000"/>
          <w:sz w:val="32"/>
          <w:szCs w:val="32"/>
          <w:highlight w:val="none"/>
          <w:lang w:val="en-US" w:eastAsia="zh-CN" w:bidi="ar-SA"/>
        </w:rPr>
        <w:t>15.负责全州知识产权监督管理。贯彻落实国家、省知识产权战略、政策和法规规章，负责知识产权强州体系建设，制定全州知识产权规划，负责知识产权的创造、运用、保护、管理和服务工作。培育知识产权文化。负责组织实施指导知识产权行政执法工作。</w:t>
      </w:r>
    </w:p>
    <w:p w14:paraId="65A553F8">
      <w:pPr>
        <w:pageBreakBefore w:val="0"/>
        <w:numPr>
          <w:ilvl w:val="0"/>
          <w:numId w:val="0"/>
        </w:numPr>
        <w:kinsoku/>
        <w:wordWrap/>
        <w:overflowPunct/>
        <w:topLinePunct w:val="0"/>
        <w:autoSpaceDE/>
        <w:bidi w:val="0"/>
        <w:spacing w:line="600" w:lineRule="exact"/>
        <w:ind w:firstLine="640" w:firstLineChars="200"/>
        <w:outlineLvl w:val="9"/>
        <w:rPr>
          <w:rFonts w:hint="default" w:ascii="Times New Roman" w:hAnsi="Times New Roman"/>
          <w:highlight w:val="none"/>
          <w:lang w:val="en-US"/>
        </w:rPr>
      </w:pPr>
      <w:r>
        <w:rPr>
          <w:rFonts w:hint="default" w:ascii="Times New Roman" w:hAnsi="Times New Roman" w:cs="Times New Roman"/>
          <w:color w:val="000000"/>
          <w:sz w:val="32"/>
          <w:szCs w:val="32"/>
          <w:highlight w:val="none"/>
          <w:lang w:val="en-US" w:eastAsia="zh-CN" w:bidi="ar-SA"/>
        </w:rPr>
        <w:t>16.负责促进全州民营经济发展。负责全州民营经济发展工作的任务制定、调查研究、统筹协调、督促落实及民营企业合法权益维护。在州委社会工作部指导下，指导全州市场监督管理部门配合党委社会工作部门开展小微企业、个体工商户、专业市场的党建工作。</w:t>
      </w:r>
    </w:p>
    <w:p w14:paraId="60A66DFE">
      <w:pPr>
        <w:pageBreakBefore w:val="0"/>
        <w:numPr>
          <w:ilvl w:val="0"/>
          <w:numId w:val="0"/>
        </w:numPr>
        <w:kinsoku/>
        <w:wordWrap/>
        <w:overflowPunct/>
        <w:topLinePunct w:val="0"/>
        <w:autoSpaceDE/>
        <w:bidi w:val="0"/>
        <w:spacing w:line="600" w:lineRule="exact"/>
        <w:ind w:firstLine="640" w:firstLineChars="200"/>
        <w:outlineLvl w:val="9"/>
        <w:rPr>
          <w:rFonts w:hint="default" w:ascii="Times New Roman" w:hAnsi="Times New Roman"/>
          <w:highlight w:val="none"/>
          <w:lang w:val="en-US"/>
        </w:rPr>
      </w:pPr>
      <w:r>
        <w:rPr>
          <w:rFonts w:hint="default" w:ascii="Times New Roman" w:hAnsi="Times New Roman" w:cs="Times New Roman"/>
          <w:color w:val="000000"/>
          <w:sz w:val="32"/>
          <w:szCs w:val="32"/>
          <w:highlight w:val="none"/>
          <w:lang w:val="en-US" w:eastAsia="zh-CN" w:bidi="ar-SA"/>
        </w:rPr>
        <w:t>17.负责职责范围内的安全生产和职业健康、生态环境保护、应急联动等工作。</w:t>
      </w:r>
    </w:p>
    <w:p w14:paraId="2F0948CC">
      <w:pPr>
        <w:pageBreakBefore w:val="0"/>
        <w:numPr>
          <w:ilvl w:val="0"/>
          <w:numId w:val="0"/>
        </w:numPr>
        <w:kinsoku/>
        <w:wordWrap/>
        <w:overflowPunct/>
        <w:topLinePunct w:val="0"/>
        <w:autoSpaceDE/>
        <w:bidi w:val="0"/>
        <w:spacing w:line="600" w:lineRule="exact"/>
        <w:ind w:firstLine="640" w:firstLineChars="200"/>
        <w:outlineLvl w:val="9"/>
        <w:rPr>
          <w:rFonts w:hint="default" w:ascii="Times New Roman" w:hAnsi="Times New Roman"/>
          <w:highlight w:val="none"/>
          <w:lang w:val="en-US"/>
        </w:rPr>
      </w:pPr>
      <w:r>
        <w:rPr>
          <w:rFonts w:hint="default" w:ascii="Times New Roman" w:hAnsi="Times New Roman" w:cs="Times New Roman"/>
          <w:color w:val="000000"/>
          <w:sz w:val="32"/>
          <w:szCs w:val="32"/>
          <w:highlight w:val="none"/>
          <w:lang w:val="en-US" w:eastAsia="zh-CN" w:bidi="ar-SA"/>
        </w:rPr>
        <w:t>18.完成州委、州政府交办的其他任务。</w:t>
      </w:r>
    </w:p>
    <w:p w14:paraId="5A609D26">
      <w:pPr>
        <w:pageBreakBefore w:val="0"/>
        <w:numPr>
          <w:ilvl w:val="0"/>
          <w:numId w:val="0"/>
        </w:numPr>
        <w:kinsoku/>
        <w:wordWrap/>
        <w:overflowPunct/>
        <w:topLinePunct w:val="0"/>
        <w:autoSpaceDE/>
        <w:bidi w:val="0"/>
        <w:spacing w:line="600" w:lineRule="exact"/>
        <w:ind w:firstLine="640" w:firstLineChars="200"/>
        <w:outlineLvl w:val="9"/>
        <w:rPr>
          <w:rFonts w:hint="default" w:ascii="Times New Roman" w:hAnsi="Times New Roman"/>
          <w:highlight w:val="none"/>
          <w:lang w:val="en-US"/>
        </w:rPr>
      </w:pPr>
      <w:r>
        <w:rPr>
          <w:rFonts w:hint="default" w:ascii="Times New Roman" w:hAnsi="Times New Roman" w:cs="Times New Roman"/>
          <w:color w:val="000000"/>
          <w:sz w:val="32"/>
          <w:szCs w:val="32"/>
          <w:highlight w:val="none"/>
          <w:lang w:val="en-US" w:eastAsia="zh-CN" w:bidi="ar-SA"/>
        </w:rPr>
        <w:t>负责全州市场综合监督管理工作。起草市场监督管理有关自治法规规章和规范性文件草案。组织实施质量强州、食品安全、标准化和知识产权战略，拟订并组织实施全州食品安全等规划，规范和维护市场秩序，营造诚实守信、公平竞争的市场环境。</w:t>
      </w:r>
    </w:p>
    <w:p w14:paraId="4A162F12">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1"/>
        <w:rPr>
          <w:rFonts w:hint="eastAsia"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bCs/>
          <w:color w:val="000000"/>
          <w:kern w:val="0"/>
          <w:szCs w:val="32"/>
          <w:highlight w:val="none"/>
          <w:shd w:val="clear" w:color="auto" w:fill="FFFFFF"/>
          <w:lang w:val="zh-CN"/>
        </w:rPr>
        <w:t>（</w:t>
      </w:r>
      <w:r>
        <w:rPr>
          <w:rFonts w:hint="eastAsia" w:ascii="Times New Roman" w:hAnsi="Times New Roman" w:eastAsia="楷体_GB2312" w:cs="Times New Roman"/>
          <w:b/>
          <w:bCs/>
          <w:color w:val="000000"/>
          <w:kern w:val="0"/>
          <w:szCs w:val="32"/>
          <w:highlight w:val="none"/>
          <w:shd w:val="clear" w:color="auto" w:fill="FFFFFF"/>
          <w:lang w:val="zh-CN"/>
        </w:rPr>
        <w:t>三</w:t>
      </w:r>
      <w:r>
        <w:rPr>
          <w:rFonts w:hint="default" w:ascii="Times New Roman" w:hAnsi="Times New Roman" w:eastAsia="楷体_GB2312" w:cs="Times New Roman"/>
          <w:b/>
          <w:bCs/>
          <w:color w:val="000000"/>
          <w:kern w:val="0"/>
          <w:szCs w:val="32"/>
          <w:highlight w:val="none"/>
          <w:shd w:val="clear" w:color="auto" w:fill="FFFFFF"/>
          <w:lang w:val="zh-CN"/>
        </w:rPr>
        <w:t>）人员概况</w:t>
      </w:r>
    </w:p>
    <w:p w14:paraId="00847CE1">
      <w:pPr>
        <w:pStyle w:val="21"/>
        <w:keepNext w:val="0"/>
        <w:keepLines w:val="0"/>
        <w:widowControl/>
        <w:suppressLineNumbers w:val="0"/>
        <w:spacing w:before="60" w:beforeAutospacing="0" w:after="60" w:afterAutospacing="0"/>
        <w:ind w:left="0" w:right="0"/>
        <w:jc w:val="both"/>
        <w:rPr>
          <w:rFonts w:hint="default" w:ascii="Times New Roman" w:hAnsi="Times New Roman" w:eastAsia="仿宋_GB2312" w:cs="Times New Roman"/>
          <w:kern w:val="2"/>
          <w:sz w:val="32"/>
          <w:szCs w:val="24"/>
          <w:highlight w:val="none"/>
          <w:lang w:val="en-US" w:eastAsia="zh-CN" w:bidi="ar-SA"/>
        </w:rPr>
      </w:pPr>
      <w:r>
        <w:rPr>
          <w:rFonts w:hint="default" w:ascii="Times New Roman" w:hAnsi="Times New Roman" w:eastAsia="仿宋_GB2312" w:cs="Times New Roman"/>
          <w:kern w:val="2"/>
          <w:sz w:val="32"/>
          <w:szCs w:val="24"/>
          <w:highlight w:val="none"/>
          <w:lang w:val="en-US" w:eastAsia="zh-CN" w:bidi="ar-SA"/>
        </w:rPr>
        <w:t>截至</w:t>
      </w:r>
      <w:r>
        <w:rPr>
          <w:rFonts w:hint="eastAsia" w:ascii="Times New Roman" w:hAnsi="Times New Roman" w:eastAsia="仿宋_GB2312" w:cs="Times New Roman"/>
          <w:kern w:val="2"/>
          <w:sz w:val="32"/>
          <w:szCs w:val="24"/>
          <w:highlight w:val="none"/>
          <w:lang w:val="en-US" w:eastAsia="zh-CN" w:bidi="ar-SA"/>
        </w:rPr>
        <w:t>2025</w:t>
      </w:r>
      <w:r>
        <w:rPr>
          <w:rFonts w:hint="eastAsia" w:ascii="Times New Roman" w:hAnsi="Times New Roman" w:cs="Times New Roman"/>
          <w:kern w:val="2"/>
          <w:sz w:val="32"/>
          <w:szCs w:val="24"/>
          <w:highlight w:val="none"/>
          <w:lang w:val="en-US" w:eastAsia="zh-CN" w:bidi="ar-SA"/>
        </w:rPr>
        <w:t>年末</w:t>
      </w:r>
      <w:r>
        <w:rPr>
          <w:rFonts w:hint="default" w:ascii="Times New Roman" w:hAnsi="Times New Roman" w:eastAsia="仿宋_GB2312" w:cs="Times New Roman"/>
          <w:kern w:val="2"/>
          <w:sz w:val="32"/>
          <w:szCs w:val="24"/>
          <w:highlight w:val="none"/>
          <w:lang w:val="en-US" w:eastAsia="zh-CN" w:bidi="ar-SA"/>
        </w:rPr>
        <w:t>，</w:t>
      </w:r>
      <w:r>
        <w:rPr>
          <w:rFonts w:hint="eastAsia" w:ascii="Times New Roman" w:hAnsi="Times New Roman" w:cs="Times New Roman"/>
          <w:kern w:val="2"/>
          <w:sz w:val="32"/>
          <w:szCs w:val="24"/>
          <w:highlight w:val="none"/>
          <w:lang w:val="en-US" w:eastAsia="zh-CN" w:bidi="ar-SA"/>
        </w:rPr>
        <w:t>我局</w:t>
      </w:r>
      <w:r>
        <w:rPr>
          <w:rFonts w:hint="eastAsia" w:ascii="Times New Roman" w:hAnsi="Times New Roman" w:eastAsia="仿宋_GB2312"/>
          <w:sz w:val="32"/>
          <w:szCs w:val="32"/>
          <w:highlight w:val="none"/>
        </w:rPr>
        <w:t>全部</w:t>
      </w:r>
      <w:r>
        <w:rPr>
          <w:rFonts w:hint="eastAsia" w:ascii="Times New Roman" w:hAnsi="Times New Roman"/>
          <w:sz w:val="32"/>
          <w:szCs w:val="32"/>
          <w:highlight w:val="none"/>
          <w:lang w:val="en-US" w:eastAsia="zh-CN"/>
        </w:rPr>
        <w:t>在职</w:t>
      </w:r>
      <w:r>
        <w:rPr>
          <w:rFonts w:hint="eastAsia" w:ascii="Times New Roman" w:hAnsi="Times New Roman" w:eastAsia="仿宋_GB2312"/>
          <w:sz w:val="32"/>
          <w:szCs w:val="32"/>
          <w:highlight w:val="none"/>
        </w:rPr>
        <w:t>职工</w:t>
      </w:r>
      <w:r>
        <w:rPr>
          <w:rFonts w:hint="eastAsia" w:ascii="Times New Roman" w:hAnsi="Times New Roman" w:eastAsia="仿宋_GB2312" w:cs="Times New Roman"/>
          <w:kern w:val="2"/>
          <w:sz w:val="32"/>
          <w:szCs w:val="24"/>
          <w:highlight w:val="none"/>
          <w:lang w:val="en-US" w:eastAsia="zh-CN" w:bidi="ar-SA"/>
        </w:rPr>
        <w:t>184人，其中：</w:t>
      </w:r>
      <w:r>
        <w:rPr>
          <w:rFonts w:hint="eastAsia" w:cs="Times New Roman"/>
          <w:kern w:val="2"/>
          <w:sz w:val="32"/>
          <w:szCs w:val="24"/>
          <w:highlight w:val="none"/>
          <w:lang w:val="en-US" w:eastAsia="zh-CN" w:bidi="ar-SA"/>
        </w:rPr>
        <w:t>公务员</w:t>
      </w:r>
      <w:r>
        <w:rPr>
          <w:rFonts w:hint="eastAsia" w:ascii="Times New Roman" w:hAnsi="Times New Roman" w:eastAsia="仿宋_GB2312" w:cs="Times New Roman"/>
          <w:kern w:val="2"/>
          <w:sz w:val="32"/>
          <w:szCs w:val="24"/>
          <w:highlight w:val="none"/>
          <w:lang w:val="en-US" w:eastAsia="zh-CN" w:bidi="ar-SA"/>
        </w:rPr>
        <w:t>75</w:t>
      </w:r>
      <w:r>
        <w:rPr>
          <w:rFonts w:hint="eastAsia" w:ascii="Times New Roman" w:hAnsi="Times New Roman" w:cs="Times New Roman"/>
          <w:kern w:val="2"/>
          <w:sz w:val="32"/>
          <w:szCs w:val="24"/>
          <w:highlight w:val="none"/>
          <w:lang w:val="en-US" w:eastAsia="zh-CN" w:bidi="ar-SA"/>
        </w:rPr>
        <w:t>人，</w:t>
      </w:r>
      <w:r>
        <w:rPr>
          <w:rFonts w:hint="eastAsia" w:ascii="Times New Roman" w:hAnsi="Times New Roman" w:eastAsia="仿宋_GB2312" w:cs="Times New Roman"/>
          <w:kern w:val="2"/>
          <w:sz w:val="32"/>
          <w:szCs w:val="24"/>
          <w:highlight w:val="none"/>
          <w:lang w:val="en-US" w:eastAsia="zh-CN" w:bidi="ar-SA"/>
        </w:rPr>
        <w:t>事业管理人员和专业技术人员</w:t>
      </w:r>
      <w:r>
        <w:rPr>
          <w:rFonts w:hint="eastAsia" w:cs="Times New Roman"/>
          <w:kern w:val="2"/>
          <w:sz w:val="32"/>
          <w:szCs w:val="24"/>
          <w:highlight w:val="none"/>
          <w:lang w:val="en-US" w:eastAsia="zh-CN" w:bidi="ar-SA"/>
        </w:rPr>
        <w:t>85</w:t>
      </w:r>
      <w:r>
        <w:rPr>
          <w:rFonts w:hint="eastAsia" w:ascii="Times New Roman" w:hAnsi="Times New Roman" w:cs="Times New Roman"/>
          <w:kern w:val="2"/>
          <w:sz w:val="32"/>
          <w:szCs w:val="24"/>
          <w:highlight w:val="none"/>
          <w:lang w:val="en-US" w:eastAsia="zh-CN" w:bidi="ar-SA"/>
        </w:rPr>
        <w:t>人</w:t>
      </w:r>
      <w:r>
        <w:rPr>
          <w:rFonts w:hint="eastAsia" w:ascii="Times New Roman" w:hAnsi="Times New Roman" w:eastAsia="仿宋_GB2312" w:cs="Times New Roman"/>
          <w:kern w:val="2"/>
          <w:sz w:val="32"/>
          <w:szCs w:val="24"/>
          <w:highlight w:val="none"/>
          <w:lang w:val="en-US" w:eastAsia="zh-CN" w:bidi="ar-SA"/>
        </w:rPr>
        <w:t>，</w:t>
      </w:r>
      <w:r>
        <w:rPr>
          <w:rFonts w:hint="eastAsia" w:ascii="Times New Roman" w:hAnsi="Times New Roman" w:cs="Times New Roman"/>
          <w:kern w:val="2"/>
          <w:sz w:val="32"/>
          <w:szCs w:val="24"/>
          <w:highlight w:val="none"/>
          <w:lang w:val="en-US" w:eastAsia="zh-CN" w:bidi="ar-SA"/>
        </w:rPr>
        <w:t>机关和事业工人</w:t>
      </w:r>
      <w:r>
        <w:rPr>
          <w:rFonts w:hint="eastAsia" w:cs="Times New Roman"/>
          <w:kern w:val="2"/>
          <w:sz w:val="32"/>
          <w:szCs w:val="24"/>
          <w:highlight w:val="none"/>
          <w:lang w:val="en-US" w:eastAsia="zh-CN" w:bidi="ar-SA"/>
        </w:rPr>
        <w:t>10</w:t>
      </w:r>
      <w:r>
        <w:rPr>
          <w:rFonts w:hint="eastAsia" w:ascii="Times New Roman" w:hAnsi="Times New Roman" w:cs="Times New Roman"/>
          <w:kern w:val="2"/>
          <w:sz w:val="32"/>
          <w:szCs w:val="24"/>
          <w:highlight w:val="none"/>
          <w:lang w:val="en-US" w:eastAsia="zh-CN" w:bidi="ar-SA"/>
        </w:rPr>
        <w:t>人</w:t>
      </w:r>
      <w:r>
        <w:rPr>
          <w:rFonts w:hint="eastAsia" w:cs="Times New Roman"/>
          <w:kern w:val="2"/>
          <w:sz w:val="32"/>
          <w:szCs w:val="24"/>
          <w:highlight w:val="none"/>
          <w:lang w:val="en-US" w:eastAsia="zh-CN" w:bidi="ar-SA"/>
        </w:rPr>
        <w:t>，其他人员14人</w:t>
      </w:r>
      <w:r>
        <w:rPr>
          <w:rFonts w:hint="eastAsia" w:ascii="Times New Roman" w:hAnsi="Times New Roman" w:eastAsia="仿宋_GB2312" w:cs="Times New Roman"/>
          <w:kern w:val="2"/>
          <w:sz w:val="32"/>
          <w:szCs w:val="24"/>
          <w:highlight w:val="none"/>
          <w:lang w:val="en-US" w:eastAsia="zh-CN" w:bidi="ar-SA"/>
        </w:rPr>
        <w:t>。</w:t>
      </w:r>
    </w:p>
    <w:p w14:paraId="191907A6">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contextualSpacing/>
        <w:jc w:val="left"/>
        <w:textAlignment w:val="auto"/>
        <w:outlineLvl w:val="0"/>
        <w:rPr>
          <w:rFonts w:hint="default" w:ascii="Times New Roman" w:hAnsi="Times New Roman" w:eastAsia="黑体" w:cs="Times New Roman"/>
          <w:color w:val="000000"/>
          <w:kern w:val="0"/>
          <w:szCs w:val="32"/>
          <w:highlight w:val="none"/>
          <w:shd w:val="clear" w:color="auto" w:fill="FFFFFF"/>
        </w:rPr>
      </w:pPr>
      <w:r>
        <w:rPr>
          <w:rFonts w:hint="default" w:ascii="Times New Roman" w:hAnsi="Times New Roman" w:eastAsia="黑体" w:cs="Times New Roman"/>
          <w:color w:val="000000"/>
          <w:kern w:val="0"/>
          <w:szCs w:val="32"/>
          <w:highlight w:val="none"/>
          <w:shd w:val="clear" w:color="auto" w:fill="FFFFFF"/>
        </w:rPr>
        <w:t>二、</w:t>
      </w:r>
      <w:r>
        <w:rPr>
          <w:rFonts w:hint="default" w:ascii="Times New Roman" w:hAnsi="Times New Roman" w:eastAsia="黑体" w:cs="Times New Roman"/>
          <w:color w:val="000000"/>
          <w:kern w:val="0"/>
          <w:szCs w:val="32"/>
          <w:highlight w:val="none"/>
          <w:shd w:val="clear" w:color="auto" w:fill="FFFFFF"/>
          <w:lang w:eastAsia="zh-CN"/>
        </w:rPr>
        <w:t>部门</w:t>
      </w:r>
      <w:r>
        <w:rPr>
          <w:rFonts w:hint="default" w:ascii="Times New Roman" w:hAnsi="Times New Roman" w:eastAsia="黑体" w:cs="Times New Roman"/>
          <w:color w:val="000000"/>
          <w:kern w:val="0"/>
          <w:szCs w:val="32"/>
          <w:highlight w:val="none"/>
          <w:shd w:val="clear" w:color="auto" w:fill="FFFFFF"/>
        </w:rPr>
        <w:t>资金收支情况</w:t>
      </w:r>
    </w:p>
    <w:p w14:paraId="00FCF4E3">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left"/>
        <w:textAlignment w:val="auto"/>
        <w:outlineLvl w:val="1"/>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bCs/>
          <w:color w:val="000000"/>
          <w:kern w:val="0"/>
          <w:szCs w:val="32"/>
          <w:highlight w:val="none"/>
          <w:shd w:val="clear" w:color="auto" w:fill="FFFFFF"/>
          <w:lang w:val="zh-CN"/>
        </w:rPr>
        <w:t>（一）</w:t>
      </w:r>
      <w:r>
        <w:rPr>
          <w:rFonts w:hint="eastAsia" w:ascii="Times New Roman" w:hAnsi="Times New Roman" w:eastAsia="楷体_GB2312" w:cs="Times New Roman"/>
          <w:b/>
          <w:bCs/>
          <w:color w:val="000000"/>
          <w:kern w:val="0"/>
          <w:szCs w:val="32"/>
          <w:highlight w:val="none"/>
          <w:shd w:val="clear" w:color="auto" w:fill="FFFFFF"/>
          <w:lang w:val="zh-CN"/>
        </w:rPr>
        <w:t>收入情况</w:t>
      </w:r>
    </w:p>
    <w:p w14:paraId="5A333F87">
      <w:pPr>
        <w:pageBreakBefore w:val="0"/>
        <w:kinsoku/>
        <w:wordWrap/>
        <w:overflowPunct/>
        <w:topLinePunct w:val="0"/>
        <w:autoSpaceDE/>
        <w:bidi w:val="0"/>
        <w:spacing w:line="600" w:lineRule="exact"/>
        <w:ind w:firstLine="640" w:firstLineChars="200"/>
        <w:rPr>
          <w:rFonts w:hint="eastAsia" w:ascii="Times New Roman" w:hAnsi="Times New Roman" w:eastAsia="仿宋_GB2312" w:cs="Times New Roman"/>
          <w:sz w:val="32"/>
          <w:highlight w:val="none"/>
          <w:lang w:val="en-US" w:eastAsia="zh-CN"/>
        </w:rPr>
      </w:pPr>
      <w:r>
        <w:rPr>
          <w:rFonts w:hint="eastAsia" w:ascii="Times New Roman" w:hAnsi="Times New Roman" w:cs="Times New Roman"/>
          <w:kern w:val="2"/>
          <w:sz w:val="32"/>
          <w:szCs w:val="24"/>
          <w:highlight w:val="none"/>
          <w:lang w:val="en-US" w:eastAsia="zh-CN" w:bidi="ar-SA"/>
        </w:rPr>
        <w:t>我局</w:t>
      </w:r>
      <w:r>
        <w:rPr>
          <w:rFonts w:hint="eastAsia" w:ascii="Times New Roman" w:hAnsi="Times New Roman" w:eastAsia="仿宋_GB2312" w:cs="Times New Roman"/>
          <w:kern w:val="2"/>
          <w:sz w:val="32"/>
          <w:szCs w:val="24"/>
          <w:highlight w:val="none"/>
          <w:lang w:val="en-US" w:eastAsia="zh-CN" w:bidi="ar-SA"/>
        </w:rPr>
        <w:t>2025</w:t>
      </w:r>
      <w:r>
        <w:rPr>
          <w:rFonts w:hint="default" w:ascii="Times New Roman" w:hAnsi="Times New Roman" w:eastAsia="仿宋_GB2312" w:cs="Times New Roman"/>
          <w:sz w:val="32"/>
          <w:highlight w:val="none"/>
          <w:lang w:val="en-US"/>
        </w:rPr>
        <w:t>年年初收入预算数为</w:t>
      </w:r>
      <w:r>
        <w:rPr>
          <w:rFonts w:hint="eastAsia" w:ascii="Times New Roman" w:hAnsi="Times New Roman" w:eastAsia="仿宋_GB2312" w:cs="Times New Roman"/>
          <w:kern w:val="2"/>
          <w:sz w:val="32"/>
          <w:szCs w:val="24"/>
          <w:highlight w:val="none"/>
          <w:lang w:val="en-US" w:eastAsia="zh-CN" w:bidi="ar-SA"/>
        </w:rPr>
        <w:t>5,473.70</w:t>
      </w:r>
      <w:r>
        <w:rPr>
          <w:rFonts w:hint="default" w:ascii="Times New Roman" w:hAnsi="Times New Roman" w:eastAsia="仿宋_GB2312" w:cs="Times New Roman"/>
          <w:sz w:val="32"/>
          <w:highlight w:val="none"/>
          <w:lang w:val="en-US"/>
        </w:rPr>
        <w:t>万元，</w:t>
      </w:r>
      <w:r>
        <w:rPr>
          <w:rFonts w:hint="eastAsia" w:ascii="Times New Roman" w:hAnsi="Times New Roman" w:eastAsia="仿宋_GB2312" w:cs="Times New Roman"/>
          <w:sz w:val="32"/>
          <w:highlight w:val="none"/>
          <w:lang w:val="en-US" w:eastAsia="zh-CN"/>
        </w:rPr>
        <w:t>其中：</w:t>
      </w:r>
      <w:r>
        <w:rPr>
          <w:rFonts w:hint="default" w:ascii="Times New Roman" w:hAnsi="Times New Roman" w:eastAsia="仿宋_GB2312" w:cs="Times New Roman"/>
          <w:sz w:val="32"/>
          <w:highlight w:val="none"/>
          <w:lang w:val="en-US"/>
        </w:rPr>
        <w:t>一般公共预算财政拨款收入</w:t>
      </w:r>
      <w:r>
        <w:rPr>
          <w:rFonts w:hint="eastAsia" w:ascii="Times New Roman" w:hAnsi="Times New Roman" w:eastAsia="仿宋_GB2312" w:cs="Times New Roman"/>
          <w:kern w:val="2"/>
          <w:sz w:val="32"/>
          <w:szCs w:val="24"/>
          <w:highlight w:val="none"/>
          <w:lang w:val="en-US" w:eastAsia="zh-CN" w:bidi="ar-SA"/>
        </w:rPr>
        <w:t>5,473.70</w:t>
      </w:r>
      <w:r>
        <w:rPr>
          <w:rFonts w:hint="eastAsia" w:ascii="Times New Roman" w:hAnsi="Times New Roman" w:eastAsia="仿宋_GB2312" w:cs="Times New Roman"/>
          <w:sz w:val="32"/>
          <w:highlight w:val="none"/>
          <w:lang w:val="en-US" w:eastAsia="zh-CN"/>
        </w:rPr>
        <w:t>万元，占总预算的</w:t>
      </w:r>
      <w:r>
        <w:rPr>
          <w:rFonts w:hint="eastAsia" w:ascii="Times New Roman" w:hAnsi="Times New Roman" w:eastAsia="仿宋_GB2312" w:cs="Times New Roman"/>
          <w:kern w:val="2"/>
          <w:sz w:val="32"/>
          <w:szCs w:val="24"/>
          <w:highlight w:val="none"/>
          <w:lang w:val="en-US" w:eastAsia="zh-CN" w:bidi="ar-SA"/>
        </w:rPr>
        <w:t>100</w:t>
      </w:r>
      <w:r>
        <w:rPr>
          <w:rFonts w:hint="eastAsia" w:ascii="Times New Roman" w:hAnsi="Times New Roman" w:eastAsia="仿宋_GB2312" w:cs="Times New Roman"/>
          <w:sz w:val="32"/>
          <w:highlight w:val="none"/>
          <w:lang w:val="en-US" w:eastAsia="zh-CN"/>
        </w:rPr>
        <w:t>%；</w:t>
      </w:r>
      <w:r>
        <w:rPr>
          <w:rFonts w:hint="eastAsia" w:ascii="Times New Roman" w:hAnsi="Times New Roman" w:eastAsia="仿宋_GB2312" w:cs="Times New Roman"/>
          <w:color w:val="auto"/>
          <w:sz w:val="32"/>
          <w:highlight w:val="none"/>
          <w:lang w:val="en-US" w:eastAsia="zh-CN"/>
        </w:rPr>
        <w:t>上年结转</w:t>
      </w:r>
      <w:r>
        <w:rPr>
          <w:rFonts w:hint="eastAsia" w:ascii="Times New Roman" w:hAnsi="Times New Roman" w:eastAsia="仿宋_GB2312" w:cs="Times New Roman"/>
          <w:color w:val="auto"/>
          <w:kern w:val="2"/>
          <w:sz w:val="32"/>
          <w:szCs w:val="24"/>
          <w:highlight w:val="none"/>
          <w:lang w:val="en-US" w:eastAsia="zh-CN" w:bidi="ar-SA"/>
        </w:rPr>
        <w:t>2.86万元</w:t>
      </w:r>
      <w:r>
        <w:rPr>
          <w:rFonts w:hint="eastAsia" w:ascii="Times New Roman" w:hAnsi="Times New Roman" w:cs="Times New Roman"/>
          <w:color w:val="auto"/>
          <w:kern w:val="2"/>
          <w:sz w:val="32"/>
          <w:szCs w:val="24"/>
          <w:highlight w:val="none"/>
          <w:lang w:val="en-US" w:eastAsia="zh-CN" w:bidi="ar-SA"/>
        </w:rPr>
        <w:t>。</w:t>
      </w:r>
    </w:p>
    <w:p w14:paraId="08DF089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highlight w:val="none"/>
        </w:rPr>
      </w:pPr>
      <w:r>
        <w:rPr>
          <w:rFonts w:hint="eastAsia" w:ascii="Times New Roman" w:hAnsi="Times New Roman" w:eastAsia="仿宋_GB2312" w:cs="Times New Roman"/>
          <w:sz w:val="32"/>
          <w:highlight w:val="none"/>
          <w:lang w:val="en-US" w:eastAsia="zh-CN"/>
        </w:rPr>
        <w:t>我</w:t>
      </w:r>
      <w:r>
        <w:rPr>
          <w:rFonts w:hint="eastAsia" w:ascii="Times New Roman" w:hAnsi="Times New Roman" w:cs="Times New Roman"/>
          <w:sz w:val="32"/>
          <w:highlight w:val="none"/>
          <w:lang w:val="en-US" w:eastAsia="zh-CN"/>
        </w:rPr>
        <w:t>局</w:t>
      </w:r>
      <w:r>
        <w:rPr>
          <w:rFonts w:hint="eastAsia" w:ascii="Times New Roman" w:hAnsi="Times New Roman" w:eastAsia="仿宋_GB2312" w:cs="Times New Roman"/>
          <w:kern w:val="2"/>
          <w:sz w:val="32"/>
          <w:szCs w:val="24"/>
          <w:highlight w:val="none"/>
          <w:lang w:val="en-US" w:eastAsia="zh-CN" w:bidi="ar-SA"/>
        </w:rPr>
        <w:t>2025</w:t>
      </w:r>
      <w:r>
        <w:rPr>
          <w:rFonts w:hint="default" w:ascii="Times New Roman" w:hAnsi="Times New Roman" w:eastAsia="仿宋_GB2312" w:cs="Times New Roman"/>
          <w:sz w:val="32"/>
          <w:highlight w:val="none"/>
          <w:lang w:val="en-US"/>
        </w:rPr>
        <w:t>年收入决算数为</w:t>
      </w:r>
      <w:r>
        <w:rPr>
          <w:rFonts w:hint="eastAsia" w:ascii="Times New Roman" w:hAnsi="Times New Roman" w:eastAsia="仿宋_GB2312" w:cs="Times New Roman"/>
          <w:kern w:val="2"/>
          <w:sz w:val="32"/>
          <w:szCs w:val="24"/>
          <w:highlight w:val="none"/>
          <w:lang w:val="en-US" w:eastAsia="zh-CN" w:bidi="ar-SA"/>
        </w:rPr>
        <w:t>6,504.94</w:t>
      </w:r>
      <w:r>
        <w:rPr>
          <w:rFonts w:hint="default" w:ascii="Times New Roman" w:hAnsi="Times New Roman" w:eastAsia="仿宋_GB2312" w:cs="Times New Roman"/>
          <w:sz w:val="32"/>
          <w:highlight w:val="none"/>
          <w:lang w:val="en-US"/>
        </w:rPr>
        <w:t>万元，</w:t>
      </w:r>
      <w:r>
        <w:rPr>
          <w:rFonts w:hint="eastAsia" w:ascii="Times New Roman" w:hAnsi="Times New Roman" w:eastAsia="仿宋_GB2312" w:cs="Times New Roman"/>
          <w:sz w:val="32"/>
          <w:highlight w:val="none"/>
          <w:lang w:val="en-US" w:eastAsia="zh-CN"/>
        </w:rPr>
        <w:t>其中：</w:t>
      </w:r>
      <w:r>
        <w:rPr>
          <w:rFonts w:hint="default" w:ascii="Times New Roman" w:hAnsi="Times New Roman" w:eastAsia="仿宋_GB2312" w:cs="Times New Roman"/>
          <w:sz w:val="32"/>
          <w:highlight w:val="none"/>
          <w:lang w:val="en-US"/>
        </w:rPr>
        <w:t>一般公共预算财政拨款收入</w:t>
      </w:r>
      <w:r>
        <w:rPr>
          <w:rFonts w:hint="eastAsia" w:ascii="Times New Roman" w:hAnsi="Times New Roman" w:eastAsia="仿宋_GB2312" w:cs="Times New Roman"/>
          <w:kern w:val="2"/>
          <w:sz w:val="32"/>
          <w:szCs w:val="24"/>
          <w:highlight w:val="none"/>
          <w:lang w:val="en-US" w:eastAsia="zh-CN" w:bidi="ar-SA"/>
        </w:rPr>
        <w:t>6,502.08</w:t>
      </w:r>
      <w:r>
        <w:rPr>
          <w:rFonts w:hint="eastAsia" w:ascii="Times New Roman" w:hAnsi="Times New Roman" w:eastAsia="仿宋_GB2312" w:cs="Times New Roman"/>
          <w:sz w:val="32"/>
          <w:highlight w:val="none"/>
          <w:lang w:val="en-US" w:eastAsia="zh-CN"/>
        </w:rPr>
        <w:t>万元，占总决算的</w:t>
      </w:r>
      <w:r>
        <w:rPr>
          <w:rFonts w:hint="eastAsia" w:ascii="Times New Roman" w:hAnsi="Times New Roman" w:eastAsia="仿宋_GB2312" w:cs="Times New Roman"/>
          <w:kern w:val="2"/>
          <w:sz w:val="32"/>
          <w:szCs w:val="24"/>
          <w:highlight w:val="none"/>
          <w:lang w:val="en-US" w:eastAsia="zh-CN" w:bidi="ar-SA"/>
        </w:rPr>
        <w:t>99.96</w:t>
      </w:r>
      <w:r>
        <w:rPr>
          <w:rFonts w:hint="eastAsia" w:ascii="Times New Roman" w:hAnsi="Times New Roman" w:eastAsia="仿宋_GB2312" w:cs="Times New Roman"/>
          <w:sz w:val="32"/>
          <w:highlight w:val="none"/>
          <w:lang w:val="en-US" w:eastAsia="zh-CN"/>
        </w:rPr>
        <w:t>%</w:t>
      </w:r>
      <w:r>
        <w:rPr>
          <w:rFonts w:hint="eastAsia" w:ascii="Times New Roman" w:hAnsi="Times New Roman" w:cs="Times New Roman"/>
          <w:sz w:val="32"/>
          <w:highlight w:val="none"/>
          <w:lang w:val="en-US" w:eastAsia="zh-CN"/>
        </w:rPr>
        <w:t>。</w:t>
      </w:r>
    </w:p>
    <w:p w14:paraId="1AC09524">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left"/>
        <w:textAlignment w:val="auto"/>
        <w:outlineLvl w:val="1"/>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二</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支出情况</w:t>
      </w:r>
    </w:p>
    <w:p w14:paraId="2AD899A1">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contextualSpacing/>
        <w:jc w:val="both"/>
        <w:textAlignment w:val="auto"/>
        <w:outlineLvl w:val="9"/>
        <w:rPr>
          <w:rFonts w:hint="eastAsia" w:ascii="Times New Roman" w:hAnsi="Times New Roman" w:eastAsia="仿宋_GB2312" w:cs="Times New Roman"/>
          <w:sz w:val="32"/>
          <w:szCs w:val="32"/>
          <w:highlight w:val="none"/>
          <w:lang w:val="en-US" w:eastAsia="zh-CN"/>
        </w:rPr>
      </w:pPr>
      <w:r>
        <w:rPr>
          <w:rFonts w:hint="eastAsia" w:ascii="Times New Roman" w:hAnsi="Times New Roman" w:cs="Times New Roman"/>
          <w:kern w:val="2"/>
          <w:sz w:val="32"/>
          <w:szCs w:val="24"/>
          <w:highlight w:val="none"/>
          <w:lang w:val="en-US" w:eastAsia="zh-CN" w:bidi="ar-SA"/>
        </w:rPr>
        <w:t>我局</w:t>
      </w:r>
      <w:r>
        <w:rPr>
          <w:rFonts w:hint="eastAsia" w:ascii="Times New Roman" w:hAnsi="Times New Roman" w:eastAsia="仿宋_GB2312" w:cs="Times New Roman"/>
          <w:kern w:val="2"/>
          <w:sz w:val="32"/>
          <w:szCs w:val="24"/>
          <w:highlight w:val="none"/>
          <w:lang w:val="en-US" w:eastAsia="zh-CN" w:bidi="ar-SA"/>
        </w:rPr>
        <w:t>2025</w:t>
      </w:r>
      <w:r>
        <w:rPr>
          <w:rFonts w:hint="eastAsia" w:ascii="Times New Roman" w:hAnsi="Times New Roman" w:eastAsia="仿宋_GB2312" w:cs="Times New Roman"/>
          <w:sz w:val="32"/>
          <w:szCs w:val="32"/>
          <w:highlight w:val="none"/>
          <w:lang w:val="en-US" w:eastAsia="zh-CN"/>
        </w:rPr>
        <w:t>年年初支出预算数为</w:t>
      </w:r>
      <w:r>
        <w:rPr>
          <w:rFonts w:hint="eastAsia" w:ascii="Times New Roman" w:hAnsi="Times New Roman" w:eastAsia="仿宋_GB2312" w:cs="Times New Roman"/>
          <w:kern w:val="2"/>
          <w:sz w:val="32"/>
          <w:szCs w:val="24"/>
          <w:highlight w:val="none"/>
          <w:lang w:val="en-US" w:eastAsia="zh-CN" w:bidi="ar-SA"/>
        </w:rPr>
        <w:t>5,473.70</w:t>
      </w:r>
      <w:r>
        <w:rPr>
          <w:rFonts w:hint="eastAsia" w:ascii="Times New Roman" w:hAnsi="Times New Roman" w:eastAsia="仿宋_GB2312" w:cs="Times New Roman"/>
          <w:sz w:val="32"/>
          <w:szCs w:val="32"/>
          <w:highlight w:val="none"/>
          <w:lang w:val="en-US" w:eastAsia="zh-CN"/>
        </w:rPr>
        <w:t>万元，其中：基本支出</w:t>
      </w:r>
      <w:r>
        <w:rPr>
          <w:rFonts w:hint="eastAsia" w:ascii="Times New Roman" w:hAnsi="Times New Roman" w:eastAsia="仿宋_GB2312" w:cs="Times New Roman"/>
          <w:kern w:val="2"/>
          <w:sz w:val="32"/>
          <w:szCs w:val="24"/>
          <w:highlight w:val="none"/>
          <w:lang w:val="en-US" w:eastAsia="zh-CN" w:bidi="ar-SA"/>
        </w:rPr>
        <w:t>4,791.90</w:t>
      </w:r>
      <w:r>
        <w:rPr>
          <w:rFonts w:hint="eastAsia" w:ascii="Times New Roman" w:hAnsi="Times New Roman" w:eastAsia="仿宋_GB2312" w:cs="Times New Roman"/>
          <w:sz w:val="32"/>
          <w:szCs w:val="32"/>
          <w:highlight w:val="none"/>
          <w:lang w:val="en-US" w:eastAsia="zh-CN"/>
        </w:rPr>
        <w:t>万元，占支出总额的</w:t>
      </w:r>
      <w:r>
        <w:rPr>
          <w:rFonts w:hint="eastAsia" w:ascii="Times New Roman" w:hAnsi="Times New Roman" w:eastAsia="仿宋_GB2312" w:cs="Times New Roman"/>
          <w:kern w:val="2"/>
          <w:sz w:val="32"/>
          <w:szCs w:val="24"/>
          <w:highlight w:val="none"/>
          <w:lang w:val="en-US" w:eastAsia="zh-CN" w:bidi="ar-SA"/>
        </w:rPr>
        <w:t>87.54</w:t>
      </w:r>
      <w:r>
        <w:rPr>
          <w:rFonts w:hint="eastAsia" w:ascii="Times New Roman" w:hAnsi="Times New Roman" w:eastAsia="仿宋_GB2312" w:cs="Times New Roman"/>
          <w:sz w:val="32"/>
          <w:szCs w:val="32"/>
          <w:highlight w:val="none"/>
          <w:lang w:val="en-US" w:eastAsia="zh-CN"/>
        </w:rPr>
        <w:t>%；项目支出</w:t>
      </w:r>
      <w:r>
        <w:rPr>
          <w:rFonts w:hint="eastAsia" w:ascii="Times New Roman" w:hAnsi="Times New Roman" w:eastAsia="仿宋_GB2312" w:cs="Times New Roman"/>
          <w:kern w:val="2"/>
          <w:sz w:val="32"/>
          <w:szCs w:val="24"/>
          <w:highlight w:val="none"/>
          <w:lang w:val="en-US" w:eastAsia="zh-CN" w:bidi="ar-SA"/>
        </w:rPr>
        <w:t>681.80</w:t>
      </w:r>
      <w:r>
        <w:rPr>
          <w:rFonts w:hint="eastAsia" w:ascii="Times New Roman" w:hAnsi="Times New Roman" w:eastAsia="仿宋_GB2312" w:cs="Times New Roman"/>
          <w:sz w:val="32"/>
          <w:szCs w:val="32"/>
          <w:highlight w:val="none"/>
          <w:lang w:val="en-US" w:eastAsia="zh-CN"/>
        </w:rPr>
        <w:t>万元，占支出总额的</w:t>
      </w:r>
      <w:r>
        <w:rPr>
          <w:rFonts w:hint="eastAsia" w:ascii="Times New Roman" w:hAnsi="Times New Roman" w:eastAsia="仿宋_GB2312" w:cs="Times New Roman"/>
          <w:kern w:val="2"/>
          <w:sz w:val="32"/>
          <w:szCs w:val="24"/>
          <w:highlight w:val="none"/>
          <w:lang w:val="en-US" w:eastAsia="zh-CN" w:bidi="ar-SA"/>
        </w:rPr>
        <w:t>12.46</w:t>
      </w:r>
      <w:r>
        <w:rPr>
          <w:rFonts w:hint="eastAsia" w:ascii="Times New Roman" w:hAnsi="Times New Roman" w:eastAsia="仿宋_GB2312" w:cs="Times New Roman"/>
          <w:sz w:val="32"/>
          <w:szCs w:val="32"/>
          <w:highlight w:val="none"/>
          <w:lang w:val="en-US" w:eastAsia="zh-CN"/>
        </w:rPr>
        <w:t>%。</w:t>
      </w:r>
    </w:p>
    <w:p w14:paraId="6054BE18">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contextualSpacing/>
        <w:jc w:val="both"/>
        <w:textAlignment w:val="auto"/>
        <w:outlineLvl w:val="9"/>
        <w:rPr>
          <w:rFonts w:hint="eastAsia" w:ascii="Times New Roman" w:hAnsi="Times New Roman" w:eastAsia="仿宋_GB2312" w:cs="Times New Roman"/>
          <w:sz w:val="32"/>
          <w:szCs w:val="32"/>
          <w:highlight w:val="none"/>
          <w:lang w:val="en-US" w:eastAsia="zh-CN"/>
        </w:rPr>
      </w:pPr>
      <w:r>
        <w:rPr>
          <w:rFonts w:hint="eastAsia" w:ascii="Times New Roman" w:hAnsi="Times New Roman" w:cs="Times New Roman"/>
          <w:kern w:val="2"/>
          <w:sz w:val="32"/>
          <w:szCs w:val="24"/>
          <w:highlight w:val="none"/>
          <w:lang w:val="en-US" w:eastAsia="zh-CN" w:bidi="ar-SA"/>
        </w:rPr>
        <w:t>我局</w:t>
      </w:r>
      <w:r>
        <w:rPr>
          <w:rFonts w:hint="eastAsia" w:ascii="Times New Roman" w:hAnsi="Times New Roman" w:eastAsia="仿宋_GB2312" w:cs="Times New Roman"/>
          <w:kern w:val="2"/>
          <w:sz w:val="32"/>
          <w:szCs w:val="24"/>
          <w:highlight w:val="none"/>
          <w:lang w:val="en-US" w:eastAsia="zh-CN" w:bidi="ar-SA"/>
        </w:rPr>
        <w:t>2025</w:t>
      </w:r>
      <w:r>
        <w:rPr>
          <w:rFonts w:hint="eastAsia" w:ascii="Times New Roman" w:hAnsi="Times New Roman" w:eastAsia="仿宋_GB2312" w:cs="Times New Roman"/>
          <w:sz w:val="32"/>
          <w:szCs w:val="32"/>
          <w:highlight w:val="none"/>
          <w:lang w:val="en-US" w:eastAsia="zh-CN"/>
        </w:rPr>
        <w:t>年支出决算数为</w:t>
      </w:r>
      <w:r>
        <w:rPr>
          <w:rFonts w:hint="eastAsia" w:ascii="Times New Roman" w:hAnsi="Times New Roman" w:eastAsia="仿宋_GB2312" w:cs="Times New Roman"/>
          <w:kern w:val="2"/>
          <w:sz w:val="32"/>
          <w:szCs w:val="24"/>
          <w:highlight w:val="none"/>
          <w:lang w:val="en-US" w:eastAsia="zh-CN" w:bidi="ar-SA"/>
        </w:rPr>
        <w:t>6,504.94</w:t>
      </w:r>
      <w:r>
        <w:rPr>
          <w:rFonts w:hint="eastAsia" w:ascii="Times New Roman" w:hAnsi="Times New Roman" w:eastAsia="仿宋_GB2312" w:cs="Times New Roman"/>
          <w:sz w:val="32"/>
          <w:szCs w:val="32"/>
          <w:highlight w:val="none"/>
          <w:lang w:val="en-US" w:eastAsia="zh-CN"/>
        </w:rPr>
        <w:t>万元，其中：基本支出</w:t>
      </w:r>
      <w:r>
        <w:rPr>
          <w:rFonts w:hint="eastAsia" w:ascii="Times New Roman" w:hAnsi="Times New Roman" w:eastAsia="仿宋_GB2312" w:cs="Times New Roman"/>
          <w:kern w:val="2"/>
          <w:sz w:val="32"/>
          <w:szCs w:val="24"/>
          <w:highlight w:val="none"/>
          <w:lang w:val="en-US" w:eastAsia="zh-CN" w:bidi="ar-SA"/>
        </w:rPr>
        <w:t>5,600.14</w:t>
      </w:r>
      <w:r>
        <w:rPr>
          <w:rFonts w:hint="eastAsia" w:ascii="Times New Roman" w:hAnsi="Times New Roman" w:eastAsia="仿宋_GB2312" w:cs="Times New Roman"/>
          <w:sz w:val="32"/>
          <w:szCs w:val="32"/>
          <w:highlight w:val="none"/>
          <w:lang w:val="en-US" w:eastAsia="zh-CN"/>
        </w:rPr>
        <w:t>万元，占支出总额的</w:t>
      </w:r>
      <w:r>
        <w:rPr>
          <w:rFonts w:hint="eastAsia" w:ascii="Times New Roman" w:hAnsi="Times New Roman" w:eastAsia="仿宋_GB2312" w:cs="Times New Roman"/>
          <w:kern w:val="2"/>
          <w:sz w:val="32"/>
          <w:szCs w:val="24"/>
          <w:highlight w:val="none"/>
          <w:lang w:val="en-US" w:eastAsia="zh-CN" w:bidi="ar-SA"/>
        </w:rPr>
        <w:t>86.09</w:t>
      </w:r>
      <w:r>
        <w:rPr>
          <w:rFonts w:hint="eastAsia" w:ascii="Times New Roman" w:hAnsi="Times New Roman" w:eastAsia="仿宋_GB2312" w:cs="Times New Roman"/>
          <w:sz w:val="32"/>
          <w:szCs w:val="32"/>
          <w:highlight w:val="none"/>
          <w:lang w:val="en-US" w:eastAsia="zh-CN"/>
        </w:rPr>
        <w:t>%；项目支出</w:t>
      </w:r>
      <w:r>
        <w:rPr>
          <w:rFonts w:hint="eastAsia" w:ascii="Times New Roman" w:hAnsi="Times New Roman" w:cs="Times New Roman"/>
          <w:kern w:val="2"/>
          <w:sz w:val="32"/>
          <w:szCs w:val="24"/>
          <w:highlight w:val="none"/>
          <w:lang w:val="en-US" w:eastAsia="zh-CN" w:bidi="ar-SA"/>
        </w:rPr>
        <w:t>904.81</w:t>
      </w:r>
      <w:r>
        <w:rPr>
          <w:rFonts w:hint="eastAsia" w:ascii="Times New Roman" w:hAnsi="Times New Roman" w:eastAsia="仿宋_GB2312" w:cs="Times New Roman"/>
          <w:sz w:val="32"/>
          <w:szCs w:val="32"/>
          <w:highlight w:val="none"/>
          <w:lang w:val="en-US" w:eastAsia="zh-CN"/>
        </w:rPr>
        <w:t>万元，占支出总额的</w:t>
      </w:r>
      <w:r>
        <w:rPr>
          <w:rFonts w:hint="eastAsia" w:ascii="Times New Roman" w:hAnsi="Times New Roman" w:cs="Times New Roman"/>
          <w:kern w:val="2"/>
          <w:sz w:val="32"/>
          <w:szCs w:val="24"/>
          <w:highlight w:val="none"/>
          <w:lang w:val="en-US" w:eastAsia="zh-CN" w:bidi="ar-SA"/>
        </w:rPr>
        <w:t>13.91</w:t>
      </w:r>
      <w:r>
        <w:rPr>
          <w:rFonts w:hint="eastAsia" w:ascii="Times New Roman" w:hAnsi="Times New Roman" w:eastAsia="仿宋_GB2312" w:cs="Times New Roman"/>
          <w:sz w:val="32"/>
          <w:szCs w:val="32"/>
          <w:highlight w:val="none"/>
          <w:lang w:val="en-US" w:eastAsia="zh-CN"/>
        </w:rPr>
        <w:t>%。</w:t>
      </w:r>
    </w:p>
    <w:p w14:paraId="210F7C02">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both"/>
        <w:textAlignment w:val="auto"/>
        <w:outlineLvl w:val="1"/>
        <w:rPr>
          <w:rFonts w:hint="eastAsia" w:ascii="Times New Roman" w:hAnsi="Times New Roman" w:eastAsia="楷体_GB2312" w:cs="Times New Roman"/>
          <w:b/>
          <w:sz w:val="32"/>
          <w:szCs w:val="32"/>
          <w:highlight w:val="none"/>
          <w:lang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default" w:ascii="Times New Roman" w:hAnsi="Times New Roman" w:eastAsia="楷体_GB2312" w:cs="Times New Roman"/>
          <w:b/>
          <w:sz w:val="32"/>
          <w:szCs w:val="32"/>
          <w:highlight w:val="none"/>
        </w:rPr>
        <w:t>结余分配和结转结余情况</w:t>
      </w:r>
    </w:p>
    <w:p w14:paraId="2799FC1A">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contextualSpacing/>
        <w:jc w:val="both"/>
        <w:textAlignment w:val="auto"/>
        <w:outlineLvl w:val="9"/>
        <w:rPr>
          <w:rFonts w:hint="default" w:ascii="Times New Roman" w:hAnsi="Times New Roman" w:cs="Times New Roman"/>
          <w:kern w:val="2"/>
          <w:sz w:val="32"/>
          <w:szCs w:val="24"/>
          <w:highlight w:val="none"/>
          <w:lang w:val="zh-CN" w:eastAsia="zh-CN" w:bidi="ar-SA"/>
        </w:rPr>
      </w:pPr>
      <w:r>
        <w:rPr>
          <w:rFonts w:hint="eastAsia" w:ascii="Times New Roman" w:hAnsi="Times New Roman" w:eastAsia="仿宋_GB2312" w:cs="Times New Roman"/>
          <w:kern w:val="2"/>
          <w:sz w:val="32"/>
          <w:szCs w:val="24"/>
          <w:highlight w:val="none"/>
          <w:lang w:val="en-US" w:eastAsia="zh-CN" w:bidi="ar-SA"/>
        </w:rPr>
        <w:t>我</w:t>
      </w:r>
      <w:r>
        <w:rPr>
          <w:rFonts w:hint="eastAsia" w:ascii="Times New Roman" w:hAnsi="Times New Roman" w:cs="Times New Roman"/>
          <w:kern w:val="2"/>
          <w:sz w:val="32"/>
          <w:szCs w:val="24"/>
          <w:highlight w:val="none"/>
          <w:lang w:val="en-US" w:eastAsia="zh-CN" w:bidi="ar-SA"/>
        </w:rPr>
        <w:t>局</w:t>
      </w:r>
      <w:r>
        <w:rPr>
          <w:rFonts w:hint="eastAsia" w:ascii="Times New Roman" w:hAnsi="Times New Roman" w:eastAsia="仿宋_GB2312" w:cs="Times New Roman"/>
          <w:kern w:val="2"/>
          <w:sz w:val="32"/>
          <w:szCs w:val="24"/>
          <w:highlight w:val="none"/>
          <w:lang w:val="en-US" w:eastAsia="zh-CN" w:bidi="ar-SA"/>
        </w:rPr>
        <w:t>2025年决算报表</w:t>
      </w:r>
      <w:r>
        <w:rPr>
          <w:rFonts w:hint="eastAsia" w:ascii="Times New Roman" w:hAnsi="Times New Roman" w:eastAsia="仿宋_GB2312" w:cs="Times New Roman"/>
          <w:color w:val="auto"/>
          <w:sz w:val="32"/>
          <w:szCs w:val="32"/>
          <w:highlight w:val="none"/>
          <w:lang w:val="en-US" w:eastAsia="zh-CN"/>
        </w:rPr>
        <w:t>无结转结余。</w:t>
      </w:r>
    </w:p>
    <w:p w14:paraId="04FE1C0C">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contextualSpacing/>
        <w:jc w:val="left"/>
        <w:textAlignment w:val="auto"/>
        <w:outlineLvl w:val="0"/>
        <w:rPr>
          <w:rFonts w:hint="default" w:ascii="Times New Roman" w:hAnsi="Times New Roman" w:eastAsia="黑体" w:cs="Times New Roman"/>
          <w:color w:val="000000" w:themeColor="text1"/>
          <w:kern w:val="0"/>
          <w:szCs w:val="32"/>
          <w:highlight w:val="none"/>
          <w:shd w:val="clear" w:color="auto" w:fill="FFFFFF"/>
          <w14:textFill>
            <w14:solidFill>
              <w14:schemeClr w14:val="tx1"/>
            </w14:solidFill>
          </w14:textFill>
        </w:rPr>
      </w:pPr>
      <w:r>
        <w:rPr>
          <w:rFonts w:hint="default" w:ascii="Times New Roman" w:hAnsi="Times New Roman" w:eastAsia="黑体" w:cs="Times New Roman"/>
          <w:color w:val="000000"/>
          <w:kern w:val="0"/>
          <w:szCs w:val="32"/>
          <w:highlight w:val="none"/>
          <w:shd w:val="clear" w:color="auto" w:fill="FFFFFF"/>
        </w:rPr>
        <w:t>三、</w:t>
      </w:r>
      <w:r>
        <w:rPr>
          <w:rFonts w:hint="default" w:ascii="Times New Roman" w:hAnsi="Times New Roman" w:eastAsia="黑体" w:cs="Times New Roman"/>
          <w:color w:val="000000"/>
          <w:kern w:val="0"/>
          <w:szCs w:val="32"/>
          <w:highlight w:val="none"/>
          <w:u w:val="none"/>
          <w:shd w:val="clear" w:color="auto" w:fill="FFFFFF"/>
        </w:rPr>
        <w:t>部门</w:t>
      </w:r>
      <w:r>
        <w:rPr>
          <w:rFonts w:hint="default" w:ascii="Times New Roman" w:hAnsi="Times New Roman" w:eastAsia="黑体" w:cs="Times New Roman"/>
          <w:color w:val="000000"/>
          <w:kern w:val="0"/>
          <w:szCs w:val="32"/>
          <w:highlight w:val="none"/>
          <w:u w:val="none"/>
          <w:shd w:val="clear" w:color="auto" w:fill="FFFFFF"/>
          <w:lang w:eastAsia="zh-CN"/>
        </w:rPr>
        <w:t>预算</w:t>
      </w:r>
      <w:r>
        <w:rPr>
          <w:rFonts w:hint="default" w:ascii="Times New Roman" w:hAnsi="Times New Roman" w:eastAsia="黑体" w:cs="Times New Roman"/>
          <w:color w:val="000000"/>
          <w:kern w:val="0"/>
          <w:szCs w:val="32"/>
          <w:highlight w:val="none"/>
          <w:u w:val="none"/>
          <w:shd w:val="clear" w:color="auto" w:fill="FFFFFF"/>
        </w:rPr>
        <w:t>绩效</w:t>
      </w:r>
      <w:r>
        <w:rPr>
          <w:rFonts w:hint="default" w:ascii="Times New Roman" w:hAnsi="Times New Roman" w:eastAsia="黑体" w:cs="Times New Roman"/>
          <w:color w:val="000000"/>
          <w:kern w:val="0"/>
          <w:szCs w:val="32"/>
          <w:highlight w:val="none"/>
          <w:u w:val="none"/>
          <w:shd w:val="clear" w:color="auto" w:fill="FFFFFF"/>
          <w:lang w:eastAsia="zh-CN"/>
        </w:rPr>
        <w:t>分析</w:t>
      </w:r>
    </w:p>
    <w:p w14:paraId="44F9C299">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3" w:firstLineChars="200"/>
        <w:contextualSpacing/>
        <w:jc w:val="left"/>
        <w:textAlignment w:val="auto"/>
        <w:outlineLvl w:val="1"/>
        <w:rPr>
          <w:rFonts w:hint="default" w:ascii="Times New Roman" w:hAnsi="Times New Roman" w:cs="Times New Roman"/>
          <w:color w:val="000000"/>
          <w:kern w:val="0"/>
          <w:szCs w:val="32"/>
          <w:highlight w:val="none"/>
          <w:shd w:val="clear" w:color="auto" w:fill="FFFFFF"/>
          <w:lang w:val="zh-CN"/>
        </w:rPr>
      </w:pPr>
      <w:r>
        <w:rPr>
          <w:rFonts w:hint="default" w:ascii="Times New Roman" w:hAnsi="Times New Roman" w:eastAsia="楷体_GB2312" w:cs="Times New Roman"/>
          <w:b/>
          <w:bCs/>
          <w:color w:val="000000"/>
          <w:kern w:val="0"/>
          <w:szCs w:val="32"/>
          <w:highlight w:val="none"/>
          <w:shd w:val="clear" w:color="auto" w:fill="FFFFFF"/>
          <w:lang w:val="zh-CN"/>
        </w:rPr>
        <w:t>（一）</w:t>
      </w:r>
      <w:r>
        <w:rPr>
          <w:rFonts w:hint="eastAsia" w:ascii="Times New Roman" w:hAnsi="Times New Roman" w:eastAsia="楷体_GB2312" w:cs="Times New Roman"/>
          <w:b/>
          <w:bCs/>
          <w:color w:val="000000"/>
          <w:kern w:val="0"/>
          <w:szCs w:val="32"/>
          <w:highlight w:val="none"/>
          <w:shd w:val="clear" w:color="auto" w:fill="FFFFFF"/>
          <w:lang w:val="zh-CN"/>
        </w:rPr>
        <w:t>部门预算</w:t>
      </w:r>
      <w:r>
        <w:rPr>
          <w:rFonts w:hint="default" w:ascii="Times New Roman" w:hAnsi="Times New Roman" w:eastAsia="楷体_GB2312" w:cs="Times New Roman"/>
          <w:b/>
          <w:bCs/>
          <w:color w:val="000000"/>
          <w:kern w:val="0"/>
          <w:szCs w:val="32"/>
          <w:highlight w:val="none"/>
          <w:shd w:val="clear" w:color="auto" w:fill="FFFFFF"/>
          <w:lang w:val="zh-CN"/>
        </w:rPr>
        <w:t>总体绩效分析</w:t>
      </w:r>
    </w:p>
    <w:p w14:paraId="6D3EF589">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2"/>
        <w:rPr>
          <w:rFonts w:hint="eastAsia" w:ascii="Times New Roman" w:hAnsi="Times New Roman" w:eastAsia="楷体_GB2312" w:cs="楷体_GB2312"/>
          <w:color w:val="000000"/>
          <w:kern w:val="0"/>
          <w:szCs w:val="32"/>
          <w:highlight w:val="none"/>
          <w:shd w:val="clear" w:color="auto" w:fill="FFFFFF"/>
          <w:lang w:val="zh-CN"/>
        </w:rPr>
      </w:pPr>
      <w:r>
        <w:rPr>
          <w:rFonts w:hint="default" w:ascii="Times New Roman" w:hAnsi="Times New Roman" w:eastAsia="楷体_GB2312" w:cs="Times New Roman"/>
          <w:color w:val="000000"/>
          <w:kern w:val="0"/>
          <w:szCs w:val="32"/>
          <w:highlight w:val="none"/>
          <w:shd w:val="clear" w:color="auto" w:fill="FFFFFF"/>
          <w:lang w:val="en-US" w:eastAsia="zh-CN"/>
        </w:rPr>
        <w:t>1</w:t>
      </w:r>
      <w:r>
        <w:rPr>
          <w:rFonts w:hint="eastAsia" w:ascii="Times New Roman" w:hAnsi="Times New Roman" w:eastAsia="楷体_GB2312" w:cs="楷体_GB2312"/>
          <w:color w:val="000000"/>
          <w:kern w:val="0"/>
          <w:szCs w:val="32"/>
          <w:highlight w:val="none"/>
          <w:shd w:val="clear" w:color="auto" w:fill="FFFFFF"/>
          <w:lang w:val="en-US" w:eastAsia="zh-CN"/>
        </w:rPr>
        <w:t>.</w:t>
      </w:r>
      <w:r>
        <w:rPr>
          <w:rFonts w:hint="eastAsia" w:ascii="Times New Roman" w:hAnsi="Times New Roman" w:eastAsia="楷体_GB2312" w:cs="楷体_GB2312"/>
          <w:color w:val="000000"/>
          <w:kern w:val="0"/>
          <w:szCs w:val="32"/>
          <w:highlight w:val="none"/>
          <w:shd w:val="clear" w:color="auto" w:fill="FFFFFF"/>
          <w:lang w:val="zh-CN"/>
        </w:rPr>
        <w:t>履职效能</w:t>
      </w:r>
    </w:p>
    <w:p w14:paraId="6CC12823">
      <w:pPr>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cs="Times New Roman"/>
          <w:color w:val="000000"/>
          <w:kern w:val="0"/>
          <w:szCs w:val="32"/>
          <w:highlight w:val="none"/>
          <w:shd w:val="clear" w:color="auto" w:fill="FFFFFF"/>
          <w:lang w:val="en-US" w:eastAsia="zh-CN"/>
        </w:rPr>
      </w:pPr>
      <w:r>
        <w:rPr>
          <w:rFonts w:hint="eastAsia" w:ascii="Times New Roman" w:hAnsi="Times New Roman" w:cs="Times New Roman"/>
          <w:color w:val="000000"/>
          <w:kern w:val="0"/>
          <w:szCs w:val="32"/>
          <w:highlight w:val="none"/>
          <w:shd w:val="clear" w:color="auto" w:fill="FFFFFF"/>
          <w:lang w:val="en-US" w:eastAsia="zh-CN"/>
        </w:rPr>
        <w:t>为充分反映我局2025年度部门职能履行成效，本次绩效自评根据《阿坝州财政局关于开展2026年州级部门预算绩效自评工作的通知》（阿州财监绩〔2026〕3号）要求，结合部门职能职责和2025年度重点工作任务，选取了“食品抽检及时率、获证企业工业产品监督抽查（批次）、流通领域商品质量抽检（批次）”3个绩效指标作为核心职能目标，各职能目标具体完成情况如下：</w:t>
      </w:r>
    </w:p>
    <w:p w14:paraId="27BA2E6A">
      <w:pPr>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cs="Times New Roman"/>
          <w:color w:val="000000"/>
          <w:kern w:val="0"/>
          <w:szCs w:val="32"/>
          <w:highlight w:val="none"/>
          <w:shd w:val="clear" w:color="auto" w:fill="FFFFFF"/>
          <w:lang w:val="en-US" w:eastAsia="zh-CN"/>
        </w:rPr>
      </w:pPr>
      <w:r>
        <w:rPr>
          <w:rFonts w:hint="eastAsia" w:ascii="Times New Roman" w:hAnsi="Times New Roman" w:cs="Times New Roman"/>
          <w:color w:val="000000"/>
          <w:kern w:val="0"/>
          <w:szCs w:val="32"/>
          <w:highlight w:val="none"/>
          <w:shd w:val="clear" w:color="auto" w:fill="FFFFFF"/>
          <w:lang w:val="en-US" w:eastAsia="zh-CN"/>
        </w:rPr>
        <w:t>（1）食品抽检及时率</w:t>
      </w:r>
    </w:p>
    <w:p w14:paraId="0A19AF46">
      <w:pPr>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color w:val="000000"/>
          <w:kern w:val="0"/>
          <w:szCs w:val="32"/>
          <w:highlight w:val="none"/>
          <w:shd w:val="clear" w:color="auto" w:fill="FFFFFF"/>
          <w:lang w:val="en-US" w:eastAsia="zh-CN"/>
        </w:rPr>
      </w:pPr>
      <w:r>
        <w:rPr>
          <w:rFonts w:hint="eastAsia" w:ascii="Times New Roman" w:hAnsi="Times New Roman" w:cs="Times New Roman"/>
          <w:color w:val="000000"/>
          <w:kern w:val="0"/>
          <w:szCs w:val="32"/>
          <w:highlight w:val="none"/>
          <w:shd w:val="clear" w:color="auto" w:fill="FFFFFF"/>
          <w:lang w:val="en-US" w:eastAsia="zh-CN"/>
        </w:rPr>
        <w:t>食品抽检及时率达到90%，基本达到预期目标值，但仍存在少量抽检滞后情况，工作质效有待进一步提升，该项指标扣2分</w:t>
      </w:r>
      <w:r>
        <w:rPr>
          <w:rFonts w:hint="eastAsia" w:cs="Times New Roman"/>
          <w:color w:val="000000"/>
          <w:kern w:val="0"/>
          <w:szCs w:val="32"/>
          <w:highlight w:val="none"/>
          <w:shd w:val="clear" w:color="auto" w:fill="FFFFFF"/>
          <w:lang w:val="en-US" w:eastAsia="zh-CN"/>
        </w:rPr>
        <w:t>，</w:t>
      </w:r>
      <w:r>
        <w:rPr>
          <w:rFonts w:hint="eastAsia" w:ascii="Times New Roman" w:hAnsi="Times New Roman" w:cs="Times New Roman"/>
          <w:color w:val="000000"/>
          <w:kern w:val="0"/>
          <w:szCs w:val="32"/>
          <w:highlight w:val="none"/>
          <w:shd w:val="clear" w:color="auto" w:fill="FFFFFF"/>
          <w:lang w:val="en-US" w:eastAsia="zh-CN"/>
        </w:rPr>
        <w:t>得</w:t>
      </w:r>
      <w:r>
        <w:rPr>
          <w:rFonts w:hint="eastAsia" w:cs="Times New Roman"/>
          <w:color w:val="000000"/>
          <w:kern w:val="0"/>
          <w:szCs w:val="32"/>
          <w:highlight w:val="none"/>
          <w:shd w:val="clear" w:color="auto" w:fill="FFFFFF"/>
          <w:lang w:val="en-US" w:eastAsia="zh-CN"/>
        </w:rPr>
        <w:t>3</w:t>
      </w:r>
      <w:r>
        <w:rPr>
          <w:rFonts w:hint="eastAsia" w:ascii="Times New Roman" w:hAnsi="Times New Roman" w:cs="Times New Roman"/>
          <w:color w:val="000000"/>
          <w:kern w:val="0"/>
          <w:szCs w:val="32"/>
          <w:highlight w:val="none"/>
          <w:shd w:val="clear" w:color="auto" w:fill="FFFFFF"/>
          <w:lang w:val="en-US" w:eastAsia="zh-CN"/>
        </w:rPr>
        <w:t>分。</w:t>
      </w:r>
    </w:p>
    <w:p w14:paraId="5B961C56">
      <w:pPr>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highlight w:val="none"/>
          <w:lang w:val="en-US" w:eastAsia="zh-CN"/>
        </w:rPr>
      </w:pPr>
      <w:r>
        <w:rPr>
          <w:rFonts w:hint="eastAsia" w:ascii="Times New Roman" w:hAnsi="Times New Roman" w:cs="Times New Roman"/>
          <w:color w:val="000000"/>
          <w:kern w:val="0"/>
          <w:szCs w:val="32"/>
          <w:highlight w:val="none"/>
          <w:shd w:val="clear" w:color="auto" w:fill="FFFFFF"/>
          <w:lang w:val="en-US" w:eastAsia="zh-CN"/>
        </w:rPr>
        <w:t>（2）获证企业工业产品监督抽查（批次）</w:t>
      </w:r>
    </w:p>
    <w:p w14:paraId="27F6E5C9">
      <w:pPr>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cs="Times New Roman"/>
          <w:color w:val="000000"/>
          <w:kern w:val="0"/>
          <w:szCs w:val="32"/>
          <w:highlight w:val="none"/>
          <w:shd w:val="clear" w:color="auto" w:fill="FFFFFF"/>
          <w:lang w:val="en-US" w:eastAsia="zh-CN"/>
        </w:rPr>
      </w:pPr>
      <w:r>
        <w:rPr>
          <w:rFonts w:hint="eastAsia" w:ascii="Times New Roman" w:hAnsi="Times New Roman" w:cs="Times New Roman"/>
          <w:color w:val="000000"/>
          <w:kern w:val="0"/>
          <w:szCs w:val="32"/>
          <w:highlight w:val="none"/>
          <w:shd w:val="clear" w:color="auto" w:fill="FFFFFF"/>
          <w:lang w:val="en-US" w:eastAsia="zh-CN"/>
        </w:rPr>
        <w:t>获证企业工业产品监督抽查（批次）达到30批次，达到预期目标值，该项指标得满分。</w:t>
      </w:r>
    </w:p>
    <w:p w14:paraId="1485187A">
      <w:pPr>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color w:val="000000"/>
          <w:kern w:val="0"/>
          <w:szCs w:val="32"/>
          <w:highlight w:val="none"/>
          <w:shd w:val="clear" w:color="auto" w:fill="FFFFFF"/>
          <w:lang w:val="en-US" w:eastAsia="zh-CN"/>
        </w:rPr>
      </w:pPr>
      <w:r>
        <w:rPr>
          <w:rFonts w:hint="eastAsia" w:ascii="Times New Roman" w:hAnsi="Times New Roman" w:cs="Times New Roman"/>
          <w:color w:val="000000"/>
          <w:kern w:val="0"/>
          <w:szCs w:val="32"/>
          <w:highlight w:val="none"/>
          <w:shd w:val="clear" w:color="auto" w:fill="FFFFFF"/>
          <w:lang w:val="en-US" w:eastAsia="zh-CN"/>
        </w:rPr>
        <w:t>根据评分标准，该项指标不扣分，得5分。</w:t>
      </w:r>
    </w:p>
    <w:p w14:paraId="2526F438">
      <w:pPr>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highlight w:val="none"/>
          <w:lang w:val="en-US" w:eastAsia="zh-CN"/>
        </w:rPr>
      </w:pPr>
      <w:r>
        <w:rPr>
          <w:rFonts w:hint="eastAsia" w:ascii="Times New Roman" w:hAnsi="Times New Roman" w:cs="Times New Roman"/>
          <w:color w:val="000000"/>
          <w:kern w:val="0"/>
          <w:szCs w:val="32"/>
          <w:highlight w:val="none"/>
          <w:shd w:val="clear" w:color="auto" w:fill="FFFFFF"/>
          <w:lang w:val="en-US" w:eastAsia="zh-CN"/>
        </w:rPr>
        <w:t>（3）流通领域商品质量抽检（批次）</w:t>
      </w:r>
    </w:p>
    <w:p w14:paraId="166C5AF0">
      <w:pPr>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cs="Times New Roman"/>
          <w:color w:val="000000"/>
          <w:kern w:val="0"/>
          <w:szCs w:val="32"/>
          <w:highlight w:val="none"/>
          <w:shd w:val="clear" w:color="auto" w:fill="FFFFFF"/>
          <w:lang w:val="en-US" w:eastAsia="zh-CN"/>
        </w:rPr>
      </w:pPr>
      <w:r>
        <w:rPr>
          <w:rFonts w:hint="eastAsia" w:ascii="Times New Roman" w:hAnsi="Times New Roman" w:cs="Times New Roman"/>
          <w:color w:val="000000"/>
          <w:kern w:val="0"/>
          <w:szCs w:val="32"/>
          <w:highlight w:val="none"/>
          <w:shd w:val="clear" w:color="auto" w:fill="FFFFFF"/>
          <w:lang w:val="en-US" w:eastAsia="zh-CN"/>
        </w:rPr>
        <w:t>流通领域商品质量抽检（批次）达到400批次，达到预期目标值，该项指标得满分。</w:t>
      </w:r>
    </w:p>
    <w:p w14:paraId="1B8C300E">
      <w:pPr>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color w:val="000000"/>
          <w:kern w:val="0"/>
          <w:szCs w:val="32"/>
          <w:highlight w:val="none"/>
          <w:shd w:val="clear" w:color="auto" w:fill="FFFFFF"/>
          <w:lang w:val="en-US" w:eastAsia="zh-CN"/>
        </w:rPr>
      </w:pPr>
      <w:r>
        <w:rPr>
          <w:rFonts w:hint="eastAsia" w:ascii="Times New Roman" w:hAnsi="Times New Roman" w:cs="Times New Roman"/>
          <w:color w:val="000000"/>
          <w:kern w:val="0"/>
          <w:szCs w:val="32"/>
          <w:highlight w:val="none"/>
          <w:shd w:val="clear" w:color="auto" w:fill="FFFFFF"/>
          <w:lang w:val="en-US" w:eastAsia="zh-CN"/>
        </w:rPr>
        <w:t>根据评分标准，该项指标不扣分，得5分。</w:t>
      </w:r>
    </w:p>
    <w:p w14:paraId="0539191E">
      <w:pPr>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highlight w:val="none"/>
          <w:lang w:val="en-US" w:eastAsia="zh-CN"/>
        </w:rPr>
      </w:pPr>
      <w:r>
        <w:rPr>
          <w:rFonts w:hint="eastAsia" w:ascii="Times New Roman" w:hAnsi="Times New Roman" w:cs="Times New Roman"/>
          <w:color w:val="000000"/>
          <w:kern w:val="0"/>
          <w:szCs w:val="32"/>
          <w:highlight w:val="none"/>
          <w:shd w:val="clear" w:color="auto" w:fill="FFFFFF"/>
          <w:lang w:val="en-US" w:eastAsia="zh-CN"/>
        </w:rPr>
        <w:t>综上，根据评分标准，我局履职效能指标</w:t>
      </w:r>
      <w:r>
        <w:rPr>
          <w:rFonts w:hint="eastAsia" w:cs="Times New Roman"/>
          <w:color w:val="000000"/>
          <w:kern w:val="0"/>
          <w:szCs w:val="32"/>
          <w:highlight w:val="none"/>
          <w:shd w:val="clear" w:color="auto" w:fill="FFFFFF"/>
          <w:lang w:val="en-US" w:eastAsia="zh-CN"/>
        </w:rPr>
        <w:t>扣2分</w:t>
      </w:r>
      <w:r>
        <w:rPr>
          <w:rFonts w:hint="eastAsia" w:ascii="Times New Roman" w:hAnsi="Times New Roman" w:cs="Times New Roman"/>
          <w:color w:val="000000"/>
          <w:kern w:val="0"/>
          <w:szCs w:val="32"/>
          <w:highlight w:val="none"/>
          <w:shd w:val="clear" w:color="auto" w:fill="FFFFFF"/>
          <w:lang w:val="en-US" w:eastAsia="zh-CN"/>
        </w:rPr>
        <w:t>，得</w:t>
      </w:r>
      <w:r>
        <w:rPr>
          <w:rFonts w:hint="eastAsia" w:cs="Times New Roman"/>
          <w:color w:val="000000"/>
          <w:kern w:val="0"/>
          <w:szCs w:val="32"/>
          <w:highlight w:val="none"/>
          <w:shd w:val="clear" w:color="auto" w:fill="FFFFFF"/>
          <w:lang w:val="en-US" w:eastAsia="zh-CN"/>
        </w:rPr>
        <w:t>13</w:t>
      </w:r>
      <w:r>
        <w:rPr>
          <w:rFonts w:hint="eastAsia" w:ascii="Times New Roman" w:hAnsi="Times New Roman" w:cs="Times New Roman"/>
          <w:color w:val="000000"/>
          <w:kern w:val="0"/>
          <w:szCs w:val="32"/>
          <w:highlight w:val="none"/>
          <w:shd w:val="clear" w:color="auto" w:fill="FFFFFF"/>
          <w:lang w:val="en-US" w:eastAsia="zh-CN"/>
        </w:rPr>
        <w:t>分</w:t>
      </w:r>
      <w:r>
        <w:rPr>
          <w:rFonts w:hint="eastAsia" w:ascii="Times New Roman" w:hAnsi="Times New Roman"/>
          <w:highlight w:val="none"/>
          <w:lang w:val="en-US" w:eastAsia="zh-CN"/>
        </w:rPr>
        <w:t>。</w:t>
      </w:r>
    </w:p>
    <w:p w14:paraId="1B9A4854">
      <w:pPr>
        <w:pageBreakBefore w:val="0"/>
        <w:widowControl w:val="0"/>
        <w:kinsoku/>
        <w:wordWrap/>
        <w:overflowPunct/>
        <w:topLinePunct w:val="0"/>
        <w:autoSpaceDE/>
        <w:autoSpaceDN/>
        <w:bidi w:val="0"/>
        <w:adjustRightInd/>
        <w:snapToGrid/>
        <w:spacing w:line="600" w:lineRule="exact"/>
        <w:textAlignment w:val="auto"/>
        <w:outlineLvl w:val="2"/>
        <w:rPr>
          <w:rFonts w:hint="eastAsia" w:ascii="Times New Roman" w:hAnsi="Times New Roman" w:eastAsia="楷体_GB2312" w:cs="楷体_GB2312"/>
          <w:color w:val="000000"/>
          <w:kern w:val="0"/>
          <w:szCs w:val="32"/>
          <w:highlight w:val="none"/>
          <w:shd w:val="clear" w:color="auto" w:fill="FFFFFF"/>
          <w:lang w:val="zh-CN"/>
        </w:rPr>
      </w:pPr>
      <w:r>
        <w:rPr>
          <w:rFonts w:hint="default" w:ascii="Times New Roman" w:hAnsi="Times New Roman" w:eastAsia="楷体_GB2312" w:cs="Times New Roman"/>
          <w:color w:val="000000"/>
          <w:kern w:val="0"/>
          <w:szCs w:val="32"/>
          <w:highlight w:val="none"/>
          <w:shd w:val="clear" w:color="auto" w:fill="FFFFFF"/>
          <w:lang w:val="en-US" w:eastAsia="zh-CN"/>
        </w:rPr>
        <w:t>2</w:t>
      </w:r>
      <w:r>
        <w:rPr>
          <w:rFonts w:hint="eastAsia" w:ascii="Times New Roman" w:hAnsi="Times New Roman" w:eastAsia="楷体_GB2312" w:cs="楷体_GB2312"/>
          <w:color w:val="000000"/>
          <w:kern w:val="0"/>
          <w:szCs w:val="32"/>
          <w:highlight w:val="none"/>
          <w:shd w:val="clear" w:color="auto" w:fill="FFFFFF"/>
          <w:lang w:val="en-US" w:eastAsia="zh-CN"/>
        </w:rPr>
        <w:t>.</w:t>
      </w:r>
      <w:r>
        <w:rPr>
          <w:rFonts w:hint="default" w:ascii="Times New Roman" w:hAnsi="Times New Roman" w:eastAsia="楷体_GB2312" w:cs="楷体_GB2312"/>
          <w:color w:val="000000"/>
          <w:kern w:val="0"/>
          <w:szCs w:val="32"/>
          <w:highlight w:val="none"/>
          <w:shd w:val="clear" w:color="auto" w:fill="FFFFFF"/>
          <w:lang w:val="zh-CN"/>
        </w:rPr>
        <w:t>预算管理</w:t>
      </w:r>
    </w:p>
    <w:p w14:paraId="27A8B246">
      <w:pPr>
        <w:pageBreakBefore w:val="0"/>
        <w:widowControl w:val="0"/>
        <w:kinsoku/>
        <w:wordWrap/>
        <w:overflowPunct/>
        <w:topLinePunct w:val="0"/>
        <w:autoSpaceDE/>
        <w:autoSpaceDN/>
        <w:bidi w:val="0"/>
        <w:adjustRightInd/>
        <w:snapToGrid/>
        <w:spacing w:line="600" w:lineRule="exact"/>
        <w:textAlignment w:val="auto"/>
        <w:outlineLvl w:val="3"/>
        <w:rPr>
          <w:rFonts w:hint="eastAsia" w:ascii="Times New Roman" w:hAnsi="Times New Roman"/>
          <w:highlight w:val="none"/>
          <w:lang w:val="zh-CN"/>
        </w:rPr>
      </w:pPr>
      <w:r>
        <w:rPr>
          <w:rFonts w:hint="eastAsia" w:ascii="Times New Roman" w:hAnsi="Times New Roman"/>
          <w:highlight w:val="none"/>
          <w:lang w:val="zh-CN"/>
        </w:rPr>
        <w:t>（</w:t>
      </w:r>
      <w:r>
        <w:rPr>
          <w:rFonts w:hint="default" w:ascii="Times New Roman" w:hAnsi="Times New Roman" w:cs="Times New Roman"/>
          <w:highlight w:val="none"/>
          <w:lang w:val="en-US" w:eastAsia="zh-CN"/>
        </w:rPr>
        <w:t>1</w:t>
      </w:r>
      <w:r>
        <w:rPr>
          <w:rFonts w:hint="eastAsia" w:ascii="Times New Roman" w:hAnsi="Times New Roman"/>
          <w:highlight w:val="none"/>
          <w:lang w:val="zh-CN"/>
        </w:rPr>
        <w:t>）预算编制质量</w:t>
      </w:r>
    </w:p>
    <w:p w14:paraId="1DFDD2B4">
      <w:pPr>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highlight w:val="none"/>
          <w:lang w:val="en-US" w:eastAsia="zh-CN"/>
        </w:rPr>
      </w:pPr>
      <w:r>
        <w:rPr>
          <w:rFonts w:hint="eastAsia" w:ascii="Times New Roman" w:hAnsi="Times New Roman" w:eastAsia="仿宋_GB2312" w:cs="Times New Roman"/>
          <w:kern w:val="2"/>
          <w:sz w:val="32"/>
          <w:szCs w:val="24"/>
          <w:highlight w:val="none"/>
          <w:lang w:val="en-US" w:eastAsia="zh-CN" w:bidi="ar-SA"/>
        </w:rPr>
        <w:t>2025</w:t>
      </w:r>
      <w:r>
        <w:rPr>
          <w:rFonts w:hint="eastAsia" w:ascii="Times New Roman" w:hAnsi="Times New Roman"/>
          <w:highlight w:val="none"/>
          <w:lang w:val="en-US" w:eastAsia="zh-CN"/>
        </w:rPr>
        <w:t>年我局严格按照相关要求编制年初部门预算，根据</w:t>
      </w:r>
      <w:r>
        <w:rPr>
          <w:rFonts w:hint="eastAsia" w:ascii="Times New Roman" w:hAnsi="Times New Roman" w:eastAsia="仿宋_GB2312" w:cs="Times New Roman"/>
          <w:kern w:val="2"/>
          <w:sz w:val="32"/>
          <w:szCs w:val="24"/>
          <w:highlight w:val="none"/>
          <w:lang w:val="en-US" w:eastAsia="zh-CN" w:bidi="ar-SA"/>
        </w:rPr>
        <w:t>2025</w:t>
      </w:r>
      <w:r>
        <w:rPr>
          <w:rFonts w:hint="eastAsia" w:ascii="Times New Roman" w:hAnsi="Times New Roman"/>
          <w:highlight w:val="none"/>
          <w:lang w:val="en-US" w:eastAsia="zh-CN"/>
        </w:rPr>
        <w:t>年度预算执行情况，部门预算偏离程度如下：</w:t>
      </w:r>
    </w:p>
    <w:p w14:paraId="4104091C">
      <w:pPr>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highlight w:val="none"/>
          <w:lang w:val="en-US" w:eastAsia="zh-CN"/>
        </w:rPr>
      </w:pPr>
      <w:r>
        <w:rPr>
          <w:rFonts w:hint="default" w:ascii="Times New Roman" w:hAnsi="Times New Roman" w:cs="Times New Roman"/>
          <w:highlight w:val="none"/>
          <w:lang w:val="en-US" w:eastAsia="zh-CN"/>
        </w:rPr>
        <w:t>①</w:t>
      </w:r>
      <w:r>
        <w:rPr>
          <w:rFonts w:hint="eastAsia" w:ascii="Times New Roman" w:hAnsi="Times New Roman"/>
          <w:highlight w:val="none"/>
          <w:lang w:val="en-US" w:eastAsia="zh-CN"/>
        </w:rPr>
        <w:t>财政拨款预算偏离度=|预算执行数-年初预算数|÷年初预算数=|6,504.94-5,473.70|÷5,473.70×</w:t>
      </w:r>
      <w:r>
        <w:rPr>
          <w:rFonts w:hint="eastAsia" w:ascii="Times New Roman" w:hAnsi="Times New Roman" w:cs="Times New Roman"/>
          <w:color w:val="auto"/>
          <w:highlight w:val="none"/>
          <w:lang w:val="en-US" w:eastAsia="zh-CN"/>
        </w:rPr>
        <w:t>100%=18.84</w:t>
      </w:r>
      <w:r>
        <w:rPr>
          <w:rFonts w:hint="eastAsia" w:ascii="Times New Roman" w:hAnsi="Times New Roman" w:cs="Times New Roman"/>
          <w:highlight w:val="none"/>
          <w:lang w:val="en-US" w:eastAsia="zh-CN"/>
        </w:rPr>
        <w:t>%</w:t>
      </w:r>
      <w:r>
        <w:rPr>
          <w:rFonts w:hint="eastAsia" w:ascii="Times New Roman" w:hAnsi="Times New Roman"/>
          <w:highlight w:val="none"/>
          <w:lang w:val="en-US" w:eastAsia="zh-CN"/>
        </w:rPr>
        <w:t>。</w:t>
      </w:r>
    </w:p>
    <w:p w14:paraId="65F83ADB">
      <w:pPr>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highlight w:val="none"/>
          <w:lang w:val="en-US" w:eastAsia="zh-CN"/>
        </w:rPr>
        <w:t>②</w:t>
      </w:r>
      <w:r>
        <w:rPr>
          <w:rFonts w:hint="eastAsia" w:ascii="Times New Roman" w:hAnsi="Times New Roman" w:cs="Times New Roman"/>
          <w:highlight w:val="none"/>
          <w:lang w:val="en-US" w:eastAsia="zh-CN"/>
        </w:rPr>
        <w:t>资</w:t>
      </w:r>
      <w:r>
        <w:rPr>
          <w:rFonts w:hint="eastAsia" w:ascii="Times New Roman" w:hAnsi="Times New Roman"/>
          <w:highlight w:val="none"/>
          <w:lang w:val="en-US" w:eastAsia="zh-CN"/>
        </w:rPr>
        <w:t>产配置预算偏离度=|预算执行数-年初预算数|÷年初预算数=|4.69-0.00|÷0.00×</w:t>
      </w:r>
      <w:r>
        <w:rPr>
          <w:rFonts w:hint="eastAsia" w:ascii="Times New Roman" w:hAnsi="Times New Roman" w:cs="Times New Roman"/>
          <w:color w:val="auto"/>
          <w:highlight w:val="none"/>
          <w:lang w:val="en-US" w:eastAsia="zh-CN"/>
        </w:rPr>
        <w:t>100%=100%。</w:t>
      </w:r>
    </w:p>
    <w:p w14:paraId="0CBE40EC">
      <w:pPr>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color w:val="auto"/>
          <w:highlight w:val="none"/>
          <w:lang w:val="en-US" w:eastAsia="zh-CN"/>
        </w:rPr>
      </w:pPr>
      <w:r>
        <w:rPr>
          <w:rFonts w:hint="default" w:ascii="Times New Roman" w:hAnsi="Times New Roman"/>
          <w:highlight w:val="none"/>
          <w:lang w:val="en-US" w:eastAsia="zh-CN"/>
        </w:rPr>
        <w:t>③</w:t>
      </w:r>
      <w:r>
        <w:rPr>
          <w:rFonts w:hint="eastAsia" w:ascii="Times New Roman" w:hAnsi="Times New Roman"/>
          <w:highlight w:val="none"/>
          <w:lang w:val="en-US" w:eastAsia="zh-CN"/>
        </w:rPr>
        <w:t>政府采购预算偏离度=|预算执行数-年初预算数|÷年初预算数=|</w:t>
      </w:r>
      <w:r>
        <w:rPr>
          <w:rFonts w:hint="eastAsia" w:ascii="Times New Roman" w:hAnsi="Times New Roman" w:cs="Times New Roman"/>
          <w:color w:val="auto"/>
          <w:highlight w:val="none"/>
          <w:lang w:val="en-US" w:eastAsia="zh-CN"/>
        </w:rPr>
        <w:t>431.56</w:t>
      </w:r>
      <w:r>
        <w:rPr>
          <w:rFonts w:hint="eastAsia" w:ascii="Times New Roman" w:hAnsi="Times New Roman"/>
          <w:highlight w:val="none"/>
          <w:lang w:val="en-US" w:eastAsia="zh-CN"/>
        </w:rPr>
        <w:t>-359.60|÷359.60×</w:t>
      </w:r>
      <w:r>
        <w:rPr>
          <w:rFonts w:hint="eastAsia" w:ascii="Times New Roman" w:hAnsi="Times New Roman" w:cs="Times New Roman"/>
          <w:color w:val="auto"/>
          <w:highlight w:val="none"/>
          <w:lang w:val="en-US" w:eastAsia="zh-CN"/>
        </w:rPr>
        <w:t>100%=20.01%。</w:t>
      </w:r>
    </w:p>
    <w:p w14:paraId="4DF0DBAE">
      <w:pPr>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highlight w:val="none"/>
          <w:lang w:val="en-US" w:eastAsia="zh-CN"/>
        </w:rPr>
      </w:pPr>
      <w:r>
        <w:rPr>
          <w:rFonts w:hint="eastAsia" w:ascii="Times New Roman" w:hAnsi="Times New Roman"/>
          <w:highlight w:val="none"/>
          <w:lang w:val="en-US" w:eastAsia="zh-CN"/>
        </w:rPr>
        <w:t>综上，该项指标得分=（1-财政拨款预算偏离度）×100%×4+（1-资产配置预算偏离度）×100%×2+（1-政府采购预算偏离度）×100%×2=4.85。</w:t>
      </w:r>
    </w:p>
    <w:p w14:paraId="62002850">
      <w:pPr>
        <w:rPr>
          <w:rFonts w:hint="eastAsia" w:ascii="Times New Roman" w:hAnsi="Times New Roman"/>
          <w:color w:val="auto"/>
          <w:highlight w:val="none"/>
          <w:lang w:val="en-US" w:eastAsia="zh-CN"/>
        </w:rPr>
      </w:pPr>
      <w:r>
        <w:rPr>
          <w:rFonts w:hint="default" w:ascii="Times New Roman" w:hAnsi="Times New Roman"/>
          <w:highlight w:val="none"/>
          <w:lang w:val="en-US" w:eastAsia="zh-CN"/>
        </w:rPr>
        <w:t>根据评分标准，该项指标扣3.15分，得4.85分。</w:t>
      </w:r>
    </w:p>
    <w:p w14:paraId="716EE25E">
      <w:pPr>
        <w:pageBreakBefore w:val="0"/>
        <w:widowControl w:val="0"/>
        <w:kinsoku/>
        <w:wordWrap/>
        <w:overflowPunct/>
        <w:topLinePunct w:val="0"/>
        <w:autoSpaceDE/>
        <w:autoSpaceDN/>
        <w:bidi w:val="0"/>
        <w:adjustRightInd/>
        <w:snapToGrid/>
        <w:spacing w:line="600" w:lineRule="exact"/>
        <w:textAlignment w:val="auto"/>
        <w:outlineLvl w:val="3"/>
        <w:rPr>
          <w:rFonts w:hint="default" w:ascii="Times New Roman" w:hAnsi="Times New Roman"/>
          <w:highlight w:val="none"/>
          <w:lang w:val="en-US" w:eastAsia="zh-CN"/>
        </w:rPr>
      </w:pPr>
      <w:r>
        <w:rPr>
          <w:rFonts w:hint="eastAsia" w:ascii="Times New Roman" w:hAnsi="Times New Roman"/>
          <w:highlight w:val="none"/>
          <w:lang w:val="en-US" w:eastAsia="zh-CN"/>
        </w:rPr>
        <w:t>（</w:t>
      </w:r>
      <w:r>
        <w:rPr>
          <w:rFonts w:hint="default" w:ascii="Times New Roman" w:hAnsi="Times New Roman" w:cs="Times New Roman"/>
          <w:highlight w:val="none"/>
          <w:lang w:val="en-US" w:eastAsia="zh-CN"/>
        </w:rPr>
        <w:t>2</w:t>
      </w:r>
      <w:r>
        <w:rPr>
          <w:rFonts w:hint="eastAsia" w:ascii="Times New Roman" w:hAnsi="Times New Roman"/>
          <w:highlight w:val="none"/>
          <w:lang w:val="en-US" w:eastAsia="zh-CN"/>
        </w:rPr>
        <w:t>）单位收入统筹</w:t>
      </w:r>
    </w:p>
    <w:p w14:paraId="64E353E5">
      <w:pPr>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highlight w:val="none"/>
          <w:lang w:val="en-US" w:eastAsia="zh-CN"/>
        </w:rPr>
      </w:pPr>
      <w:r>
        <w:rPr>
          <w:rFonts w:hint="eastAsia" w:ascii="Times New Roman" w:hAnsi="Times New Roman"/>
          <w:highlight w:val="none"/>
          <w:lang w:val="en-US" w:eastAsia="zh-CN"/>
        </w:rPr>
        <w:t>我局属于财政全额拨款单位，无自有收入，故不涉及此项考核。</w:t>
      </w:r>
    </w:p>
    <w:p w14:paraId="6AF06724">
      <w:pPr>
        <w:keepNext w:val="0"/>
        <w:keepLines w:val="0"/>
        <w:pageBreakBefore w:val="0"/>
        <w:widowControl w:val="0"/>
        <w:kinsoku/>
        <w:wordWrap/>
        <w:overflowPunct/>
        <w:topLinePunct w:val="0"/>
        <w:autoSpaceDE/>
        <w:autoSpaceDN/>
        <w:bidi w:val="0"/>
        <w:adjustRightInd/>
        <w:snapToGrid/>
        <w:spacing w:line="600" w:lineRule="exact"/>
        <w:textAlignment w:val="auto"/>
        <w:outlineLvl w:val="9"/>
        <w:rPr>
          <w:rFonts w:hint="eastAsia" w:ascii="Times New Roman" w:hAnsi="Times New Roman" w:cs="Times New Roman"/>
          <w:kern w:val="2"/>
          <w:sz w:val="32"/>
          <w:szCs w:val="24"/>
          <w:highlight w:val="none"/>
          <w:lang w:val="en-US" w:eastAsia="zh-CN" w:bidi="ar-SA"/>
        </w:rPr>
      </w:pPr>
      <w:r>
        <w:rPr>
          <w:rFonts w:hint="default" w:ascii="Times New Roman" w:hAnsi="Times New Roman"/>
          <w:highlight w:val="none"/>
          <w:lang w:val="en-US" w:eastAsia="zh-CN"/>
        </w:rPr>
        <w:t>根据评分标准，该项指标</w:t>
      </w:r>
      <w:r>
        <w:rPr>
          <w:rFonts w:hint="eastAsia" w:ascii="Times New Roman" w:hAnsi="Times New Roman" w:cs="Times New Roman"/>
          <w:kern w:val="2"/>
          <w:sz w:val="32"/>
          <w:szCs w:val="24"/>
          <w:highlight w:val="none"/>
          <w:lang w:val="en-US" w:eastAsia="zh-CN" w:bidi="ar-SA"/>
        </w:rPr>
        <w:t>不扣分，得4分。</w:t>
      </w:r>
    </w:p>
    <w:p w14:paraId="6F8F5B81">
      <w:pPr>
        <w:pageBreakBefore w:val="0"/>
        <w:widowControl w:val="0"/>
        <w:kinsoku/>
        <w:wordWrap/>
        <w:overflowPunct/>
        <w:topLinePunct w:val="0"/>
        <w:autoSpaceDE/>
        <w:autoSpaceDN/>
        <w:bidi w:val="0"/>
        <w:adjustRightInd/>
        <w:snapToGrid/>
        <w:spacing w:line="600" w:lineRule="exact"/>
        <w:textAlignment w:val="auto"/>
        <w:outlineLvl w:val="3"/>
        <w:rPr>
          <w:rFonts w:hint="eastAsia" w:ascii="Times New Roman" w:hAnsi="Times New Roman"/>
          <w:highlight w:val="none"/>
          <w:lang w:val="en-US" w:eastAsia="zh-CN"/>
        </w:rPr>
      </w:pPr>
      <w:r>
        <w:rPr>
          <w:rFonts w:hint="eastAsia" w:ascii="Times New Roman" w:hAnsi="Times New Roman"/>
          <w:highlight w:val="none"/>
          <w:lang w:val="en-US" w:eastAsia="zh-CN"/>
        </w:rPr>
        <w:t>（</w:t>
      </w:r>
      <w:r>
        <w:rPr>
          <w:rFonts w:hint="default" w:ascii="Times New Roman" w:hAnsi="Times New Roman" w:cs="Times New Roman"/>
          <w:highlight w:val="none"/>
          <w:lang w:val="en-US" w:eastAsia="zh-CN"/>
        </w:rPr>
        <w:t>3</w:t>
      </w:r>
      <w:r>
        <w:rPr>
          <w:rFonts w:hint="eastAsia" w:ascii="Times New Roman" w:hAnsi="Times New Roman"/>
          <w:highlight w:val="none"/>
          <w:lang w:val="en-US" w:eastAsia="zh-CN"/>
        </w:rPr>
        <w:t>）支出执行进度</w:t>
      </w:r>
    </w:p>
    <w:p w14:paraId="67BAF0AA">
      <w:pPr>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highlight w:val="none"/>
          <w:lang w:val="en-US" w:eastAsia="zh-CN"/>
        </w:rPr>
      </w:pPr>
      <w:r>
        <w:rPr>
          <w:rFonts w:hint="eastAsia" w:ascii="Times New Roman" w:hAnsi="Times New Roman" w:eastAsia="仿宋_GB2312" w:cs="Times New Roman"/>
          <w:kern w:val="2"/>
          <w:sz w:val="32"/>
          <w:szCs w:val="24"/>
          <w:highlight w:val="none"/>
          <w:lang w:val="en-US" w:eastAsia="zh-CN" w:bidi="ar-SA"/>
        </w:rPr>
        <w:t>2025</w:t>
      </w:r>
      <w:r>
        <w:rPr>
          <w:rFonts w:hint="eastAsia" w:ascii="Times New Roman" w:hAnsi="Times New Roman"/>
          <w:highlight w:val="none"/>
          <w:lang w:val="en-US" w:eastAsia="zh-CN"/>
        </w:rPr>
        <w:t>年我局全年预算数为</w:t>
      </w:r>
      <w:r>
        <w:rPr>
          <w:rFonts w:hint="eastAsia" w:ascii="Times New Roman" w:hAnsi="Times New Roman" w:cs="Times New Roman"/>
          <w:highlight w:val="none"/>
          <w:lang w:val="en-US" w:eastAsia="zh-CN"/>
        </w:rPr>
        <w:t>6,504.94</w:t>
      </w:r>
      <w:r>
        <w:rPr>
          <w:rFonts w:hint="eastAsia" w:ascii="Times New Roman" w:hAnsi="Times New Roman"/>
          <w:highlight w:val="none"/>
          <w:lang w:val="en-US" w:eastAsia="zh-CN"/>
        </w:rPr>
        <w:t>万元，</w:t>
      </w:r>
      <w:r>
        <w:rPr>
          <w:rFonts w:hint="default" w:ascii="Times New Roman" w:hAnsi="Times New Roman" w:cs="Times New Roman"/>
          <w:highlight w:val="none"/>
          <w:lang w:val="en-US" w:eastAsia="zh-CN"/>
        </w:rPr>
        <w:t>1</w:t>
      </w:r>
      <w:r>
        <w:rPr>
          <w:rFonts w:hint="eastAsia" w:ascii="Times New Roman" w:hAnsi="Times New Roman"/>
          <w:highlight w:val="none"/>
          <w:lang w:val="en-US" w:eastAsia="zh-CN"/>
        </w:rPr>
        <w:t>至</w:t>
      </w:r>
      <w:r>
        <w:rPr>
          <w:rFonts w:hint="default" w:ascii="Times New Roman" w:hAnsi="Times New Roman" w:cs="Times New Roman"/>
          <w:highlight w:val="none"/>
          <w:lang w:val="en-US" w:eastAsia="zh-CN"/>
        </w:rPr>
        <w:t>6</w:t>
      </w:r>
      <w:r>
        <w:rPr>
          <w:rFonts w:hint="eastAsia" w:ascii="Times New Roman" w:hAnsi="Times New Roman"/>
          <w:highlight w:val="none"/>
          <w:lang w:val="en-US" w:eastAsia="zh-CN"/>
        </w:rPr>
        <w:t>月预算执行数为</w:t>
      </w:r>
      <w:r>
        <w:rPr>
          <w:rFonts w:hint="eastAsia" w:ascii="Times New Roman" w:hAnsi="Times New Roman" w:cs="Times New Roman"/>
          <w:highlight w:val="none"/>
          <w:lang w:val="en-US" w:eastAsia="zh-CN"/>
        </w:rPr>
        <w:t>6,525.99</w:t>
      </w:r>
      <w:r>
        <w:rPr>
          <w:rFonts w:hint="eastAsia" w:ascii="Times New Roman" w:hAnsi="Times New Roman"/>
          <w:highlight w:val="none"/>
          <w:lang w:val="en-US" w:eastAsia="zh-CN"/>
        </w:rPr>
        <w:t>万元，支出预警金额</w:t>
      </w:r>
      <w:r>
        <w:rPr>
          <w:rFonts w:hint="eastAsia" w:ascii="Times New Roman" w:hAnsi="Times New Roman"/>
          <w:color w:val="auto"/>
          <w:highlight w:val="none"/>
          <w:lang w:val="en-US" w:eastAsia="zh-CN"/>
        </w:rPr>
        <w:t>为</w:t>
      </w:r>
      <w:r>
        <w:rPr>
          <w:rFonts w:hint="eastAsia" w:ascii="Times New Roman" w:hAnsi="Times New Roman" w:cs="Times New Roman"/>
          <w:color w:val="auto"/>
          <w:highlight w:val="none"/>
          <w:lang w:val="en-US" w:eastAsia="zh-CN"/>
        </w:rPr>
        <w:t>0</w:t>
      </w:r>
      <w:r>
        <w:rPr>
          <w:rFonts w:hint="eastAsia" w:ascii="Times New Roman" w:hAnsi="Times New Roman"/>
          <w:color w:val="auto"/>
          <w:highlight w:val="none"/>
          <w:lang w:val="en-US" w:eastAsia="zh-CN"/>
        </w:rPr>
        <w:t>万元</w:t>
      </w:r>
      <w:r>
        <w:rPr>
          <w:rFonts w:hint="eastAsia" w:ascii="Times New Roman" w:hAnsi="Times New Roman"/>
          <w:highlight w:val="none"/>
          <w:lang w:val="en-US" w:eastAsia="zh-CN"/>
        </w:rPr>
        <w:t>，支出预警金额占比为</w:t>
      </w:r>
      <w:r>
        <w:rPr>
          <w:rFonts w:hint="eastAsia" w:ascii="Times New Roman" w:hAnsi="Times New Roman" w:cs="Times New Roman"/>
          <w:highlight w:val="none"/>
          <w:lang w:val="en-US" w:eastAsia="zh-CN"/>
        </w:rPr>
        <w:t>0</w:t>
      </w:r>
      <w:r>
        <w:rPr>
          <w:rFonts w:hint="eastAsia" w:ascii="Times New Roman" w:hAnsi="Times New Roman"/>
          <w:highlight w:val="none"/>
          <w:lang w:val="en-US" w:eastAsia="zh-CN"/>
        </w:rPr>
        <w:t>%，支出违规金额</w:t>
      </w:r>
      <w:r>
        <w:rPr>
          <w:rFonts w:hint="eastAsia" w:ascii="Times New Roman" w:hAnsi="Times New Roman"/>
          <w:color w:val="auto"/>
          <w:highlight w:val="none"/>
          <w:lang w:val="en-US" w:eastAsia="zh-CN"/>
        </w:rPr>
        <w:t>为</w:t>
      </w:r>
      <w:r>
        <w:rPr>
          <w:rFonts w:hint="eastAsia" w:ascii="Times New Roman" w:hAnsi="Times New Roman" w:cs="Times New Roman"/>
          <w:color w:val="auto"/>
          <w:highlight w:val="none"/>
          <w:lang w:val="en-US" w:eastAsia="zh-CN"/>
        </w:rPr>
        <w:t>0</w:t>
      </w:r>
      <w:r>
        <w:rPr>
          <w:rFonts w:hint="eastAsia" w:ascii="Times New Roman" w:hAnsi="Times New Roman"/>
          <w:color w:val="auto"/>
          <w:highlight w:val="none"/>
          <w:lang w:val="en-US" w:eastAsia="zh-CN"/>
        </w:rPr>
        <w:t>万元，支出违规金额占</w:t>
      </w:r>
      <w:r>
        <w:rPr>
          <w:rFonts w:hint="eastAsia" w:ascii="Times New Roman" w:hAnsi="Times New Roman"/>
          <w:highlight w:val="none"/>
          <w:lang w:val="en-US" w:eastAsia="zh-CN"/>
        </w:rPr>
        <w:t>比为</w:t>
      </w:r>
      <w:r>
        <w:rPr>
          <w:rFonts w:hint="eastAsia" w:ascii="Times New Roman" w:hAnsi="Times New Roman" w:cs="Times New Roman"/>
          <w:highlight w:val="none"/>
          <w:lang w:val="en-US" w:eastAsia="zh-CN"/>
        </w:rPr>
        <w:t>0</w:t>
      </w:r>
      <w:r>
        <w:rPr>
          <w:rFonts w:hint="eastAsia" w:ascii="Times New Roman" w:hAnsi="Times New Roman"/>
          <w:highlight w:val="none"/>
          <w:lang w:val="en-US" w:eastAsia="zh-CN"/>
        </w:rPr>
        <w:t>%。</w:t>
      </w:r>
    </w:p>
    <w:p w14:paraId="32853957">
      <w:pPr>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highlight w:val="none"/>
          <w:lang w:val="en-US" w:eastAsia="zh-CN"/>
        </w:rPr>
      </w:pPr>
      <w:r>
        <w:rPr>
          <w:rFonts w:hint="default" w:ascii="Times New Roman" w:hAnsi="Times New Roman" w:cs="Times New Roman"/>
          <w:highlight w:val="none"/>
          <w:lang w:val="en-US" w:eastAsia="zh-CN"/>
        </w:rPr>
        <w:t>1</w:t>
      </w:r>
      <w:r>
        <w:rPr>
          <w:rFonts w:hint="eastAsia" w:ascii="Times New Roman" w:hAnsi="Times New Roman"/>
          <w:highlight w:val="none"/>
          <w:lang w:val="en-US" w:eastAsia="zh-CN"/>
        </w:rPr>
        <w:t>至</w:t>
      </w:r>
      <w:r>
        <w:rPr>
          <w:rFonts w:hint="default" w:ascii="Times New Roman" w:hAnsi="Times New Roman" w:cs="Times New Roman"/>
          <w:highlight w:val="none"/>
          <w:lang w:val="en-US" w:eastAsia="zh-CN"/>
        </w:rPr>
        <w:t>10</w:t>
      </w:r>
      <w:r>
        <w:rPr>
          <w:rFonts w:hint="eastAsia" w:ascii="Times New Roman" w:hAnsi="Times New Roman"/>
          <w:highlight w:val="none"/>
          <w:lang w:val="en-US" w:eastAsia="zh-CN"/>
        </w:rPr>
        <w:t>月预算执行数为</w:t>
      </w:r>
      <w:r>
        <w:rPr>
          <w:rFonts w:hint="eastAsia" w:ascii="Times New Roman" w:hAnsi="Times New Roman" w:cs="Times New Roman"/>
          <w:highlight w:val="none"/>
          <w:lang w:val="en-US" w:eastAsia="zh-CN"/>
        </w:rPr>
        <w:t>6,542.46</w:t>
      </w:r>
      <w:r>
        <w:rPr>
          <w:rFonts w:hint="eastAsia" w:ascii="Times New Roman" w:hAnsi="Times New Roman"/>
          <w:highlight w:val="none"/>
          <w:lang w:val="en-US" w:eastAsia="zh-CN"/>
        </w:rPr>
        <w:t>万元，支出预警金额</w:t>
      </w:r>
      <w:r>
        <w:rPr>
          <w:rFonts w:hint="eastAsia" w:ascii="Times New Roman" w:hAnsi="Times New Roman"/>
          <w:color w:val="auto"/>
          <w:highlight w:val="none"/>
          <w:lang w:val="en-US" w:eastAsia="zh-CN"/>
        </w:rPr>
        <w:t>为</w:t>
      </w:r>
      <w:r>
        <w:rPr>
          <w:rFonts w:hint="eastAsia" w:ascii="Times New Roman" w:hAnsi="Times New Roman" w:cs="Times New Roman"/>
          <w:color w:val="auto"/>
          <w:highlight w:val="none"/>
          <w:lang w:val="en-US" w:eastAsia="zh-CN"/>
        </w:rPr>
        <w:t>0</w:t>
      </w:r>
      <w:r>
        <w:rPr>
          <w:rFonts w:hint="eastAsia" w:ascii="Times New Roman" w:hAnsi="Times New Roman"/>
          <w:color w:val="auto"/>
          <w:highlight w:val="none"/>
          <w:lang w:val="en-US" w:eastAsia="zh-CN"/>
        </w:rPr>
        <w:t>万元</w:t>
      </w:r>
      <w:r>
        <w:rPr>
          <w:rFonts w:hint="eastAsia" w:ascii="Times New Roman" w:hAnsi="Times New Roman"/>
          <w:highlight w:val="none"/>
          <w:lang w:val="en-US" w:eastAsia="zh-CN"/>
        </w:rPr>
        <w:t>，支出预警金额占比为</w:t>
      </w:r>
      <w:r>
        <w:rPr>
          <w:rFonts w:hint="eastAsia" w:ascii="Times New Roman" w:hAnsi="Times New Roman" w:cs="Times New Roman"/>
          <w:highlight w:val="none"/>
          <w:lang w:val="en-US" w:eastAsia="zh-CN"/>
        </w:rPr>
        <w:t>0</w:t>
      </w:r>
      <w:r>
        <w:rPr>
          <w:rFonts w:hint="eastAsia" w:ascii="Times New Roman" w:hAnsi="Times New Roman"/>
          <w:highlight w:val="none"/>
          <w:lang w:val="en-US" w:eastAsia="zh-CN"/>
        </w:rPr>
        <w:t>%，支出违规金额</w:t>
      </w:r>
      <w:r>
        <w:rPr>
          <w:rFonts w:hint="eastAsia" w:ascii="Times New Roman" w:hAnsi="Times New Roman"/>
          <w:color w:val="auto"/>
          <w:highlight w:val="none"/>
          <w:lang w:val="en-US" w:eastAsia="zh-CN"/>
        </w:rPr>
        <w:t>为</w:t>
      </w:r>
      <w:r>
        <w:rPr>
          <w:rFonts w:hint="eastAsia" w:ascii="Times New Roman" w:hAnsi="Times New Roman" w:cs="Times New Roman"/>
          <w:color w:val="auto"/>
          <w:highlight w:val="none"/>
          <w:lang w:val="en-US" w:eastAsia="zh-CN"/>
        </w:rPr>
        <w:t>0</w:t>
      </w:r>
      <w:r>
        <w:rPr>
          <w:rFonts w:hint="eastAsia" w:ascii="Times New Roman" w:hAnsi="Times New Roman"/>
          <w:color w:val="auto"/>
          <w:highlight w:val="none"/>
          <w:lang w:val="en-US" w:eastAsia="zh-CN"/>
        </w:rPr>
        <w:t>万元，支出违规金额占</w:t>
      </w:r>
      <w:r>
        <w:rPr>
          <w:rFonts w:hint="eastAsia" w:ascii="Times New Roman" w:hAnsi="Times New Roman"/>
          <w:highlight w:val="none"/>
          <w:lang w:val="en-US" w:eastAsia="zh-CN"/>
        </w:rPr>
        <w:t>比为</w:t>
      </w:r>
      <w:r>
        <w:rPr>
          <w:rFonts w:hint="eastAsia" w:ascii="Times New Roman" w:hAnsi="Times New Roman" w:cs="Times New Roman"/>
          <w:highlight w:val="none"/>
          <w:lang w:val="en-US" w:eastAsia="zh-CN"/>
        </w:rPr>
        <w:t>0</w:t>
      </w:r>
      <w:r>
        <w:rPr>
          <w:rFonts w:hint="eastAsia" w:ascii="Times New Roman" w:hAnsi="Times New Roman"/>
          <w:highlight w:val="none"/>
          <w:lang w:val="en-US" w:eastAsia="zh-CN"/>
        </w:rPr>
        <w:t>%。</w:t>
      </w:r>
    </w:p>
    <w:p w14:paraId="6B0580CC">
      <w:pPr>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highlight w:val="none"/>
          <w:lang w:val="en-US" w:eastAsia="zh-CN"/>
        </w:rPr>
      </w:pPr>
      <w:r>
        <w:rPr>
          <w:rFonts w:hint="eastAsia" w:ascii="Times New Roman" w:hAnsi="Times New Roman"/>
          <w:highlight w:val="none"/>
          <w:lang w:val="en-US" w:eastAsia="zh-CN"/>
        </w:rPr>
        <w:t>该项得分为该项指标得分=（1至6月预算执行数÷（部门预算数×50%）×4）+（1-1至6月支出预警金额占比×0.8-1至6月支出违规金额占比×0.2）+（1至10月预算执行数÷（部门预算数×83.33%）×2）+（1-1至10月支出预警金额占比×0.8-1至10月支出违规金额占比×0.2）=(6,525.99÷6,504.94×</w:t>
      </w:r>
      <w:r>
        <w:rPr>
          <w:rFonts w:hint="eastAsia" w:ascii="Times New Roman" w:hAnsi="Times New Roman" w:cs="Times New Roman"/>
          <w:color w:val="auto"/>
          <w:highlight w:val="none"/>
          <w:lang w:val="en-US" w:eastAsia="zh-CN"/>
        </w:rPr>
        <w:t>50%</w:t>
      </w:r>
      <w:r>
        <w:rPr>
          <w:rFonts w:hint="eastAsia" w:ascii="Times New Roman" w:hAnsi="Times New Roman"/>
          <w:highlight w:val="none"/>
          <w:lang w:val="en-US" w:eastAsia="zh-CN"/>
        </w:rPr>
        <w:t>×4)+(1-0×</w:t>
      </w:r>
      <w:r>
        <w:rPr>
          <w:rFonts w:hint="eastAsia" w:ascii="Times New Roman" w:hAnsi="Times New Roman" w:cs="Times New Roman"/>
          <w:color w:val="auto"/>
          <w:highlight w:val="none"/>
          <w:lang w:val="en-US" w:eastAsia="zh-CN"/>
        </w:rPr>
        <w:t>0.8</w:t>
      </w:r>
      <w:r>
        <w:rPr>
          <w:rFonts w:hint="eastAsia" w:ascii="Times New Roman" w:hAnsi="Times New Roman"/>
          <w:highlight w:val="none"/>
          <w:lang w:val="en-US" w:eastAsia="zh-CN"/>
        </w:rPr>
        <w:t>-0×</w:t>
      </w:r>
      <w:r>
        <w:rPr>
          <w:rFonts w:hint="eastAsia" w:ascii="Times New Roman" w:hAnsi="Times New Roman" w:cs="Times New Roman"/>
          <w:color w:val="auto"/>
          <w:highlight w:val="none"/>
          <w:lang w:val="en-US" w:eastAsia="zh-CN"/>
        </w:rPr>
        <w:t>0.2</w:t>
      </w:r>
      <w:r>
        <w:rPr>
          <w:rFonts w:hint="eastAsia" w:ascii="Times New Roman" w:hAnsi="Times New Roman"/>
          <w:highlight w:val="none"/>
          <w:lang w:val="en-US" w:eastAsia="zh-CN"/>
        </w:rPr>
        <w:t>)+(6,542.46÷6,504.94×83.33%×2)+(1-0×0.8-0×0.2)=6。</w:t>
      </w:r>
    </w:p>
    <w:p w14:paraId="053F98D8">
      <w:pPr>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highlight w:val="none"/>
          <w:lang w:val="en-US" w:eastAsia="zh-CN"/>
        </w:rPr>
      </w:pPr>
      <w:r>
        <w:rPr>
          <w:rFonts w:hint="default" w:ascii="Times New Roman" w:hAnsi="Times New Roman"/>
          <w:highlight w:val="none"/>
          <w:lang w:val="en-US" w:eastAsia="zh-CN"/>
        </w:rPr>
        <w:t>根据评分标准，该项指标</w:t>
      </w:r>
      <w:r>
        <w:rPr>
          <w:rFonts w:hint="eastAsia" w:ascii="Times New Roman" w:hAnsi="Times New Roman" w:cs="Times New Roman"/>
          <w:kern w:val="2"/>
          <w:sz w:val="32"/>
          <w:szCs w:val="24"/>
          <w:highlight w:val="none"/>
          <w:lang w:val="en-US" w:eastAsia="zh-CN" w:bidi="ar-SA"/>
        </w:rPr>
        <w:t>不扣分，得6分。</w:t>
      </w:r>
    </w:p>
    <w:p w14:paraId="46830352">
      <w:pPr>
        <w:pageBreakBefore w:val="0"/>
        <w:widowControl w:val="0"/>
        <w:kinsoku/>
        <w:wordWrap/>
        <w:overflowPunct/>
        <w:topLinePunct w:val="0"/>
        <w:autoSpaceDE/>
        <w:autoSpaceDN/>
        <w:bidi w:val="0"/>
        <w:adjustRightInd/>
        <w:snapToGrid/>
        <w:spacing w:line="600" w:lineRule="exact"/>
        <w:textAlignment w:val="auto"/>
        <w:outlineLvl w:val="3"/>
        <w:rPr>
          <w:rFonts w:hint="eastAsia" w:ascii="Times New Roman" w:hAnsi="Times New Roman"/>
          <w:highlight w:val="none"/>
          <w:lang w:val="en-US" w:eastAsia="zh-CN"/>
        </w:rPr>
      </w:pPr>
      <w:r>
        <w:rPr>
          <w:rFonts w:hint="eastAsia" w:ascii="Times New Roman" w:hAnsi="Times New Roman"/>
          <w:highlight w:val="none"/>
          <w:lang w:val="en-US" w:eastAsia="zh-CN"/>
        </w:rPr>
        <w:t>（</w:t>
      </w:r>
      <w:r>
        <w:rPr>
          <w:rFonts w:hint="default" w:ascii="Times New Roman" w:hAnsi="Times New Roman"/>
          <w:highlight w:val="none"/>
          <w:lang w:val="en-US" w:eastAsia="zh-CN"/>
        </w:rPr>
        <w:t>4</w:t>
      </w:r>
      <w:r>
        <w:rPr>
          <w:rFonts w:hint="eastAsia" w:ascii="Times New Roman" w:hAnsi="Times New Roman"/>
          <w:highlight w:val="none"/>
          <w:lang w:val="en-US" w:eastAsia="zh-CN"/>
        </w:rPr>
        <w:t>）预算年终结余</w:t>
      </w:r>
    </w:p>
    <w:p w14:paraId="093CE153">
      <w:pPr>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highlight w:val="none"/>
          <w:lang w:val="en-US" w:eastAsia="zh-CN"/>
        </w:rPr>
      </w:pPr>
      <w:r>
        <w:rPr>
          <w:rFonts w:hint="eastAsia" w:ascii="Times New Roman" w:hAnsi="Times New Roman" w:cs="Times New Roman"/>
          <w:highlight w:val="none"/>
          <w:lang w:val="en-US" w:eastAsia="zh-CN"/>
        </w:rPr>
        <w:t>2025年</w:t>
      </w:r>
      <w:r>
        <w:rPr>
          <w:rFonts w:hint="eastAsia" w:ascii="Times New Roman" w:hAnsi="Times New Roman"/>
          <w:highlight w:val="none"/>
          <w:lang w:val="en-US" w:eastAsia="zh-CN"/>
        </w:rPr>
        <w:t>我局全年预算数为</w:t>
      </w:r>
      <w:r>
        <w:rPr>
          <w:rFonts w:hint="eastAsia" w:ascii="Times New Roman" w:hAnsi="Times New Roman" w:cs="Times New Roman"/>
          <w:highlight w:val="none"/>
          <w:lang w:val="en-US" w:eastAsia="zh-CN"/>
        </w:rPr>
        <w:t>6,504.94</w:t>
      </w:r>
      <w:r>
        <w:rPr>
          <w:rFonts w:hint="eastAsia" w:ascii="Times New Roman" w:hAnsi="Times New Roman"/>
          <w:highlight w:val="none"/>
          <w:lang w:val="en-US" w:eastAsia="zh-CN"/>
        </w:rPr>
        <w:t>万元，预算执行数为</w:t>
      </w:r>
      <w:r>
        <w:rPr>
          <w:rFonts w:hint="eastAsia" w:ascii="Times New Roman" w:hAnsi="Times New Roman" w:cs="Times New Roman"/>
          <w:highlight w:val="none"/>
          <w:lang w:val="en-US" w:eastAsia="zh-CN"/>
        </w:rPr>
        <w:t>6,504.94</w:t>
      </w:r>
      <w:r>
        <w:rPr>
          <w:rFonts w:hint="eastAsia" w:ascii="Times New Roman" w:hAnsi="Times New Roman"/>
          <w:highlight w:val="none"/>
          <w:lang w:val="en-US" w:eastAsia="zh-CN"/>
        </w:rPr>
        <w:t>万元，注销金额为0万元。结转结余金额为0万元</w:t>
      </w:r>
    </w:p>
    <w:p w14:paraId="2DADEC49">
      <w:pPr>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highlight w:val="none"/>
          <w:lang w:val="en-US" w:eastAsia="zh-CN"/>
        </w:rPr>
      </w:pPr>
      <w:r>
        <w:rPr>
          <w:rFonts w:hint="default" w:ascii="Times New Roman" w:hAnsi="Times New Roman"/>
          <w:highlight w:val="none"/>
          <w:lang w:val="en-US" w:eastAsia="zh-CN"/>
        </w:rPr>
        <w:t>该项指标得分=（1-部门整体预算结余率）×100%×2</w:t>
      </w:r>
      <w:r>
        <w:rPr>
          <w:rFonts w:hint="eastAsia" w:ascii="Times New Roman" w:hAnsi="Times New Roman"/>
          <w:highlight w:val="none"/>
          <w:lang w:val="en-US" w:eastAsia="zh-CN"/>
        </w:rPr>
        <w:t>=</w:t>
      </w:r>
      <w:r>
        <w:rPr>
          <w:rFonts w:hint="default" w:ascii="Times New Roman" w:hAnsi="Times New Roman"/>
          <w:highlight w:val="none"/>
          <w:lang w:val="en-US" w:eastAsia="zh-CN"/>
        </w:rPr>
        <w:t>(1-0.00</w:t>
      </w:r>
      <w:r>
        <w:rPr>
          <w:rFonts w:hint="eastAsia" w:ascii="Times New Roman" w:hAnsi="Times New Roman"/>
          <w:highlight w:val="none"/>
          <w:lang w:val="en-US" w:eastAsia="zh-CN"/>
        </w:rPr>
        <w:t>)*100%*2</w:t>
      </w:r>
      <w:r>
        <w:rPr>
          <w:rFonts w:hint="default" w:ascii="Times New Roman" w:hAnsi="Times New Roman"/>
          <w:highlight w:val="none"/>
          <w:lang w:val="en-US" w:eastAsia="zh-CN"/>
        </w:rPr>
        <w:t>=</w:t>
      </w:r>
      <w:r>
        <w:rPr>
          <w:rFonts w:hint="eastAsia" w:ascii="Times New Roman" w:hAnsi="Times New Roman"/>
          <w:highlight w:val="none"/>
          <w:lang w:val="en-US" w:eastAsia="zh-CN"/>
        </w:rPr>
        <w:t>2</w:t>
      </w:r>
    </w:p>
    <w:p w14:paraId="57699628">
      <w:pPr>
        <w:rPr>
          <w:rFonts w:hint="eastAsia" w:ascii="Times New Roman" w:hAnsi="Times New Roman"/>
          <w:color w:val="auto"/>
          <w:highlight w:val="none"/>
          <w:lang w:val="en-US" w:eastAsia="zh-CN"/>
        </w:rPr>
      </w:pPr>
      <w:r>
        <w:rPr>
          <w:rFonts w:hint="default" w:ascii="Times New Roman" w:hAnsi="Times New Roman"/>
          <w:highlight w:val="none"/>
          <w:lang w:val="en-US" w:eastAsia="zh-CN"/>
        </w:rPr>
        <w:t>根据评分标准，该项指标</w:t>
      </w:r>
      <w:r>
        <w:rPr>
          <w:rFonts w:hint="eastAsia" w:ascii="Times New Roman" w:hAnsi="Times New Roman" w:cs="Times New Roman"/>
          <w:kern w:val="2"/>
          <w:sz w:val="32"/>
          <w:szCs w:val="24"/>
          <w:highlight w:val="none"/>
          <w:lang w:val="en-US" w:eastAsia="zh-CN" w:bidi="ar-SA"/>
        </w:rPr>
        <w:t>不扣分，得2分。</w:t>
      </w:r>
    </w:p>
    <w:p w14:paraId="3637A9B8">
      <w:pPr>
        <w:pageBreakBefore w:val="0"/>
        <w:widowControl w:val="0"/>
        <w:kinsoku/>
        <w:wordWrap/>
        <w:overflowPunct/>
        <w:topLinePunct w:val="0"/>
        <w:autoSpaceDE/>
        <w:autoSpaceDN/>
        <w:bidi w:val="0"/>
        <w:adjustRightInd/>
        <w:snapToGrid/>
        <w:spacing w:line="600" w:lineRule="exact"/>
        <w:textAlignment w:val="auto"/>
        <w:outlineLvl w:val="3"/>
        <w:rPr>
          <w:rFonts w:hint="eastAsia" w:ascii="Times New Roman" w:hAnsi="Times New Roman"/>
          <w:highlight w:val="none"/>
          <w:lang w:val="en-US" w:eastAsia="zh-CN"/>
        </w:rPr>
      </w:pPr>
      <w:r>
        <w:rPr>
          <w:rFonts w:hint="eastAsia" w:ascii="Times New Roman" w:hAnsi="Times New Roman"/>
          <w:highlight w:val="none"/>
          <w:lang w:val="en-US" w:eastAsia="zh-CN"/>
        </w:rPr>
        <w:t>（</w:t>
      </w:r>
      <w:r>
        <w:rPr>
          <w:rFonts w:hint="default" w:ascii="Times New Roman" w:hAnsi="Times New Roman" w:cs="Times New Roman"/>
          <w:highlight w:val="none"/>
          <w:lang w:val="en-US" w:eastAsia="zh-CN"/>
        </w:rPr>
        <w:t>5</w:t>
      </w:r>
      <w:r>
        <w:rPr>
          <w:rFonts w:hint="eastAsia" w:ascii="Times New Roman" w:hAnsi="Times New Roman"/>
          <w:highlight w:val="none"/>
          <w:lang w:val="en-US" w:eastAsia="zh-CN"/>
        </w:rPr>
        <w:t>）严控一般性支出</w:t>
      </w:r>
    </w:p>
    <w:p w14:paraId="11C613B1">
      <w:pPr>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highlight w:val="none"/>
          <w:lang w:val="en-US" w:eastAsia="zh-CN"/>
        </w:rPr>
      </w:pPr>
      <w:r>
        <w:rPr>
          <w:rFonts w:hint="eastAsia" w:ascii="Times New Roman" w:hAnsi="Times New Roman"/>
          <w:highlight w:val="none"/>
          <w:lang w:val="en-US" w:eastAsia="zh-CN"/>
        </w:rPr>
        <w:t>我局</w:t>
      </w:r>
      <w:r>
        <w:rPr>
          <w:rFonts w:hint="eastAsia" w:ascii="Times New Roman" w:hAnsi="Times New Roman" w:cs="Times New Roman"/>
          <w:highlight w:val="none"/>
          <w:lang w:val="en-US" w:eastAsia="zh-CN"/>
        </w:rPr>
        <w:t>2025年</w:t>
      </w:r>
      <w:r>
        <w:rPr>
          <w:rFonts w:hint="eastAsia" w:ascii="Times New Roman" w:hAnsi="Times New Roman"/>
          <w:highlight w:val="none"/>
          <w:lang w:val="en-US" w:eastAsia="zh-CN"/>
        </w:rPr>
        <w:t>度“三公”经费、会议、培训、差旅、办节办展、办公设备购置、信息网络及软件购置更新、课题经费等</w:t>
      </w:r>
      <w:r>
        <w:rPr>
          <w:rFonts w:hint="default" w:ascii="Times New Roman" w:hAnsi="Times New Roman" w:cs="Times New Roman"/>
          <w:highlight w:val="none"/>
          <w:lang w:val="en-US" w:eastAsia="zh-CN"/>
        </w:rPr>
        <w:t>8</w:t>
      </w:r>
      <w:r>
        <w:rPr>
          <w:rFonts w:hint="eastAsia" w:ascii="Times New Roman" w:hAnsi="Times New Roman"/>
          <w:highlight w:val="none"/>
          <w:lang w:val="en-US" w:eastAsia="zh-CN"/>
        </w:rPr>
        <w:t>项一般性支出情况详见下表</w:t>
      </w:r>
      <w:r>
        <w:rPr>
          <w:rFonts w:hint="default" w:ascii="Times New Roman" w:hAnsi="Times New Roman" w:cs="Times New Roman"/>
          <w:highlight w:val="none"/>
          <w:lang w:val="en-US" w:eastAsia="zh-CN"/>
        </w:rPr>
        <w:t>3</w:t>
      </w:r>
      <w:r>
        <w:rPr>
          <w:rFonts w:hint="eastAsia" w:ascii="Times New Roman" w:hAnsi="Times New Roman"/>
          <w:highlight w:val="none"/>
          <w:lang w:val="en-US" w:eastAsia="zh-CN"/>
        </w:rPr>
        <w:t>-</w:t>
      </w:r>
      <w:r>
        <w:rPr>
          <w:rFonts w:hint="default" w:ascii="Times New Roman" w:hAnsi="Times New Roman" w:cs="Times New Roman"/>
          <w:highlight w:val="none"/>
          <w:lang w:val="en-US" w:eastAsia="zh-CN"/>
        </w:rPr>
        <w:t>1</w:t>
      </w:r>
      <w:r>
        <w:rPr>
          <w:rFonts w:hint="eastAsia" w:ascii="Times New Roman" w:hAnsi="Times New Roman"/>
          <w:highlight w:val="none"/>
          <w:lang w:val="en-US" w:eastAsia="zh-CN"/>
        </w:rPr>
        <w:t>。</w:t>
      </w:r>
    </w:p>
    <w:p w14:paraId="4306C08C">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Times New Roman" w:hAnsi="Times New Roman"/>
          <w:b/>
          <w:bCs/>
          <w:highlight w:val="none"/>
          <w:lang w:val="en-US" w:eastAsia="zh-CN"/>
        </w:rPr>
      </w:pPr>
      <w:r>
        <w:rPr>
          <w:rFonts w:hint="eastAsia" w:ascii="Times New Roman" w:hAnsi="Times New Roman"/>
          <w:b/>
          <w:bCs/>
          <w:highlight w:val="none"/>
          <w:lang w:val="en-US" w:eastAsia="zh-CN"/>
        </w:rPr>
        <w:t>表</w:t>
      </w:r>
      <w:r>
        <w:rPr>
          <w:rFonts w:hint="default" w:ascii="Times New Roman" w:hAnsi="Times New Roman" w:cs="Times New Roman"/>
          <w:b/>
          <w:bCs/>
          <w:highlight w:val="none"/>
          <w:lang w:val="en-US" w:eastAsia="zh-CN"/>
        </w:rPr>
        <w:t>3</w:t>
      </w:r>
      <w:r>
        <w:rPr>
          <w:rFonts w:hint="eastAsia" w:ascii="Times New Roman" w:hAnsi="Times New Roman"/>
          <w:b/>
          <w:bCs/>
          <w:highlight w:val="none"/>
          <w:lang w:val="en-US" w:eastAsia="zh-CN"/>
        </w:rPr>
        <w:t>-</w:t>
      </w:r>
      <w:r>
        <w:rPr>
          <w:rFonts w:hint="default" w:ascii="Times New Roman" w:hAnsi="Times New Roman" w:cs="Times New Roman"/>
          <w:b/>
          <w:bCs/>
          <w:highlight w:val="none"/>
          <w:lang w:val="en-US" w:eastAsia="zh-CN"/>
        </w:rPr>
        <w:t>1</w:t>
      </w:r>
      <w:r>
        <w:rPr>
          <w:rFonts w:hint="eastAsia" w:ascii="Times New Roman" w:hAnsi="Times New Roman" w:cs="Times New Roman"/>
          <w:b/>
          <w:bCs/>
          <w:highlight w:val="none"/>
          <w:lang w:val="en-US" w:eastAsia="zh-CN"/>
        </w:rPr>
        <w:t>2025年</w:t>
      </w:r>
      <w:r>
        <w:rPr>
          <w:rFonts w:hint="eastAsia" w:ascii="Times New Roman" w:hAnsi="Times New Roman"/>
          <w:b/>
          <w:bCs/>
          <w:highlight w:val="none"/>
          <w:lang w:val="en-US" w:eastAsia="zh-CN"/>
        </w:rPr>
        <w:t>度一般性支出情况表</w:t>
      </w:r>
    </w:p>
    <w:p w14:paraId="68A4E482">
      <w:pPr>
        <w:pageBreakBefore w:val="0"/>
        <w:widowControl w:val="0"/>
        <w:kinsoku/>
        <w:wordWrap/>
        <w:overflowPunct/>
        <w:topLinePunct w:val="0"/>
        <w:autoSpaceDE/>
        <w:autoSpaceDN/>
        <w:bidi w:val="0"/>
        <w:adjustRightInd/>
        <w:snapToGrid/>
        <w:spacing w:line="600" w:lineRule="exact"/>
        <w:jc w:val="right"/>
        <w:textAlignment w:val="auto"/>
        <w:rPr>
          <w:rFonts w:hint="default" w:ascii="Times New Roman" w:hAnsi="Times New Roman"/>
          <w:highlight w:val="none"/>
          <w:lang w:val="en-US" w:eastAsia="zh-CN"/>
        </w:rPr>
      </w:pPr>
      <w:r>
        <w:rPr>
          <w:rFonts w:hint="eastAsia" w:ascii="Times New Roman" w:hAnsi="Times New Roman"/>
          <w:highlight w:val="none"/>
          <w:lang w:val="en-US" w:eastAsia="zh-CN"/>
        </w:rPr>
        <w:t>单位：万元</w:t>
      </w:r>
    </w:p>
    <w:tbl>
      <w:tblPr>
        <w:tblStyle w:val="23"/>
        <w:tblW w:w="4906"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74"/>
        <w:gridCol w:w="1537"/>
        <w:gridCol w:w="1855"/>
        <w:gridCol w:w="1745"/>
        <w:gridCol w:w="1533"/>
        <w:gridCol w:w="1547"/>
      </w:tblGrid>
      <w:tr w14:paraId="1B6D2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0" w:hRule="atLeast"/>
          <w:jc w:val="center"/>
        </w:trPr>
        <w:tc>
          <w:tcPr>
            <w:tcW w:w="379" w:type="pct"/>
            <w:tcBorders>
              <w:top w:val="single" w:color="000000" w:sz="4" w:space="0"/>
              <w:left w:val="single" w:color="000000" w:sz="4" w:space="0"/>
              <w:bottom w:val="single" w:color="000000" w:sz="4" w:space="0"/>
              <w:right w:val="single" w:color="000000" w:sz="4" w:space="0"/>
            </w:tcBorders>
            <w:shd w:val="clear" w:color="auto" w:fill="D7D7D7"/>
            <w:vAlign w:val="center"/>
          </w:tcPr>
          <w:p w14:paraId="0A548F12">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序号</w:t>
            </w:r>
          </w:p>
        </w:tc>
        <w:tc>
          <w:tcPr>
            <w:tcW w:w="864" w:type="pct"/>
            <w:tcBorders>
              <w:top w:val="single" w:color="000000" w:sz="4" w:space="0"/>
              <w:left w:val="single" w:color="000000" w:sz="4" w:space="0"/>
              <w:bottom w:val="single" w:color="000000" w:sz="4" w:space="0"/>
              <w:right w:val="single" w:color="000000" w:sz="4" w:space="0"/>
            </w:tcBorders>
            <w:shd w:val="clear" w:color="auto" w:fill="D7D7D7"/>
            <w:vAlign w:val="center"/>
          </w:tcPr>
          <w:p w14:paraId="127A3AF9">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项目名称</w:t>
            </w:r>
          </w:p>
        </w:tc>
        <w:tc>
          <w:tcPr>
            <w:tcW w:w="1043" w:type="pct"/>
            <w:tcBorders>
              <w:top w:val="single" w:color="000000" w:sz="4" w:space="0"/>
              <w:left w:val="single" w:color="000000" w:sz="4" w:space="0"/>
              <w:bottom w:val="single" w:color="000000" w:sz="4" w:space="0"/>
              <w:right w:val="single" w:color="000000" w:sz="4" w:space="0"/>
            </w:tcBorders>
            <w:shd w:val="clear" w:color="auto" w:fill="D7D7D7"/>
            <w:vAlign w:val="center"/>
          </w:tcPr>
          <w:p w14:paraId="0FB8CCC4">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eastAsia" w:ascii="Times New Roman" w:hAnsi="Times New Roman" w:cs="Times New Roman"/>
                <w:i w:val="0"/>
                <w:iCs w:val="0"/>
                <w:color w:val="000000"/>
                <w:kern w:val="0"/>
                <w:sz w:val="24"/>
                <w:szCs w:val="24"/>
                <w:highlight w:val="none"/>
                <w:u w:val="none"/>
                <w:lang w:val="en-US" w:eastAsia="zh-CN" w:bidi="ar"/>
              </w:rPr>
              <w:t>2024</w:t>
            </w:r>
            <w:r>
              <w:rPr>
                <w:rFonts w:hint="default" w:ascii="Times New Roman" w:hAnsi="Times New Roman" w:eastAsia="仿宋_GB2312" w:cs="Times New Roman"/>
                <w:i w:val="0"/>
                <w:iCs w:val="0"/>
                <w:color w:val="000000"/>
                <w:kern w:val="0"/>
                <w:sz w:val="24"/>
                <w:szCs w:val="24"/>
                <w:highlight w:val="none"/>
                <w:u w:val="none"/>
                <w:lang w:val="en-US" w:eastAsia="zh-CN" w:bidi="ar"/>
              </w:rPr>
              <w:t>年年初预算数</w:t>
            </w:r>
          </w:p>
        </w:tc>
        <w:tc>
          <w:tcPr>
            <w:tcW w:w="981" w:type="pct"/>
            <w:tcBorders>
              <w:top w:val="single" w:color="000000" w:sz="4" w:space="0"/>
              <w:left w:val="single" w:color="000000" w:sz="4" w:space="0"/>
              <w:bottom w:val="single" w:color="000000" w:sz="4" w:space="0"/>
              <w:right w:val="single" w:color="000000" w:sz="4" w:space="0"/>
            </w:tcBorders>
            <w:shd w:val="clear" w:color="auto" w:fill="D7D7D7"/>
            <w:vAlign w:val="center"/>
          </w:tcPr>
          <w:p w14:paraId="4DB37849">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eastAsia" w:ascii="Times New Roman" w:hAnsi="Times New Roman" w:cs="Times New Roman"/>
                <w:i w:val="0"/>
                <w:iCs w:val="0"/>
                <w:color w:val="000000"/>
                <w:kern w:val="0"/>
                <w:sz w:val="24"/>
                <w:szCs w:val="24"/>
                <w:highlight w:val="none"/>
                <w:u w:val="none"/>
                <w:lang w:val="en-US" w:eastAsia="zh-CN" w:bidi="ar"/>
              </w:rPr>
              <w:t>2025年</w:t>
            </w:r>
            <w:r>
              <w:rPr>
                <w:rFonts w:hint="default" w:ascii="Times New Roman" w:hAnsi="Times New Roman" w:eastAsia="仿宋_GB2312" w:cs="Times New Roman"/>
                <w:i w:val="0"/>
                <w:iCs w:val="0"/>
                <w:color w:val="000000"/>
                <w:kern w:val="0"/>
                <w:sz w:val="24"/>
                <w:szCs w:val="24"/>
                <w:highlight w:val="none"/>
                <w:u w:val="none"/>
                <w:lang w:val="en-US" w:eastAsia="zh-CN" w:bidi="ar"/>
              </w:rPr>
              <w:t>年初预算数</w:t>
            </w:r>
          </w:p>
        </w:tc>
        <w:tc>
          <w:tcPr>
            <w:tcW w:w="862" w:type="pct"/>
            <w:tcBorders>
              <w:top w:val="single" w:color="000000" w:sz="4" w:space="0"/>
              <w:left w:val="single" w:color="000000" w:sz="4" w:space="0"/>
              <w:bottom w:val="single" w:color="000000" w:sz="4" w:space="0"/>
              <w:right w:val="single" w:color="000000" w:sz="4" w:space="0"/>
            </w:tcBorders>
            <w:shd w:val="clear" w:color="auto" w:fill="D7D7D7"/>
            <w:vAlign w:val="center"/>
          </w:tcPr>
          <w:p w14:paraId="521E54AF">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eastAsia" w:ascii="Times New Roman" w:hAnsi="Times New Roman" w:cs="Times New Roman"/>
                <w:i w:val="0"/>
                <w:iCs w:val="0"/>
                <w:color w:val="000000"/>
                <w:kern w:val="0"/>
                <w:sz w:val="24"/>
                <w:szCs w:val="24"/>
                <w:highlight w:val="none"/>
                <w:u w:val="none"/>
                <w:lang w:val="en-US" w:eastAsia="zh-CN" w:bidi="ar"/>
              </w:rPr>
              <w:t>2024</w:t>
            </w:r>
            <w:r>
              <w:rPr>
                <w:rFonts w:hint="default" w:ascii="Times New Roman" w:hAnsi="Times New Roman" w:eastAsia="仿宋_GB2312" w:cs="Times New Roman"/>
                <w:i w:val="0"/>
                <w:iCs w:val="0"/>
                <w:color w:val="000000"/>
                <w:kern w:val="0"/>
                <w:sz w:val="24"/>
                <w:szCs w:val="24"/>
                <w:highlight w:val="none"/>
                <w:u w:val="none"/>
                <w:lang w:val="en-US" w:eastAsia="zh-CN" w:bidi="ar"/>
              </w:rPr>
              <w:t>年预算执行数</w:t>
            </w:r>
          </w:p>
        </w:tc>
        <w:tc>
          <w:tcPr>
            <w:tcW w:w="869" w:type="pct"/>
            <w:tcBorders>
              <w:top w:val="single" w:color="000000" w:sz="4" w:space="0"/>
              <w:left w:val="single" w:color="000000" w:sz="4" w:space="0"/>
              <w:bottom w:val="single" w:color="000000" w:sz="4" w:space="0"/>
              <w:right w:val="single" w:color="000000" w:sz="4" w:space="0"/>
            </w:tcBorders>
            <w:shd w:val="clear" w:color="auto" w:fill="D7D7D7"/>
            <w:vAlign w:val="center"/>
          </w:tcPr>
          <w:p w14:paraId="656FA2A8">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eastAsia" w:ascii="Times New Roman" w:hAnsi="Times New Roman" w:cs="Times New Roman"/>
                <w:i w:val="0"/>
                <w:iCs w:val="0"/>
                <w:color w:val="000000"/>
                <w:kern w:val="0"/>
                <w:sz w:val="24"/>
                <w:szCs w:val="24"/>
                <w:highlight w:val="none"/>
                <w:u w:val="none"/>
                <w:lang w:val="en-US" w:eastAsia="zh-CN" w:bidi="ar"/>
              </w:rPr>
              <w:t>2025年</w:t>
            </w:r>
            <w:r>
              <w:rPr>
                <w:rFonts w:hint="default" w:ascii="Times New Roman" w:hAnsi="Times New Roman" w:eastAsia="仿宋_GB2312" w:cs="Times New Roman"/>
                <w:i w:val="0"/>
                <w:iCs w:val="0"/>
                <w:color w:val="000000"/>
                <w:kern w:val="0"/>
                <w:sz w:val="24"/>
                <w:szCs w:val="24"/>
                <w:highlight w:val="none"/>
                <w:u w:val="none"/>
                <w:lang w:val="en-US" w:eastAsia="zh-CN" w:bidi="ar"/>
              </w:rPr>
              <w:t>预算执行数</w:t>
            </w:r>
          </w:p>
        </w:tc>
      </w:tr>
      <w:tr w14:paraId="6F42A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D0CFC">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1</w:t>
            </w:r>
          </w:p>
        </w:tc>
        <w:tc>
          <w:tcPr>
            <w:tcW w:w="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07381">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eastAsia" w:ascii="Times New Roman" w:hAnsi="Times New Roman" w:cs="Times New Roman"/>
                <w:i w:val="0"/>
                <w:iCs w:val="0"/>
                <w:color w:val="000000"/>
                <w:kern w:val="0"/>
                <w:sz w:val="24"/>
                <w:szCs w:val="24"/>
                <w:highlight w:val="none"/>
                <w:u w:val="none"/>
                <w:lang w:val="en-US" w:eastAsia="zh-CN" w:bidi="ar"/>
              </w:rPr>
              <w:t>“</w:t>
            </w:r>
            <w:r>
              <w:rPr>
                <w:rFonts w:hint="default" w:ascii="Times New Roman" w:hAnsi="Times New Roman" w:eastAsia="仿宋_GB2312" w:cs="Times New Roman"/>
                <w:i w:val="0"/>
                <w:iCs w:val="0"/>
                <w:color w:val="000000"/>
                <w:kern w:val="0"/>
                <w:sz w:val="24"/>
                <w:szCs w:val="24"/>
                <w:highlight w:val="none"/>
                <w:u w:val="none"/>
                <w:lang w:val="en-US" w:eastAsia="zh-CN" w:bidi="ar"/>
              </w:rPr>
              <w:t>三公</w:t>
            </w:r>
            <w:r>
              <w:rPr>
                <w:rFonts w:hint="eastAsia" w:ascii="Times New Roman" w:hAnsi="Times New Roman" w:cs="Times New Roman"/>
                <w:i w:val="0"/>
                <w:iCs w:val="0"/>
                <w:color w:val="000000"/>
                <w:kern w:val="0"/>
                <w:sz w:val="24"/>
                <w:szCs w:val="24"/>
                <w:highlight w:val="none"/>
                <w:u w:val="none"/>
                <w:lang w:val="en-US" w:eastAsia="zh-CN" w:bidi="ar"/>
              </w:rPr>
              <w:t>”</w:t>
            </w:r>
            <w:r>
              <w:rPr>
                <w:rFonts w:hint="default" w:ascii="Times New Roman" w:hAnsi="Times New Roman" w:eastAsia="仿宋_GB2312" w:cs="Times New Roman"/>
                <w:i w:val="0"/>
                <w:iCs w:val="0"/>
                <w:color w:val="000000"/>
                <w:kern w:val="0"/>
                <w:sz w:val="24"/>
                <w:szCs w:val="24"/>
                <w:highlight w:val="none"/>
                <w:u w:val="none"/>
                <w:lang w:val="en-US" w:eastAsia="zh-CN" w:bidi="ar"/>
              </w:rPr>
              <w:t>经费</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E91AF">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Times New Roman" w:hAnsi="Times New Roman" w:cs="Times New Roman"/>
                <w:i w:val="0"/>
                <w:iCs w:val="0"/>
                <w:color w:val="000000"/>
                <w:kern w:val="0"/>
                <w:sz w:val="24"/>
                <w:szCs w:val="24"/>
                <w:highlight w:val="none"/>
                <w:u w:val="none"/>
                <w:lang w:val="en-US" w:eastAsia="zh-CN" w:bidi="ar"/>
              </w:rPr>
            </w:pPr>
            <w:r>
              <w:rPr>
                <w:rFonts w:hint="eastAsia" w:ascii="Times New Roman" w:hAnsi="Times New Roman" w:cs="Times New Roman"/>
                <w:i w:val="0"/>
                <w:iCs w:val="0"/>
                <w:color w:val="000000"/>
                <w:kern w:val="0"/>
                <w:sz w:val="24"/>
                <w:szCs w:val="24"/>
                <w:highlight w:val="none"/>
                <w:u w:val="none"/>
                <w:lang w:val="en-US" w:eastAsia="zh-CN" w:bidi="ar"/>
              </w:rPr>
              <w:t>238.70</w:t>
            </w:r>
          </w:p>
        </w:tc>
        <w:tc>
          <w:tcPr>
            <w:tcW w:w="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0A9A4">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Times New Roman" w:hAnsi="Times New Roman" w:cs="Times New Roman"/>
                <w:i w:val="0"/>
                <w:iCs w:val="0"/>
                <w:color w:val="000000"/>
                <w:kern w:val="0"/>
                <w:sz w:val="24"/>
                <w:szCs w:val="24"/>
                <w:highlight w:val="none"/>
                <w:u w:val="none"/>
                <w:lang w:val="en-US" w:eastAsia="zh-CN" w:bidi="ar"/>
              </w:rPr>
            </w:pPr>
            <w:r>
              <w:rPr>
                <w:rFonts w:hint="eastAsia" w:ascii="Times New Roman" w:hAnsi="Times New Roman" w:cs="Times New Roman"/>
                <w:i w:val="0"/>
                <w:iCs w:val="0"/>
                <w:color w:val="000000"/>
                <w:kern w:val="0"/>
                <w:sz w:val="24"/>
                <w:szCs w:val="24"/>
                <w:highlight w:val="none"/>
                <w:u w:val="none"/>
                <w:lang w:val="en-US" w:eastAsia="zh-CN" w:bidi="ar"/>
              </w:rPr>
              <w:t>241.84</w:t>
            </w:r>
          </w:p>
        </w:tc>
        <w:tc>
          <w:tcPr>
            <w:tcW w:w="8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64EF7">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lang w:val="en-US" w:eastAsia="zh-CN"/>
              </w:rPr>
            </w:pPr>
            <w:r>
              <w:rPr>
                <w:rFonts w:hint="eastAsia" w:ascii="Times New Roman" w:hAnsi="Times New Roman" w:cs="Times New Roman"/>
                <w:i w:val="0"/>
                <w:iCs w:val="0"/>
                <w:color w:val="000000"/>
                <w:kern w:val="0"/>
                <w:sz w:val="24"/>
                <w:szCs w:val="24"/>
                <w:highlight w:val="none"/>
                <w:u w:val="none"/>
                <w:lang w:val="en-US" w:eastAsia="zh-CN" w:bidi="ar"/>
              </w:rPr>
              <w:t>247.21</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56888">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lang w:val="en-US" w:eastAsia="zh-CN"/>
              </w:rPr>
            </w:pPr>
            <w:r>
              <w:rPr>
                <w:rFonts w:hint="eastAsia" w:ascii="Times New Roman" w:hAnsi="Times New Roman" w:cs="Times New Roman"/>
                <w:i w:val="0"/>
                <w:iCs w:val="0"/>
                <w:color w:val="000000"/>
                <w:kern w:val="0"/>
                <w:sz w:val="24"/>
                <w:szCs w:val="24"/>
                <w:highlight w:val="none"/>
                <w:u w:val="none"/>
                <w:lang w:val="en-US" w:eastAsia="zh-CN" w:bidi="ar"/>
              </w:rPr>
              <w:t>154.27</w:t>
            </w:r>
          </w:p>
        </w:tc>
      </w:tr>
      <w:tr w14:paraId="30255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45B02">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2</w:t>
            </w:r>
          </w:p>
        </w:tc>
        <w:tc>
          <w:tcPr>
            <w:tcW w:w="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7E047">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会议费</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BC8FB">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Times New Roman" w:hAnsi="Times New Roman" w:eastAsia="仿宋_GB2312" w:cs="Times New Roman"/>
                <w:i w:val="0"/>
                <w:iCs w:val="0"/>
                <w:color w:val="000000"/>
                <w:sz w:val="24"/>
                <w:szCs w:val="24"/>
                <w:highlight w:val="none"/>
                <w:u w:val="none"/>
                <w:lang w:val="en-US" w:eastAsia="zh-CN"/>
              </w:rPr>
            </w:pPr>
            <w:r>
              <w:rPr>
                <w:rFonts w:hint="eastAsia" w:ascii="Times New Roman" w:hAnsi="Times New Roman" w:cs="Times New Roman"/>
                <w:i w:val="0"/>
                <w:iCs w:val="0"/>
                <w:color w:val="000000"/>
                <w:kern w:val="0"/>
                <w:sz w:val="24"/>
                <w:szCs w:val="24"/>
                <w:highlight w:val="none"/>
                <w:u w:val="none"/>
                <w:lang w:val="en-US" w:eastAsia="zh-CN" w:bidi="ar"/>
              </w:rPr>
              <w:t>0</w:t>
            </w:r>
          </w:p>
        </w:tc>
        <w:tc>
          <w:tcPr>
            <w:tcW w:w="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EE525">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lang w:val="en-US" w:eastAsia="zh-CN"/>
              </w:rPr>
            </w:pPr>
            <w:r>
              <w:rPr>
                <w:rFonts w:hint="eastAsia" w:ascii="Times New Roman" w:hAnsi="Times New Roman" w:cs="Times New Roman"/>
                <w:i w:val="0"/>
                <w:iCs w:val="0"/>
                <w:color w:val="000000"/>
                <w:kern w:val="0"/>
                <w:sz w:val="24"/>
                <w:szCs w:val="24"/>
                <w:highlight w:val="none"/>
                <w:u w:val="none"/>
                <w:lang w:val="en-US" w:eastAsia="zh-CN" w:bidi="ar"/>
              </w:rPr>
              <w:t>0</w:t>
            </w:r>
          </w:p>
        </w:tc>
        <w:tc>
          <w:tcPr>
            <w:tcW w:w="8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E0551">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Times New Roman" w:hAnsi="Times New Roman" w:eastAsia="仿宋_GB2312" w:cs="Times New Roman"/>
                <w:i w:val="0"/>
                <w:iCs w:val="0"/>
                <w:color w:val="000000"/>
                <w:sz w:val="24"/>
                <w:szCs w:val="24"/>
                <w:highlight w:val="none"/>
                <w:u w:val="none"/>
                <w:lang w:val="en-US" w:eastAsia="zh-CN"/>
              </w:rPr>
            </w:pPr>
            <w:r>
              <w:rPr>
                <w:rFonts w:hint="eastAsia" w:ascii="Times New Roman" w:hAnsi="Times New Roman" w:cs="Times New Roman"/>
                <w:i w:val="0"/>
                <w:iCs w:val="0"/>
                <w:color w:val="000000"/>
                <w:kern w:val="0"/>
                <w:sz w:val="24"/>
                <w:szCs w:val="24"/>
                <w:highlight w:val="none"/>
                <w:u w:val="none"/>
                <w:lang w:val="en-US" w:eastAsia="zh-CN" w:bidi="ar"/>
              </w:rPr>
              <w:t>0</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70629">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Times New Roman" w:hAnsi="Times New Roman" w:eastAsia="仿宋_GB2312" w:cs="Times New Roman"/>
                <w:i w:val="0"/>
                <w:iCs w:val="0"/>
                <w:color w:val="000000"/>
                <w:sz w:val="24"/>
                <w:szCs w:val="24"/>
                <w:highlight w:val="none"/>
                <w:u w:val="none"/>
                <w:lang w:val="en-US" w:eastAsia="zh-CN"/>
              </w:rPr>
            </w:pPr>
            <w:r>
              <w:rPr>
                <w:rFonts w:hint="eastAsia" w:ascii="Times New Roman" w:hAnsi="Times New Roman" w:cs="Times New Roman"/>
                <w:i w:val="0"/>
                <w:iCs w:val="0"/>
                <w:color w:val="000000"/>
                <w:kern w:val="0"/>
                <w:sz w:val="24"/>
                <w:szCs w:val="24"/>
                <w:highlight w:val="none"/>
                <w:u w:val="none"/>
                <w:lang w:val="en-US" w:eastAsia="zh-CN" w:bidi="ar"/>
              </w:rPr>
              <w:t>0</w:t>
            </w:r>
          </w:p>
        </w:tc>
      </w:tr>
      <w:tr w14:paraId="5ED83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CE0E2">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3</w:t>
            </w:r>
          </w:p>
        </w:tc>
        <w:tc>
          <w:tcPr>
            <w:tcW w:w="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62C7E">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培训费</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A062F">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lang w:val="en-US" w:eastAsia="zh-CN"/>
              </w:rPr>
            </w:pPr>
            <w:r>
              <w:rPr>
                <w:rFonts w:hint="eastAsia" w:ascii="Times New Roman" w:hAnsi="Times New Roman" w:cs="Times New Roman"/>
                <w:i w:val="0"/>
                <w:iCs w:val="0"/>
                <w:color w:val="000000"/>
                <w:kern w:val="0"/>
                <w:sz w:val="24"/>
                <w:szCs w:val="24"/>
                <w:highlight w:val="none"/>
                <w:u w:val="none"/>
                <w:lang w:val="en-US" w:eastAsia="zh-CN" w:bidi="ar"/>
              </w:rPr>
              <w:t>36.33</w:t>
            </w:r>
          </w:p>
        </w:tc>
        <w:tc>
          <w:tcPr>
            <w:tcW w:w="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123D7">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lang w:val="en-US" w:eastAsia="zh-CN"/>
              </w:rPr>
            </w:pPr>
            <w:r>
              <w:rPr>
                <w:rFonts w:hint="eastAsia" w:ascii="Times New Roman" w:hAnsi="Times New Roman" w:cs="Times New Roman"/>
                <w:i w:val="0"/>
                <w:iCs w:val="0"/>
                <w:color w:val="000000"/>
                <w:kern w:val="0"/>
                <w:sz w:val="24"/>
                <w:szCs w:val="24"/>
                <w:highlight w:val="none"/>
                <w:u w:val="none"/>
                <w:lang w:val="en-US" w:eastAsia="zh-CN" w:bidi="ar"/>
              </w:rPr>
              <w:t>33.36</w:t>
            </w:r>
          </w:p>
        </w:tc>
        <w:tc>
          <w:tcPr>
            <w:tcW w:w="8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1A695">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lang w:val="en-US" w:eastAsia="zh-CN"/>
              </w:rPr>
            </w:pPr>
            <w:r>
              <w:rPr>
                <w:rFonts w:hint="eastAsia" w:ascii="Times New Roman" w:hAnsi="Times New Roman" w:cs="Times New Roman"/>
                <w:i w:val="0"/>
                <w:iCs w:val="0"/>
                <w:color w:val="000000"/>
                <w:kern w:val="0"/>
                <w:sz w:val="24"/>
                <w:szCs w:val="24"/>
                <w:highlight w:val="none"/>
                <w:u w:val="none"/>
                <w:lang w:val="en-US" w:eastAsia="zh-CN" w:bidi="ar"/>
              </w:rPr>
              <w:t>8.32</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779B2">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lang w:val="en-US" w:eastAsia="zh-CN"/>
              </w:rPr>
            </w:pPr>
            <w:r>
              <w:rPr>
                <w:rFonts w:hint="eastAsia" w:ascii="Times New Roman" w:hAnsi="Times New Roman" w:cs="Times New Roman"/>
                <w:i w:val="0"/>
                <w:iCs w:val="0"/>
                <w:color w:val="000000"/>
                <w:kern w:val="0"/>
                <w:sz w:val="24"/>
                <w:szCs w:val="24"/>
                <w:highlight w:val="none"/>
                <w:u w:val="none"/>
                <w:lang w:val="en-US" w:eastAsia="zh-CN" w:bidi="ar"/>
              </w:rPr>
              <w:t>9.09</w:t>
            </w:r>
          </w:p>
        </w:tc>
      </w:tr>
      <w:tr w14:paraId="064D6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176D8">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4</w:t>
            </w:r>
          </w:p>
        </w:tc>
        <w:tc>
          <w:tcPr>
            <w:tcW w:w="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1EB21">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差旅费</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FEF2F">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lang w:val="en-US" w:eastAsia="zh-CN"/>
              </w:rPr>
            </w:pPr>
            <w:r>
              <w:rPr>
                <w:rFonts w:hint="eastAsia" w:ascii="Times New Roman" w:hAnsi="Times New Roman" w:cs="Times New Roman"/>
                <w:i w:val="0"/>
                <w:iCs w:val="0"/>
                <w:color w:val="000000"/>
                <w:kern w:val="0"/>
                <w:sz w:val="24"/>
                <w:szCs w:val="24"/>
                <w:highlight w:val="none"/>
                <w:u w:val="none"/>
                <w:lang w:val="en-US" w:eastAsia="zh-CN" w:bidi="ar"/>
              </w:rPr>
              <w:t>138.49</w:t>
            </w:r>
          </w:p>
        </w:tc>
        <w:tc>
          <w:tcPr>
            <w:tcW w:w="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00B64">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lang w:val="en-US" w:eastAsia="zh-CN"/>
              </w:rPr>
            </w:pPr>
            <w:r>
              <w:rPr>
                <w:rFonts w:hint="eastAsia" w:ascii="Times New Roman" w:hAnsi="Times New Roman" w:cs="Times New Roman"/>
                <w:i w:val="0"/>
                <w:iCs w:val="0"/>
                <w:color w:val="000000"/>
                <w:kern w:val="0"/>
                <w:sz w:val="24"/>
                <w:szCs w:val="24"/>
                <w:highlight w:val="none"/>
                <w:u w:val="none"/>
                <w:lang w:val="en-US" w:eastAsia="zh-CN" w:bidi="ar"/>
              </w:rPr>
              <w:t>136.03</w:t>
            </w:r>
          </w:p>
        </w:tc>
        <w:tc>
          <w:tcPr>
            <w:tcW w:w="8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89717">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lang w:val="en-US" w:eastAsia="zh-CN"/>
              </w:rPr>
            </w:pPr>
            <w:r>
              <w:rPr>
                <w:rFonts w:hint="eastAsia" w:ascii="Times New Roman" w:hAnsi="Times New Roman" w:cs="Times New Roman"/>
                <w:i w:val="0"/>
                <w:iCs w:val="0"/>
                <w:color w:val="000000"/>
                <w:kern w:val="0"/>
                <w:sz w:val="24"/>
                <w:szCs w:val="24"/>
                <w:highlight w:val="none"/>
                <w:u w:val="none"/>
                <w:lang w:val="en-US" w:eastAsia="zh-CN" w:bidi="ar"/>
              </w:rPr>
              <w:t>118.91</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B09B2">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lang w:val="en-US" w:eastAsia="zh-CN"/>
              </w:rPr>
            </w:pPr>
            <w:r>
              <w:rPr>
                <w:rFonts w:hint="eastAsia" w:ascii="Times New Roman" w:hAnsi="Times New Roman" w:cs="Times New Roman"/>
                <w:i w:val="0"/>
                <w:iCs w:val="0"/>
                <w:color w:val="000000"/>
                <w:kern w:val="0"/>
                <w:sz w:val="24"/>
                <w:szCs w:val="24"/>
                <w:highlight w:val="none"/>
                <w:u w:val="none"/>
                <w:lang w:val="en-US" w:eastAsia="zh-CN" w:bidi="ar"/>
              </w:rPr>
              <w:t>150.95</w:t>
            </w:r>
          </w:p>
        </w:tc>
      </w:tr>
      <w:tr w14:paraId="46CBE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jc w:val="center"/>
        </w:trPr>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5171B">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5</w:t>
            </w:r>
          </w:p>
        </w:tc>
        <w:tc>
          <w:tcPr>
            <w:tcW w:w="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C5C29">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办节办展</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3EDE5">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Times New Roman" w:hAnsi="Times New Roman" w:eastAsia="仿宋_GB2312" w:cs="Times New Roman"/>
                <w:i w:val="0"/>
                <w:iCs w:val="0"/>
                <w:color w:val="000000"/>
                <w:sz w:val="24"/>
                <w:szCs w:val="24"/>
                <w:highlight w:val="none"/>
                <w:u w:val="none"/>
                <w:lang w:val="en-US" w:eastAsia="zh-CN"/>
              </w:rPr>
            </w:pPr>
            <w:r>
              <w:rPr>
                <w:rFonts w:hint="eastAsia" w:ascii="Times New Roman" w:hAnsi="Times New Roman" w:cs="Times New Roman"/>
                <w:i w:val="0"/>
                <w:iCs w:val="0"/>
                <w:color w:val="000000"/>
                <w:kern w:val="0"/>
                <w:sz w:val="24"/>
                <w:szCs w:val="24"/>
                <w:highlight w:val="none"/>
                <w:u w:val="none"/>
                <w:lang w:val="en-US" w:eastAsia="zh-CN" w:bidi="ar"/>
              </w:rPr>
              <w:t>0</w:t>
            </w:r>
          </w:p>
        </w:tc>
        <w:tc>
          <w:tcPr>
            <w:tcW w:w="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69425">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Times New Roman" w:hAnsi="Times New Roman" w:eastAsia="仿宋_GB2312" w:cs="Times New Roman"/>
                <w:i w:val="0"/>
                <w:iCs w:val="0"/>
                <w:color w:val="000000"/>
                <w:sz w:val="24"/>
                <w:szCs w:val="24"/>
                <w:highlight w:val="none"/>
                <w:u w:val="none"/>
                <w:lang w:val="en-US" w:eastAsia="zh-CN"/>
              </w:rPr>
            </w:pPr>
            <w:r>
              <w:rPr>
                <w:rFonts w:hint="eastAsia" w:ascii="Times New Roman" w:hAnsi="Times New Roman" w:cs="Times New Roman"/>
                <w:i w:val="0"/>
                <w:iCs w:val="0"/>
                <w:color w:val="000000"/>
                <w:kern w:val="0"/>
                <w:sz w:val="24"/>
                <w:szCs w:val="24"/>
                <w:highlight w:val="none"/>
                <w:u w:val="none"/>
                <w:lang w:val="en-US" w:eastAsia="zh-CN" w:bidi="ar"/>
              </w:rPr>
              <w:t>0</w:t>
            </w:r>
          </w:p>
        </w:tc>
        <w:tc>
          <w:tcPr>
            <w:tcW w:w="8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45E84">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Times New Roman" w:hAnsi="Times New Roman" w:eastAsia="仿宋_GB2312" w:cs="Times New Roman"/>
                <w:i w:val="0"/>
                <w:iCs w:val="0"/>
                <w:color w:val="000000"/>
                <w:sz w:val="24"/>
                <w:szCs w:val="24"/>
                <w:highlight w:val="none"/>
                <w:u w:val="none"/>
                <w:lang w:val="en-US" w:eastAsia="zh-CN"/>
              </w:rPr>
            </w:pPr>
            <w:r>
              <w:rPr>
                <w:rFonts w:hint="eastAsia" w:ascii="Times New Roman" w:hAnsi="Times New Roman" w:cs="Times New Roman"/>
                <w:i w:val="0"/>
                <w:iCs w:val="0"/>
                <w:color w:val="000000"/>
                <w:kern w:val="0"/>
                <w:sz w:val="24"/>
                <w:szCs w:val="24"/>
                <w:highlight w:val="none"/>
                <w:u w:val="none"/>
                <w:lang w:val="en-US" w:eastAsia="zh-CN" w:bidi="ar"/>
              </w:rPr>
              <w:t>0</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8E7F8">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Times New Roman" w:hAnsi="Times New Roman" w:eastAsia="仿宋_GB2312" w:cs="Times New Roman"/>
                <w:i w:val="0"/>
                <w:iCs w:val="0"/>
                <w:color w:val="000000"/>
                <w:sz w:val="24"/>
                <w:szCs w:val="24"/>
                <w:highlight w:val="none"/>
                <w:u w:val="none"/>
                <w:lang w:val="en-US" w:eastAsia="zh-CN"/>
              </w:rPr>
            </w:pPr>
            <w:r>
              <w:rPr>
                <w:rFonts w:hint="eastAsia" w:ascii="Times New Roman" w:hAnsi="Times New Roman" w:cs="Times New Roman"/>
                <w:i w:val="0"/>
                <w:iCs w:val="0"/>
                <w:color w:val="000000"/>
                <w:kern w:val="0"/>
                <w:sz w:val="24"/>
                <w:szCs w:val="24"/>
                <w:highlight w:val="none"/>
                <w:u w:val="none"/>
                <w:lang w:val="en-US" w:eastAsia="zh-CN" w:bidi="ar"/>
              </w:rPr>
              <w:t>0</w:t>
            </w:r>
          </w:p>
        </w:tc>
      </w:tr>
      <w:tr w14:paraId="062A3A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jc w:val="center"/>
        </w:trPr>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4282A">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6</w:t>
            </w:r>
          </w:p>
        </w:tc>
        <w:tc>
          <w:tcPr>
            <w:tcW w:w="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521AF">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办公设备购置</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A930A">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kern w:val="0"/>
                <w:sz w:val="24"/>
                <w:szCs w:val="24"/>
                <w:highlight w:val="none"/>
                <w:u w:val="none"/>
                <w:lang w:val="en-US" w:eastAsia="zh-CN" w:bidi="ar"/>
              </w:rPr>
            </w:pPr>
            <w:r>
              <w:rPr>
                <w:rFonts w:hint="eastAsia" w:ascii="Times New Roman" w:hAnsi="Times New Roman" w:cs="Times New Roman"/>
                <w:i w:val="0"/>
                <w:iCs w:val="0"/>
                <w:color w:val="000000"/>
                <w:kern w:val="0"/>
                <w:sz w:val="24"/>
                <w:szCs w:val="24"/>
                <w:highlight w:val="none"/>
                <w:u w:val="none"/>
                <w:lang w:val="en-US" w:eastAsia="zh-CN" w:bidi="ar"/>
              </w:rPr>
              <w:t>0</w:t>
            </w:r>
          </w:p>
        </w:tc>
        <w:tc>
          <w:tcPr>
            <w:tcW w:w="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80BCA">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kern w:val="0"/>
                <w:sz w:val="24"/>
                <w:szCs w:val="24"/>
                <w:highlight w:val="none"/>
                <w:u w:val="none"/>
                <w:lang w:val="en-US" w:eastAsia="zh-CN" w:bidi="ar"/>
              </w:rPr>
            </w:pPr>
            <w:r>
              <w:rPr>
                <w:rFonts w:hint="eastAsia" w:ascii="Times New Roman" w:hAnsi="Times New Roman" w:cs="Times New Roman"/>
                <w:i w:val="0"/>
                <w:iCs w:val="0"/>
                <w:color w:val="000000"/>
                <w:kern w:val="0"/>
                <w:sz w:val="24"/>
                <w:szCs w:val="24"/>
                <w:highlight w:val="none"/>
                <w:u w:val="none"/>
                <w:lang w:val="en-US" w:eastAsia="zh-CN" w:bidi="ar"/>
              </w:rPr>
              <w:t>0</w:t>
            </w:r>
          </w:p>
        </w:tc>
        <w:tc>
          <w:tcPr>
            <w:tcW w:w="8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6DC72">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kern w:val="0"/>
                <w:sz w:val="24"/>
                <w:szCs w:val="24"/>
                <w:highlight w:val="none"/>
                <w:u w:val="none"/>
                <w:lang w:val="en-US" w:eastAsia="zh-CN" w:bidi="ar"/>
              </w:rPr>
            </w:pPr>
            <w:r>
              <w:rPr>
                <w:rFonts w:hint="eastAsia" w:ascii="Times New Roman" w:hAnsi="Times New Roman" w:cs="Times New Roman"/>
                <w:i w:val="0"/>
                <w:iCs w:val="0"/>
                <w:color w:val="000000"/>
                <w:kern w:val="0"/>
                <w:sz w:val="24"/>
                <w:szCs w:val="24"/>
                <w:highlight w:val="none"/>
                <w:u w:val="none"/>
                <w:lang w:val="en-US" w:eastAsia="zh-CN" w:bidi="ar"/>
              </w:rPr>
              <w:t>0</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14316">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kern w:val="0"/>
                <w:sz w:val="24"/>
                <w:szCs w:val="24"/>
                <w:highlight w:val="none"/>
                <w:u w:val="none"/>
                <w:lang w:val="en-US" w:eastAsia="zh-CN" w:bidi="ar"/>
              </w:rPr>
            </w:pPr>
            <w:r>
              <w:rPr>
                <w:rFonts w:hint="eastAsia" w:ascii="Times New Roman" w:hAnsi="Times New Roman" w:cs="Times New Roman"/>
                <w:i w:val="0"/>
                <w:iCs w:val="0"/>
                <w:color w:val="000000"/>
                <w:kern w:val="0"/>
                <w:sz w:val="24"/>
                <w:szCs w:val="24"/>
                <w:highlight w:val="none"/>
                <w:u w:val="none"/>
                <w:lang w:val="en-US" w:eastAsia="zh-CN" w:bidi="ar"/>
              </w:rPr>
              <w:t>1.08</w:t>
            </w:r>
          </w:p>
        </w:tc>
      </w:tr>
      <w:tr w14:paraId="70083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26B54">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7</w:t>
            </w:r>
          </w:p>
        </w:tc>
        <w:tc>
          <w:tcPr>
            <w:tcW w:w="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9788D">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信息网络及软件购置更新经费</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791CD">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kern w:val="0"/>
                <w:sz w:val="24"/>
                <w:szCs w:val="24"/>
                <w:highlight w:val="none"/>
                <w:u w:val="none"/>
                <w:lang w:val="en-US" w:eastAsia="zh-CN" w:bidi="ar"/>
              </w:rPr>
            </w:pPr>
            <w:r>
              <w:rPr>
                <w:rFonts w:hint="eastAsia" w:ascii="Times New Roman" w:hAnsi="Times New Roman" w:cs="Times New Roman"/>
                <w:i w:val="0"/>
                <w:iCs w:val="0"/>
                <w:color w:val="000000"/>
                <w:kern w:val="0"/>
                <w:sz w:val="24"/>
                <w:szCs w:val="24"/>
                <w:highlight w:val="none"/>
                <w:u w:val="none"/>
                <w:lang w:val="en-US" w:eastAsia="zh-CN" w:bidi="ar"/>
              </w:rPr>
              <w:t>0</w:t>
            </w:r>
          </w:p>
        </w:tc>
        <w:tc>
          <w:tcPr>
            <w:tcW w:w="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D646F">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kern w:val="0"/>
                <w:sz w:val="24"/>
                <w:szCs w:val="24"/>
                <w:highlight w:val="none"/>
                <w:u w:val="none"/>
                <w:lang w:val="en-US" w:eastAsia="zh-CN" w:bidi="ar"/>
              </w:rPr>
            </w:pPr>
            <w:r>
              <w:rPr>
                <w:rFonts w:hint="eastAsia" w:ascii="Times New Roman" w:hAnsi="Times New Roman" w:cs="Times New Roman"/>
                <w:i w:val="0"/>
                <w:iCs w:val="0"/>
                <w:color w:val="000000"/>
                <w:kern w:val="0"/>
                <w:sz w:val="24"/>
                <w:szCs w:val="24"/>
                <w:highlight w:val="none"/>
                <w:u w:val="none"/>
                <w:lang w:val="en-US" w:eastAsia="zh-CN" w:bidi="ar"/>
              </w:rPr>
              <w:t>0</w:t>
            </w:r>
          </w:p>
        </w:tc>
        <w:tc>
          <w:tcPr>
            <w:tcW w:w="8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91E85">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kern w:val="0"/>
                <w:sz w:val="24"/>
                <w:szCs w:val="24"/>
                <w:highlight w:val="none"/>
                <w:u w:val="none"/>
                <w:lang w:val="en-US" w:eastAsia="zh-CN" w:bidi="ar"/>
              </w:rPr>
            </w:pPr>
            <w:r>
              <w:rPr>
                <w:rFonts w:hint="eastAsia" w:ascii="Times New Roman" w:hAnsi="Times New Roman" w:cs="Times New Roman"/>
                <w:i w:val="0"/>
                <w:iCs w:val="0"/>
                <w:color w:val="000000"/>
                <w:kern w:val="0"/>
                <w:sz w:val="24"/>
                <w:szCs w:val="24"/>
                <w:highlight w:val="none"/>
                <w:u w:val="none"/>
                <w:lang w:val="en-US" w:eastAsia="zh-CN" w:bidi="ar"/>
              </w:rPr>
              <w:t>0</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CC130">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kern w:val="0"/>
                <w:sz w:val="24"/>
                <w:szCs w:val="24"/>
                <w:highlight w:val="none"/>
                <w:u w:val="none"/>
                <w:lang w:val="en-US" w:eastAsia="zh-CN" w:bidi="ar"/>
              </w:rPr>
            </w:pPr>
            <w:r>
              <w:rPr>
                <w:rFonts w:hint="eastAsia" w:ascii="Times New Roman" w:hAnsi="Times New Roman" w:cs="Times New Roman"/>
                <w:i w:val="0"/>
                <w:iCs w:val="0"/>
                <w:color w:val="000000"/>
                <w:kern w:val="0"/>
                <w:sz w:val="24"/>
                <w:szCs w:val="24"/>
                <w:highlight w:val="none"/>
                <w:u w:val="none"/>
                <w:lang w:val="en-US" w:eastAsia="zh-CN" w:bidi="ar"/>
              </w:rPr>
              <w:t>0</w:t>
            </w:r>
          </w:p>
        </w:tc>
      </w:tr>
      <w:tr w14:paraId="1EE8F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2F690">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8</w:t>
            </w:r>
          </w:p>
        </w:tc>
        <w:tc>
          <w:tcPr>
            <w:tcW w:w="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21689">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课题经费</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7358F">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eastAsia" w:ascii="Times New Roman" w:hAnsi="Times New Roman" w:cs="Times New Roman"/>
                <w:i w:val="0"/>
                <w:iCs w:val="0"/>
                <w:color w:val="auto"/>
                <w:kern w:val="0"/>
                <w:sz w:val="24"/>
                <w:szCs w:val="24"/>
                <w:highlight w:val="none"/>
                <w:u w:val="none"/>
                <w:lang w:val="en-US" w:eastAsia="zh-CN" w:bidi="ar"/>
              </w:rPr>
              <w:t>0</w:t>
            </w:r>
          </w:p>
        </w:tc>
        <w:tc>
          <w:tcPr>
            <w:tcW w:w="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B4790">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eastAsia" w:ascii="Times New Roman" w:hAnsi="Times New Roman" w:cs="Times New Roman"/>
                <w:i w:val="0"/>
                <w:iCs w:val="0"/>
                <w:color w:val="auto"/>
                <w:kern w:val="0"/>
                <w:sz w:val="24"/>
                <w:szCs w:val="24"/>
                <w:highlight w:val="none"/>
                <w:u w:val="none"/>
                <w:lang w:val="en-US" w:eastAsia="zh-CN" w:bidi="ar"/>
              </w:rPr>
              <w:t>0</w:t>
            </w:r>
          </w:p>
        </w:tc>
        <w:tc>
          <w:tcPr>
            <w:tcW w:w="8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B23AB9">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eastAsia" w:ascii="Times New Roman" w:hAnsi="Times New Roman" w:cs="Times New Roman"/>
                <w:i w:val="0"/>
                <w:iCs w:val="0"/>
                <w:color w:val="auto"/>
                <w:kern w:val="0"/>
                <w:sz w:val="24"/>
                <w:szCs w:val="24"/>
                <w:highlight w:val="none"/>
                <w:u w:val="none"/>
                <w:lang w:val="en-US" w:eastAsia="zh-CN" w:bidi="ar"/>
              </w:rPr>
              <w:t>0</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8506A">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eastAsia" w:ascii="Times New Roman" w:hAnsi="Times New Roman" w:cs="Times New Roman"/>
                <w:i w:val="0"/>
                <w:iCs w:val="0"/>
                <w:color w:val="auto"/>
                <w:kern w:val="0"/>
                <w:sz w:val="24"/>
                <w:szCs w:val="24"/>
                <w:highlight w:val="none"/>
                <w:u w:val="none"/>
                <w:lang w:val="en-US" w:eastAsia="zh-CN" w:bidi="ar"/>
              </w:rPr>
              <w:t>0</w:t>
            </w:r>
          </w:p>
        </w:tc>
      </w:tr>
      <w:tr w14:paraId="519C36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124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F3F2AB">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b/>
                <w:bCs/>
                <w:i w:val="0"/>
                <w:iCs w:val="0"/>
                <w:color w:val="auto"/>
                <w:sz w:val="24"/>
                <w:szCs w:val="24"/>
                <w:highlight w:val="none"/>
                <w:u w:val="none"/>
              </w:rPr>
            </w:pPr>
            <w:r>
              <w:rPr>
                <w:rFonts w:hint="default" w:ascii="Times New Roman" w:hAnsi="Times New Roman" w:eastAsia="仿宋_GB2312" w:cs="Times New Roman"/>
                <w:b/>
                <w:bCs/>
                <w:i w:val="0"/>
                <w:iCs w:val="0"/>
                <w:color w:val="auto"/>
                <w:kern w:val="0"/>
                <w:sz w:val="24"/>
                <w:szCs w:val="24"/>
                <w:highlight w:val="none"/>
                <w:u w:val="none"/>
                <w:lang w:val="en-US" w:eastAsia="zh-CN" w:bidi="ar"/>
              </w:rPr>
              <w:t>合计</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958F1">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Times New Roman" w:hAnsi="Times New Roman" w:cs="Times New Roman"/>
                <w:i w:val="0"/>
                <w:iCs w:val="0"/>
                <w:color w:val="auto"/>
                <w:kern w:val="0"/>
                <w:sz w:val="24"/>
                <w:szCs w:val="24"/>
                <w:highlight w:val="none"/>
                <w:u w:val="none"/>
                <w:lang w:val="en-US" w:eastAsia="zh-CN" w:bidi="ar"/>
              </w:rPr>
            </w:pPr>
            <w:r>
              <w:rPr>
                <w:rFonts w:hint="eastAsia" w:ascii="Times New Roman" w:hAnsi="Times New Roman" w:cs="Times New Roman"/>
                <w:i w:val="0"/>
                <w:iCs w:val="0"/>
                <w:color w:val="auto"/>
                <w:kern w:val="0"/>
                <w:sz w:val="24"/>
                <w:szCs w:val="24"/>
                <w:highlight w:val="none"/>
                <w:u w:val="none"/>
                <w:lang w:val="en-US" w:eastAsia="zh-CN" w:bidi="ar"/>
              </w:rPr>
              <w:t>413.52</w:t>
            </w:r>
          </w:p>
        </w:tc>
        <w:tc>
          <w:tcPr>
            <w:tcW w:w="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EC45A">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Times New Roman" w:hAnsi="Times New Roman" w:cs="Times New Roman"/>
                <w:i w:val="0"/>
                <w:iCs w:val="0"/>
                <w:color w:val="auto"/>
                <w:kern w:val="0"/>
                <w:sz w:val="24"/>
                <w:szCs w:val="24"/>
                <w:highlight w:val="none"/>
                <w:u w:val="none"/>
                <w:lang w:val="en-US" w:eastAsia="zh-CN" w:bidi="ar"/>
              </w:rPr>
            </w:pPr>
            <w:r>
              <w:rPr>
                <w:rFonts w:hint="eastAsia" w:ascii="Times New Roman" w:hAnsi="Times New Roman" w:cs="Times New Roman"/>
                <w:i w:val="0"/>
                <w:iCs w:val="0"/>
                <w:color w:val="auto"/>
                <w:kern w:val="0"/>
                <w:sz w:val="24"/>
                <w:szCs w:val="24"/>
                <w:highlight w:val="none"/>
                <w:u w:val="none"/>
                <w:lang w:val="en-US" w:eastAsia="zh-CN" w:bidi="ar"/>
              </w:rPr>
              <w:t>411.23</w:t>
            </w:r>
          </w:p>
        </w:tc>
        <w:tc>
          <w:tcPr>
            <w:tcW w:w="8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F0D3A">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eastAsia" w:ascii="Times New Roman" w:hAnsi="Times New Roman" w:cs="Times New Roman"/>
                <w:i w:val="0"/>
                <w:iCs w:val="0"/>
                <w:color w:val="auto"/>
                <w:kern w:val="0"/>
                <w:sz w:val="24"/>
                <w:szCs w:val="24"/>
                <w:highlight w:val="none"/>
                <w:u w:val="none"/>
                <w:lang w:val="en-US" w:eastAsia="zh-CN" w:bidi="ar"/>
              </w:rPr>
              <w:t>374.44</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2E3D3">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eastAsia" w:ascii="Times New Roman" w:hAnsi="Times New Roman" w:cs="Times New Roman"/>
                <w:i w:val="0"/>
                <w:iCs w:val="0"/>
                <w:color w:val="auto"/>
                <w:kern w:val="0"/>
                <w:sz w:val="24"/>
                <w:szCs w:val="24"/>
                <w:highlight w:val="none"/>
                <w:u w:val="none"/>
                <w:lang w:val="en-US" w:eastAsia="zh-CN" w:bidi="ar"/>
              </w:rPr>
              <w:t>315.39</w:t>
            </w:r>
          </w:p>
        </w:tc>
      </w:tr>
    </w:tbl>
    <w:p w14:paraId="1C633088">
      <w:pPr>
        <w:rPr>
          <w:rFonts w:hint="eastAsia" w:ascii="Times New Roman" w:hAnsi="Times New Roman"/>
          <w:highlight w:val="none"/>
          <w:lang w:val="en-US" w:eastAsia="zh-CN"/>
        </w:rPr>
      </w:pPr>
      <w:r>
        <w:rPr>
          <w:rFonts w:hint="eastAsia" w:ascii="Times New Roman" w:hAnsi="Times New Roman"/>
          <w:highlight w:val="none"/>
          <w:lang w:val="en-US" w:eastAsia="zh-CN"/>
        </w:rPr>
        <w:t>一般性支出财政拨款年初预算较上年减少，一般性支出财政拨款预算执行数较上年减少。</w:t>
      </w:r>
    </w:p>
    <w:p w14:paraId="2D86C155">
      <w:pPr>
        <w:rPr>
          <w:rFonts w:hint="default" w:ascii="Times New Roman" w:hAnsi="Times New Roman"/>
          <w:highlight w:val="none"/>
          <w:lang w:val="en-US" w:eastAsia="zh-CN"/>
        </w:rPr>
      </w:pPr>
      <w:r>
        <w:rPr>
          <w:rFonts w:hint="default" w:ascii="Times New Roman" w:hAnsi="Times New Roman"/>
          <w:highlight w:val="none"/>
          <w:lang w:val="en-US" w:eastAsia="zh-CN"/>
        </w:rPr>
        <w:t>根据评分标准，该项指标扣0.89分，得4.11分。</w:t>
      </w:r>
    </w:p>
    <w:p w14:paraId="30AD08A3">
      <w:pPr>
        <w:pStyle w:val="4"/>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highlight w:val="none"/>
          <w:lang w:val="zh-CN"/>
        </w:rPr>
      </w:pPr>
      <w:r>
        <w:rPr>
          <w:rFonts w:hint="default" w:ascii="Times New Roman" w:hAnsi="Times New Roman" w:cs="Times New Roman"/>
          <w:highlight w:val="none"/>
          <w:lang w:val="en-US" w:eastAsia="zh-CN"/>
        </w:rPr>
        <w:t>3</w:t>
      </w:r>
      <w:r>
        <w:rPr>
          <w:rFonts w:hint="eastAsia" w:ascii="Times New Roman" w:hAnsi="Times New Roman"/>
          <w:highlight w:val="none"/>
          <w:lang w:val="en-US" w:eastAsia="zh-CN"/>
        </w:rPr>
        <w:t>.</w:t>
      </w:r>
      <w:r>
        <w:rPr>
          <w:rFonts w:hint="default" w:ascii="Times New Roman" w:hAnsi="Times New Roman"/>
          <w:highlight w:val="none"/>
          <w:lang w:val="zh-CN"/>
        </w:rPr>
        <w:t>财务管理</w:t>
      </w:r>
    </w:p>
    <w:p w14:paraId="65A7C015">
      <w:pPr>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highlight w:val="none"/>
          <w:lang w:val="zh-CN" w:eastAsia="zh-CN"/>
        </w:rPr>
      </w:pPr>
      <w:r>
        <w:rPr>
          <w:rFonts w:hint="eastAsia" w:ascii="Times New Roman" w:hAnsi="Times New Roman"/>
          <w:highlight w:val="none"/>
          <w:lang w:val="zh-CN" w:eastAsia="zh-CN"/>
        </w:rPr>
        <w:t>（1）财务管理制度</w:t>
      </w:r>
    </w:p>
    <w:p w14:paraId="281C6696">
      <w:pPr>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highlight w:val="none"/>
          <w:lang w:val="zh-CN" w:eastAsia="zh-CN"/>
        </w:rPr>
      </w:pPr>
      <w:r>
        <w:rPr>
          <w:rFonts w:hint="eastAsia" w:ascii="Times New Roman" w:hAnsi="Times New Roman"/>
          <w:highlight w:val="none"/>
          <w:lang w:val="zh-CN" w:eastAsia="zh-CN"/>
        </w:rPr>
        <w:t>为加强和规范我局内部控制管理水平和风险防范能力，健全规范内部控制机制，加强廉政风险防控机制建设，我局</w:t>
      </w:r>
      <w:r>
        <w:rPr>
          <w:rFonts w:hint="eastAsia" w:ascii="Times New Roman" w:hAnsi="Times New Roman"/>
          <w:highlight w:val="none"/>
          <w:lang w:val="en-US" w:eastAsia="zh-CN"/>
        </w:rPr>
        <w:t>2025</w:t>
      </w:r>
      <w:r>
        <w:rPr>
          <w:rFonts w:hint="eastAsia" w:ascii="Times New Roman" w:hAnsi="Times New Roman"/>
          <w:highlight w:val="none"/>
          <w:lang w:val="zh-CN" w:eastAsia="zh-CN"/>
        </w:rPr>
        <w:t>年在对预算、收支、政府采购、资产、建设项目、合同等各类经济业务活动流程梳理的基础上，依据《中华人民共和国会计法》《中华人民共和国预算法》《中华人民共和国政府采购法》《政府会计制度》《行政事业单位内部控制规范（试行）》《关于全面推进行政事业单位内部控制建设的指导意见》（财会〔2015〕24号）、《四川省财政厅关于印发〈四川省省级行政事业单位内部控制建设指引〉的通知》（川财会〔2019〕37号）等文件编制了《阿坝藏族羌族自治州市场监督管理局财务内部控制制度》，部门内部财务管理制度等制度机制建立健全，制度得到有效执行。</w:t>
      </w:r>
    </w:p>
    <w:p w14:paraId="015EB18C">
      <w:pPr>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highlight w:val="none"/>
          <w:lang w:val="zh-CN" w:eastAsia="zh-CN"/>
        </w:rPr>
      </w:pPr>
      <w:r>
        <w:rPr>
          <w:rFonts w:hint="eastAsia" w:ascii="Times New Roman" w:hAnsi="Times New Roman"/>
          <w:highlight w:val="none"/>
          <w:lang w:val="zh-CN" w:eastAsia="zh-CN"/>
        </w:rPr>
        <w:t>根据评分标准，该项指标不扣分，得4分。</w:t>
      </w:r>
    </w:p>
    <w:p w14:paraId="7D6C29FC">
      <w:pPr>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highlight w:val="none"/>
          <w:lang w:val="zh-CN" w:eastAsia="zh-CN"/>
        </w:rPr>
      </w:pPr>
      <w:r>
        <w:rPr>
          <w:rFonts w:hint="eastAsia" w:ascii="Times New Roman" w:hAnsi="Times New Roman"/>
          <w:highlight w:val="none"/>
          <w:lang w:val="zh-CN" w:eastAsia="zh-CN"/>
        </w:rPr>
        <w:t>（2）财务岗位设置</w:t>
      </w:r>
    </w:p>
    <w:p w14:paraId="69B3AEDE">
      <w:pPr>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highlight w:val="none"/>
          <w:lang w:val="zh-CN" w:eastAsia="zh-CN"/>
        </w:rPr>
      </w:pPr>
      <w:r>
        <w:rPr>
          <w:rFonts w:hint="eastAsia" w:ascii="Times New Roman" w:hAnsi="Times New Roman"/>
          <w:highlight w:val="none"/>
          <w:lang w:val="zh-CN" w:eastAsia="zh-CN"/>
        </w:rPr>
        <w:t>我局按照《中华人民共和国会计法》《中华人民共和国预算法》等相关法律，合理设置了单位财务岗位，明确了各岗位职责权限确保工作有序进行，同时，我局制定的《阿坝藏族羌族自治州市场监督管理局财务内部控制制度》明确表示了财务收支统一核算管理，会计和出纳岗位分设，出纳人员不得兼管审核、会计档案保管，在财务实际设置过程中，做到了将会计与出纳、审核与执行等岗位分离，形成了相互制约、监督的机制，进而增强了财务数据的准确性，提升了内部控制效能，确保了财务工作的高效与透明。</w:t>
      </w:r>
    </w:p>
    <w:p w14:paraId="28D6E527">
      <w:pPr>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highlight w:val="none"/>
          <w:lang w:val="zh-CN" w:eastAsia="zh-CN"/>
        </w:rPr>
      </w:pPr>
      <w:r>
        <w:rPr>
          <w:rFonts w:hint="eastAsia" w:ascii="Times New Roman" w:hAnsi="Times New Roman"/>
          <w:highlight w:val="none"/>
          <w:lang w:val="zh-CN" w:eastAsia="zh-CN"/>
        </w:rPr>
        <w:t>根据评分标准，该项指标不扣分，得2分。</w:t>
      </w:r>
    </w:p>
    <w:p w14:paraId="5259CDD0">
      <w:pPr>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highlight w:val="none"/>
          <w:lang w:val="zh-CN" w:eastAsia="zh-CN"/>
        </w:rPr>
      </w:pPr>
      <w:r>
        <w:rPr>
          <w:rFonts w:hint="eastAsia" w:ascii="Times New Roman" w:hAnsi="Times New Roman"/>
          <w:highlight w:val="none"/>
          <w:lang w:val="zh-CN" w:eastAsia="zh-CN"/>
        </w:rPr>
        <w:t>（3）资金使用规范</w:t>
      </w:r>
    </w:p>
    <w:p w14:paraId="4B68D8DE">
      <w:pPr>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highlight w:val="none"/>
          <w:lang w:val="zh-CN" w:eastAsia="zh-CN"/>
        </w:rPr>
      </w:pPr>
      <w:r>
        <w:rPr>
          <w:rFonts w:hint="eastAsia" w:ascii="Times New Roman" w:hAnsi="Times New Roman"/>
          <w:highlight w:val="none"/>
          <w:lang w:val="zh-CN" w:eastAsia="zh-CN"/>
        </w:rPr>
        <w:t>我局严格按照已制定的内部控制制度文件和国家财经法规要求使用资金，资金使用符合相关财务管理制度规定，资金的拨付有完整的审批程序和手续，对项目的重大开支进行了评估论证，资金使用符合部门预算批复的用途，不存在截留、挤占、挪用、虚列支出等情况。</w:t>
      </w:r>
    </w:p>
    <w:p w14:paraId="2FEFA7C5">
      <w:pPr>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color w:val="auto"/>
          <w:highlight w:val="none"/>
          <w:lang w:val="zh-CN" w:eastAsia="zh-CN"/>
        </w:rPr>
      </w:pPr>
      <w:r>
        <w:rPr>
          <w:rFonts w:hint="eastAsia" w:ascii="Times New Roman" w:hAnsi="Times New Roman"/>
          <w:highlight w:val="none"/>
          <w:lang w:val="zh-CN" w:eastAsia="zh-CN"/>
        </w:rPr>
        <w:t>根据评分标准，该项指标不扣分，得4分。</w:t>
      </w:r>
    </w:p>
    <w:p w14:paraId="1B50331F">
      <w:pPr>
        <w:keepNext w:val="0"/>
        <w:keepLines w:val="0"/>
        <w:pageBreakBefore w:val="0"/>
        <w:widowControl w:val="0"/>
        <w:kinsoku/>
        <w:wordWrap/>
        <w:overflowPunct/>
        <w:topLinePunct w:val="0"/>
        <w:autoSpaceDE/>
        <w:autoSpaceDN/>
        <w:bidi w:val="0"/>
        <w:adjustRightInd/>
        <w:snapToGrid/>
        <w:spacing w:line="600" w:lineRule="exact"/>
        <w:textAlignment w:val="auto"/>
        <w:outlineLvl w:val="2"/>
        <w:rPr>
          <w:rFonts w:hint="eastAsia" w:ascii="Times New Roman" w:hAnsi="Times New Roman" w:eastAsia="楷体_GB2312" w:cs="楷体_GB2312"/>
          <w:color w:val="auto"/>
          <w:highlight w:val="none"/>
          <w:lang w:val="zh-CN"/>
        </w:rPr>
      </w:pPr>
      <w:r>
        <w:rPr>
          <w:rFonts w:hint="eastAsia" w:ascii="Times New Roman" w:hAnsi="Times New Roman" w:eastAsia="楷体_GB2312" w:cs="楷体_GB2312"/>
          <w:color w:val="auto"/>
          <w:highlight w:val="none"/>
          <w:lang w:val="en-US" w:eastAsia="zh-CN"/>
        </w:rPr>
        <w:t>4.</w:t>
      </w:r>
      <w:r>
        <w:rPr>
          <w:rFonts w:hint="eastAsia" w:ascii="Times New Roman" w:hAnsi="Times New Roman" w:eastAsia="楷体_GB2312" w:cs="楷体_GB2312"/>
          <w:color w:val="auto"/>
          <w:highlight w:val="none"/>
          <w:lang w:val="zh-CN"/>
        </w:rPr>
        <w:t>资产管理</w:t>
      </w:r>
    </w:p>
    <w:p w14:paraId="37DD3AB7">
      <w:pPr>
        <w:keepNext w:val="0"/>
        <w:keepLines w:val="0"/>
        <w:pageBreakBefore w:val="0"/>
        <w:widowControl w:val="0"/>
        <w:kinsoku/>
        <w:wordWrap/>
        <w:overflowPunct/>
        <w:topLinePunct w:val="0"/>
        <w:autoSpaceDE/>
        <w:autoSpaceDN/>
        <w:bidi w:val="0"/>
        <w:adjustRightInd/>
        <w:snapToGrid/>
        <w:spacing w:line="600" w:lineRule="exact"/>
        <w:textAlignment w:val="auto"/>
        <w:outlineLvl w:val="3"/>
        <w:rPr>
          <w:rFonts w:hint="eastAsia" w:ascii="Times New Roman" w:hAnsi="Times New Roman"/>
          <w:color w:val="auto"/>
          <w:highlight w:val="none"/>
          <w:lang w:val="zh-CN" w:eastAsia="zh-CN"/>
        </w:rPr>
      </w:pPr>
      <w:r>
        <w:rPr>
          <w:rFonts w:hint="eastAsia" w:ascii="Times New Roman" w:hAnsi="Times New Roman"/>
          <w:color w:val="auto"/>
          <w:highlight w:val="none"/>
          <w:lang w:val="zh-CN" w:eastAsia="zh-CN"/>
        </w:rPr>
        <w:t>（1）人均资产变化率</w:t>
      </w:r>
    </w:p>
    <w:p w14:paraId="39825D1C">
      <w:pPr>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color w:val="auto"/>
          <w:highlight w:val="none"/>
          <w:lang w:val="zh-CN" w:eastAsia="zh-CN"/>
        </w:rPr>
      </w:pPr>
      <w:r>
        <w:rPr>
          <w:rFonts w:hint="eastAsia"/>
          <w:color w:val="auto"/>
          <w:highlight w:val="none"/>
          <w:lang w:val="zh-CN" w:eastAsia="zh-CN"/>
        </w:rPr>
        <w:t>我局</w:t>
      </w:r>
      <w:r>
        <w:rPr>
          <w:rFonts w:hint="eastAsia" w:ascii="Times New Roman" w:hAnsi="Times New Roman"/>
          <w:color w:val="auto"/>
          <w:highlight w:val="none"/>
          <w:lang w:val="zh-CN" w:eastAsia="zh-CN"/>
        </w:rPr>
        <w:t>2024年末实有在编在职人数为181人，固定资产和无形资产期末账面值净值合计5,106.99万元；2025年末实有在职在编人数为184人，固定资产和无形资产净值合计4,266.47万元。人均占有资产及人均资产变化率计算公式分别为“（固定资产净值+无形资产净值</w:t>
      </w:r>
      <w:r>
        <w:rPr>
          <w:rFonts w:hint="eastAsia"/>
          <w:color w:val="auto"/>
          <w:highlight w:val="none"/>
          <w:lang w:val="zh-CN" w:eastAsia="zh-CN"/>
        </w:rPr>
        <w:t>）</w:t>
      </w:r>
      <w:r>
        <w:rPr>
          <w:rFonts w:hint="eastAsia" w:ascii="Times New Roman" w:hAnsi="Times New Roman"/>
          <w:color w:val="auto"/>
          <w:highlight w:val="none"/>
          <w:lang w:val="zh-CN" w:eastAsia="zh-CN"/>
        </w:rPr>
        <w:t>/在职人数、</w:t>
      </w:r>
      <w:r>
        <w:rPr>
          <w:rFonts w:hint="eastAsia"/>
          <w:color w:val="auto"/>
          <w:highlight w:val="none"/>
          <w:lang w:val="zh-CN" w:eastAsia="zh-CN"/>
        </w:rPr>
        <w:t>（</w:t>
      </w:r>
      <w:r>
        <w:rPr>
          <w:rFonts w:hint="eastAsia" w:ascii="Times New Roman" w:hAnsi="Times New Roman"/>
          <w:color w:val="auto"/>
          <w:highlight w:val="none"/>
          <w:lang w:val="zh-CN" w:eastAsia="zh-CN"/>
        </w:rPr>
        <w:t>当年人均资产</w:t>
      </w:r>
      <w:r>
        <w:rPr>
          <w:rFonts w:hint="eastAsia"/>
          <w:color w:val="auto"/>
          <w:highlight w:val="none"/>
          <w:lang w:val="zh-CN" w:eastAsia="zh-CN"/>
        </w:rPr>
        <w:t>－</w:t>
      </w:r>
      <w:r>
        <w:rPr>
          <w:rFonts w:hint="eastAsia" w:ascii="Times New Roman" w:hAnsi="Times New Roman"/>
          <w:color w:val="auto"/>
          <w:highlight w:val="none"/>
          <w:lang w:val="zh-CN" w:eastAsia="zh-CN"/>
        </w:rPr>
        <w:t>上年人均资产</w:t>
      </w:r>
      <w:r>
        <w:rPr>
          <w:rFonts w:hint="eastAsia"/>
          <w:color w:val="auto"/>
          <w:highlight w:val="none"/>
          <w:lang w:val="zh-CN" w:eastAsia="zh-CN"/>
        </w:rPr>
        <w:t>）</w:t>
      </w:r>
      <w:r>
        <w:rPr>
          <w:rFonts w:hint="eastAsia" w:ascii="Times New Roman" w:hAnsi="Times New Roman"/>
          <w:color w:val="auto"/>
          <w:highlight w:val="none"/>
          <w:lang w:val="zh-CN" w:eastAsia="zh-CN"/>
        </w:rPr>
        <w:t>/上年人均资产”。故</w:t>
      </w:r>
      <w:r>
        <w:rPr>
          <w:rFonts w:hint="eastAsia"/>
          <w:color w:val="auto"/>
          <w:highlight w:val="none"/>
          <w:lang w:val="zh-CN" w:eastAsia="zh-CN"/>
        </w:rPr>
        <w:t>我局</w:t>
      </w:r>
      <w:r>
        <w:rPr>
          <w:rFonts w:hint="eastAsia" w:ascii="Times New Roman" w:hAnsi="Times New Roman"/>
          <w:color w:val="auto"/>
          <w:highlight w:val="none"/>
          <w:lang w:val="zh-CN" w:eastAsia="zh-CN"/>
        </w:rPr>
        <w:t>2024、2025年人均占有资产分别为28.22万元/人、23.19万元/人。</w:t>
      </w:r>
    </w:p>
    <w:p w14:paraId="22E3F2CE">
      <w:pPr>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color w:val="auto"/>
          <w:highlight w:val="none"/>
          <w:lang w:val="zh-CN" w:eastAsia="zh-CN"/>
        </w:rPr>
      </w:pPr>
      <w:r>
        <w:rPr>
          <w:rFonts w:hint="eastAsia" w:ascii="Times New Roman" w:hAnsi="Times New Roman"/>
          <w:color w:val="auto"/>
          <w:highlight w:val="none"/>
          <w:lang w:val="zh-CN" w:eastAsia="zh-CN"/>
        </w:rPr>
        <w:t>综上，2025年</w:t>
      </w:r>
      <w:r>
        <w:rPr>
          <w:rFonts w:hint="eastAsia"/>
          <w:color w:val="auto"/>
          <w:highlight w:val="none"/>
          <w:lang w:val="zh-CN" w:eastAsia="zh-CN"/>
        </w:rPr>
        <w:t>我局</w:t>
      </w:r>
      <w:r>
        <w:rPr>
          <w:rFonts w:hint="eastAsia" w:ascii="Times New Roman" w:hAnsi="Times New Roman"/>
          <w:color w:val="auto"/>
          <w:highlight w:val="none"/>
          <w:lang w:val="zh-CN" w:eastAsia="zh-CN"/>
        </w:rPr>
        <w:t>人均资产变化率为-17.82%，小于0，小于州直行政事业单位人均资产变化率-3.49%，小于州级财政收入增长率17.10%。</w:t>
      </w:r>
    </w:p>
    <w:p w14:paraId="51268670">
      <w:pPr>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olor w:val="auto"/>
          <w:highlight w:val="yellow"/>
          <w:lang w:val="en-US" w:eastAsia="zh-CN"/>
        </w:rPr>
      </w:pPr>
      <w:r>
        <w:rPr>
          <w:rFonts w:hint="eastAsia" w:ascii="Times New Roman" w:hAnsi="Times New Roman"/>
          <w:color w:val="auto"/>
          <w:highlight w:val="none"/>
          <w:lang w:val="zh-CN" w:eastAsia="zh-CN"/>
        </w:rPr>
        <w:t>根据评分标准，该项指标不扣分，得3分。</w:t>
      </w:r>
    </w:p>
    <w:p w14:paraId="1D889624">
      <w:pPr>
        <w:pageBreakBefore w:val="0"/>
        <w:widowControl w:val="0"/>
        <w:kinsoku/>
        <w:wordWrap/>
        <w:overflowPunct/>
        <w:topLinePunct w:val="0"/>
        <w:autoSpaceDE/>
        <w:autoSpaceDN/>
        <w:bidi w:val="0"/>
        <w:adjustRightInd/>
        <w:snapToGrid/>
        <w:spacing w:line="600" w:lineRule="exact"/>
        <w:textAlignment w:val="auto"/>
        <w:outlineLvl w:val="3"/>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w:t>
      </w:r>
      <w:r>
        <w:rPr>
          <w:rFonts w:hint="default" w:ascii="Times New Roman" w:hAnsi="Times New Roman" w:cs="Times New Roman"/>
          <w:color w:val="auto"/>
          <w:highlight w:val="none"/>
          <w:lang w:val="en-US" w:eastAsia="zh-CN"/>
        </w:rPr>
        <w:t>2</w:t>
      </w:r>
      <w:r>
        <w:rPr>
          <w:rFonts w:hint="eastAsia" w:ascii="Times New Roman" w:hAnsi="Times New Roman"/>
          <w:color w:val="auto"/>
          <w:highlight w:val="none"/>
          <w:lang w:val="en-US" w:eastAsia="zh-CN"/>
        </w:rPr>
        <w:t>）资产利用率</w:t>
      </w:r>
    </w:p>
    <w:p w14:paraId="5C52FC9F">
      <w:pPr>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我局2025年办公家具账面价值为536.04万元，超最低使用年限的办公家具账面价值为128.93万元，故办公家具超最低使用年限资产利用率=超最低使用年限的办公家具账面价值÷办公家具账面价值×100%=24.05%；2025年办公设备账面价值为7,195.98万元，超最低使用年限的办公设备账面价值为5,205.99万元，故办公设备超最低使用年限资产利用率=超最低使用年限的办公设备账面价值÷办公设备账面价值×100%=72.35%。</w:t>
      </w:r>
    </w:p>
    <w:p w14:paraId="4D7FE4C9">
      <w:pPr>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综上，我局在资产利用率方面，办公家具和用具超最低使用年限资产利用率大于州直行政事业单位平均值12.93%，办公设备超最低使用年限资产利用率大于州直行政事业单位平均值53.14%。</w:t>
      </w:r>
    </w:p>
    <w:p w14:paraId="3DFF44D4">
      <w:pPr>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根据评分标准，该项指标不扣分，得3分。</w:t>
      </w:r>
    </w:p>
    <w:p w14:paraId="4C2C61D0">
      <w:pPr>
        <w:pageBreakBefore w:val="0"/>
        <w:widowControl w:val="0"/>
        <w:kinsoku/>
        <w:wordWrap/>
        <w:overflowPunct/>
        <w:topLinePunct w:val="0"/>
        <w:autoSpaceDE/>
        <w:autoSpaceDN/>
        <w:bidi w:val="0"/>
        <w:adjustRightInd/>
        <w:snapToGrid/>
        <w:spacing w:line="600" w:lineRule="exact"/>
        <w:textAlignment w:val="auto"/>
        <w:outlineLvl w:val="3"/>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w:t>
      </w:r>
      <w:r>
        <w:rPr>
          <w:rFonts w:hint="default" w:ascii="Times New Roman" w:hAnsi="Times New Roman" w:cs="Times New Roman"/>
          <w:color w:val="auto"/>
          <w:highlight w:val="none"/>
          <w:lang w:val="en-US" w:eastAsia="zh-CN"/>
        </w:rPr>
        <w:t>3</w:t>
      </w:r>
      <w:r>
        <w:rPr>
          <w:rFonts w:hint="eastAsia" w:ascii="Times New Roman" w:hAnsi="Times New Roman"/>
          <w:color w:val="auto"/>
          <w:highlight w:val="none"/>
          <w:lang w:val="en-US" w:eastAsia="zh-CN"/>
        </w:rPr>
        <w:t>）资产盘活率</w:t>
      </w:r>
    </w:p>
    <w:p w14:paraId="463E4232">
      <w:pPr>
        <w:keepNext w:val="0"/>
        <w:keepLines w:val="0"/>
        <w:pageBreakBefore w:val="0"/>
        <w:widowControl w:val="0"/>
        <w:kinsoku/>
        <w:wordWrap/>
        <w:overflowPunct/>
        <w:topLinePunct w:val="0"/>
        <w:autoSpaceDE/>
        <w:autoSpaceDN/>
        <w:bidi w:val="0"/>
        <w:adjustRightInd/>
        <w:snapToGrid/>
        <w:spacing w:line="600" w:lineRule="exact"/>
        <w:textAlignment w:val="auto"/>
        <w:outlineLvl w:val="9"/>
        <w:rPr>
          <w:rFonts w:hint="default" w:ascii="Times New Roman" w:hAnsi="Times New Roman"/>
          <w:i w:val="0"/>
          <w:strike w:val="0"/>
          <w:color w:val="auto"/>
          <w:spacing w:val="0"/>
          <w:highlight w:val="none"/>
          <w:u w:val="none"/>
          <w:lang w:val="en-US" w:eastAsia="zh-CN"/>
        </w:rPr>
      </w:pPr>
      <w:r>
        <w:rPr>
          <w:rFonts w:hint="eastAsia" w:ascii="Times New Roman" w:hAnsi="Times New Roman"/>
          <w:i w:val="0"/>
          <w:strike w:val="0"/>
          <w:color w:val="auto"/>
          <w:spacing w:val="0"/>
          <w:highlight w:val="none"/>
          <w:u w:val="none"/>
          <w:lang w:val="en-US" w:eastAsia="zh-CN"/>
        </w:rPr>
        <w:t>我局2024</w:t>
      </w:r>
      <w:r>
        <w:rPr>
          <w:rFonts w:hint="default" w:ascii="Times New Roman" w:hAnsi="Times New Roman"/>
          <w:i w:val="0"/>
          <w:strike w:val="0"/>
          <w:color w:val="auto"/>
          <w:spacing w:val="0"/>
          <w:highlight w:val="none"/>
          <w:u w:val="none"/>
          <w:lang w:val="en-US" w:eastAsia="zh-CN"/>
        </w:rPr>
        <w:t>年、2025年均无闲置资产。自评年度</w:t>
      </w:r>
      <w:r>
        <w:rPr>
          <w:rFonts w:hint="eastAsia" w:ascii="Times New Roman" w:hAnsi="Times New Roman"/>
          <w:i w:val="0"/>
          <w:strike w:val="0"/>
          <w:color w:val="auto"/>
          <w:spacing w:val="0"/>
          <w:highlight w:val="none"/>
          <w:u w:val="none"/>
          <w:lang w:val="en-US" w:eastAsia="zh-CN"/>
        </w:rPr>
        <w:t>我局</w:t>
      </w:r>
      <w:r>
        <w:rPr>
          <w:rFonts w:hint="default" w:ascii="Times New Roman" w:hAnsi="Times New Roman"/>
          <w:i w:val="0"/>
          <w:strike w:val="0"/>
          <w:color w:val="auto"/>
          <w:spacing w:val="0"/>
          <w:highlight w:val="none"/>
          <w:u w:val="none"/>
          <w:lang w:val="en-US" w:eastAsia="zh-CN"/>
        </w:rPr>
        <w:t>部门闲置资产占比变化率</w:t>
      </w:r>
      <w:r>
        <w:rPr>
          <w:rFonts w:hint="eastAsia" w:ascii="Times New Roman" w:hAnsi="Times New Roman"/>
          <w:i w:val="0"/>
          <w:strike w:val="0"/>
          <w:color w:val="auto"/>
          <w:spacing w:val="0"/>
          <w:highlight w:val="none"/>
          <w:u w:val="none"/>
          <w:lang w:val="en-US" w:eastAsia="zh-CN"/>
        </w:rPr>
        <w:t>为</w:t>
      </w:r>
      <w:r>
        <w:rPr>
          <w:rFonts w:hint="default" w:ascii="Times New Roman" w:hAnsi="Times New Roman"/>
          <w:i w:val="0"/>
          <w:strike w:val="0"/>
          <w:color w:val="auto"/>
          <w:spacing w:val="0"/>
          <w:highlight w:val="none"/>
          <w:u w:val="none"/>
          <w:lang w:val="en-US" w:eastAsia="zh-CN"/>
        </w:rPr>
        <w:t>0%。</w:t>
      </w:r>
    </w:p>
    <w:p w14:paraId="455C2CC1">
      <w:pPr>
        <w:keepNext/>
        <w:keepLines/>
        <w:pageBreakBefore w:val="0"/>
        <w:widowControl w:val="0"/>
        <w:kinsoku/>
        <w:wordWrap/>
        <w:overflowPunct/>
        <w:topLinePunct w:val="0"/>
        <w:autoSpaceDE/>
        <w:autoSpaceDN/>
        <w:bidi w:val="0"/>
        <w:adjustRightInd/>
        <w:snapToGrid/>
        <w:spacing w:line="600" w:lineRule="exact"/>
        <w:textAlignment w:val="auto"/>
        <w:outlineLvl w:val="9"/>
        <w:rPr>
          <w:rFonts w:hint="eastAsia" w:ascii="Times New Roman" w:hAnsi="Times New Roman" w:eastAsia="仿宋_GB2312" w:cs="仿宋_GB2312"/>
          <w:i w:val="0"/>
          <w:strike w:val="0"/>
          <w:color w:val="auto"/>
          <w:spacing w:val="0"/>
          <w:highlight w:val="none"/>
          <w:u w:val="none"/>
          <w:lang w:val="en-US" w:eastAsia="zh-CN"/>
        </w:rPr>
      </w:pPr>
      <w:r>
        <w:rPr>
          <w:rFonts w:hint="eastAsia" w:ascii="Times New Roman" w:hAnsi="Times New Roman" w:eastAsia="仿宋_GB2312" w:cs="仿宋_GB2312"/>
          <w:i w:val="0"/>
          <w:strike w:val="0"/>
          <w:color w:val="auto"/>
          <w:spacing w:val="0"/>
          <w:highlight w:val="none"/>
          <w:u w:val="none"/>
          <w:lang w:val="en-US" w:eastAsia="zh-CN"/>
        </w:rPr>
        <w:t>根据评分标准，该项指标不扣分，得3分。</w:t>
      </w:r>
    </w:p>
    <w:p w14:paraId="1AABF7DB">
      <w:pPr>
        <w:pStyle w:val="4"/>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color w:val="auto"/>
          <w:highlight w:val="none"/>
          <w:lang w:val="zh-CN"/>
        </w:rPr>
      </w:pPr>
      <w:r>
        <w:rPr>
          <w:rFonts w:hint="default" w:ascii="Times New Roman" w:hAnsi="Times New Roman" w:cs="Times New Roman"/>
          <w:color w:val="auto"/>
          <w:highlight w:val="none"/>
          <w:lang w:val="en-US" w:eastAsia="zh-CN"/>
        </w:rPr>
        <w:t>5</w:t>
      </w:r>
      <w:r>
        <w:rPr>
          <w:rFonts w:hint="eastAsia" w:ascii="Times New Roman" w:hAnsi="Times New Roman"/>
          <w:color w:val="auto"/>
          <w:highlight w:val="none"/>
          <w:lang w:val="en-US" w:eastAsia="zh-CN"/>
        </w:rPr>
        <w:t>.</w:t>
      </w:r>
      <w:r>
        <w:rPr>
          <w:rFonts w:hint="default" w:ascii="Times New Roman" w:hAnsi="Times New Roman"/>
          <w:color w:val="auto"/>
          <w:highlight w:val="none"/>
          <w:lang w:val="zh-CN"/>
        </w:rPr>
        <w:t>采购管理</w:t>
      </w:r>
    </w:p>
    <w:p w14:paraId="562B300D">
      <w:pPr>
        <w:pageBreakBefore w:val="0"/>
        <w:widowControl w:val="0"/>
        <w:kinsoku/>
        <w:wordWrap/>
        <w:overflowPunct/>
        <w:topLinePunct w:val="0"/>
        <w:autoSpaceDE/>
        <w:autoSpaceDN/>
        <w:bidi w:val="0"/>
        <w:adjustRightInd/>
        <w:snapToGrid/>
        <w:spacing w:line="600" w:lineRule="exact"/>
        <w:textAlignment w:val="auto"/>
        <w:outlineLvl w:val="3"/>
        <w:rPr>
          <w:rFonts w:hint="eastAsia" w:ascii="Times New Roman" w:hAnsi="Times New Roman"/>
          <w:color w:val="auto"/>
          <w:highlight w:val="none"/>
          <w:lang w:val="zh-CN"/>
        </w:rPr>
      </w:pPr>
      <w:r>
        <w:rPr>
          <w:rFonts w:hint="eastAsia" w:ascii="Times New Roman" w:hAnsi="Times New Roman"/>
          <w:color w:val="auto"/>
          <w:highlight w:val="none"/>
          <w:lang w:val="zh-CN"/>
        </w:rPr>
        <w:t>（</w:t>
      </w:r>
      <w:r>
        <w:rPr>
          <w:rFonts w:hint="default" w:ascii="Times New Roman" w:hAnsi="Times New Roman" w:cs="Times New Roman"/>
          <w:color w:val="auto"/>
          <w:highlight w:val="none"/>
          <w:lang w:val="en-US" w:eastAsia="zh-CN"/>
        </w:rPr>
        <w:t>1</w:t>
      </w:r>
      <w:r>
        <w:rPr>
          <w:rFonts w:hint="eastAsia" w:ascii="Times New Roman" w:hAnsi="Times New Roman"/>
          <w:color w:val="auto"/>
          <w:highlight w:val="none"/>
          <w:lang w:val="zh-CN"/>
        </w:rPr>
        <w:t>）支持中小企业发展</w:t>
      </w:r>
    </w:p>
    <w:p w14:paraId="481C1CAB">
      <w:pPr>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我局严格执行政府采购促进中小企业发展相关管理办法，对适宜由中小企业提供的采购项目和采购包，预留了采购份额专门面向中小企业采购，并在采购预算中单独列示。2025年，我局采购预算为359.60万元，政府采购授予中小企业合同金额为155.69万元。</w:t>
      </w:r>
    </w:p>
    <w:p w14:paraId="2FA513B1">
      <w:pPr>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根据评分标准，该项指标不扣分，得3分。</w:t>
      </w:r>
    </w:p>
    <w:p w14:paraId="64209123">
      <w:pPr>
        <w:pageBreakBefore w:val="0"/>
        <w:widowControl w:val="0"/>
        <w:kinsoku/>
        <w:wordWrap/>
        <w:overflowPunct/>
        <w:topLinePunct w:val="0"/>
        <w:autoSpaceDE/>
        <w:autoSpaceDN/>
        <w:bidi w:val="0"/>
        <w:adjustRightInd/>
        <w:snapToGrid/>
        <w:spacing w:line="600" w:lineRule="exact"/>
        <w:textAlignment w:val="auto"/>
        <w:outlineLvl w:val="3"/>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w:t>
      </w:r>
      <w:r>
        <w:rPr>
          <w:rFonts w:hint="default" w:ascii="Times New Roman" w:hAnsi="Times New Roman" w:cs="Times New Roman"/>
          <w:color w:val="auto"/>
          <w:highlight w:val="none"/>
          <w:lang w:val="en-US" w:eastAsia="zh-CN"/>
        </w:rPr>
        <w:t>2</w:t>
      </w:r>
      <w:r>
        <w:rPr>
          <w:rFonts w:hint="eastAsia" w:ascii="Times New Roman" w:hAnsi="Times New Roman"/>
          <w:color w:val="auto"/>
          <w:highlight w:val="none"/>
          <w:lang w:val="en-US" w:eastAsia="zh-CN"/>
        </w:rPr>
        <w:t>）采购执行率</w:t>
      </w:r>
    </w:p>
    <w:p w14:paraId="1D6FF826">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我局2025年度的政府采购总预算数为359.60万元，当年政府采购预算执行数为426.34万元，已完成采购项目节约金额为0万元，故我局采购执行方面采购执行率为</w:t>
      </w:r>
      <w:r>
        <w:rPr>
          <w:rFonts w:hint="eastAsia"/>
          <w:color w:val="auto"/>
          <w:highlight w:val="none"/>
          <w:lang w:val="en-US" w:eastAsia="zh-CN"/>
        </w:rPr>
        <w:t>100%</w:t>
      </w:r>
      <w:r>
        <w:rPr>
          <w:rFonts w:hint="eastAsia" w:ascii="Times New Roman" w:hAnsi="Times New Roman"/>
          <w:color w:val="auto"/>
          <w:highlight w:val="none"/>
          <w:lang w:val="en-US" w:eastAsia="zh-CN"/>
        </w:rPr>
        <w:t>。</w:t>
      </w:r>
    </w:p>
    <w:p w14:paraId="019833FD">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color w:val="auto"/>
          <w:highlight w:val="none"/>
          <w:lang w:val="zh-CN" w:eastAsia="zh-CN"/>
        </w:rPr>
      </w:pPr>
      <w:r>
        <w:rPr>
          <w:rFonts w:hint="eastAsia" w:ascii="Times New Roman" w:hAnsi="Times New Roman"/>
          <w:color w:val="auto"/>
          <w:highlight w:val="none"/>
          <w:lang w:val="en-US" w:eastAsia="zh-CN"/>
        </w:rPr>
        <w:t>根据评分标准，该项指标不扣分，得3分。</w:t>
      </w:r>
    </w:p>
    <w:p w14:paraId="2215A50D">
      <w:pPr>
        <w:keepNext w:val="0"/>
        <w:keepLines w:val="0"/>
        <w:pageBreakBefore w:val="0"/>
        <w:widowControl/>
        <w:shd w:val="clear"/>
        <w:kinsoku/>
        <w:wordWrap/>
        <w:overflowPunct/>
        <w:topLinePunct w:val="0"/>
        <w:autoSpaceDE/>
        <w:autoSpaceDN/>
        <w:bidi w:val="0"/>
        <w:adjustRightInd w:val="0"/>
        <w:snapToGrid w:val="0"/>
        <w:spacing w:line="600" w:lineRule="exact"/>
        <w:ind w:firstLine="643" w:firstLineChars="200"/>
        <w:contextualSpacing/>
        <w:jc w:val="left"/>
        <w:textAlignment w:val="auto"/>
        <w:outlineLvl w:val="1"/>
        <w:rPr>
          <w:rFonts w:hint="default" w:ascii="Times New Roman" w:hAnsi="Times New Roman" w:cs="Times New Roman"/>
          <w:color w:val="000000"/>
          <w:kern w:val="0"/>
          <w:szCs w:val="32"/>
          <w:highlight w:val="none"/>
          <w:shd w:val="clear" w:color="auto" w:fill="FFFFFF"/>
          <w:lang w:val="en-US" w:eastAsia="zh-CN"/>
        </w:rPr>
      </w:pPr>
      <w:r>
        <w:rPr>
          <w:rFonts w:hint="default" w:ascii="Times New Roman" w:hAnsi="Times New Roman" w:eastAsia="楷体_GB2312" w:cs="Times New Roman"/>
          <w:b/>
          <w:bCs/>
          <w:color w:val="000000"/>
          <w:kern w:val="0"/>
          <w:szCs w:val="32"/>
          <w:highlight w:val="none"/>
          <w:shd w:val="clear" w:color="auto" w:fill="FFFFFF"/>
          <w:lang w:val="zh-CN"/>
        </w:rPr>
        <w:t>（二）部门预算项目绩效分析</w:t>
      </w:r>
    </w:p>
    <w:p w14:paraId="16FE09EA">
      <w:pPr>
        <w:keepNext w:val="0"/>
        <w:keepLines w:val="0"/>
        <w:pageBreakBefore w:val="0"/>
        <w:widowControl w:val="0"/>
        <w:numPr>
          <w:ilvl w:val="0"/>
          <w:numId w:val="0"/>
        </w:numPr>
        <w:shd w:val="clear"/>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default" w:ascii="Times New Roman" w:hAnsi="Times New Roman" w:cs="Times New Roman"/>
          <w:color w:val="000000"/>
          <w:kern w:val="0"/>
          <w:szCs w:val="32"/>
          <w:highlight w:val="none"/>
          <w:shd w:val="clear" w:color="auto" w:fill="FFFFFF"/>
          <w:lang w:val="en-US" w:eastAsia="zh-CN"/>
        </w:rPr>
        <w:t>常年项目绩效分析。</w:t>
      </w:r>
      <w:r>
        <w:rPr>
          <w:rFonts w:hint="default" w:ascii="Times New Roman" w:hAnsi="Times New Roman" w:cs="Times New Roman"/>
          <w:color w:val="000000"/>
          <w:kern w:val="0"/>
          <w:szCs w:val="32"/>
          <w:highlight w:val="none"/>
          <w:shd w:val="clear" w:color="auto" w:fill="FFFFFF"/>
          <w:lang w:val="zh-CN" w:eastAsia="zh-CN"/>
        </w:rPr>
        <w:t>该类项目总数</w:t>
      </w:r>
      <w:r>
        <w:rPr>
          <w:rFonts w:hint="eastAsia" w:ascii="Times New Roman" w:hAnsi="Times New Roman" w:cs="Times New Roman"/>
          <w:color w:val="000000"/>
          <w:kern w:val="0"/>
          <w:szCs w:val="32"/>
          <w:highlight w:val="none"/>
          <w:shd w:val="clear" w:color="auto" w:fill="FFFFFF"/>
          <w:lang w:val="en-US" w:eastAsia="zh-CN"/>
        </w:rPr>
        <w:t>21</w:t>
      </w:r>
      <w:r>
        <w:rPr>
          <w:rFonts w:hint="default" w:ascii="Times New Roman" w:hAnsi="Times New Roman" w:cs="Times New Roman"/>
          <w:color w:val="000000"/>
          <w:kern w:val="0"/>
          <w:szCs w:val="32"/>
          <w:highlight w:val="none"/>
          <w:shd w:val="clear" w:color="auto" w:fill="FFFFFF"/>
          <w:lang w:val="zh-CN" w:eastAsia="zh-CN"/>
        </w:rPr>
        <w:t>个，涉及预算总金额</w:t>
      </w:r>
      <w:r>
        <w:rPr>
          <w:rFonts w:hint="eastAsia" w:ascii="Times New Roman" w:hAnsi="Times New Roman" w:cs="Times New Roman"/>
          <w:color w:val="000000"/>
          <w:kern w:val="0"/>
          <w:szCs w:val="32"/>
          <w:highlight w:val="none"/>
          <w:shd w:val="clear" w:color="auto" w:fill="FFFFFF"/>
          <w:lang w:val="en-US" w:eastAsia="zh-CN"/>
        </w:rPr>
        <w:t>470.93</w:t>
      </w:r>
      <w:r>
        <w:rPr>
          <w:rFonts w:hint="default" w:ascii="Times New Roman" w:hAnsi="Times New Roman" w:cs="Times New Roman"/>
          <w:color w:val="000000"/>
          <w:kern w:val="0"/>
          <w:szCs w:val="32"/>
          <w:highlight w:val="none"/>
          <w:shd w:val="clear" w:color="auto" w:fill="FFFFFF"/>
          <w:lang w:val="zh-CN" w:eastAsia="zh-CN"/>
        </w:rPr>
        <w:t>万元，1—1</w:t>
      </w:r>
      <w:r>
        <w:rPr>
          <w:rFonts w:hint="default" w:ascii="Times New Roman" w:hAnsi="Times New Roman" w:cs="Times New Roman"/>
          <w:color w:val="000000"/>
          <w:kern w:val="0"/>
          <w:szCs w:val="32"/>
          <w:highlight w:val="none"/>
          <w:shd w:val="clear" w:color="auto" w:fill="FFFFFF"/>
          <w:lang w:val="en-US" w:eastAsia="zh-CN"/>
        </w:rPr>
        <w:t>2</w:t>
      </w:r>
      <w:r>
        <w:rPr>
          <w:rFonts w:hint="default" w:ascii="Times New Roman" w:hAnsi="Times New Roman" w:cs="Times New Roman"/>
          <w:color w:val="000000"/>
          <w:kern w:val="0"/>
          <w:szCs w:val="32"/>
          <w:highlight w:val="none"/>
          <w:shd w:val="clear" w:color="auto" w:fill="FFFFFF"/>
          <w:lang w:val="zh-CN" w:eastAsia="zh-CN"/>
        </w:rPr>
        <w:t>月预算执行总体进度为</w:t>
      </w:r>
      <w:r>
        <w:rPr>
          <w:rFonts w:hint="eastAsia" w:ascii="Times New Roman" w:hAnsi="Times New Roman" w:cs="Times New Roman"/>
          <w:color w:val="000000"/>
          <w:kern w:val="0"/>
          <w:szCs w:val="32"/>
          <w:highlight w:val="none"/>
          <w:shd w:val="clear" w:color="auto" w:fill="FFFFFF"/>
          <w:lang w:val="en-US" w:eastAsia="zh-CN"/>
        </w:rPr>
        <w:t>100.00%</w:t>
      </w:r>
      <w:r>
        <w:rPr>
          <w:rFonts w:hint="eastAsia" w:ascii="Times New Roman" w:hAnsi="Times New Roman" w:cs="Times New Roman"/>
          <w:color w:val="000000"/>
          <w:kern w:val="0"/>
          <w:szCs w:val="32"/>
          <w:highlight w:val="none"/>
          <w:shd w:val="clear" w:color="auto" w:fill="FFFFFF"/>
          <w:lang w:val="zh-CN" w:eastAsia="zh-CN"/>
        </w:rPr>
        <w:t>，</w:t>
      </w:r>
      <w:r>
        <w:rPr>
          <w:rFonts w:hint="default" w:ascii="Times New Roman" w:hAnsi="Times New Roman" w:cs="Times New Roman"/>
          <w:color w:val="000000"/>
          <w:kern w:val="0"/>
          <w:szCs w:val="32"/>
          <w:highlight w:val="none"/>
          <w:shd w:val="clear" w:color="auto" w:fill="FFFFFF"/>
          <w:lang w:val="zh-CN" w:eastAsia="zh-CN"/>
        </w:rPr>
        <w:t>其中：预算结余率大于</w:t>
      </w:r>
      <w:r>
        <w:rPr>
          <w:rFonts w:hint="default" w:ascii="Times New Roman" w:hAnsi="Times New Roman" w:cs="Times New Roman"/>
          <w:color w:val="000000"/>
          <w:kern w:val="0"/>
          <w:szCs w:val="32"/>
          <w:highlight w:val="none"/>
          <w:shd w:val="clear" w:color="auto" w:fill="FFFFFF"/>
          <w:lang w:val="en-US" w:eastAsia="zh-CN"/>
        </w:rPr>
        <w:t>10%</w:t>
      </w:r>
      <w:r>
        <w:rPr>
          <w:rFonts w:hint="default" w:ascii="Times New Roman" w:hAnsi="Times New Roman" w:cs="Times New Roman"/>
          <w:color w:val="000000"/>
          <w:kern w:val="0"/>
          <w:szCs w:val="32"/>
          <w:highlight w:val="none"/>
          <w:shd w:val="clear" w:color="auto" w:fill="FFFFFF"/>
          <w:lang w:val="zh-CN" w:eastAsia="zh-CN"/>
        </w:rPr>
        <w:t>的项目共计</w:t>
      </w:r>
      <w:r>
        <w:rPr>
          <w:rFonts w:hint="eastAsia" w:ascii="Times New Roman" w:hAnsi="Times New Roman" w:cs="Times New Roman"/>
          <w:color w:val="000000"/>
          <w:kern w:val="0"/>
          <w:szCs w:val="32"/>
          <w:highlight w:val="none"/>
          <w:shd w:val="clear" w:color="auto" w:fill="FFFFFF"/>
          <w:lang w:val="en-US" w:eastAsia="zh-CN"/>
        </w:rPr>
        <w:t>0</w:t>
      </w:r>
      <w:r>
        <w:rPr>
          <w:rFonts w:hint="default" w:ascii="Times New Roman" w:hAnsi="Times New Roman" w:cs="Times New Roman"/>
          <w:color w:val="000000"/>
          <w:kern w:val="0"/>
          <w:szCs w:val="32"/>
          <w:highlight w:val="none"/>
          <w:shd w:val="clear" w:color="auto" w:fill="FFFFFF"/>
          <w:lang w:val="zh-CN" w:eastAsia="zh-CN"/>
        </w:rPr>
        <w:t>个</w:t>
      </w:r>
      <w:r>
        <w:rPr>
          <w:rFonts w:hint="eastAsia" w:ascii="Times New Roman" w:hAnsi="Times New Roman" w:cs="Times New Roman"/>
          <w:color w:val="000000"/>
          <w:kern w:val="0"/>
          <w:szCs w:val="32"/>
          <w:highlight w:val="none"/>
          <w:shd w:val="clear" w:color="auto" w:fill="FFFFFF"/>
          <w:lang w:val="zh-CN" w:eastAsia="zh-CN"/>
        </w:rPr>
        <w:t>。</w:t>
      </w:r>
    </w:p>
    <w:p w14:paraId="071B935C">
      <w:pPr>
        <w:pageBreakBefore w:val="0"/>
        <w:widowControl w:val="0"/>
        <w:kinsoku/>
        <w:wordWrap/>
        <w:overflowPunct/>
        <w:topLinePunct w:val="0"/>
        <w:autoSpaceDE/>
        <w:autoSpaceDN/>
        <w:bidi w:val="0"/>
        <w:adjustRightInd/>
        <w:snapToGrid/>
        <w:spacing w:line="600" w:lineRule="exact"/>
        <w:textAlignment w:val="auto"/>
        <w:outlineLvl w:val="9"/>
        <w:rPr>
          <w:rFonts w:hint="default" w:ascii="Times New Roman" w:hAnsi="Times New Roman"/>
          <w:sz w:val="32"/>
          <w:szCs w:val="32"/>
          <w:highlight w:val="none"/>
          <w:lang w:val="zh-CN" w:eastAsia="zh-CN"/>
        </w:rPr>
      </w:pPr>
      <w:r>
        <w:rPr>
          <w:rFonts w:hint="default" w:ascii="Times New Roman" w:hAnsi="Times New Roman"/>
          <w:sz w:val="32"/>
          <w:szCs w:val="32"/>
          <w:highlight w:val="none"/>
          <w:lang w:val="en-US" w:eastAsia="zh-CN"/>
        </w:rPr>
        <w:t>阶段</w:t>
      </w:r>
      <w:r>
        <w:rPr>
          <w:rFonts w:hint="eastAsia" w:ascii="Times New Roman" w:hAnsi="Times New Roman"/>
          <w:sz w:val="32"/>
          <w:szCs w:val="32"/>
          <w:highlight w:val="none"/>
          <w:lang w:val="en-US" w:eastAsia="zh-CN"/>
        </w:rPr>
        <w:t>（含</w:t>
      </w:r>
      <w:r>
        <w:rPr>
          <w:rFonts w:hint="default" w:ascii="Times New Roman" w:hAnsi="Times New Roman"/>
          <w:sz w:val="32"/>
          <w:szCs w:val="32"/>
          <w:highlight w:val="none"/>
          <w:lang w:val="en-US" w:eastAsia="zh-CN"/>
        </w:rPr>
        <w:t>一次性</w:t>
      </w:r>
      <w:r>
        <w:rPr>
          <w:rFonts w:hint="eastAsia" w:ascii="Times New Roman" w:hAnsi="Times New Roman"/>
          <w:sz w:val="32"/>
          <w:szCs w:val="32"/>
          <w:highlight w:val="none"/>
          <w:lang w:val="en-US" w:eastAsia="zh-CN"/>
        </w:rPr>
        <w:t>）</w:t>
      </w:r>
      <w:r>
        <w:rPr>
          <w:rFonts w:hint="default" w:ascii="Times New Roman" w:hAnsi="Times New Roman"/>
          <w:sz w:val="32"/>
          <w:szCs w:val="32"/>
          <w:highlight w:val="none"/>
          <w:lang w:val="en-US" w:eastAsia="zh-CN"/>
        </w:rPr>
        <w:t>项目绩效分析。</w:t>
      </w:r>
      <w:r>
        <w:rPr>
          <w:rFonts w:hint="default" w:ascii="Times New Roman" w:hAnsi="Times New Roman"/>
          <w:sz w:val="32"/>
          <w:szCs w:val="32"/>
          <w:highlight w:val="none"/>
          <w:lang w:val="zh-CN" w:eastAsia="zh-CN"/>
        </w:rPr>
        <w:t>该类项目总数</w:t>
      </w:r>
      <w:r>
        <w:rPr>
          <w:rFonts w:hint="eastAsia" w:ascii="Times New Roman" w:hAnsi="Times New Roman"/>
          <w:sz w:val="32"/>
          <w:szCs w:val="32"/>
          <w:highlight w:val="none"/>
          <w:lang w:val="en-US" w:eastAsia="zh-CN"/>
        </w:rPr>
        <w:t>30</w:t>
      </w:r>
      <w:r>
        <w:rPr>
          <w:rFonts w:hint="default" w:ascii="Times New Roman" w:hAnsi="Times New Roman"/>
          <w:sz w:val="32"/>
          <w:szCs w:val="32"/>
          <w:highlight w:val="none"/>
          <w:lang w:val="zh-CN" w:eastAsia="zh-CN"/>
        </w:rPr>
        <w:t>个，涉及预算总金额</w:t>
      </w:r>
      <w:r>
        <w:rPr>
          <w:rFonts w:hint="eastAsia" w:ascii="Times New Roman" w:hAnsi="Times New Roman"/>
          <w:sz w:val="32"/>
          <w:szCs w:val="32"/>
          <w:highlight w:val="none"/>
          <w:lang w:val="en-US" w:eastAsia="zh-CN"/>
        </w:rPr>
        <w:t>454.98</w:t>
      </w:r>
      <w:r>
        <w:rPr>
          <w:rFonts w:hint="default" w:ascii="Times New Roman" w:hAnsi="Times New Roman"/>
          <w:sz w:val="32"/>
          <w:szCs w:val="32"/>
          <w:highlight w:val="none"/>
          <w:lang w:val="zh-CN" w:eastAsia="zh-CN"/>
        </w:rPr>
        <w:t>万元，1—1</w:t>
      </w:r>
      <w:r>
        <w:rPr>
          <w:rFonts w:hint="default" w:ascii="Times New Roman" w:hAnsi="Times New Roman"/>
          <w:sz w:val="32"/>
          <w:szCs w:val="32"/>
          <w:highlight w:val="none"/>
          <w:lang w:val="en-US" w:eastAsia="zh-CN"/>
        </w:rPr>
        <w:t>2</w:t>
      </w:r>
      <w:r>
        <w:rPr>
          <w:rFonts w:hint="default" w:ascii="Times New Roman" w:hAnsi="Times New Roman"/>
          <w:sz w:val="32"/>
          <w:szCs w:val="32"/>
          <w:highlight w:val="none"/>
          <w:lang w:val="zh-CN" w:eastAsia="zh-CN"/>
        </w:rPr>
        <w:t>月预算执行总体进度为</w:t>
      </w:r>
      <w:r>
        <w:rPr>
          <w:rFonts w:hint="eastAsia" w:ascii="Times New Roman" w:hAnsi="Times New Roman"/>
          <w:sz w:val="32"/>
          <w:szCs w:val="32"/>
          <w:highlight w:val="none"/>
          <w:lang w:val="en-US" w:eastAsia="zh-CN"/>
        </w:rPr>
        <w:t>99.99</w:t>
      </w:r>
      <w:r>
        <w:rPr>
          <w:rFonts w:hint="default" w:ascii="Times New Roman" w:hAnsi="Times New Roman"/>
          <w:sz w:val="32"/>
          <w:szCs w:val="32"/>
          <w:highlight w:val="none"/>
          <w:lang w:val="zh-CN" w:eastAsia="zh-CN"/>
        </w:rPr>
        <w:t>%</w:t>
      </w:r>
      <w:r>
        <w:rPr>
          <w:rFonts w:hint="eastAsia" w:ascii="Times New Roman" w:hAnsi="Times New Roman"/>
          <w:sz w:val="32"/>
          <w:szCs w:val="32"/>
          <w:highlight w:val="none"/>
          <w:lang w:val="zh-CN" w:eastAsia="zh-CN"/>
        </w:rPr>
        <w:t>，</w:t>
      </w:r>
      <w:r>
        <w:rPr>
          <w:rFonts w:hint="eastAsia" w:ascii="Times New Roman" w:hAnsi="Times New Roman"/>
          <w:sz w:val="32"/>
          <w:szCs w:val="32"/>
          <w:highlight w:val="none"/>
          <w:lang w:val="en-US" w:eastAsia="zh-CN"/>
        </w:rPr>
        <w:t>其中；</w:t>
      </w:r>
      <w:r>
        <w:rPr>
          <w:rFonts w:hint="default" w:ascii="Times New Roman" w:hAnsi="Times New Roman"/>
          <w:sz w:val="32"/>
          <w:szCs w:val="32"/>
          <w:highlight w:val="none"/>
          <w:lang w:val="zh-CN" w:eastAsia="zh-CN"/>
        </w:rPr>
        <w:t>预算结余率大于</w:t>
      </w:r>
      <w:r>
        <w:rPr>
          <w:rFonts w:hint="default" w:ascii="Times New Roman" w:hAnsi="Times New Roman"/>
          <w:sz w:val="32"/>
          <w:szCs w:val="32"/>
          <w:highlight w:val="none"/>
          <w:lang w:val="en-US" w:eastAsia="zh-CN"/>
        </w:rPr>
        <w:t>10%</w:t>
      </w:r>
      <w:r>
        <w:rPr>
          <w:rFonts w:hint="default" w:ascii="Times New Roman" w:hAnsi="Times New Roman"/>
          <w:sz w:val="32"/>
          <w:szCs w:val="32"/>
          <w:highlight w:val="none"/>
          <w:lang w:val="zh-CN" w:eastAsia="zh-CN"/>
        </w:rPr>
        <w:t>的项目共计</w:t>
      </w:r>
      <w:r>
        <w:rPr>
          <w:rFonts w:hint="eastAsia" w:ascii="Times New Roman" w:hAnsi="Times New Roman"/>
          <w:sz w:val="32"/>
          <w:szCs w:val="32"/>
          <w:highlight w:val="none"/>
          <w:lang w:val="en-US" w:eastAsia="zh-CN"/>
        </w:rPr>
        <w:t>0</w:t>
      </w:r>
      <w:r>
        <w:rPr>
          <w:rFonts w:hint="default" w:ascii="Times New Roman" w:hAnsi="Times New Roman"/>
          <w:sz w:val="32"/>
          <w:szCs w:val="32"/>
          <w:highlight w:val="none"/>
          <w:lang w:val="zh-CN" w:eastAsia="zh-CN"/>
        </w:rPr>
        <w:t>个</w:t>
      </w:r>
      <w:r>
        <w:rPr>
          <w:rFonts w:hint="eastAsia" w:ascii="Times New Roman" w:hAnsi="Times New Roman"/>
          <w:sz w:val="32"/>
          <w:szCs w:val="32"/>
          <w:highlight w:val="none"/>
          <w:lang w:val="zh-CN" w:eastAsia="zh-CN"/>
        </w:rPr>
        <w:t>。</w:t>
      </w:r>
    </w:p>
    <w:p w14:paraId="2756FC29">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2"/>
        <w:rPr>
          <w:rFonts w:hint="eastAsia" w:ascii="Times New Roman" w:hAnsi="Times New Roman" w:eastAsia="楷体_GB2312" w:cs="楷体_GB2312"/>
          <w:color w:val="000000"/>
          <w:kern w:val="0"/>
          <w:szCs w:val="32"/>
          <w:highlight w:val="none"/>
          <w:shd w:val="clear" w:color="auto" w:fill="FFFFFF"/>
          <w:lang w:val="zh-CN"/>
        </w:rPr>
      </w:pPr>
      <w:r>
        <w:rPr>
          <w:rFonts w:hint="default" w:ascii="Times New Roman" w:hAnsi="Times New Roman" w:eastAsia="楷体_GB2312" w:cs="Times New Roman"/>
          <w:color w:val="000000"/>
          <w:kern w:val="0"/>
          <w:szCs w:val="32"/>
          <w:highlight w:val="none"/>
          <w:shd w:val="clear" w:color="auto" w:fill="FFFFFF"/>
          <w:lang w:val="en-US" w:eastAsia="zh-CN"/>
        </w:rPr>
        <w:t>1</w:t>
      </w:r>
      <w:r>
        <w:rPr>
          <w:rFonts w:hint="eastAsia" w:ascii="Times New Roman" w:hAnsi="Times New Roman" w:eastAsia="楷体_GB2312" w:cs="楷体_GB2312"/>
          <w:color w:val="000000"/>
          <w:kern w:val="0"/>
          <w:szCs w:val="32"/>
          <w:highlight w:val="none"/>
          <w:shd w:val="clear" w:color="auto" w:fill="FFFFFF"/>
          <w:lang w:val="en-US" w:eastAsia="zh-CN"/>
        </w:rPr>
        <w:t>.</w:t>
      </w:r>
      <w:r>
        <w:rPr>
          <w:rFonts w:hint="eastAsia" w:ascii="Times New Roman" w:hAnsi="Times New Roman" w:eastAsia="楷体_GB2312" w:cs="楷体_GB2312"/>
          <w:color w:val="000000"/>
          <w:kern w:val="0"/>
          <w:szCs w:val="32"/>
          <w:highlight w:val="none"/>
          <w:shd w:val="clear" w:color="auto" w:fill="FFFFFF"/>
          <w:lang w:val="zh-CN"/>
        </w:rPr>
        <w:t>项目决策</w:t>
      </w:r>
    </w:p>
    <w:p w14:paraId="6B8CFE5C">
      <w:pPr>
        <w:pageBreakBefore w:val="0"/>
        <w:widowControl w:val="0"/>
        <w:kinsoku/>
        <w:wordWrap/>
        <w:overflowPunct/>
        <w:topLinePunct w:val="0"/>
        <w:autoSpaceDE/>
        <w:autoSpaceDN/>
        <w:bidi w:val="0"/>
        <w:adjustRightInd/>
        <w:snapToGrid/>
        <w:spacing w:line="600" w:lineRule="exact"/>
        <w:textAlignment w:val="auto"/>
        <w:outlineLvl w:val="2"/>
        <w:rPr>
          <w:rFonts w:hint="eastAsia" w:ascii="Times New Roman" w:hAnsi="Times New Roman"/>
          <w:highlight w:val="none"/>
          <w:lang w:val="zh-CN"/>
        </w:rPr>
      </w:pPr>
      <w:r>
        <w:rPr>
          <w:rFonts w:hint="eastAsia" w:ascii="Times New Roman" w:hAnsi="Times New Roman"/>
          <w:highlight w:val="none"/>
          <w:lang w:val="zh-CN"/>
        </w:rPr>
        <w:t>（</w:t>
      </w:r>
      <w:r>
        <w:rPr>
          <w:rFonts w:hint="default" w:ascii="Times New Roman" w:hAnsi="Times New Roman" w:cs="Times New Roman"/>
          <w:highlight w:val="none"/>
          <w:lang w:val="en-US" w:eastAsia="zh-CN"/>
        </w:rPr>
        <w:t>1</w:t>
      </w:r>
      <w:r>
        <w:rPr>
          <w:rFonts w:hint="eastAsia" w:ascii="Times New Roman" w:hAnsi="Times New Roman"/>
          <w:highlight w:val="none"/>
          <w:lang w:val="zh-CN"/>
        </w:rPr>
        <w:t>）决策程序</w:t>
      </w:r>
    </w:p>
    <w:p w14:paraId="7A029ECB">
      <w:pPr>
        <w:pageBreakBefore w:val="0"/>
        <w:widowControl w:val="0"/>
        <w:kinsoku/>
        <w:wordWrap/>
        <w:overflowPunct/>
        <w:topLinePunct w:val="0"/>
        <w:autoSpaceDE/>
        <w:autoSpaceDN/>
        <w:bidi w:val="0"/>
        <w:adjustRightInd/>
        <w:snapToGrid/>
        <w:spacing w:line="600" w:lineRule="exact"/>
        <w:textAlignment w:val="auto"/>
        <w:outlineLvl w:val="9"/>
        <w:rPr>
          <w:rFonts w:hint="eastAsia" w:ascii="Times New Roman" w:hAnsi="Times New Roman"/>
          <w:sz w:val="32"/>
          <w:szCs w:val="32"/>
          <w:highlight w:val="none"/>
          <w:lang w:val="en-US" w:eastAsia="zh-CN"/>
        </w:rPr>
      </w:pPr>
      <w:r>
        <w:rPr>
          <w:rFonts w:hint="eastAsia" w:ascii="Times New Roman" w:hAnsi="Times New Roman"/>
          <w:sz w:val="32"/>
          <w:szCs w:val="32"/>
          <w:highlight w:val="none"/>
          <w:lang w:val="en-US" w:eastAsia="zh-CN"/>
        </w:rPr>
        <w:t>根据事前绩效评估相关要求，</w:t>
      </w:r>
      <w:r>
        <w:rPr>
          <w:rFonts w:hint="eastAsia" w:ascii="Times New Roman" w:hAnsi="Times New Roman" w:cs="Times New Roman"/>
          <w:sz w:val="32"/>
          <w:szCs w:val="32"/>
          <w:highlight w:val="none"/>
          <w:lang w:val="en-US" w:eastAsia="zh-CN"/>
        </w:rPr>
        <w:t>2025年</w:t>
      </w:r>
      <w:r>
        <w:rPr>
          <w:rFonts w:hint="eastAsia" w:ascii="Times New Roman" w:hAnsi="Times New Roman"/>
          <w:sz w:val="32"/>
          <w:szCs w:val="32"/>
          <w:highlight w:val="none"/>
          <w:lang w:val="en-US" w:eastAsia="zh-CN"/>
        </w:rPr>
        <w:t>我局</w:t>
      </w:r>
      <w:r>
        <w:rPr>
          <w:rFonts w:hint="eastAsia" w:ascii="Times New Roman" w:hAnsi="Times New Roman" w:cs="Times New Roman"/>
          <w:color w:val="000000"/>
          <w:kern w:val="0"/>
          <w:sz w:val="32"/>
          <w:szCs w:val="32"/>
          <w:highlight w:val="none"/>
          <w:shd w:val="clear" w:color="auto" w:fill="FFFFFF"/>
          <w:lang w:val="en-US" w:eastAsia="zh-CN"/>
        </w:rPr>
        <w:t>51个</w:t>
      </w:r>
      <w:r>
        <w:rPr>
          <w:rFonts w:hint="default" w:ascii="Times New Roman" w:hAnsi="Times New Roman" w:cs="Times New Roman"/>
          <w:color w:val="000000"/>
          <w:kern w:val="0"/>
          <w:sz w:val="32"/>
          <w:szCs w:val="32"/>
          <w:highlight w:val="none"/>
          <w:shd w:val="clear" w:color="auto" w:fill="FFFFFF"/>
          <w:lang w:val="en-US" w:eastAsia="zh-CN"/>
        </w:rPr>
        <w:t>预算阶段项目（含一次性项目）</w:t>
      </w:r>
      <w:r>
        <w:rPr>
          <w:rFonts w:hint="eastAsia" w:ascii="Times New Roman" w:hAnsi="Times New Roman" w:cs="Times New Roman"/>
          <w:color w:val="000000"/>
          <w:kern w:val="0"/>
          <w:sz w:val="32"/>
          <w:szCs w:val="32"/>
          <w:highlight w:val="none"/>
          <w:shd w:val="clear" w:color="auto" w:fill="FFFFFF"/>
          <w:lang w:val="en-US" w:eastAsia="zh-CN"/>
        </w:rPr>
        <w:t>均</w:t>
      </w:r>
      <w:r>
        <w:rPr>
          <w:rFonts w:hint="eastAsia" w:ascii="Times New Roman" w:hAnsi="Times New Roman"/>
          <w:sz w:val="32"/>
          <w:szCs w:val="32"/>
          <w:highlight w:val="none"/>
          <w:lang w:val="en-US" w:eastAsia="zh-CN"/>
        </w:rPr>
        <w:t>严格履行事前评估程序，项目立项依据充分，决策程序规范。</w:t>
      </w:r>
    </w:p>
    <w:p w14:paraId="27C75CAE">
      <w:pPr>
        <w:pageBreakBefore w:val="0"/>
        <w:widowControl w:val="0"/>
        <w:kinsoku/>
        <w:wordWrap/>
        <w:overflowPunct/>
        <w:topLinePunct w:val="0"/>
        <w:autoSpaceDE/>
        <w:autoSpaceDN/>
        <w:bidi w:val="0"/>
        <w:adjustRightInd/>
        <w:snapToGrid/>
        <w:spacing w:line="600" w:lineRule="exact"/>
        <w:textAlignment w:val="auto"/>
        <w:outlineLvl w:val="9"/>
        <w:rPr>
          <w:rFonts w:hint="eastAsia" w:ascii="Times New Roman" w:hAnsi="Times New Roman"/>
          <w:color w:val="auto"/>
          <w:highlight w:val="none"/>
          <w:lang w:val="en-US" w:eastAsia="zh-CN"/>
        </w:rPr>
      </w:pPr>
      <w:r>
        <w:rPr>
          <w:rFonts w:hint="default" w:ascii="Times New Roman" w:hAnsi="Times New Roman"/>
          <w:highlight w:val="none"/>
          <w:lang w:val="en-US" w:eastAsia="zh-CN"/>
        </w:rPr>
        <w:t>根据评分标准，该项指标不扣分，得4分</w:t>
      </w:r>
      <w:r>
        <w:rPr>
          <w:rFonts w:hint="eastAsia" w:ascii="Times New Roman" w:hAnsi="Times New Roman"/>
          <w:highlight w:val="none"/>
          <w:lang w:val="en-US" w:eastAsia="zh-CN"/>
        </w:rPr>
        <w:t>。</w:t>
      </w:r>
    </w:p>
    <w:p w14:paraId="46D568C0">
      <w:pPr>
        <w:pageBreakBefore w:val="0"/>
        <w:widowControl w:val="0"/>
        <w:kinsoku/>
        <w:wordWrap/>
        <w:overflowPunct/>
        <w:topLinePunct w:val="0"/>
        <w:autoSpaceDE/>
        <w:autoSpaceDN/>
        <w:bidi w:val="0"/>
        <w:adjustRightInd/>
        <w:snapToGrid/>
        <w:spacing w:line="600" w:lineRule="exact"/>
        <w:textAlignment w:val="auto"/>
        <w:outlineLvl w:val="2"/>
        <w:rPr>
          <w:rFonts w:hint="default" w:ascii="Times New Roman" w:hAnsi="Times New Roman"/>
          <w:highlight w:val="none"/>
          <w:lang w:val="en-US" w:eastAsia="zh-CN"/>
        </w:rPr>
      </w:pPr>
      <w:r>
        <w:rPr>
          <w:rFonts w:hint="eastAsia" w:ascii="Times New Roman" w:hAnsi="Times New Roman"/>
          <w:highlight w:val="none"/>
          <w:lang w:val="en-US" w:eastAsia="zh-CN"/>
        </w:rPr>
        <w:t>（</w:t>
      </w:r>
      <w:r>
        <w:rPr>
          <w:rFonts w:hint="default" w:ascii="Times New Roman" w:hAnsi="Times New Roman" w:cs="Times New Roman"/>
          <w:highlight w:val="none"/>
          <w:lang w:val="en-US" w:eastAsia="zh-CN"/>
        </w:rPr>
        <w:t>2</w:t>
      </w:r>
      <w:r>
        <w:rPr>
          <w:rFonts w:hint="eastAsia" w:ascii="Times New Roman" w:hAnsi="Times New Roman"/>
          <w:highlight w:val="none"/>
          <w:lang w:val="en-US" w:eastAsia="zh-CN"/>
        </w:rPr>
        <w:t>）目标设置</w:t>
      </w:r>
    </w:p>
    <w:p w14:paraId="26BEF681">
      <w:pPr>
        <w:pageBreakBefore w:val="0"/>
        <w:widowControl w:val="0"/>
        <w:kinsoku/>
        <w:wordWrap/>
        <w:overflowPunct/>
        <w:topLinePunct w:val="0"/>
        <w:autoSpaceDE/>
        <w:autoSpaceDN/>
        <w:bidi w:val="0"/>
        <w:adjustRightInd/>
        <w:snapToGrid/>
        <w:spacing w:line="600" w:lineRule="exact"/>
        <w:textAlignment w:val="auto"/>
        <w:outlineLvl w:val="9"/>
        <w:rPr>
          <w:rFonts w:hint="eastAsia" w:ascii="Times New Roman" w:hAnsi="Times New Roman"/>
          <w:highlight w:val="none"/>
          <w:lang w:val="en-US" w:eastAsia="zh-CN"/>
        </w:rPr>
      </w:pPr>
      <w:r>
        <w:rPr>
          <w:rFonts w:hint="eastAsia" w:ascii="Times New Roman" w:hAnsi="Times New Roman" w:cs="Times New Roman"/>
          <w:highlight w:val="none"/>
          <w:lang w:val="en-US" w:eastAsia="zh-CN"/>
        </w:rPr>
        <w:t>2025年</w:t>
      </w:r>
      <w:r>
        <w:rPr>
          <w:rFonts w:hint="eastAsia" w:ascii="Times New Roman" w:hAnsi="Times New Roman"/>
          <w:highlight w:val="none"/>
          <w:lang w:val="en-US" w:eastAsia="zh-CN"/>
        </w:rPr>
        <w:t>我局</w:t>
      </w:r>
      <w:r>
        <w:rPr>
          <w:rFonts w:hint="default" w:ascii="Times New Roman" w:hAnsi="Times New Roman" w:eastAsia="仿宋_GB2312" w:cs="Times New Roman"/>
          <w:b w:val="0"/>
          <w:bCs w:val="0"/>
          <w:color w:val="000000"/>
          <w:kern w:val="0"/>
          <w:sz w:val="33"/>
          <w:szCs w:val="33"/>
          <w:highlight w:val="none"/>
          <w:shd w:val="clear" w:color="auto" w:fill="FFFFFF"/>
          <w:lang w:val="zh-CN"/>
        </w:rPr>
        <w:t>开展绩效目标管理的</w:t>
      </w:r>
      <w:r>
        <w:rPr>
          <w:rFonts w:hint="eastAsia" w:ascii="Times New Roman" w:hAnsi="Times New Roman"/>
          <w:highlight w:val="none"/>
          <w:lang w:val="en-US" w:eastAsia="zh-CN"/>
        </w:rPr>
        <w:t>部门预算阶段项目（含一次性项目）共有</w:t>
      </w:r>
      <w:r>
        <w:rPr>
          <w:rFonts w:hint="eastAsia" w:ascii="Times New Roman" w:hAnsi="Times New Roman" w:cs="Times New Roman"/>
          <w:color w:val="000000"/>
          <w:kern w:val="0"/>
          <w:szCs w:val="32"/>
          <w:highlight w:val="none"/>
          <w:shd w:val="clear" w:color="auto" w:fill="FFFFFF"/>
          <w:lang w:val="en-US" w:eastAsia="zh-CN"/>
        </w:rPr>
        <w:t>51</w:t>
      </w:r>
      <w:r>
        <w:rPr>
          <w:rFonts w:hint="eastAsia" w:ascii="Times New Roman" w:hAnsi="Times New Roman"/>
          <w:highlight w:val="none"/>
          <w:lang w:val="en-US" w:eastAsia="zh-CN"/>
        </w:rPr>
        <w:t>个</w:t>
      </w:r>
      <w:r>
        <w:rPr>
          <w:rFonts w:hint="eastAsia" w:ascii="Times New Roman" w:hAnsi="Times New Roman"/>
          <w:highlight w:val="none"/>
          <w:lang w:val="zh-CN"/>
        </w:rPr>
        <w:t>，</w:t>
      </w:r>
      <w:r>
        <w:rPr>
          <w:rFonts w:hint="eastAsia" w:ascii="Times New Roman" w:hAnsi="Times New Roman"/>
          <w:highlight w:val="none"/>
          <w:lang w:val="en-US" w:eastAsia="zh-CN"/>
        </w:rPr>
        <w:t>为充分发挥绩效目标引领作用，</w:t>
      </w:r>
      <w:r>
        <w:rPr>
          <w:rFonts w:hint="eastAsia" w:ascii="Times New Roman" w:hAnsi="Times New Roman"/>
          <w:highlight w:val="none"/>
          <w:lang w:val="zh-CN"/>
        </w:rPr>
        <w:t>我局</w:t>
      </w:r>
      <w:r>
        <w:rPr>
          <w:rFonts w:hint="eastAsia" w:ascii="Times New Roman" w:hAnsi="Times New Roman"/>
          <w:highlight w:val="none"/>
          <w:lang w:val="en-US" w:eastAsia="zh-CN"/>
        </w:rPr>
        <w:t>贯彻落实《中共四川省委办公厅四川省人民政府办公厅关于深入实施预算绩效管理的通知》（川委厅〔</w:t>
      </w:r>
      <w:r>
        <w:rPr>
          <w:rFonts w:hint="default" w:ascii="Times New Roman" w:hAnsi="Times New Roman" w:cs="Times New Roman"/>
          <w:highlight w:val="none"/>
          <w:lang w:val="en-US" w:eastAsia="zh-CN"/>
        </w:rPr>
        <w:t>2021</w:t>
      </w:r>
      <w:r>
        <w:rPr>
          <w:rFonts w:hint="eastAsia" w:ascii="Times New Roman" w:hAnsi="Times New Roman"/>
          <w:highlight w:val="none"/>
          <w:lang w:val="en-US" w:eastAsia="zh-CN"/>
        </w:rPr>
        <w:t>〕</w:t>
      </w:r>
      <w:r>
        <w:rPr>
          <w:rFonts w:hint="default" w:ascii="Times New Roman" w:hAnsi="Times New Roman" w:cs="Times New Roman"/>
          <w:highlight w:val="none"/>
          <w:lang w:val="en-US" w:eastAsia="zh-CN"/>
        </w:rPr>
        <w:t>5</w:t>
      </w:r>
      <w:r>
        <w:rPr>
          <w:rFonts w:hint="eastAsia" w:ascii="Times New Roman" w:hAnsi="Times New Roman"/>
          <w:highlight w:val="none"/>
          <w:lang w:val="en-US" w:eastAsia="zh-CN"/>
        </w:rPr>
        <w:t>号）文件精神，</w:t>
      </w:r>
      <w:r>
        <w:rPr>
          <w:rFonts w:hint="eastAsia" w:ascii="Times New Roman" w:hAnsi="Times New Roman" w:cs="Times New Roman"/>
          <w:color w:val="000000"/>
          <w:kern w:val="0"/>
          <w:szCs w:val="32"/>
          <w:highlight w:val="none"/>
          <w:shd w:val="clear" w:color="auto" w:fill="FFFFFF"/>
          <w:lang w:val="en-US" w:eastAsia="zh-CN"/>
        </w:rPr>
        <w:t>51</w:t>
      </w:r>
      <w:r>
        <w:rPr>
          <w:rFonts w:hint="eastAsia" w:ascii="Times New Roman" w:hAnsi="Times New Roman"/>
          <w:highlight w:val="none"/>
          <w:lang w:val="en-US" w:eastAsia="zh-CN"/>
        </w:rPr>
        <w:t>个项目均设置了相应的绩效目标表。</w:t>
      </w:r>
    </w:p>
    <w:p w14:paraId="28CBBA1C">
      <w:pPr>
        <w:pageBreakBefore w:val="0"/>
        <w:widowControl w:val="0"/>
        <w:kinsoku/>
        <w:wordWrap/>
        <w:overflowPunct/>
        <w:topLinePunct w:val="0"/>
        <w:autoSpaceDE/>
        <w:autoSpaceDN/>
        <w:bidi w:val="0"/>
        <w:adjustRightInd/>
        <w:snapToGrid/>
        <w:spacing w:line="600" w:lineRule="exact"/>
        <w:textAlignment w:val="auto"/>
        <w:outlineLvl w:val="9"/>
        <w:rPr>
          <w:rFonts w:hint="eastAsia" w:ascii="Times New Roman" w:hAnsi="Times New Roman"/>
          <w:color w:val="auto"/>
          <w:highlight w:val="none"/>
          <w:lang w:val="en-US" w:eastAsia="zh-CN"/>
        </w:rPr>
      </w:pPr>
      <w:r>
        <w:rPr>
          <w:rFonts w:hint="default" w:ascii="Times New Roman" w:hAnsi="Times New Roman"/>
          <w:highlight w:val="none"/>
          <w:lang w:val="en-US" w:eastAsia="zh-CN"/>
        </w:rPr>
        <w:t>根据评分标准，该项指标不扣分，得4分</w:t>
      </w:r>
      <w:r>
        <w:rPr>
          <w:rFonts w:hint="eastAsia" w:ascii="Times New Roman" w:hAnsi="Times New Roman"/>
          <w:highlight w:val="none"/>
          <w:lang w:val="en-US" w:eastAsia="zh-CN"/>
        </w:rPr>
        <w:t>。</w:t>
      </w:r>
    </w:p>
    <w:p w14:paraId="25F0EB7F">
      <w:pPr>
        <w:pageBreakBefore w:val="0"/>
        <w:widowControl w:val="0"/>
        <w:kinsoku/>
        <w:wordWrap/>
        <w:overflowPunct/>
        <w:topLinePunct w:val="0"/>
        <w:autoSpaceDE/>
        <w:autoSpaceDN/>
        <w:bidi w:val="0"/>
        <w:adjustRightInd/>
        <w:snapToGrid/>
        <w:spacing w:line="600" w:lineRule="exact"/>
        <w:textAlignment w:val="auto"/>
        <w:outlineLvl w:val="2"/>
        <w:rPr>
          <w:rFonts w:hint="default" w:ascii="Times New Roman" w:hAnsi="Times New Roman"/>
          <w:highlight w:val="none"/>
          <w:lang w:val="en-US" w:eastAsia="zh-CN"/>
        </w:rPr>
      </w:pPr>
      <w:r>
        <w:rPr>
          <w:rFonts w:hint="eastAsia" w:ascii="Times New Roman" w:hAnsi="Times New Roman"/>
          <w:highlight w:val="none"/>
          <w:lang w:val="en-US" w:eastAsia="zh-CN"/>
        </w:rPr>
        <w:t>（</w:t>
      </w:r>
      <w:r>
        <w:rPr>
          <w:rFonts w:hint="default" w:ascii="Times New Roman" w:hAnsi="Times New Roman" w:cs="Times New Roman"/>
          <w:highlight w:val="none"/>
          <w:lang w:val="en-US" w:eastAsia="zh-CN"/>
        </w:rPr>
        <w:t>3</w:t>
      </w:r>
      <w:r>
        <w:rPr>
          <w:rFonts w:hint="eastAsia" w:ascii="Times New Roman" w:hAnsi="Times New Roman"/>
          <w:highlight w:val="none"/>
          <w:lang w:val="en-US" w:eastAsia="zh-CN"/>
        </w:rPr>
        <w:t>）项目入库</w:t>
      </w:r>
    </w:p>
    <w:p w14:paraId="7B4E56CA">
      <w:pPr>
        <w:pageBreakBefore w:val="0"/>
        <w:widowControl w:val="0"/>
        <w:kinsoku/>
        <w:wordWrap/>
        <w:overflowPunct/>
        <w:topLinePunct w:val="0"/>
        <w:autoSpaceDE/>
        <w:autoSpaceDN/>
        <w:bidi w:val="0"/>
        <w:adjustRightInd/>
        <w:snapToGrid/>
        <w:spacing w:line="600" w:lineRule="exact"/>
        <w:textAlignment w:val="auto"/>
        <w:outlineLvl w:val="9"/>
        <w:rPr>
          <w:rFonts w:hint="eastAsia" w:ascii="Times New Roman" w:hAnsi="Times New Roman"/>
          <w:highlight w:val="none"/>
          <w:lang w:val="en-US" w:eastAsia="zh-CN"/>
        </w:rPr>
      </w:pPr>
      <w:r>
        <w:rPr>
          <w:rFonts w:hint="eastAsia" w:ascii="Times New Roman" w:hAnsi="Times New Roman" w:cs="Times New Roman"/>
          <w:highlight w:val="none"/>
          <w:lang w:val="zh-CN"/>
        </w:rPr>
        <w:t>2025年</w:t>
      </w:r>
      <w:r>
        <w:rPr>
          <w:rFonts w:hint="eastAsia" w:ascii="Times New Roman" w:hAnsi="Times New Roman"/>
          <w:highlight w:val="none"/>
          <w:lang w:val="zh-CN"/>
        </w:rPr>
        <w:t>我局需在</w:t>
      </w:r>
      <w:r>
        <w:rPr>
          <w:rFonts w:hint="eastAsia" w:ascii="Times New Roman" w:hAnsi="Times New Roman"/>
          <w:highlight w:val="none"/>
          <w:lang w:val="en-US" w:eastAsia="zh-CN"/>
        </w:rPr>
        <w:t>规定时间内进行入库的</w:t>
      </w:r>
      <w:r>
        <w:rPr>
          <w:rFonts w:hint="eastAsia" w:ascii="Times New Roman" w:hAnsi="Times New Roman"/>
          <w:highlight w:val="none"/>
          <w:lang w:val="zh-CN"/>
        </w:rPr>
        <w:t>项目共有</w:t>
      </w:r>
      <w:r>
        <w:rPr>
          <w:rFonts w:hint="eastAsia" w:ascii="Times New Roman" w:hAnsi="Times New Roman" w:cs="Times New Roman"/>
          <w:color w:val="000000"/>
          <w:kern w:val="0"/>
          <w:szCs w:val="32"/>
          <w:highlight w:val="none"/>
          <w:shd w:val="clear" w:color="auto" w:fill="FFFFFF"/>
          <w:lang w:val="en-US" w:eastAsia="zh-CN"/>
        </w:rPr>
        <w:t>51</w:t>
      </w:r>
      <w:r>
        <w:rPr>
          <w:rFonts w:hint="eastAsia" w:ascii="Times New Roman" w:hAnsi="Times New Roman"/>
          <w:highlight w:val="none"/>
          <w:lang w:val="zh-CN"/>
        </w:rPr>
        <w:t>个，</w:t>
      </w:r>
      <w:r>
        <w:rPr>
          <w:rFonts w:hint="eastAsia" w:ascii="Times New Roman" w:hAnsi="Times New Roman"/>
          <w:highlight w:val="none"/>
          <w:lang w:val="en-US" w:eastAsia="zh-CN"/>
        </w:rPr>
        <w:t>均在规定时间内完成了项目入库。</w:t>
      </w:r>
    </w:p>
    <w:p w14:paraId="13B773AA">
      <w:pPr>
        <w:pageBreakBefore w:val="0"/>
        <w:widowControl w:val="0"/>
        <w:kinsoku/>
        <w:wordWrap/>
        <w:overflowPunct/>
        <w:topLinePunct w:val="0"/>
        <w:autoSpaceDE/>
        <w:autoSpaceDN/>
        <w:bidi w:val="0"/>
        <w:adjustRightInd/>
        <w:snapToGrid/>
        <w:spacing w:line="600" w:lineRule="exact"/>
        <w:textAlignment w:val="auto"/>
        <w:outlineLvl w:val="9"/>
        <w:rPr>
          <w:rFonts w:hint="eastAsia" w:ascii="Times New Roman" w:hAnsi="Times New Roman"/>
          <w:color w:val="auto"/>
          <w:highlight w:val="none"/>
          <w:lang w:val="en-US" w:eastAsia="zh-CN"/>
        </w:rPr>
      </w:pPr>
      <w:r>
        <w:rPr>
          <w:rFonts w:hint="default" w:ascii="Times New Roman" w:hAnsi="Times New Roman"/>
          <w:highlight w:val="none"/>
          <w:lang w:val="en-US" w:eastAsia="zh-CN"/>
        </w:rPr>
        <w:t>根据评分标准，该项指标不扣分，得4分</w:t>
      </w:r>
      <w:r>
        <w:rPr>
          <w:rFonts w:hint="eastAsia" w:ascii="Times New Roman" w:hAnsi="Times New Roman"/>
          <w:highlight w:val="none"/>
          <w:lang w:val="en-US" w:eastAsia="zh-CN"/>
        </w:rPr>
        <w:t>。</w:t>
      </w:r>
    </w:p>
    <w:p w14:paraId="13534352">
      <w:pPr>
        <w:pStyle w:val="4"/>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highlight w:val="none"/>
          <w:lang w:val="zh-CN"/>
        </w:rPr>
      </w:pPr>
      <w:r>
        <w:rPr>
          <w:rFonts w:hint="default" w:ascii="Times New Roman" w:hAnsi="Times New Roman" w:cs="Times New Roman"/>
          <w:highlight w:val="none"/>
          <w:lang w:val="en-US" w:eastAsia="zh-CN"/>
        </w:rPr>
        <w:t>2</w:t>
      </w:r>
      <w:r>
        <w:rPr>
          <w:rFonts w:hint="eastAsia" w:ascii="Times New Roman" w:hAnsi="Times New Roman"/>
          <w:highlight w:val="none"/>
          <w:lang w:val="en-US" w:eastAsia="zh-CN"/>
        </w:rPr>
        <w:t>.项目执行</w:t>
      </w:r>
    </w:p>
    <w:p w14:paraId="40006484">
      <w:pPr>
        <w:keepNext w:val="0"/>
        <w:keepLines w:val="0"/>
        <w:pageBreakBefore w:val="0"/>
        <w:widowControl w:val="0"/>
        <w:kinsoku/>
        <w:wordWrap/>
        <w:overflowPunct/>
        <w:topLinePunct w:val="0"/>
        <w:autoSpaceDE/>
        <w:autoSpaceDN/>
        <w:bidi w:val="0"/>
        <w:adjustRightInd/>
        <w:snapToGrid/>
        <w:spacing w:line="600" w:lineRule="exact"/>
        <w:textAlignment w:val="auto"/>
        <w:outlineLvl w:val="2"/>
        <w:rPr>
          <w:rFonts w:hint="eastAsia" w:ascii="Times New Roman" w:hAnsi="Times New Roman"/>
          <w:highlight w:val="none"/>
          <w:lang w:val="zh-CN"/>
        </w:rPr>
      </w:pPr>
      <w:r>
        <w:rPr>
          <w:rFonts w:hint="eastAsia" w:ascii="Times New Roman" w:hAnsi="Times New Roman"/>
          <w:highlight w:val="none"/>
          <w:lang w:val="zh-CN"/>
        </w:rPr>
        <w:t>（</w:t>
      </w:r>
      <w:r>
        <w:rPr>
          <w:rFonts w:hint="default" w:ascii="Times New Roman" w:hAnsi="Times New Roman" w:cs="Times New Roman"/>
          <w:highlight w:val="none"/>
          <w:lang w:val="en-US" w:eastAsia="zh-CN"/>
        </w:rPr>
        <w:t>1</w:t>
      </w:r>
      <w:r>
        <w:rPr>
          <w:rFonts w:hint="eastAsia" w:ascii="Times New Roman" w:hAnsi="Times New Roman"/>
          <w:highlight w:val="none"/>
          <w:lang w:val="zh-CN"/>
        </w:rPr>
        <w:t>）执行同向</w:t>
      </w:r>
    </w:p>
    <w:p w14:paraId="13B0E98C">
      <w:pPr>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仿宋_GB2312"/>
          <w:highlight w:val="none"/>
          <w:lang w:val="en-US" w:eastAsia="zh-CN"/>
        </w:rPr>
      </w:pPr>
      <w:r>
        <w:rPr>
          <w:rFonts w:hint="eastAsia" w:ascii="Times New Roman" w:hAnsi="Times New Roman"/>
          <w:highlight w:val="none"/>
          <w:lang w:val="en-US" w:eastAsia="zh-CN"/>
        </w:rPr>
        <w:t>我局严格按照部门预算项目批复内容实施项目，项目资金使用符合预算批复用途，与项目总体绩效目标设置方向相符，没有相悖或不合理之处。</w:t>
      </w:r>
    </w:p>
    <w:p w14:paraId="761F85E1">
      <w:pPr>
        <w:keepNext/>
        <w:keepLines/>
        <w:pageBreakBefore w:val="0"/>
        <w:widowControl w:val="0"/>
        <w:kinsoku/>
        <w:wordWrap/>
        <w:overflowPunct/>
        <w:topLinePunct w:val="0"/>
        <w:autoSpaceDE/>
        <w:autoSpaceDN/>
        <w:bidi w:val="0"/>
        <w:adjustRightInd/>
        <w:snapToGrid/>
        <w:spacing w:line="600" w:lineRule="exact"/>
        <w:textAlignment w:val="auto"/>
        <w:outlineLvl w:val="9"/>
        <w:rPr>
          <w:rFonts w:hint="eastAsia" w:ascii="Times New Roman" w:hAnsi="Times New Roman"/>
          <w:color w:val="auto"/>
          <w:highlight w:val="none"/>
          <w:lang w:val="en-US" w:eastAsia="zh-CN"/>
        </w:rPr>
      </w:pPr>
      <w:r>
        <w:rPr>
          <w:rFonts w:hint="default" w:ascii="Times New Roman" w:hAnsi="Times New Roman"/>
          <w:highlight w:val="none"/>
          <w:lang w:val="en-US" w:eastAsia="zh-CN"/>
        </w:rPr>
        <w:t>根据评分标准，该项指标不扣分，得4分</w:t>
      </w:r>
      <w:r>
        <w:rPr>
          <w:rFonts w:hint="eastAsia" w:ascii="Times New Roman" w:hAnsi="Times New Roman"/>
          <w:highlight w:val="none"/>
          <w:lang w:val="en-US" w:eastAsia="zh-CN"/>
        </w:rPr>
        <w:t>。</w:t>
      </w:r>
    </w:p>
    <w:p w14:paraId="27B5CC28">
      <w:pPr>
        <w:keepNext w:val="0"/>
        <w:keepLines w:val="0"/>
        <w:pageBreakBefore w:val="0"/>
        <w:widowControl w:val="0"/>
        <w:kinsoku/>
        <w:wordWrap/>
        <w:overflowPunct/>
        <w:topLinePunct w:val="0"/>
        <w:autoSpaceDE/>
        <w:autoSpaceDN/>
        <w:bidi w:val="0"/>
        <w:adjustRightInd/>
        <w:snapToGrid/>
        <w:spacing w:line="600" w:lineRule="exact"/>
        <w:textAlignment w:val="auto"/>
        <w:outlineLvl w:val="2"/>
        <w:rPr>
          <w:rFonts w:hint="eastAsia" w:ascii="Times New Roman" w:hAnsi="Times New Roman"/>
          <w:highlight w:val="none"/>
          <w:lang w:val="zh-CN"/>
        </w:rPr>
      </w:pPr>
      <w:r>
        <w:rPr>
          <w:rFonts w:hint="eastAsia" w:ascii="Times New Roman" w:hAnsi="Times New Roman"/>
          <w:highlight w:val="none"/>
          <w:lang w:val="zh-CN"/>
        </w:rPr>
        <w:t>（</w:t>
      </w:r>
      <w:r>
        <w:rPr>
          <w:rFonts w:hint="default" w:ascii="Times New Roman" w:hAnsi="Times New Roman" w:cs="Times New Roman"/>
          <w:highlight w:val="none"/>
          <w:lang w:val="en-US" w:eastAsia="zh-CN"/>
        </w:rPr>
        <w:t>2</w:t>
      </w:r>
      <w:r>
        <w:rPr>
          <w:rFonts w:hint="eastAsia" w:ascii="Times New Roman" w:hAnsi="Times New Roman"/>
          <w:highlight w:val="none"/>
          <w:lang w:val="zh-CN"/>
        </w:rPr>
        <w:t>）项目调整</w:t>
      </w:r>
    </w:p>
    <w:p w14:paraId="6707401E">
      <w:pPr>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highlight w:val="none"/>
          <w:lang w:val="en-US" w:eastAsia="zh-CN"/>
        </w:rPr>
      </w:pPr>
      <w:r>
        <w:rPr>
          <w:rFonts w:hint="eastAsia" w:ascii="Times New Roman" w:hAnsi="Times New Roman" w:cs="Times New Roman"/>
          <w:highlight w:val="none"/>
          <w:lang w:val="en-US" w:eastAsia="zh-CN"/>
        </w:rPr>
        <w:t>2025年</w:t>
      </w:r>
      <w:r>
        <w:rPr>
          <w:rFonts w:hint="eastAsia" w:ascii="Times New Roman" w:hAnsi="Times New Roman"/>
          <w:highlight w:val="none"/>
          <w:lang w:val="en-US" w:eastAsia="zh-CN"/>
        </w:rPr>
        <w:t>我局年初设置的部门项目预算较为合理，项目总体绩效目标设置较为科学合理，预算调整及时，与实际情况基本相符，不存在应采取但未采取收回预算、调整目标等处置措施的部门预算阶段项目，故不涉及收回预算、调整目标等处置措施。</w:t>
      </w:r>
    </w:p>
    <w:p w14:paraId="5DC8CB55">
      <w:pPr>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highlight w:val="none"/>
          <w:lang w:val="zh-CN"/>
        </w:rPr>
      </w:pPr>
      <w:r>
        <w:rPr>
          <w:rFonts w:hint="default" w:ascii="Times New Roman" w:hAnsi="Times New Roman"/>
          <w:highlight w:val="none"/>
          <w:lang w:val="en-US" w:eastAsia="zh-CN"/>
        </w:rPr>
        <w:t>根据评分标准，该项指标不扣分，得4分</w:t>
      </w:r>
      <w:r>
        <w:rPr>
          <w:rFonts w:hint="eastAsia" w:ascii="Times New Roman" w:hAnsi="Times New Roman"/>
          <w:highlight w:val="none"/>
          <w:lang w:val="en-US" w:eastAsia="zh-CN"/>
        </w:rPr>
        <w:t>。</w:t>
      </w:r>
    </w:p>
    <w:p w14:paraId="7DB078EE">
      <w:pPr>
        <w:keepNext w:val="0"/>
        <w:keepLines w:val="0"/>
        <w:pageBreakBefore w:val="0"/>
        <w:widowControl w:val="0"/>
        <w:kinsoku/>
        <w:wordWrap/>
        <w:overflowPunct/>
        <w:topLinePunct w:val="0"/>
        <w:autoSpaceDE/>
        <w:autoSpaceDN/>
        <w:bidi w:val="0"/>
        <w:adjustRightInd/>
        <w:snapToGrid/>
        <w:spacing w:line="600" w:lineRule="exact"/>
        <w:ind w:firstLine="480" w:firstLineChars="150"/>
        <w:textAlignment w:val="auto"/>
        <w:outlineLvl w:val="2"/>
        <w:rPr>
          <w:rFonts w:hint="eastAsia" w:ascii="Times New Roman" w:hAnsi="Times New Roman"/>
          <w:highlight w:val="none"/>
          <w:lang w:val="zh-CN"/>
        </w:rPr>
      </w:pPr>
      <w:r>
        <w:rPr>
          <w:rFonts w:hint="eastAsia" w:ascii="Times New Roman" w:hAnsi="Times New Roman"/>
          <w:highlight w:val="none"/>
          <w:lang w:val="zh-CN"/>
        </w:rPr>
        <w:t>（</w:t>
      </w:r>
      <w:r>
        <w:rPr>
          <w:rFonts w:hint="default" w:ascii="Times New Roman" w:hAnsi="Times New Roman" w:cs="Times New Roman"/>
          <w:highlight w:val="none"/>
          <w:lang w:val="en-US" w:eastAsia="zh-CN"/>
        </w:rPr>
        <w:t>3</w:t>
      </w:r>
      <w:r>
        <w:rPr>
          <w:rFonts w:hint="eastAsia" w:ascii="Times New Roman" w:hAnsi="Times New Roman"/>
          <w:highlight w:val="none"/>
          <w:lang w:val="zh-CN"/>
        </w:rPr>
        <w:t>）执行结果</w:t>
      </w:r>
    </w:p>
    <w:p w14:paraId="1D4B05F0">
      <w:pPr>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highlight w:val="none"/>
          <w:lang w:val="zh-CN"/>
        </w:rPr>
      </w:pPr>
      <w:r>
        <w:rPr>
          <w:rFonts w:hint="eastAsia" w:ascii="Times New Roman" w:hAnsi="Times New Roman" w:cs="Times New Roman"/>
          <w:highlight w:val="none"/>
          <w:lang w:val="en-US" w:eastAsia="zh-CN"/>
        </w:rPr>
        <w:t>2025年</w:t>
      </w:r>
      <w:r>
        <w:rPr>
          <w:rFonts w:hint="eastAsia" w:ascii="Times New Roman" w:hAnsi="Times New Roman"/>
          <w:highlight w:val="none"/>
          <w:lang w:val="en-US" w:eastAsia="zh-CN"/>
        </w:rPr>
        <w:t>我局</w:t>
      </w:r>
      <w:r>
        <w:rPr>
          <w:rFonts w:hint="eastAsia" w:ascii="Times New Roman" w:hAnsi="Times New Roman"/>
          <w:highlight w:val="none"/>
          <w:lang w:val="zh-CN"/>
        </w:rPr>
        <w:t>常年项目</w:t>
      </w:r>
      <w:r>
        <w:rPr>
          <w:rFonts w:hint="eastAsia" w:ascii="Times New Roman" w:hAnsi="Times New Roman"/>
          <w:highlight w:val="none"/>
          <w:lang w:val="en-US" w:eastAsia="zh-CN"/>
        </w:rPr>
        <w:t>共计</w:t>
      </w:r>
      <w:r>
        <w:rPr>
          <w:rFonts w:hint="eastAsia" w:ascii="Times New Roman" w:hAnsi="Times New Roman" w:cs="Times New Roman"/>
          <w:color w:val="000000"/>
          <w:kern w:val="0"/>
          <w:szCs w:val="32"/>
          <w:highlight w:val="none"/>
          <w:shd w:val="clear" w:color="auto" w:fill="FFFFFF"/>
          <w:lang w:val="en-US" w:eastAsia="zh-CN"/>
        </w:rPr>
        <w:t>21</w:t>
      </w:r>
      <w:r>
        <w:rPr>
          <w:rFonts w:hint="eastAsia" w:ascii="Times New Roman" w:hAnsi="Times New Roman"/>
          <w:highlight w:val="none"/>
          <w:lang w:val="zh-CN"/>
        </w:rPr>
        <w:t>个，预算结余率</w:t>
      </w:r>
      <w:r>
        <w:rPr>
          <w:rFonts w:hint="eastAsia" w:ascii="Times New Roman" w:hAnsi="Times New Roman"/>
          <w:highlight w:val="none"/>
          <w:lang w:val="en-US" w:eastAsia="zh-CN"/>
        </w:rPr>
        <w:t>小</w:t>
      </w:r>
      <w:r>
        <w:rPr>
          <w:rFonts w:hint="eastAsia" w:ascii="Times New Roman" w:hAnsi="Times New Roman"/>
          <w:highlight w:val="none"/>
          <w:lang w:val="zh-CN"/>
        </w:rPr>
        <w:t>于</w:t>
      </w:r>
      <w:r>
        <w:rPr>
          <w:rFonts w:hint="default" w:ascii="Times New Roman" w:hAnsi="Times New Roman" w:cs="Times New Roman"/>
          <w:highlight w:val="none"/>
          <w:lang w:val="zh-CN"/>
        </w:rPr>
        <w:t>10</w:t>
      </w:r>
      <w:r>
        <w:rPr>
          <w:rFonts w:hint="eastAsia" w:ascii="Times New Roman" w:hAnsi="Times New Roman"/>
          <w:highlight w:val="none"/>
          <w:lang w:val="zh-CN"/>
        </w:rPr>
        <w:t>%</w:t>
      </w:r>
      <w:r>
        <w:rPr>
          <w:rFonts w:hint="eastAsia" w:ascii="Times New Roman" w:hAnsi="Times New Roman"/>
          <w:highlight w:val="none"/>
          <w:lang w:val="en-US" w:eastAsia="zh-CN"/>
        </w:rPr>
        <w:t>的常年项目数量为21个</w:t>
      </w:r>
      <w:r>
        <w:rPr>
          <w:rFonts w:hint="eastAsia" w:ascii="Times New Roman" w:hAnsi="Times New Roman"/>
          <w:highlight w:val="none"/>
          <w:lang w:val="zh-CN"/>
        </w:rPr>
        <w:t>；阶段（一次性）项目</w:t>
      </w:r>
      <w:r>
        <w:rPr>
          <w:rFonts w:hint="eastAsia" w:ascii="Times New Roman" w:hAnsi="Times New Roman"/>
          <w:highlight w:val="none"/>
          <w:lang w:val="en-US" w:eastAsia="zh-CN"/>
        </w:rPr>
        <w:t>共计</w:t>
      </w:r>
      <w:r>
        <w:rPr>
          <w:rFonts w:hint="eastAsia" w:ascii="Times New Roman" w:hAnsi="Times New Roman" w:cs="Times New Roman"/>
          <w:color w:val="000000"/>
          <w:kern w:val="0"/>
          <w:szCs w:val="32"/>
          <w:highlight w:val="none"/>
          <w:shd w:val="clear" w:color="auto" w:fill="FFFFFF"/>
          <w:lang w:val="en-US" w:eastAsia="zh-CN"/>
        </w:rPr>
        <w:t>30</w:t>
      </w:r>
      <w:r>
        <w:rPr>
          <w:rFonts w:hint="eastAsia" w:ascii="Times New Roman" w:hAnsi="Times New Roman"/>
          <w:highlight w:val="none"/>
          <w:lang w:val="zh-CN"/>
        </w:rPr>
        <w:t>个，</w:t>
      </w:r>
      <w:r>
        <w:rPr>
          <w:rFonts w:hint="eastAsia" w:ascii="Times New Roman" w:hAnsi="Times New Roman" w:cs="Times New Roman"/>
          <w:color w:val="000000"/>
          <w:kern w:val="0"/>
          <w:szCs w:val="32"/>
          <w:highlight w:val="none"/>
          <w:shd w:val="clear" w:color="auto" w:fill="FFFFFF"/>
          <w:lang w:val="en-US" w:eastAsia="zh-CN"/>
        </w:rPr>
        <w:t>预算结余率小于10%的一次性项目和阶段项目数量为</w:t>
      </w:r>
      <w:r>
        <w:rPr>
          <w:rFonts w:hint="eastAsia" w:ascii="Times New Roman" w:hAnsi="Times New Roman"/>
          <w:highlight w:val="none"/>
          <w:lang w:val="en-US" w:eastAsia="zh-CN"/>
        </w:rPr>
        <w:t>30</w:t>
      </w:r>
      <w:r>
        <w:rPr>
          <w:rFonts w:hint="eastAsia" w:ascii="Times New Roman" w:hAnsi="Times New Roman" w:cs="Times New Roman"/>
          <w:color w:val="000000"/>
          <w:kern w:val="0"/>
          <w:szCs w:val="32"/>
          <w:highlight w:val="none"/>
          <w:shd w:val="clear" w:color="auto" w:fill="FFFFFF"/>
          <w:lang w:val="en-US" w:eastAsia="zh-CN"/>
        </w:rPr>
        <w:t>个</w:t>
      </w:r>
      <w:r>
        <w:rPr>
          <w:rFonts w:hint="eastAsia" w:ascii="Times New Roman" w:hAnsi="Times New Roman"/>
          <w:highlight w:val="none"/>
          <w:lang w:val="en-US" w:eastAsia="zh-CN"/>
        </w:rPr>
        <w:t>。</w:t>
      </w:r>
    </w:p>
    <w:p w14:paraId="5321902E">
      <w:pPr>
        <w:keepNext/>
        <w:keepLines/>
        <w:pageBreakBefore w:val="0"/>
        <w:widowControl w:val="0"/>
        <w:kinsoku/>
        <w:wordWrap/>
        <w:overflowPunct/>
        <w:topLinePunct w:val="0"/>
        <w:autoSpaceDE/>
        <w:autoSpaceDN/>
        <w:bidi w:val="0"/>
        <w:adjustRightInd/>
        <w:snapToGrid/>
        <w:spacing w:line="600" w:lineRule="exact"/>
        <w:textAlignment w:val="auto"/>
        <w:outlineLvl w:val="9"/>
        <w:rPr>
          <w:rFonts w:hint="eastAsia" w:ascii="Times New Roman" w:hAnsi="Times New Roman"/>
          <w:highlight w:val="none"/>
          <w:lang w:val="zh-CN"/>
        </w:rPr>
      </w:pPr>
      <w:r>
        <w:rPr>
          <w:rFonts w:hint="default" w:ascii="Times New Roman" w:hAnsi="Times New Roman"/>
          <w:highlight w:val="none"/>
          <w:lang w:val="en-US" w:eastAsia="zh-CN"/>
        </w:rPr>
        <w:t>根据评分标准，该项指标</w:t>
      </w:r>
      <w:r>
        <w:rPr>
          <w:rFonts w:hint="eastAsia" w:ascii="Times New Roman" w:hAnsi="Times New Roman"/>
          <w:highlight w:val="none"/>
          <w:lang w:val="en-US" w:eastAsia="zh-CN"/>
        </w:rPr>
        <w:t>不扣</w:t>
      </w:r>
      <w:r>
        <w:rPr>
          <w:rFonts w:hint="default" w:ascii="Times New Roman" w:hAnsi="Times New Roman"/>
          <w:highlight w:val="none"/>
          <w:lang w:val="en-US" w:eastAsia="zh-CN"/>
        </w:rPr>
        <w:t>分，得</w:t>
      </w:r>
      <w:r>
        <w:rPr>
          <w:rFonts w:hint="eastAsia" w:ascii="Times New Roman" w:hAnsi="Times New Roman"/>
          <w:highlight w:val="none"/>
          <w:lang w:val="en-US" w:eastAsia="zh-CN"/>
        </w:rPr>
        <w:t>4</w:t>
      </w:r>
      <w:r>
        <w:rPr>
          <w:rFonts w:hint="default" w:ascii="Times New Roman" w:hAnsi="Times New Roman"/>
          <w:highlight w:val="none"/>
          <w:lang w:val="en-US" w:eastAsia="zh-CN"/>
        </w:rPr>
        <w:t>分</w:t>
      </w:r>
      <w:r>
        <w:rPr>
          <w:rFonts w:hint="eastAsia" w:ascii="Times New Roman" w:hAnsi="Times New Roman"/>
          <w:highlight w:val="none"/>
          <w:lang w:val="en-US" w:eastAsia="zh-CN"/>
        </w:rPr>
        <w:t>。</w:t>
      </w:r>
    </w:p>
    <w:p w14:paraId="465FAF27">
      <w:pPr>
        <w:pStyle w:val="4"/>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仿宋_GB2312"/>
          <w:highlight w:val="none"/>
          <w:lang w:val="en-US" w:eastAsia="zh-CN"/>
        </w:rPr>
      </w:pPr>
      <w:r>
        <w:rPr>
          <w:rFonts w:hint="default" w:ascii="Times New Roman" w:hAnsi="Times New Roman" w:cs="Times New Roman"/>
          <w:highlight w:val="none"/>
          <w:lang w:val="en-US" w:eastAsia="zh-CN"/>
        </w:rPr>
        <w:t>3</w:t>
      </w:r>
      <w:r>
        <w:rPr>
          <w:rFonts w:hint="eastAsia" w:ascii="Times New Roman" w:hAnsi="Times New Roman"/>
          <w:highlight w:val="none"/>
          <w:lang w:val="en-US" w:eastAsia="zh-CN"/>
        </w:rPr>
        <w:t>.</w:t>
      </w:r>
      <w:r>
        <w:rPr>
          <w:rFonts w:hint="eastAsia" w:ascii="Times New Roman" w:hAnsi="Times New Roman"/>
          <w:highlight w:val="none"/>
          <w:lang w:val="zh-CN"/>
        </w:rPr>
        <w:t>目标实现</w:t>
      </w:r>
    </w:p>
    <w:p w14:paraId="0D77087C">
      <w:pPr>
        <w:pageBreakBefore w:val="0"/>
        <w:widowControl w:val="0"/>
        <w:kinsoku/>
        <w:wordWrap/>
        <w:overflowPunct/>
        <w:topLinePunct w:val="0"/>
        <w:autoSpaceDE/>
        <w:autoSpaceDN/>
        <w:bidi w:val="0"/>
        <w:adjustRightInd/>
        <w:snapToGrid/>
        <w:spacing w:line="600" w:lineRule="exact"/>
        <w:textAlignment w:val="auto"/>
        <w:outlineLvl w:val="2"/>
        <w:rPr>
          <w:rFonts w:hint="eastAsia" w:ascii="Times New Roman" w:hAnsi="Times New Roman" w:eastAsia="仿宋_GB2312"/>
          <w:highlight w:val="none"/>
          <w:lang w:eastAsia="zh-CN"/>
        </w:rPr>
      </w:pPr>
      <w:r>
        <w:rPr>
          <w:rFonts w:hint="eastAsia" w:ascii="Times New Roman" w:hAnsi="Times New Roman"/>
          <w:highlight w:val="none"/>
          <w:lang w:eastAsia="zh-CN"/>
        </w:rPr>
        <w:t>（</w:t>
      </w:r>
      <w:r>
        <w:rPr>
          <w:rFonts w:hint="default" w:ascii="Times New Roman" w:hAnsi="Times New Roman" w:cs="Times New Roman"/>
          <w:highlight w:val="none"/>
          <w:lang w:val="en-US" w:eastAsia="zh-CN"/>
        </w:rPr>
        <w:t>1</w:t>
      </w:r>
      <w:r>
        <w:rPr>
          <w:rFonts w:hint="eastAsia" w:ascii="Times New Roman" w:hAnsi="Times New Roman"/>
          <w:highlight w:val="none"/>
          <w:lang w:eastAsia="zh-CN"/>
        </w:rPr>
        <w:t>）目标完成</w:t>
      </w:r>
    </w:p>
    <w:p w14:paraId="353BB009">
      <w:pPr>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仿宋_GB2312"/>
          <w:highlight w:val="none"/>
          <w:lang w:val="en-US" w:eastAsia="zh-CN"/>
        </w:rPr>
      </w:pPr>
      <w:r>
        <w:rPr>
          <w:rFonts w:hint="eastAsia" w:ascii="Times New Roman" w:hAnsi="Times New Roman" w:cs="Times New Roman"/>
          <w:highlight w:val="none"/>
          <w:lang w:eastAsia="zh-CN"/>
        </w:rPr>
        <w:t>2025年</w:t>
      </w:r>
      <w:r>
        <w:rPr>
          <w:rFonts w:hint="eastAsia" w:ascii="Times New Roman" w:hAnsi="Times New Roman"/>
          <w:highlight w:val="none"/>
          <w:lang w:eastAsia="zh-CN"/>
        </w:rPr>
        <w:t>部门预算阶段项目（含一次性项目）共有</w:t>
      </w:r>
      <w:r>
        <w:rPr>
          <w:rFonts w:hint="eastAsia" w:ascii="Times New Roman" w:hAnsi="Times New Roman"/>
          <w:highlight w:val="none"/>
          <w:lang w:val="en-US" w:eastAsia="zh-CN"/>
        </w:rPr>
        <w:t>51</w:t>
      </w:r>
      <w:r>
        <w:rPr>
          <w:rFonts w:hint="eastAsia" w:ascii="Times New Roman" w:hAnsi="Times New Roman"/>
          <w:highlight w:val="none"/>
          <w:lang w:eastAsia="zh-CN"/>
        </w:rPr>
        <w:t>个，</w:t>
      </w:r>
      <w:r>
        <w:rPr>
          <w:rFonts w:hint="eastAsia" w:ascii="Times New Roman" w:hAnsi="Times New Roman"/>
          <w:highlight w:val="none"/>
          <w:lang w:val="en-US" w:eastAsia="zh-CN"/>
        </w:rPr>
        <w:t>结合项目实施的实际情况，我局所涉及的</w:t>
      </w:r>
      <w:r>
        <w:rPr>
          <w:rFonts w:hint="eastAsia" w:ascii="Times New Roman" w:hAnsi="Times New Roman"/>
          <w:highlight w:val="none"/>
          <w:lang w:eastAsia="zh-CN"/>
        </w:rPr>
        <w:t>部门预算阶段项目（含一次性项目）</w:t>
      </w:r>
      <w:r>
        <w:rPr>
          <w:rFonts w:hint="eastAsia"/>
          <w:highlight w:val="none"/>
          <w:lang w:eastAsia="zh-CN"/>
        </w:rPr>
        <w:t>各项</w:t>
      </w:r>
      <w:r>
        <w:rPr>
          <w:rFonts w:hint="eastAsia" w:ascii="Times New Roman" w:hAnsi="Times New Roman"/>
          <w:highlight w:val="none"/>
          <w:lang w:val="en-US" w:eastAsia="zh-CN"/>
        </w:rPr>
        <w:t>数量指标全部完成的数量为51个。</w:t>
      </w:r>
    </w:p>
    <w:p w14:paraId="214E1580">
      <w:pPr>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highlight w:val="none"/>
        </w:rPr>
      </w:pPr>
      <w:r>
        <w:rPr>
          <w:rFonts w:hint="default" w:ascii="Times New Roman" w:hAnsi="Times New Roman"/>
          <w:highlight w:val="none"/>
          <w:lang w:val="en-US" w:eastAsia="zh-CN"/>
        </w:rPr>
        <w:t>根据评分标准，该项指标不扣分，得4分</w:t>
      </w:r>
      <w:r>
        <w:rPr>
          <w:rFonts w:hint="eastAsia" w:ascii="Times New Roman" w:hAnsi="Times New Roman"/>
          <w:highlight w:val="none"/>
          <w:lang w:val="en-US" w:eastAsia="zh-CN"/>
        </w:rPr>
        <w:t>。</w:t>
      </w:r>
    </w:p>
    <w:p w14:paraId="3338851D">
      <w:pPr>
        <w:pageBreakBefore w:val="0"/>
        <w:widowControl w:val="0"/>
        <w:kinsoku/>
        <w:wordWrap/>
        <w:overflowPunct/>
        <w:topLinePunct w:val="0"/>
        <w:autoSpaceDE/>
        <w:autoSpaceDN/>
        <w:bidi w:val="0"/>
        <w:adjustRightInd/>
        <w:snapToGrid/>
        <w:spacing w:line="600" w:lineRule="exact"/>
        <w:textAlignment w:val="auto"/>
        <w:outlineLvl w:val="2"/>
        <w:rPr>
          <w:rFonts w:hint="eastAsia" w:ascii="Times New Roman" w:hAnsi="Times New Roman"/>
          <w:highlight w:val="none"/>
          <w:lang w:eastAsia="zh-CN"/>
        </w:rPr>
      </w:pPr>
      <w:r>
        <w:rPr>
          <w:rFonts w:hint="eastAsia" w:ascii="Times New Roman" w:hAnsi="Times New Roman"/>
          <w:highlight w:val="none"/>
          <w:lang w:eastAsia="zh-CN"/>
        </w:rPr>
        <w:t>（</w:t>
      </w:r>
      <w:r>
        <w:rPr>
          <w:rFonts w:hint="default" w:ascii="Times New Roman" w:hAnsi="Times New Roman" w:cs="Times New Roman"/>
          <w:highlight w:val="none"/>
          <w:lang w:val="en-US" w:eastAsia="zh-CN"/>
        </w:rPr>
        <w:t>2</w:t>
      </w:r>
      <w:r>
        <w:rPr>
          <w:rFonts w:hint="eastAsia" w:ascii="Times New Roman" w:hAnsi="Times New Roman"/>
          <w:highlight w:val="none"/>
          <w:lang w:eastAsia="zh-CN"/>
        </w:rPr>
        <w:t>）目标偏离</w:t>
      </w:r>
    </w:p>
    <w:p w14:paraId="60027174">
      <w:pPr>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highlight w:val="none"/>
          <w:lang w:val="en-US" w:eastAsia="zh-CN"/>
        </w:rPr>
      </w:pPr>
      <w:r>
        <w:rPr>
          <w:rFonts w:hint="eastAsia" w:ascii="Times New Roman" w:hAnsi="Times New Roman" w:cs="Times New Roman"/>
          <w:highlight w:val="none"/>
          <w:lang w:eastAsia="zh-CN"/>
        </w:rPr>
        <w:t>2025年</w:t>
      </w:r>
      <w:r>
        <w:rPr>
          <w:rFonts w:hint="eastAsia" w:ascii="Times New Roman" w:hAnsi="Times New Roman"/>
          <w:highlight w:val="none"/>
          <w:lang w:eastAsia="zh-CN"/>
        </w:rPr>
        <w:t>我局部门预算项目（含</w:t>
      </w:r>
      <w:r>
        <w:rPr>
          <w:rFonts w:hint="default" w:ascii="Times New Roman" w:hAnsi="Times New Roman" w:cs="Times New Roman"/>
          <w:color w:val="000000"/>
          <w:kern w:val="0"/>
          <w:szCs w:val="32"/>
          <w:highlight w:val="none"/>
          <w:shd w:val="clear" w:color="auto" w:fill="FFFFFF"/>
          <w:lang w:val="en-US" w:eastAsia="zh-CN"/>
        </w:rPr>
        <w:t>常年项目</w:t>
      </w:r>
      <w:r>
        <w:rPr>
          <w:rFonts w:hint="eastAsia" w:ascii="Times New Roman" w:hAnsi="Times New Roman" w:cs="Times New Roman"/>
          <w:color w:val="000000"/>
          <w:kern w:val="0"/>
          <w:szCs w:val="32"/>
          <w:highlight w:val="none"/>
          <w:shd w:val="clear" w:color="auto" w:fill="FFFFFF"/>
          <w:lang w:val="en-US" w:eastAsia="zh-CN"/>
        </w:rPr>
        <w:t>和阶段项目及</w:t>
      </w:r>
      <w:r>
        <w:rPr>
          <w:rFonts w:hint="eastAsia" w:ascii="Times New Roman" w:hAnsi="Times New Roman"/>
          <w:highlight w:val="none"/>
          <w:lang w:eastAsia="zh-CN"/>
        </w:rPr>
        <w:t>一次性项目）共有</w:t>
      </w:r>
      <w:r>
        <w:rPr>
          <w:rFonts w:hint="eastAsia" w:ascii="Times New Roman" w:hAnsi="Times New Roman"/>
          <w:highlight w:val="none"/>
          <w:lang w:val="en-US" w:eastAsia="zh-CN"/>
        </w:rPr>
        <w:t>51</w:t>
      </w:r>
      <w:r>
        <w:rPr>
          <w:rFonts w:hint="eastAsia" w:ascii="Times New Roman" w:hAnsi="Times New Roman"/>
          <w:highlight w:val="none"/>
          <w:lang w:eastAsia="zh-CN"/>
        </w:rPr>
        <w:t>个，</w:t>
      </w:r>
      <w:r>
        <w:rPr>
          <w:rFonts w:hint="eastAsia" w:ascii="Times New Roman" w:hAnsi="Times New Roman"/>
          <w:highlight w:val="none"/>
          <w:lang w:val="en-US" w:eastAsia="zh-CN"/>
        </w:rPr>
        <w:t>各项目数量指标的完成值与设定预期指标值的偏离度在</w:t>
      </w:r>
      <w:r>
        <w:rPr>
          <w:rFonts w:hint="default" w:ascii="Times New Roman" w:hAnsi="Times New Roman" w:cs="Times New Roman"/>
          <w:highlight w:val="none"/>
          <w:lang w:val="en-US" w:eastAsia="zh-CN"/>
        </w:rPr>
        <w:t>30</w:t>
      </w:r>
      <w:r>
        <w:rPr>
          <w:rFonts w:hint="eastAsia" w:ascii="Times New Roman" w:hAnsi="Times New Roman"/>
          <w:highlight w:val="none"/>
          <w:lang w:val="en-US" w:eastAsia="zh-CN"/>
        </w:rPr>
        <w:t>%以内的个数为51个。</w:t>
      </w:r>
    </w:p>
    <w:p w14:paraId="26DF1D26">
      <w:pPr>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highlight w:val="none"/>
        </w:rPr>
      </w:pPr>
      <w:r>
        <w:rPr>
          <w:rFonts w:hint="default" w:ascii="Times New Roman" w:hAnsi="Times New Roman"/>
          <w:highlight w:val="none"/>
          <w:lang w:val="en-US" w:eastAsia="zh-CN"/>
        </w:rPr>
        <w:t>根据评分标准，该项指标不扣分，得4分</w:t>
      </w:r>
      <w:r>
        <w:rPr>
          <w:rFonts w:hint="eastAsia" w:ascii="Times New Roman" w:hAnsi="Times New Roman"/>
          <w:highlight w:val="none"/>
          <w:lang w:val="en-US" w:eastAsia="zh-CN"/>
        </w:rPr>
        <w:t>。</w:t>
      </w:r>
    </w:p>
    <w:p w14:paraId="645582A8">
      <w:pPr>
        <w:pageBreakBefore w:val="0"/>
        <w:widowControl w:val="0"/>
        <w:kinsoku/>
        <w:wordWrap/>
        <w:overflowPunct/>
        <w:topLinePunct w:val="0"/>
        <w:autoSpaceDE/>
        <w:autoSpaceDN/>
        <w:bidi w:val="0"/>
        <w:adjustRightInd/>
        <w:snapToGrid/>
        <w:spacing w:line="600" w:lineRule="exact"/>
        <w:textAlignment w:val="auto"/>
        <w:outlineLvl w:val="2"/>
        <w:rPr>
          <w:rFonts w:hint="eastAsia" w:ascii="Times New Roman" w:hAnsi="Times New Roman"/>
          <w:highlight w:val="none"/>
          <w:lang w:eastAsia="zh-CN"/>
        </w:rPr>
      </w:pPr>
      <w:r>
        <w:rPr>
          <w:rFonts w:hint="eastAsia" w:ascii="Times New Roman" w:hAnsi="Times New Roman"/>
          <w:highlight w:val="none"/>
          <w:lang w:eastAsia="zh-CN"/>
        </w:rPr>
        <w:t>（</w:t>
      </w:r>
      <w:r>
        <w:rPr>
          <w:rFonts w:hint="default" w:ascii="Times New Roman" w:hAnsi="Times New Roman" w:cs="Times New Roman"/>
          <w:highlight w:val="none"/>
          <w:lang w:val="en-US" w:eastAsia="zh-CN"/>
        </w:rPr>
        <w:t>3</w:t>
      </w:r>
      <w:r>
        <w:rPr>
          <w:rFonts w:hint="eastAsia" w:ascii="Times New Roman" w:hAnsi="Times New Roman"/>
          <w:highlight w:val="none"/>
          <w:lang w:eastAsia="zh-CN"/>
        </w:rPr>
        <w:t>）实现效果</w:t>
      </w:r>
    </w:p>
    <w:p w14:paraId="5F5CF76A">
      <w:pPr>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highlight w:val="none"/>
          <w:lang w:val="en-US" w:eastAsia="zh-CN"/>
        </w:rPr>
      </w:pPr>
      <w:r>
        <w:rPr>
          <w:rFonts w:hint="eastAsia" w:ascii="Times New Roman" w:hAnsi="Times New Roman" w:cs="Times New Roman"/>
          <w:highlight w:val="none"/>
          <w:lang w:eastAsia="zh-CN"/>
        </w:rPr>
        <w:t>2025年</w:t>
      </w:r>
      <w:r>
        <w:rPr>
          <w:rFonts w:hint="eastAsia" w:ascii="Times New Roman" w:hAnsi="Times New Roman"/>
          <w:highlight w:val="none"/>
          <w:lang w:eastAsia="zh-CN"/>
        </w:rPr>
        <w:t>我局需进行绩效目标管理的部门预算阶段项目共有</w:t>
      </w:r>
      <w:r>
        <w:rPr>
          <w:rFonts w:hint="eastAsia" w:ascii="Times New Roman" w:hAnsi="Times New Roman"/>
          <w:highlight w:val="none"/>
          <w:lang w:val="en-US" w:eastAsia="zh-CN"/>
        </w:rPr>
        <w:t>51</w:t>
      </w:r>
      <w:r>
        <w:rPr>
          <w:rFonts w:hint="eastAsia" w:ascii="Times New Roman" w:hAnsi="Times New Roman"/>
          <w:highlight w:val="none"/>
          <w:lang w:eastAsia="zh-CN"/>
        </w:rPr>
        <w:t>个</w:t>
      </w:r>
      <w:r>
        <w:rPr>
          <w:rFonts w:hint="eastAsia" w:ascii="Times New Roman" w:hAnsi="Times New Roman"/>
          <w:highlight w:val="none"/>
          <w:lang w:val="en-US" w:eastAsia="zh-CN"/>
        </w:rPr>
        <w:t>，预期效益指标均已完成的项目个数为51个。</w:t>
      </w:r>
    </w:p>
    <w:p w14:paraId="593805C9">
      <w:pPr>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eastAsia="楷体_GB2312" w:cs="楷体_GB2312"/>
          <w:color w:val="000000"/>
          <w:kern w:val="0"/>
          <w:szCs w:val="32"/>
          <w:highlight w:val="none"/>
          <w:shd w:val="clear" w:color="auto" w:fill="FFFFFF"/>
          <w:lang w:val="zh-CN"/>
        </w:rPr>
      </w:pPr>
      <w:r>
        <w:rPr>
          <w:rFonts w:hint="default" w:ascii="Times New Roman" w:hAnsi="Times New Roman"/>
          <w:highlight w:val="none"/>
          <w:lang w:val="en-US" w:eastAsia="zh-CN"/>
        </w:rPr>
        <w:t>根据评分标准，该项指标不扣分，得3分</w:t>
      </w:r>
      <w:r>
        <w:rPr>
          <w:rFonts w:hint="eastAsia" w:ascii="Times New Roman" w:hAnsi="Times New Roman"/>
          <w:highlight w:val="none"/>
          <w:lang w:val="en-US" w:eastAsia="zh-CN"/>
        </w:rPr>
        <w:t>。</w:t>
      </w:r>
    </w:p>
    <w:p w14:paraId="546D4E55">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eastAsia="zh-CN"/>
        </w:rPr>
      </w:pPr>
      <w:r>
        <w:rPr>
          <w:rFonts w:hint="default" w:ascii="Times New Roman" w:hAnsi="Times New Roman" w:eastAsia="楷体_GB2312" w:cs="Times New Roman"/>
          <w:b/>
          <w:bCs/>
          <w:color w:val="000000"/>
          <w:kern w:val="0"/>
          <w:szCs w:val="32"/>
          <w:highlight w:val="none"/>
          <w:shd w:val="clear" w:color="auto" w:fill="FFFFFF"/>
          <w:lang w:val="zh-CN"/>
        </w:rPr>
        <w:t>（</w:t>
      </w:r>
      <w:r>
        <w:rPr>
          <w:rFonts w:hint="eastAsia" w:ascii="Times New Roman" w:hAnsi="Times New Roman" w:eastAsia="楷体_GB2312" w:cs="Times New Roman"/>
          <w:b/>
          <w:bCs/>
          <w:color w:val="000000"/>
          <w:kern w:val="0"/>
          <w:szCs w:val="32"/>
          <w:highlight w:val="none"/>
          <w:shd w:val="clear" w:color="auto" w:fill="FFFFFF"/>
          <w:lang w:val="zh-CN"/>
        </w:rPr>
        <w:t>三</w:t>
      </w:r>
      <w:r>
        <w:rPr>
          <w:rFonts w:hint="default" w:ascii="Times New Roman" w:hAnsi="Times New Roman" w:eastAsia="楷体_GB2312" w:cs="Times New Roman"/>
          <w:b/>
          <w:bCs/>
          <w:color w:val="000000"/>
          <w:kern w:val="0"/>
          <w:szCs w:val="32"/>
          <w:highlight w:val="none"/>
          <w:shd w:val="clear" w:color="auto" w:fill="FFFFFF"/>
          <w:lang w:val="zh-CN"/>
        </w:rPr>
        <w:t>）</w:t>
      </w:r>
      <w:r>
        <w:rPr>
          <w:rFonts w:hint="default" w:ascii="Times New Roman" w:hAnsi="Times New Roman" w:eastAsia="楷体_GB2312" w:cs="Times New Roman"/>
          <w:b/>
          <w:bCs/>
          <w:color w:val="000000"/>
          <w:kern w:val="0"/>
          <w:szCs w:val="32"/>
          <w:highlight w:val="none"/>
          <w:shd w:val="clear" w:color="auto" w:fill="FFFFFF"/>
          <w:lang w:val="zh-CN" w:eastAsia="zh-CN"/>
        </w:rPr>
        <w:t>重点领域</w:t>
      </w:r>
      <w:r>
        <w:rPr>
          <w:rFonts w:hint="default" w:ascii="Times New Roman" w:hAnsi="Times New Roman" w:eastAsia="楷体_GB2312" w:cs="Times New Roman"/>
          <w:b/>
          <w:bCs/>
          <w:color w:val="000000"/>
          <w:kern w:val="0"/>
          <w:szCs w:val="32"/>
          <w:highlight w:val="none"/>
          <w:shd w:val="clear" w:color="auto" w:fill="FFFFFF"/>
          <w:lang w:val="zh-CN"/>
        </w:rPr>
        <w:t>绩效分析</w:t>
      </w:r>
      <w:r>
        <w:rPr>
          <w:rFonts w:hint="default" w:ascii="Times New Roman" w:hAnsi="Times New Roman" w:eastAsia="楷体_GB2312" w:cs="Times New Roman"/>
          <w:b/>
          <w:bCs/>
          <w:color w:val="000000"/>
          <w:kern w:val="0"/>
          <w:szCs w:val="32"/>
          <w:highlight w:val="none"/>
          <w:shd w:val="clear" w:color="auto" w:fill="FFFFFF"/>
          <w:lang w:val="zh-CN" w:eastAsia="zh-CN"/>
        </w:rPr>
        <w:t>。</w:t>
      </w:r>
    </w:p>
    <w:p w14:paraId="396DDC08">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3" w:firstLineChars="200"/>
        <w:contextualSpacing/>
        <w:jc w:val="both"/>
        <w:textAlignment w:val="auto"/>
        <w:outlineLvl w:val="9"/>
        <w:rPr>
          <w:rFonts w:hint="eastAsia" w:ascii="Times New Roman" w:hAnsi="Times New Roman" w:cs="Times New Roman"/>
          <w:sz w:val="32"/>
          <w:szCs w:val="32"/>
          <w:highlight w:val="none"/>
          <w:u w:val="none"/>
          <w:lang w:eastAsia="zh-CN"/>
        </w:rPr>
      </w:pPr>
      <w:r>
        <w:rPr>
          <w:rFonts w:hint="default" w:ascii="Times New Roman" w:hAnsi="Times New Roman" w:eastAsia="楷体_GB2312" w:cs="Times New Roman Regular"/>
          <w:b/>
          <w:bCs/>
          <w:color w:val="000000"/>
          <w:kern w:val="0"/>
          <w:szCs w:val="32"/>
          <w:highlight w:val="none"/>
          <w:shd w:val="clear" w:color="auto" w:fill="FFFFFF"/>
          <w:lang w:val="en-US" w:eastAsia="zh-CN"/>
        </w:rPr>
        <w:t>行政事业性国有资产绩效分析。</w:t>
      </w:r>
    </w:p>
    <w:p w14:paraId="6FE7B656">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both"/>
        <w:textAlignment w:val="auto"/>
        <w:outlineLvl w:val="9"/>
        <w:rPr>
          <w:rFonts w:hint="default" w:ascii="Times New Roman" w:hAnsi="Times New Roman" w:eastAsia="楷体_GB2312" w:cs="Times New Roman Regular"/>
          <w:b/>
          <w:bCs/>
          <w:color w:val="000000"/>
          <w:kern w:val="0"/>
          <w:szCs w:val="32"/>
          <w:highlight w:val="none"/>
          <w:shd w:val="clear" w:color="auto" w:fill="FFFFFF"/>
          <w:lang w:val="en-US" w:eastAsia="zh-CN"/>
        </w:rPr>
      </w:pPr>
      <w:r>
        <w:rPr>
          <w:rFonts w:hint="eastAsia" w:ascii="Times New Roman" w:hAnsi="Times New Roman" w:cs="Times New Roman"/>
          <w:sz w:val="32"/>
          <w:szCs w:val="32"/>
          <w:highlight w:val="none"/>
          <w:u w:val="none"/>
          <w:lang w:eastAsia="zh-CN"/>
        </w:rPr>
        <w:t>2025年度，我局</w:t>
      </w:r>
      <w:r>
        <w:rPr>
          <w:rFonts w:hint="eastAsia" w:ascii="Times New Roman" w:hAnsi="Times New Roman" w:cs="Times New Roman"/>
          <w:sz w:val="32"/>
          <w:szCs w:val="32"/>
          <w:highlight w:val="none"/>
          <w:u w:val="none"/>
          <w:lang w:val="en-US" w:eastAsia="zh-CN"/>
        </w:rPr>
        <w:t>无资产配置预算，但</w:t>
      </w:r>
      <w:r>
        <w:rPr>
          <w:rFonts w:hint="eastAsia" w:ascii="Times New Roman" w:hAnsi="Times New Roman" w:cs="Times New Roman"/>
          <w:sz w:val="32"/>
          <w:szCs w:val="32"/>
          <w:highlight w:val="none"/>
          <w:u w:val="none"/>
          <w:lang w:eastAsia="zh-CN"/>
        </w:rPr>
        <w:t>严格按照</w:t>
      </w:r>
      <w:r>
        <w:rPr>
          <w:rFonts w:hint="eastAsia" w:ascii="Times New Roman" w:hAnsi="Times New Roman" w:cs="Times New Roman"/>
          <w:sz w:val="32"/>
          <w:szCs w:val="32"/>
          <w:highlight w:val="none"/>
          <w:u w:val="none"/>
          <w:lang w:val="en-US" w:eastAsia="zh-CN"/>
        </w:rPr>
        <w:t>相关文件</w:t>
      </w:r>
      <w:r>
        <w:rPr>
          <w:rFonts w:hint="eastAsia" w:ascii="Times New Roman" w:hAnsi="Times New Roman" w:cs="Times New Roman"/>
          <w:sz w:val="32"/>
          <w:szCs w:val="32"/>
          <w:highlight w:val="none"/>
          <w:u w:val="none"/>
          <w:lang w:eastAsia="zh-CN"/>
        </w:rPr>
        <w:t>要求，做好国有资产的清理盘点、统计报告及日常监督检查工作，2025年度国有资产基础管理、日常管理、效率管理等方面整体效益较好，有效保障了国有资产安全，提高了国有资产利用率</w:t>
      </w:r>
      <w:r>
        <w:rPr>
          <w:rFonts w:hint="default" w:ascii="Times New Roman" w:hAnsi="Times New Roman" w:eastAsia="仿宋_GB2312" w:cs="Times New Roman Regular"/>
          <w:b w:val="0"/>
          <w:bCs w:val="0"/>
          <w:color w:val="000000"/>
          <w:kern w:val="0"/>
          <w:szCs w:val="32"/>
          <w:highlight w:val="none"/>
          <w:shd w:val="clear" w:color="auto" w:fill="FFFFFF"/>
          <w:lang w:val="en-US" w:eastAsia="zh-CN"/>
        </w:rPr>
        <w:t>。</w:t>
      </w:r>
    </w:p>
    <w:p w14:paraId="4073FBE8">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default" w:ascii="Times New Roman" w:hAnsi="Times New Roman" w:cs="Times New Roman Regular"/>
          <w:highlight w:val="none"/>
          <w:lang w:val="en-US" w:eastAsia="zh-CN"/>
        </w:rPr>
      </w:pPr>
      <w:r>
        <w:rPr>
          <w:rFonts w:hint="default" w:ascii="Times New Roman" w:hAnsi="Times New Roman" w:eastAsia="楷体_GB2312" w:cs="Times New Roman Regular"/>
          <w:b/>
          <w:bCs/>
          <w:szCs w:val="32"/>
          <w:highlight w:val="none"/>
          <w:lang w:val="zh-CN"/>
        </w:rPr>
        <w:t>（四）绩效结果应用情况。</w:t>
      </w:r>
    </w:p>
    <w:p w14:paraId="090AC7D3">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hint="eastAsia" w:ascii="Times New Roman" w:hAnsi="Times New Roman" w:eastAsia="仿宋_GB2312" w:cs="仿宋_GB2312"/>
          <w:sz w:val="32"/>
          <w:szCs w:val="32"/>
          <w:highlight w:val="none"/>
          <w:lang w:eastAsia="zh-CN" w:bidi="ar"/>
        </w:rPr>
      </w:pPr>
      <w:r>
        <w:rPr>
          <w:rFonts w:hint="eastAsia" w:ascii="Times New Roman" w:hAnsi="Times New Roman" w:cs="Times New Roman Regular"/>
          <w:highlight w:val="none"/>
          <w:lang w:val="en-US" w:eastAsia="zh-CN"/>
        </w:rPr>
        <w:t>我局</w:t>
      </w:r>
      <w:r>
        <w:rPr>
          <w:rFonts w:hint="eastAsia" w:ascii="Times New Roman" w:hAnsi="Times New Roman" w:cs="Times New Roman"/>
          <w:color w:val="000000"/>
          <w:kern w:val="0"/>
          <w:szCs w:val="32"/>
          <w:highlight w:val="none"/>
          <w:shd w:val="clear" w:color="auto" w:fill="FFFFFF"/>
          <w:lang w:val="zh-CN" w:eastAsia="zh-CN"/>
        </w:rPr>
        <w:t>为进一步提高行政事业单位内部管理水平和风险防范能力，规范内部控制，加强廉政风险防控机制建设，我局在对预算、收支、政府采购、资产、建设项目、合同等各类经济业务活动流程梳理的基础上，明确业务环节，系统分析经济活动风险，确定风险点，选择应对策略，形成了内部控制制度</w:t>
      </w:r>
      <w:r>
        <w:rPr>
          <w:rFonts w:hint="eastAsia" w:ascii="Times New Roman" w:hAnsi="Times New Roman" w:cs="Times New Roman"/>
          <w:color w:val="000000"/>
          <w:kern w:val="0"/>
          <w:szCs w:val="32"/>
          <w:highlight w:val="none"/>
          <w:shd w:val="clear" w:color="auto" w:fill="FFFFFF"/>
          <w:lang w:val="en-US" w:eastAsia="zh-CN"/>
        </w:rPr>
        <w:t>手册</w:t>
      </w:r>
      <w:r>
        <w:rPr>
          <w:rFonts w:hint="eastAsia" w:ascii="Times New Roman" w:hAnsi="Times New Roman" w:cs="Times New Roman"/>
          <w:color w:val="000000"/>
          <w:kern w:val="0"/>
          <w:szCs w:val="32"/>
          <w:highlight w:val="none"/>
          <w:shd w:val="clear" w:color="auto" w:fill="FFFFFF"/>
          <w:lang w:val="zh-CN" w:eastAsia="zh-CN"/>
        </w:rPr>
        <w:t>，我局严格按照内控制度进行预算绩效管理，并按照相关要求将绩效信息随同</w:t>
      </w:r>
      <w:r>
        <w:rPr>
          <w:rFonts w:hint="eastAsia" w:ascii="Times New Roman" w:hAnsi="Times New Roman" w:cs="Times New Roman"/>
          <w:color w:val="000000"/>
          <w:kern w:val="0"/>
          <w:szCs w:val="32"/>
          <w:highlight w:val="none"/>
          <w:shd w:val="clear" w:color="auto" w:fill="FFFFFF"/>
          <w:lang w:val="en-US" w:eastAsia="zh-CN"/>
        </w:rPr>
        <w:t>预</w:t>
      </w:r>
      <w:r>
        <w:rPr>
          <w:rFonts w:hint="eastAsia" w:ascii="Times New Roman" w:hAnsi="Times New Roman" w:cs="Times New Roman"/>
          <w:color w:val="000000"/>
          <w:kern w:val="0"/>
          <w:szCs w:val="32"/>
          <w:highlight w:val="none"/>
          <w:shd w:val="clear" w:color="auto" w:fill="FFFFFF"/>
          <w:lang w:val="zh-CN" w:eastAsia="zh-CN"/>
        </w:rPr>
        <w:t>决算公开。</w:t>
      </w:r>
    </w:p>
    <w:p w14:paraId="271BDC1E">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contextualSpacing/>
        <w:jc w:val="left"/>
        <w:textAlignment w:val="auto"/>
        <w:outlineLvl w:val="0"/>
        <w:rPr>
          <w:rFonts w:hint="default" w:ascii="Times New Roman" w:hAnsi="Times New Roman" w:eastAsia="黑体" w:cs="Times New Roman"/>
          <w:color w:val="000000"/>
          <w:kern w:val="0"/>
          <w:szCs w:val="32"/>
          <w:highlight w:val="none"/>
          <w:shd w:val="clear" w:color="auto" w:fill="FFFFFF"/>
        </w:rPr>
      </w:pPr>
      <w:r>
        <w:rPr>
          <w:rFonts w:hint="default" w:ascii="Times New Roman" w:hAnsi="Times New Roman" w:eastAsia="黑体" w:cs="Times New Roman"/>
          <w:color w:val="000000"/>
          <w:kern w:val="0"/>
          <w:szCs w:val="32"/>
          <w:highlight w:val="none"/>
          <w:shd w:val="clear" w:color="auto" w:fill="FFFFFF"/>
          <w:lang w:eastAsia="zh-CN"/>
        </w:rPr>
        <w:t>四、</w:t>
      </w:r>
      <w:r>
        <w:rPr>
          <w:rFonts w:hint="default" w:ascii="Times New Roman" w:hAnsi="Times New Roman" w:eastAsia="黑体" w:cs="Times New Roman"/>
          <w:color w:val="000000"/>
          <w:kern w:val="0"/>
          <w:szCs w:val="32"/>
          <w:highlight w:val="none"/>
          <w:shd w:val="clear" w:color="auto" w:fill="FFFFFF"/>
        </w:rPr>
        <w:t>评价结论及建议</w:t>
      </w:r>
    </w:p>
    <w:p w14:paraId="60E1EEF1">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left"/>
        <w:textAlignment w:val="auto"/>
        <w:outlineLvl w:val="1"/>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bCs/>
          <w:color w:val="000000"/>
          <w:kern w:val="0"/>
          <w:szCs w:val="32"/>
          <w:highlight w:val="none"/>
          <w:shd w:val="clear" w:color="auto" w:fill="FFFFFF"/>
          <w:lang w:val="zh-CN"/>
        </w:rPr>
        <w:t>（一）评价结论。</w:t>
      </w:r>
    </w:p>
    <w:p w14:paraId="7D9DBB1A">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楷体_GB2312" w:cs="Times New Roman"/>
          <w:b/>
          <w:bCs/>
          <w:color w:val="000000"/>
          <w:kern w:val="0"/>
          <w:szCs w:val="32"/>
          <w:highlight w:val="none"/>
          <w:shd w:val="clear" w:color="auto" w:fill="FFFFFF"/>
          <w:lang w:val="en-US"/>
        </w:rPr>
      </w:pPr>
      <w:r>
        <w:rPr>
          <w:rFonts w:hint="eastAsia" w:ascii="Times New Roman" w:hAnsi="Times New Roman" w:cs="Times New Roman"/>
          <w:b w:val="0"/>
          <w:bCs w:val="0"/>
          <w:kern w:val="0"/>
          <w:position w:val="0"/>
          <w:sz w:val="32"/>
          <w:szCs w:val="32"/>
          <w:highlight w:val="none"/>
          <w:lang w:val="en-US" w:eastAsia="zh-CN" w:bidi="ar-SA"/>
        </w:rPr>
        <w:t>我局针对</w:t>
      </w:r>
      <w:r>
        <w:rPr>
          <w:rFonts w:hint="default" w:ascii="Times New Roman" w:hAnsi="Times New Roman" w:eastAsia="仿宋_GB2312" w:cs="Times New Roman"/>
          <w:b w:val="0"/>
          <w:bCs w:val="0"/>
          <w:kern w:val="0"/>
          <w:position w:val="0"/>
          <w:sz w:val="32"/>
          <w:szCs w:val="32"/>
          <w:highlight w:val="none"/>
          <w:lang w:val="en-US" w:eastAsia="zh-CN" w:bidi="ar-SA"/>
        </w:rPr>
        <w:t>本次财政预算绩效自评工作，严格按照《预算绩效评价共性指标体系框架》及相关财务管理规定，</w:t>
      </w:r>
      <w:r>
        <w:rPr>
          <w:rFonts w:hint="eastAsia" w:ascii="Times New Roman" w:hAnsi="Times New Roman" w:cs="Times New Roman"/>
          <w:b w:val="0"/>
          <w:bCs w:val="0"/>
          <w:kern w:val="0"/>
          <w:position w:val="0"/>
          <w:sz w:val="32"/>
          <w:szCs w:val="32"/>
          <w:highlight w:val="none"/>
          <w:lang w:val="en-US" w:eastAsia="zh-CN" w:bidi="ar-SA"/>
        </w:rPr>
        <w:t>结合我局2025年度工作开展情况及履职情况，</w:t>
      </w:r>
      <w:r>
        <w:rPr>
          <w:rFonts w:hint="default" w:ascii="Times New Roman" w:hAnsi="Times New Roman" w:eastAsia="仿宋_GB2312" w:cs="Times New Roman"/>
          <w:b w:val="0"/>
          <w:bCs w:val="0"/>
          <w:kern w:val="0"/>
          <w:position w:val="0"/>
          <w:sz w:val="32"/>
          <w:szCs w:val="32"/>
          <w:highlight w:val="none"/>
          <w:lang w:val="en-US" w:eastAsia="zh-CN" w:bidi="ar-SA"/>
        </w:rPr>
        <w:t>对</w:t>
      </w:r>
      <w:r>
        <w:rPr>
          <w:rFonts w:hint="eastAsia" w:ascii="Times New Roman" w:hAnsi="Times New Roman" w:cs="Times New Roman"/>
          <w:b w:val="0"/>
          <w:bCs w:val="0"/>
          <w:kern w:val="0"/>
          <w:position w:val="0"/>
          <w:sz w:val="32"/>
          <w:szCs w:val="32"/>
          <w:highlight w:val="none"/>
          <w:lang w:val="en-US" w:eastAsia="zh-CN" w:bidi="ar-SA"/>
        </w:rPr>
        <w:t>2025年度部门</w:t>
      </w:r>
      <w:r>
        <w:rPr>
          <w:rFonts w:hint="default" w:ascii="Times New Roman" w:hAnsi="Times New Roman" w:eastAsia="仿宋_GB2312" w:cs="Times New Roman"/>
          <w:b w:val="0"/>
          <w:bCs w:val="0"/>
          <w:kern w:val="0"/>
          <w:position w:val="0"/>
          <w:sz w:val="32"/>
          <w:szCs w:val="32"/>
          <w:highlight w:val="none"/>
          <w:lang w:val="en-US" w:eastAsia="zh-CN" w:bidi="ar-SA"/>
        </w:rPr>
        <w:t>预算资金的使用情况进行了全面、深入的分析和评价。经过自评，我们得出以下结论</w:t>
      </w:r>
      <w:r>
        <w:rPr>
          <w:rFonts w:hint="eastAsia" w:ascii="Times New Roman" w:hAnsi="Times New Roman" w:cs="Times New Roman"/>
          <w:b w:val="0"/>
          <w:bCs w:val="0"/>
          <w:kern w:val="0"/>
          <w:position w:val="0"/>
          <w:sz w:val="32"/>
          <w:szCs w:val="32"/>
          <w:highlight w:val="none"/>
          <w:lang w:val="en-US" w:eastAsia="zh-CN" w:bidi="ar-SA"/>
        </w:rPr>
        <w:t>：2025年度，我局</w:t>
      </w:r>
      <w:r>
        <w:rPr>
          <w:rFonts w:hint="eastAsia" w:ascii="Times New Roman" w:hAnsi="Times New Roman" w:cs="仿宋_GB2312"/>
          <w:b w:val="0"/>
          <w:bCs w:val="0"/>
          <w:kern w:val="0"/>
          <w:position w:val="0"/>
          <w:sz w:val="32"/>
          <w:szCs w:val="32"/>
          <w:highlight w:val="none"/>
          <w:lang w:val="en-US" w:eastAsia="zh-CN" w:bidi="ar-SA"/>
        </w:rPr>
        <w:t>切实履行了部门职责，部门预算管理、财务管理、资产管理和采购管理等规范有序，较好地完成了各项年度任务，部门预算支出使用效益达到预期，但我局在年度预算项目绩效指标编制方面，其个别指标设置质量相对不高，按照部门预算绩效评价指标体系中指标评分标准要求，</w:t>
      </w:r>
      <w:r>
        <w:rPr>
          <w:rFonts w:hint="eastAsia" w:ascii="Times New Roman" w:hAnsi="Times New Roman" w:cs="Times New Roman"/>
          <w:b w:val="0"/>
          <w:bCs w:val="0"/>
          <w:kern w:val="0"/>
          <w:position w:val="0"/>
          <w:sz w:val="32"/>
          <w:szCs w:val="32"/>
          <w:highlight w:val="none"/>
          <w:lang w:val="en-US" w:eastAsia="zh-CN" w:bidi="ar-SA"/>
        </w:rPr>
        <w:t>2025年</w:t>
      </w:r>
      <w:r>
        <w:rPr>
          <w:rFonts w:hint="eastAsia" w:ascii="Times New Roman" w:hAnsi="Times New Roman" w:cs="仿宋_GB2312"/>
          <w:b w:val="0"/>
          <w:bCs w:val="0"/>
          <w:kern w:val="0"/>
          <w:position w:val="0"/>
          <w:sz w:val="32"/>
          <w:szCs w:val="32"/>
          <w:highlight w:val="none"/>
          <w:lang w:val="en-US" w:eastAsia="zh-CN" w:bidi="ar-SA"/>
        </w:rPr>
        <w:t>我局</w:t>
      </w:r>
      <w:r>
        <w:rPr>
          <w:rFonts w:hint="eastAsia" w:ascii="Times New Roman" w:hAnsi="Times New Roman" w:eastAsia="仿宋_GB2312" w:cs="仿宋_GB2312"/>
          <w:b w:val="0"/>
          <w:bCs w:val="0"/>
          <w:kern w:val="0"/>
          <w:position w:val="0"/>
          <w:sz w:val="32"/>
          <w:szCs w:val="32"/>
          <w:highlight w:val="none"/>
          <w:lang w:val="en-US" w:eastAsia="zh-CN" w:bidi="ar-SA"/>
        </w:rPr>
        <w:t>部门预算绩效评价综合得</w:t>
      </w:r>
      <w:r>
        <w:rPr>
          <w:rFonts w:hint="eastAsia" w:ascii="Times New Roman" w:hAnsi="Times New Roman" w:cs="仿宋_GB2312"/>
          <w:b w:val="0"/>
          <w:bCs w:val="0"/>
          <w:kern w:val="0"/>
          <w:position w:val="0"/>
          <w:sz w:val="32"/>
          <w:szCs w:val="32"/>
          <w:highlight w:val="none"/>
          <w:lang w:val="en-US" w:eastAsia="zh-CN" w:bidi="ar-SA"/>
        </w:rPr>
        <w:t>分93.96分。</w:t>
      </w:r>
    </w:p>
    <w:p w14:paraId="2AB1ECE2">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left"/>
        <w:textAlignment w:val="auto"/>
        <w:outlineLvl w:val="1"/>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bCs/>
          <w:color w:val="000000"/>
          <w:kern w:val="0"/>
          <w:szCs w:val="32"/>
          <w:highlight w:val="none"/>
          <w:shd w:val="clear" w:color="auto" w:fill="FFFFFF"/>
          <w:lang w:val="zh-CN"/>
        </w:rPr>
        <w:t>（二）存在问题。</w:t>
      </w:r>
    </w:p>
    <w:p w14:paraId="6430860A">
      <w:pPr>
        <w:keepNext w:val="0"/>
        <w:keepLines w:val="0"/>
        <w:pageBreakBefore w:val="0"/>
        <w:widowControl w:val="0"/>
        <w:kinsoku/>
        <w:wordWrap/>
        <w:overflowPunct/>
        <w:topLinePunct w:val="0"/>
        <w:autoSpaceDE/>
        <w:autoSpaceDN/>
        <w:bidi w:val="0"/>
        <w:adjustRightInd/>
        <w:snapToGrid/>
        <w:spacing w:beforeLines="0" w:line="560" w:lineRule="exact"/>
        <w:ind w:firstLine="640" w:firstLineChars="200"/>
        <w:jc w:val="both"/>
        <w:textAlignment w:val="auto"/>
        <w:rPr>
          <w:rFonts w:hint="eastAsia" w:ascii="Times New Roman" w:hAnsi="Times New Roman" w:eastAsia="仿宋_GB2312" w:cs="Times New Roman"/>
          <w:color w:val="auto"/>
          <w:kern w:val="2"/>
          <w:sz w:val="32"/>
          <w:szCs w:val="32"/>
          <w:lang w:val="en-US" w:eastAsia="zh-CN" w:bidi="ar-SA"/>
        </w:rPr>
      </w:pPr>
      <w:bookmarkStart w:id="37" w:name="_Hlk110546638"/>
      <w:r>
        <w:rPr>
          <w:rFonts w:hint="eastAsia" w:ascii="Times New Roman" w:hAnsi="Times New Roman" w:eastAsia="仿宋_GB2312" w:cs="Times New Roman"/>
          <w:color w:val="auto"/>
          <w:kern w:val="2"/>
          <w:sz w:val="32"/>
          <w:szCs w:val="32"/>
          <w:lang w:val="en-US" w:eastAsia="zh-CN" w:bidi="ar-SA"/>
        </w:rPr>
        <w:t>一是资产基础信息管理不够规范。在对照资产卡片及相关原始资料开展自查工作时发现，部分资产卡片中配置标准等关键信息存在填写不完整、内容不准确、要素不齐全等问题，未能全面、真实、准确反映资产实际配置情况，一定程度上影响了资产核算与管理的规范性。</w:t>
      </w:r>
    </w:p>
    <w:p w14:paraId="11BC9D59">
      <w:pPr>
        <w:keepNext w:val="0"/>
        <w:keepLines w:val="0"/>
        <w:pageBreakBefore w:val="0"/>
        <w:widowControl w:val="0"/>
        <w:kinsoku/>
        <w:wordWrap/>
        <w:overflowPunct/>
        <w:topLinePunct w:val="0"/>
        <w:autoSpaceDE/>
        <w:autoSpaceDN/>
        <w:bidi w:val="0"/>
        <w:adjustRightInd/>
        <w:snapToGrid/>
        <w:spacing w:beforeLines="0" w:line="560" w:lineRule="exact"/>
        <w:ind w:firstLine="640" w:firstLineChars="200"/>
        <w:jc w:val="both"/>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二是资产管理信息化、智能化水平有待提升。目前资产管理仍以传统方式为主，尚未应用条形码、二维码、电子标签等信息化、智能化技术手段，未能实现对资产从购置、使用、处置到盘点的全生命周期动态管理，资产盘点效率、实时监管能力有待进一步提高。</w:t>
      </w:r>
    </w:p>
    <w:p w14:paraId="5459BE57">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left"/>
        <w:textAlignment w:val="auto"/>
        <w:outlineLvl w:val="1"/>
        <w:rPr>
          <w:rFonts w:hint="default" w:ascii="Times New Roman" w:hAnsi="Times New Roman" w:cs="仿宋_GB2312"/>
          <w:b w:val="0"/>
          <w:bCs w:val="0"/>
          <w:kern w:val="0"/>
          <w:position w:val="0"/>
          <w:sz w:val="32"/>
          <w:szCs w:val="32"/>
          <w:highlight w:val="none"/>
          <w:lang w:val="en-US" w:eastAsia="zh-CN" w:bidi="ar-SA"/>
        </w:rPr>
      </w:pPr>
      <w:r>
        <w:rPr>
          <w:rFonts w:hint="default" w:ascii="Times New Roman" w:hAnsi="Times New Roman" w:eastAsia="楷体_GB2312" w:cs="Times New Roman"/>
          <w:b/>
          <w:bCs/>
          <w:color w:val="000000"/>
          <w:kern w:val="0"/>
          <w:szCs w:val="32"/>
          <w:highlight w:val="none"/>
          <w:shd w:val="clear" w:color="auto" w:fill="FFFFFF"/>
          <w:lang w:val="zh-CN" w:eastAsia="zh-CN"/>
        </w:rPr>
        <w:t>（三）改进建议。</w:t>
      </w:r>
    </w:p>
    <w:p w14:paraId="44E74544">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cs="仿宋_GB2312"/>
          <w:b w:val="0"/>
          <w:bCs w:val="0"/>
          <w:kern w:val="0"/>
          <w:position w:val="0"/>
          <w:sz w:val="32"/>
          <w:szCs w:val="32"/>
          <w:highlight w:val="none"/>
          <w:lang w:val="en-US" w:eastAsia="zh-CN" w:bidi="ar-SA"/>
        </w:rPr>
      </w:pPr>
      <w:r>
        <w:rPr>
          <w:rFonts w:hint="eastAsia" w:ascii="Times New Roman" w:hAnsi="Times New Roman"/>
        </w:rPr>
        <w:t>后续将进一步规范资产卡片信息管理，严格按照资产配置标准及相关要求完善资产基础信息，确保信息完整准确、真实有效，同步健全资产信息审核机制；加快推进资产管理信息化建设，积极运用条形码、电子标签等现代化技术手段，实现资产全生命周期动态管理，提升资产管理规范化、精细化、智能化水平。</w:t>
      </w:r>
    </w:p>
    <w:p w14:paraId="3B27FF25">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cs="仿宋_GB2312"/>
          <w:b w:val="0"/>
          <w:bCs w:val="0"/>
          <w:kern w:val="0"/>
          <w:position w:val="0"/>
          <w:sz w:val="32"/>
          <w:szCs w:val="32"/>
          <w:highlight w:val="none"/>
          <w:lang w:val="en-US" w:eastAsia="zh-CN" w:bidi="ar-SA"/>
        </w:rPr>
      </w:pPr>
    </w:p>
    <w:bookmarkEnd w:id="37"/>
    <w:p w14:paraId="122E9750">
      <w:pPr>
        <w:spacing w:line="578" w:lineRule="exact"/>
        <w:ind w:firstLine="640" w:firstLineChars="200"/>
        <w:jc w:val="left"/>
        <w:rPr>
          <w:szCs w:val="32"/>
        </w:rPr>
      </w:pPr>
      <w:r>
        <w:rPr>
          <w:color w:val="000000"/>
          <w:kern w:val="0"/>
          <w:szCs w:val="32"/>
          <w:shd w:val="clear" w:color="auto" w:fill="FFFFFF"/>
        </w:rPr>
        <w:t>附表：</w:t>
      </w:r>
      <w:r>
        <w:rPr>
          <w:rFonts w:hint="eastAsia"/>
          <w:color w:val="000000"/>
          <w:kern w:val="0"/>
          <w:szCs w:val="32"/>
          <w:shd w:val="clear" w:color="auto" w:fill="FFFFFF"/>
        </w:rPr>
        <w:t>1.</w:t>
      </w:r>
      <w:r>
        <w:rPr>
          <w:rFonts w:hint="eastAsia"/>
          <w:szCs w:val="32"/>
        </w:rPr>
        <w:t>部门预算绩效自评打分表</w:t>
      </w:r>
    </w:p>
    <w:p w14:paraId="20B5697D">
      <w:pPr>
        <w:spacing w:line="578" w:lineRule="exact"/>
        <w:ind w:firstLine="1600" w:firstLineChars="500"/>
        <w:jc w:val="left"/>
        <w:rPr>
          <w:color w:val="000000"/>
          <w:kern w:val="0"/>
          <w:szCs w:val="32"/>
          <w:shd w:val="clear" w:color="auto" w:fill="FFFFFF"/>
        </w:rPr>
      </w:pPr>
      <w:r>
        <w:rPr>
          <w:rFonts w:hint="eastAsia"/>
          <w:szCs w:val="32"/>
        </w:rPr>
        <w:t>2.</w:t>
      </w:r>
      <w:r>
        <w:rPr>
          <w:color w:val="000000"/>
          <w:kern w:val="0"/>
          <w:szCs w:val="32"/>
          <w:shd w:val="clear" w:color="auto" w:fill="FFFFFF"/>
        </w:rPr>
        <w:t>部门整体</w:t>
      </w:r>
      <w:r>
        <w:rPr>
          <w:rFonts w:hint="eastAsia"/>
          <w:color w:val="000000"/>
          <w:kern w:val="0"/>
          <w:szCs w:val="32"/>
          <w:shd w:val="clear" w:color="auto" w:fill="FFFFFF"/>
        </w:rPr>
        <w:t>支出</w:t>
      </w:r>
      <w:r>
        <w:rPr>
          <w:color w:val="000000"/>
          <w:kern w:val="0"/>
          <w:szCs w:val="32"/>
          <w:shd w:val="clear" w:color="auto" w:fill="FFFFFF"/>
        </w:rPr>
        <w:t>绩效目标完成情况自评表</w:t>
      </w:r>
    </w:p>
    <w:p w14:paraId="188D8545">
      <w:pPr>
        <w:spacing w:line="578" w:lineRule="exact"/>
        <w:ind w:firstLine="1600" w:firstLineChars="500"/>
        <w:jc w:val="left"/>
        <w:rPr>
          <w:szCs w:val="32"/>
        </w:rPr>
      </w:pPr>
      <w:r>
        <w:rPr>
          <w:rFonts w:hint="eastAsia"/>
          <w:color w:val="000000"/>
          <w:kern w:val="0"/>
          <w:szCs w:val="32"/>
          <w:shd w:val="clear" w:color="auto" w:fill="FFFFFF"/>
        </w:rPr>
        <w:t>3.</w:t>
      </w:r>
      <w:r>
        <w:rPr>
          <w:szCs w:val="32"/>
        </w:rPr>
        <w:t>部门预算项目支出绩效评价表（202</w:t>
      </w:r>
      <w:r>
        <w:rPr>
          <w:rFonts w:hint="eastAsia"/>
          <w:szCs w:val="32"/>
        </w:rPr>
        <w:t>5</w:t>
      </w:r>
      <w:r>
        <w:rPr>
          <w:szCs w:val="32"/>
        </w:rPr>
        <w:t>年度）</w:t>
      </w:r>
    </w:p>
    <w:p w14:paraId="603A930E">
      <w:pPr>
        <w:spacing w:line="578" w:lineRule="exact"/>
        <w:jc w:val="left"/>
        <w:rPr>
          <w:rFonts w:eastAsia="黑体"/>
        </w:rPr>
      </w:pPr>
      <w:r>
        <w:rPr>
          <w:color w:val="000000"/>
          <w:kern w:val="0"/>
          <w:szCs w:val="32"/>
          <w:shd w:val="clear" w:color="auto" w:fill="FFFFFF"/>
        </w:rPr>
        <w:br w:type="page"/>
      </w:r>
      <w:r>
        <w:rPr>
          <w:rFonts w:eastAsia="黑体"/>
        </w:rPr>
        <w:t>附表</w:t>
      </w:r>
      <w:r>
        <w:rPr>
          <w:rFonts w:hint="eastAsia" w:eastAsia="黑体"/>
        </w:rPr>
        <w:t>1</w:t>
      </w:r>
    </w:p>
    <w:p w14:paraId="7CC92566">
      <w:pPr>
        <w:widowControl/>
        <w:spacing w:line="600" w:lineRule="exact"/>
        <w:jc w:val="center"/>
        <w:textAlignment w:val="center"/>
        <w:rPr>
          <w:rFonts w:eastAsia="方正小标宋简体"/>
          <w:color w:val="000000"/>
          <w:kern w:val="0"/>
          <w:sz w:val="44"/>
          <w:szCs w:val="44"/>
        </w:rPr>
      </w:pPr>
      <w:r>
        <w:rPr>
          <w:rFonts w:hint="eastAsia" w:eastAsia="方正小标宋简体"/>
          <w:color w:val="000000"/>
          <w:kern w:val="0"/>
          <w:sz w:val="44"/>
          <w:szCs w:val="44"/>
        </w:rPr>
        <w:t>部门预算绩效自评打分表</w:t>
      </w:r>
    </w:p>
    <w:tbl>
      <w:tblPr>
        <w:tblStyle w:val="23"/>
        <w:tblW w:w="10912" w:type="dxa"/>
        <w:jc w:val="center"/>
        <w:tblLayout w:type="fixed"/>
        <w:tblCellMar>
          <w:top w:w="0" w:type="dxa"/>
          <w:left w:w="108" w:type="dxa"/>
          <w:bottom w:w="0" w:type="dxa"/>
          <w:right w:w="108" w:type="dxa"/>
        </w:tblCellMar>
      </w:tblPr>
      <w:tblGrid>
        <w:gridCol w:w="1097"/>
        <w:gridCol w:w="1201"/>
        <w:gridCol w:w="1929"/>
        <w:gridCol w:w="717"/>
        <w:gridCol w:w="4760"/>
        <w:gridCol w:w="730"/>
        <w:gridCol w:w="478"/>
      </w:tblGrid>
      <w:tr w14:paraId="3139E7C7">
        <w:tblPrEx>
          <w:tblCellMar>
            <w:top w:w="0" w:type="dxa"/>
            <w:left w:w="108" w:type="dxa"/>
            <w:bottom w:w="0" w:type="dxa"/>
            <w:right w:w="108" w:type="dxa"/>
          </w:tblCellMar>
        </w:tblPrEx>
        <w:trPr>
          <w:trHeight w:val="23" w:hRule="atLeast"/>
          <w:jc w:val="center"/>
        </w:trPr>
        <w:tc>
          <w:tcPr>
            <w:tcW w:w="49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FDEB59B">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绩效评价</w:t>
            </w:r>
            <w:r>
              <w:rPr>
                <w:rFonts w:hint="eastAsia" w:ascii="宋体" w:hAnsi="宋体" w:eastAsia="宋体" w:cs="宋体"/>
                <w:b/>
                <w:color w:val="000000"/>
                <w:kern w:val="0"/>
                <w:sz w:val="24"/>
                <w:lang w:eastAsia="zh-CN"/>
              </w:rPr>
              <w:t>指标</w:t>
            </w:r>
            <w:r>
              <w:rPr>
                <w:rFonts w:hint="eastAsia" w:ascii="宋体" w:hAnsi="宋体" w:eastAsia="宋体" w:cs="宋体"/>
                <w:b/>
                <w:color w:val="000000"/>
                <w:kern w:val="0"/>
                <w:sz w:val="24"/>
              </w:rPr>
              <w:t>分值</w:t>
            </w:r>
          </w:p>
        </w:tc>
        <w:tc>
          <w:tcPr>
            <w:tcW w:w="47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A6ED09">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指标解释</w:t>
            </w:r>
          </w:p>
        </w:tc>
        <w:tc>
          <w:tcPr>
            <w:tcW w:w="730" w:type="dxa"/>
            <w:vMerge w:val="restart"/>
            <w:tcBorders>
              <w:top w:val="single" w:color="000000" w:sz="4" w:space="0"/>
              <w:left w:val="single" w:color="000000" w:sz="4" w:space="0"/>
              <w:right w:val="single" w:color="000000" w:sz="4" w:space="0"/>
            </w:tcBorders>
            <w:shd w:val="clear" w:color="auto" w:fill="auto"/>
            <w:vAlign w:val="center"/>
          </w:tcPr>
          <w:p w14:paraId="204ECD54">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自评得分</w:t>
            </w:r>
          </w:p>
        </w:tc>
        <w:tc>
          <w:tcPr>
            <w:tcW w:w="478" w:type="dxa"/>
            <w:vMerge w:val="restart"/>
            <w:tcBorders>
              <w:top w:val="single" w:color="000000" w:sz="4" w:space="0"/>
              <w:left w:val="single" w:color="000000" w:sz="4" w:space="0"/>
              <w:right w:val="single" w:color="000000" w:sz="4" w:space="0"/>
            </w:tcBorders>
            <w:shd w:val="clear" w:color="auto" w:fill="auto"/>
            <w:vAlign w:val="center"/>
          </w:tcPr>
          <w:p w14:paraId="69E20B18">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备注</w:t>
            </w:r>
          </w:p>
        </w:tc>
      </w:tr>
      <w:tr w14:paraId="4E3D01D3">
        <w:tblPrEx>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nil"/>
            </w:tcBorders>
            <w:shd w:val="clear" w:color="auto" w:fill="auto"/>
            <w:vAlign w:val="center"/>
          </w:tcPr>
          <w:p w14:paraId="6C3FD1EB">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一级指标</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DB70A">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二级指标</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A0CEF">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三级指标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60F80">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指标</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分值</w:t>
            </w:r>
          </w:p>
        </w:tc>
        <w:tc>
          <w:tcPr>
            <w:tcW w:w="4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894B2E">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730" w:type="dxa"/>
            <w:vMerge w:val="continue"/>
            <w:tcBorders>
              <w:left w:val="single" w:color="000000" w:sz="4" w:space="0"/>
              <w:bottom w:val="single" w:color="000000" w:sz="4" w:space="0"/>
              <w:right w:val="single" w:color="000000" w:sz="4" w:space="0"/>
            </w:tcBorders>
            <w:shd w:val="clear" w:color="auto" w:fill="auto"/>
            <w:vAlign w:val="center"/>
          </w:tcPr>
          <w:p w14:paraId="2EF230DC">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478" w:type="dxa"/>
            <w:vMerge w:val="continue"/>
            <w:tcBorders>
              <w:left w:val="single" w:color="000000" w:sz="4" w:space="0"/>
              <w:bottom w:val="single" w:color="000000" w:sz="4" w:space="0"/>
              <w:right w:val="single" w:color="000000" w:sz="4" w:space="0"/>
            </w:tcBorders>
            <w:shd w:val="clear" w:color="auto" w:fill="auto"/>
            <w:vAlign w:val="center"/>
          </w:tcPr>
          <w:p w14:paraId="5C5B2BC7">
            <w:pPr>
              <w:widowControl/>
              <w:spacing w:line="240" w:lineRule="exact"/>
              <w:ind w:firstLine="0" w:firstLineChars="0"/>
              <w:jc w:val="center"/>
              <w:textAlignment w:val="center"/>
              <w:rPr>
                <w:rFonts w:hint="eastAsia" w:ascii="宋体" w:hAnsi="宋体" w:eastAsia="宋体" w:cs="宋体"/>
                <w:b/>
                <w:color w:val="000000"/>
                <w:kern w:val="0"/>
                <w:sz w:val="24"/>
              </w:rPr>
            </w:pPr>
          </w:p>
        </w:tc>
      </w:tr>
      <w:tr w14:paraId="7A53BD78">
        <w:tblPrEx>
          <w:tblCellMar>
            <w:top w:w="0" w:type="dxa"/>
            <w:left w:w="108" w:type="dxa"/>
            <w:bottom w:w="0" w:type="dxa"/>
            <w:right w:w="108" w:type="dxa"/>
          </w:tblCellMar>
        </w:tblPrEx>
        <w:trPr>
          <w:trHeight w:val="23" w:hRule="atLeast"/>
          <w:jc w:val="center"/>
        </w:trPr>
        <w:tc>
          <w:tcPr>
            <w:tcW w:w="1097" w:type="dxa"/>
            <w:vMerge w:val="restart"/>
            <w:tcBorders>
              <w:top w:val="single" w:color="000000" w:sz="4" w:space="0"/>
              <w:left w:val="single" w:color="000000" w:sz="4" w:space="0"/>
              <w:right w:val="single" w:color="000000" w:sz="4" w:space="0"/>
            </w:tcBorders>
            <w:shd w:val="clear" w:color="auto" w:fill="auto"/>
            <w:vAlign w:val="center"/>
          </w:tcPr>
          <w:p w14:paraId="7AB1FBF0">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总体绩效（65分）</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FBE83">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履职效能</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（15分）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930AB">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XX履职效果</w:t>
            </w:r>
          </w:p>
        </w:tc>
        <w:tc>
          <w:tcPr>
            <w:tcW w:w="717" w:type="dxa"/>
            <w:tcBorders>
              <w:top w:val="nil"/>
              <w:left w:val="single" w:color="000000" w:sz="4" w:space="0"/>
              <w:bottom w:val="single" w:color="000000" w:sz="4" w:space="0"/>
              <w:right w:val="single" w:color="000000" w:sz="4" w:space="0"/>
            </w:tcBorders>
            <w:shd w:val="clear" w:color="auto" w:fill="auto"/>
            <w:vAlign w:val="center"/>
          </w:tcPr>
          <w:p w14:paraId="756C1DD4">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15</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C1AA2">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部门整体绩效目标中选定3</w:t>
            </w:r>
            <w:r>
              <w:rPr>
                <w:rFonts w:hint="eastAsia" w:ascii="宋体" w:hAnsi="宋体" w:eastAsia="宋体" w:cs="宋体"/>
                <w:color w:val="000000"/>
                <w:kern w:val="0"/>
                <w:sz w:val="24"/>
                <w:lang w:eastAsia="zh-CN"/>
              </w:rPr>
              <w:t>—</w:t>
            </w:r>
            <w:r>
              <w:rPr>
                <w:rFonts w:hint="eastAsia" w:ascii="宋体" w:hAnsi="宋体" w:eastAsia="宋体" w:cs="宋体"/>
                <w:color w:val="000000"/>
                <w:kern w:val="0"/>
                <w:sz w:val="24"/>
              </w:rPr>
              <w:t>5个核心职能目标，反映该项职能目标完成效果情况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B3547">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F30C4">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7C69CE4E">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63A29477">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restart"/>
            <w:tcBorders>
              <w:top w:val="single" w:color="000000" w:sz="4" w:space="0"/>
              <w:left w:val="single" w:color="000000" w:sz="4" w:space="0"/>
              <w:right w:val="single" w:color="000000" w:sz="4" w:space="0"/>
            </w:tcBorders>
            <w:shd w:val="clear" w:color="auto" w:fill="auto"/>
            <w:vAlign w:val="center"/>
          </w:tcPr>
          <w:p w14:paraId="6DEC53EC">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预算管理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（25分）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49DD1">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预算编制质量</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384DA">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8</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BE8E2">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部门是否严格按要求编制年初部门预算，年初预算编制的科学性和准确性</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F1D7E">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4.85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2B4D6">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626B0F73">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1FB6FE77">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continue"/>
            <w:tcBorders>
              <w:left w:val="single" w:color="000000" w:sz="4" w:space="0"/>
              <w:right w:val="single" w:color="000000" w:sz="4" w:space="0"/>
            </w:tcBorders>
            <w:shd w:val="clear" w:color="auto" w:fill="auto"/>
            <w:vAlign w:val="center"/>
          </w:tcPr>
          <w:p w14:paraId="3DAB5E5B">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19858">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单位收入统筹</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B49B8">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7249C">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部门统筹自有收入努力程度</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81AFF">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9DBCA">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131ED0C8">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62F260C1">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continue"/>
            <w:tcBorders>
              <w:left w:val="single" w:color="000000" w:sz="4" w:space="0"/>
              <w:right w:val="single" w:color="000000" w:sz="4" w:space="0"/>
            </w:tcBorders>
            <w:shd w:val="clear" w:color="auto" w:fill="auto"/>
            <w:vAlign w:val="center"/>
          </w:tcPr>
          <w:p w14:paraId="7035BCE2">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6022B">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支出执行管理</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4A80E">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6</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5F9BA">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部门1至6月、1至10月预算执行情况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EBABA">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6</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2DABB">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0BD0E943">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191A1579">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continue"/>
            <w:tcBorders>
              <w:left w:val="single" w:color="000000" w:sz="4" w:space="0"/>
              <w:right w:val="single" w:color="000000" w:sz="4" w:space="0"/>
            </w:tcBorders>
            <w:shd w:val="clear" w:color="auto" w:fill="auto"/>
            <w:vAlign w:val="center"/>
          </w:tcPr>
          <w:p w14:paraId="6C6528E7">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90538">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预算年终结余</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C8F6B">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2</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144F5">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部门整体年终预算结余情况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A2F32">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8409B">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40A4F4CC">
        <w:tblPrEx>
          <w:tblCellMar>
            <w:top w:w="0" w:type="dxa"/>
            <w:left w:w="108" w:type="dxa"/>
            <w:bottom w:w="0" w:type="dxa"/>
            <w:right w:w="108" w:type="dxa"/>
          </w:tblCellMar>
        </w:tblPrEx>
        <w:trPr>
          <w:trHeight w:val="743" w:hRule="atLeast"/>
          <w:jc w:val="center"/>
        </w:trPr>
        <w:tc>
          <w:tcPr>
            <w:tcW w:w="1097" w:type="dxa"/>
            <w:vMerge w:val="continue"/>
            <w:tcBorders>
              <w:left w:val="single" w:color="000000" w:sz="4" w:space="0"/>
              <w:right w:val="single" w:color="000000" w:sz="4" w:space="0"/>
            </w:tcBorders>
            <w:shd w:val="clear" w:color="auto" w:fill="auto"/>
            <w:vAlign w:val="center"/>
          </w:tcPr>
          <w:p w14:paraId="47ABCFD4">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continue"/>
            <w:tcBorders>
              <w:left w:val="single" w:color="000000" w:sz="4" w:space="0"/>
              <w:right w:val="single" w:color="000000" w:sz="4" w:space="0"/>
            </w:tcBorders>
            <w:shd w:val="clear" w:color="auto" w:fill="auto"/>
            <w:vAlign w:val="center"/>
          </w:tcPr>
          <w:p w14:paraId="44FD8374">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81AE1">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严控一般性支出</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A0085">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5</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DF905">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部门严控“三公”经费、会议、培训、差旅、办节办展、办公设备购置、信息化建设和运维、课题经费、竞赛活动、规划编</w:t>
            </w:r>
            <w:r>
              <w:rPr>
                <w:rFonts w:hint="eastAsia" w:ascii="宋体" w:hAnsi="宋体" w:eastAsia="宋体" w:cs="宋体"/>
                <w:color w:val="000000"/>
                <w:kern w:val="0"/>
                <w:sz w:val="24"/>
                <w:lang w:eastAsia="zh-CN"/>
              </w:rPr>
              <w:t>制等</w:t>
            </w:r>
            <w:r>
              <w:rPr>
                <w:rFonts w:hint="eastAsia" w:ascii="宋体" w:hAnsi="宋体" w:eastAsia="宋体" w:cs="宋体"/>
                <w:color w:val="000000"/>
                <w:kern w:val="0"/>
                <w:sz w:val="24"/>
              </w:rPr>
              <w:t>一般性支出情况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8ACED">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4.11</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FD80F">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2F242F46">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0495B6E8">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C52457">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财务管理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（10分）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70E75">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财务管理制度</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83DB5">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77A56">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部门财务管理制度建立情况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980C2">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433F8">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2F994A15">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76685C57">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8F4C74">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5085B">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财务岗位设置</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40BD3">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2</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8AF71">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部门财务岗位设置是否符合相关财务管理制度要求</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CD727">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1AF3A">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2A56CAE7">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055A5BDC">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08D3C9">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E9C3D">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资金使用规范</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B8B21">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362C2">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部门资金使用是否符合相关财务管理制度规定</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39E69">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CEAF5">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1DD7846C">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5E7263D3">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E34411">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资产管理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（9分）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5C06D">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人均资产变化率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FC817">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9E6F7">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部门人均资产变化情况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CCEB9">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A13CE">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3FB4C987">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30F554B3">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7D88D9">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FB0CF">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资产利用率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27348">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B7C9D">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部门资产超最低使用年限情况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7A90B">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3BE17">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53811D3D">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1A2CF0A7">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18818">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资产管理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（9分）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792FD">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资产盘活率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7765E">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2E294">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部门闲置一年以上的资产盘活情况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1237A">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154E7">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20C66CC7">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4FE800F9">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8745EB">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采购管理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（6分）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F77A3">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支持中小企业发展</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62B6C">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157E8">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部门是否严格执行政府采购促进中小企业发展相关管理办法</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AB2DE">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72726">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73ABD807">
        <w:tblPrEx>
          <w:tblCellMar>
            <w:top w:w="0" w:type="dxa"/>
            <w:left w:w="108" w:type="dxa"/>
            <w:bottom w:w="0" w:type="dxa"/>
            <w:right w:w="108" w:type="dxa"/>
          </w:tblCellMar>
        </w:tblPrEx>
        <w:trPr>
          <w:trHeight w:val="176" w:hRule="atLeast"/>
          <w:jc w:val="center"/>
        </w:trPr>
        <w:tc>
          <w:tcPr>
            <w:tcW w:w="1097" w:type="dxa"/>
            <w:vMerge w:val="continue"/>
            <w:tcBorders>
              <w:left w:val="single" w:color="000000" w:sz="4" w:space="0"/>
              <w:bottom w:val="single" w:color="000000" w:sz="4" w:space="0"/>
              <w:right w:val="single" w:color="000000" w:sz="4" w:space="0"/>
            </w:tcBorders>
            <w:shd w:val="clear" w:color="auto" w:fill="auto"/>
            <w:vAlign w:val="center"/>
          </w:tcPr>
          <w:p w14:paraId="2E9B1E06">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E9BE9B">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8D6D1">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采购执行率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5BF63">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6B49B">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部门政府采购项目资金支付比例情况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16F82">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74FCD">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7C86ED9C">
        <w:tblPrEx>
          <w:tblCellMar>
            <w:top w:w="0" w:type="dxa"/>
            <w:left w:w="108" w:type="dxa"/>
            <w:bottom w:w="0" w:type="dxa"/>
            <w:right w:w="108" w:type="dxa"/>
          </w:tblCellMar>
        </w:tblPrEx>
        <w:trPr>
          <w:trHeight w:val="23" w:hRule="atLeast"/>
          <w:jc w:val="center"/>
        </w:trPr>
        <w:tc>
          <w:tcPr>
            <w:tcW w:w="1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B1E2F3">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项目绩效（35分）</w:t>
            </w:r>
          </w:p>
        </w:tc>
        <w:tc>
          <w:tcPr>
            <w:tcW w:w="1201" w:type="dxa"/>
            <w:vMerge w:val="restart"/>
            <w:tcBorders>
              <w:top w:val="single" w:color="000000" w:sz="4" w:space="0"/>
              <w:left w:val="single" w:color="000000" w:sz="4" w:space="0"/>
              <w:bottom w:val="nil"/>
              <w:right w:val="single" w:color="000000" w:sz="4" w:space="0"/>
            </w:tcBorders>
            <w:shd w:val="clear" w:color="auto" w:fill="auto"/>
            <w:vAlign w:val="center"/>
          </w:tcPr>
          <w:p w14:paraId="0C567549">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项目决策</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（12分）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32A14">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决策程序</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BF35B">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B6A10">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部门预算项目设立是否按规定履行评估论证、申报程序</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A8A26">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2C6E1">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59882D83">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D3A7BB">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16AC0766">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7A479">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目标设置</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A3FD3">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545BF">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部门预算项目绩效目标与计划期内的任务量、预算安排的资金量匹配情况，绩效目标设置是否科学合理、规范完整、量化细化、预算匹配</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BFC2D">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39F3C">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5412A98E">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84DAFE">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752F7B59">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F16A9">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项目入库</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79BB4">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A9175">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部门预算项目是否在规定时</w:t>
            </w:r>
            <w:r>
              <w:rPr>
                <w:rFonts w:hint="eastAsia" w:ascii="宋体" w:hAnsi="宋体" w:eastAsia="宋体" w:cs="宋体"/>
                <w:color w:val="000000"/>
                <w:kern w:val="0"/>
                <w:sz w:val="24"/>
                <w:lang w:eastAsia="zh-CN"/>
              </w:rPr>
              <w:t>间内</w:t>
            </w:r>
            <w:r>
              <w:rPr>
                <w:rFonts w:hint="eastAsia" w:ascii="宋体" w:hAnsi="宋体" w:eastAsia="宋体" w:cs="宋体"/>
                <w:color w:val="000000"/>
                <w:kern w:val="0"/>
                <w:sz w:val="24"/>
              </w:rPr>
              <w:t>完成项目入库</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7C88D">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F654A">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1FC11723">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4A3BB6">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restart"/>
            <w:tcBorders>
              <w:top w:val="single" w:color="000000" w:sz="4" w:space="0"/>
              <w:left w:val="single" w:color="000000" w:sz="4" w:space="0"/>
              <w:bottom w:val="nil"/>
              <w:right w:val="single" w:color="000000" w:sz="4" w:space="0"/>
            </w:tcBorders>
            <w:shd w:val="clear" w:color="auto" w:fill="auto"/>
            <w:vAlign w:val="center"/>
          </w:tcPr>
          <w:p w14:paraId="692B5D15">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项目执行</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（12分）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6BF26">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执行同向</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5035D">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CE356">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部门预算项目实际列支内容是否与绩效目标设置方向相符</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79EE5">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9DA0A">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7DFED515">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C3E469">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19565072">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929" w:type="dxa"/>
            <w:tcBorders>
              <w:top w:val="single" w:color="000000" w:sz="4" w:space="0"/>
              <w:left w:val="single" w:color="000000" w:sz="4" w:space="0"/>
              <w:bottom w:val="nil"/>
              <w:right w:val="single" w:color="000000" w:sz="4" w:space="0"/>
            </w:tcBorders>
            <w:shd w:val="clear" w:color="auto" w:fill="auto"/>
            <w:vAlign w:val="center"/>
          </w:tcPr>
          <w:p w14:paraId="2E554EB8">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项目调整</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09F05">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DC457">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部门预算项目是否采取对应调整措施</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1964D">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370EA">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30F143ED">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37A6DC">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2E383B12">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70BA3">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执行结果</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A2641">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92A27">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部门预算项目预算执行情况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DBD17">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22895">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53C3471F">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695744">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943D03">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目标实现</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（11分）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547AF">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目标完成</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64D86">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059BE">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部门预算项目绩效目标数量指标完成情况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A7DF7">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A4D43">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05F0CD1C">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D87960">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61AB19">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7663F">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目标偏离</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2AF75">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33ABE">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部门预算项目绩效目标数量指标实现程度与预期目标的偏离情况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2CE30">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A2779">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34FB3CFE">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82E7FD">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45F955">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67E0C">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实现效果</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893B7">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D832B">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部门预算项目绩效目标效益指标实施效果</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95C70">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D81E8">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29708D0A">
        <w:tblPrEx>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31F4F">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扣分项</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（10分）</w:t>
            </w:r>
          </w:p>
        </w:tc>
        <w:tc>
          <w:tcPr>
            <w:tcW w:w="31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972887">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被评价部门配合度</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3B107">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AF7B0">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被评价对象工作配合情况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737DB">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EA181">
            <w:pPr>
              <w:widowControl/>
              <w:spacing w:line="240" w:lineRule="exact"/>
              <w:ind w:firstLine="0" w:firstLineChars="0"/>
              <w:jc w:val="center"/>
              <w:textAlignment w:val="center"/>
              <w:rPr>
                <w:rFonts w:hint="eastAsia" w:ascii="宋体" w:hAnsi="宋体" w:eastAsia="宋体" w:cs="宋体"/>
                <w:color w:val="000000"/>
                <w:kern w:val="0"/>
                <w:sz w:val="24"/>
              </w:rPr>
            </w:pPr>
          </w:p>
        </w:tc>
      </w:tr>
    </w:tbl>
    <w:p w14:paraId="3580418C">
      <w:pPr>
        <w:pStyle w:val="30"/>
        <w:spacing w:line="20" w:lineRule="exact"/>
      </w:pPr>
    </w:p>
    <w:p w14:paraId="3742B34B">
      <w:pPr>
        <w:spacing w:line="578" w:lineRule="exact"/>
        <w:jc w:val="left"/>
        <w:rPr>
          <w:rFonts w:eastAsia="黑体"/>
        </w:rPr>
      </w:pPr>
      <w:r>
        <w:rPr>
          <w:rFonts w:eastAsia="黑体"/>
        </w:rPr>
        <w:t>附表</w:t>
      </w:r>
      <w:r>
        <w:rPr>
          <w:rFonts w:hint="eastAsia" w:eastAsia="黑体"/>
        </w:rPr>
        <w:t>2</w:t>
      </w:r>
    </w:p>
    <w:p w14:paraId="16F1A229">
      <w:pPr>
        <w:widowControl/>
        <w:spacing w:line="578" w:lineRule="exact"/>
        <w:jc w:val="center"/>
        <w:textAlignment w:val="center"/>
        <w:rPr>
          <w:rFonts w:eastAsia="方正小标宋简体"/>
          <w:color w:val="000000"/>
          <w:kern w:val="0"/>
          <w:sz w:val="44"/>
          <w:szCs w:val="44"/>
        </w:rPr>
      </w:pPr>
      <w:r>
        <w:rPr>
          <w:rFonts w:eastAsia="方正小标宋简体"/>
          <w:color w:val="000000"/>
          <w:kern w:val="0"/>
          <w:sz w:val="44"/>
          <w:szCs w:val="44"/>
        </w:rPr>
        <w:t>部门整体</w:t>
      </w:r>
      <w:r>
        <w:rPr>
          <w:rFonts w:hint="eastAsia" w:eastAsia="方正小标宋简体"/>
          <w:color w:val="000000"/>
          <w:kern w:val="0"/>
          <w:sz w:val="44"/>
          <w:szCs w:val="44"/>
        </w:rPr>
        <w:t>支出</w:t>
      </w:r>
      <w:r>
        <w:rPr>
          <w:rFonts w:eastAsia="方正小标宋简体"/>
          <w:color w:val="000000"/>
          <w:kern w:val="0"/>
          <w:sz w:val="44"/>
          <w:szCs w:val="44"/>
        </w:rPr>
        <w:t>绩效目标完成情况自评表</w:t>
      </w:r>
    </w:p>
    <w:tbl>
      <w:tblPr>
        <w:tblStyle w:val="23"/>
        <w:tblW w:w="9658" w:type="dxa"/>
        <w:jc w:val="center"/>
        <w:tblLayout w:type="fixed"/>
        <w:tblCellMar>
          <w:top w:w="0" w:type="dxa"/>
          <w:left w:w="108" w:type="dxa"/>
          <w:bottom w:w="0" w:type="dxa"/>
          <w:right w:w="108" w:type="dxa"/>
        </w:tblCellMar>
      </w:tblPr>
      <w:tblGrid>
        <w:gridCol w:w="331"/>
        <w:gridCol w:w="593"/>
        <w:gridCol w:w="803"/>
        <w:gridCol w:w="1246"/>
        <w:gridCol w:w="803"/>
        <w:gridCol w:w="777"/>
        <w:gridCol w:w="1018"/>
        <w:gridCol w:w="1045"/>
        <w:gridCol w:w="1111"/>
        <w:gridCol w:w="1931"/>
      </w:tblGrid>
      <w:tr w14:paraId="0F3DE85C">
        <w:tblPrEx>
          <w:tblCellMar>
            <w:top w:w="0" w:type="dxa"/>
            <w:left w:w="108" w:type="dxa"/>
            <w:bottom w:w="0" w:type="dxa"/>
            <w:right w:w="108" w:type="dxa"/>
          </w:tblCellMar>
        </w:tblPrEx>
        <w:trPr>
          <w:trHeight w:val="465" w:hRule="atLeast"/>
          <w:jc w:val="center"/>
        </w:trPr>
        <w:tc>
          <w:tcPr>
            <w:tcW w:w="1727" w:type="dxa"/>
            <w:gridSpan w:val="3"/>
            <w:tcBorders>
              <w:top w:val="single" w:color="000000" w:sz="4" w:space="0"/>
              <w:left w:val="single" w:color="000000" w:sz="4" w:space="0"/>
              <w:bottom w:val="single" w:color="auto" w:sz="4" w:space="0"/>
              <w:right w:val="single" w:color="000000" w:sz="4" w:space="0"/>
            </w:tcBorders>
            <w:noWrap/>
            <w:vAlign w:val="center"/>
          </w:tcPr>
          <w:p w14:paraId="4673CB59">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br w:type="page"/>
            </w:r>
            <w:r>
              <w:rPr>
                <w:rFonts w:hint="eastAsia" w:ascii="宋体" w:hAnsi="宋体" w:eastAsia="宋体" w:cs="宋体"/>
                <w:color w:val="000000"/>
                <w:kern w:val="0"/>
                <w:sz w:val="24"/>
              </w:rPr>
              <w:t>部门名称</w:t>
            </w:r>
          </w:p>
        </w:tc>
        <w:tc>
          <w:tcPr>
            <w:tcW w:w="7931" w:type="dxa"/>
            <w:gridSpan w:val="7"/>
            <w:tcBorders>
              <w:top w:val="single" w:color="000000" w:sz="4" w:space="0"/>
              <w:left w:val="single" w:color="000000" w:sz="4" w:space="0"/>
              <w:bottom w:val="single" w:color="000000" w:sz="4" w:space="0"/>
              <w:right w:val="single" w:color="000000" w:sz="4" w:space="0"/>
            </w:tcBorders>
            <w:noWrap/>
            <w:vAlign w:val="center"/>
          </w:tcPr>
          <w:p w14:paraId="383B302F">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default" w:ascii="宋体" w:hAnsi="宋体" w:eastAsia="宋体" w:cs="宋体"/>
                <w:color w:val="000000"/>
                <w:kern w:val="0"/>
                <w:sz w:val="24"/>
                <w:lang w:val="en-US" w:eastAsia="zh-CN"/>
              </w:rPr>
              <w:t>阿坝藏族羌族自治州</w:t>
            </w:r>
            <w:r>
              <w:rPr>
                <w:rFonts w:hint="eastAsia" w:ascii="宋体" w:hAnsi="宋体" w:eastAsia="宋体" w:cs="宋体"/>
                <w:color w:val="000000"/>
                <w:kern w:val="0"/>
                <w:sz w:val="24"/>
                <w:lang w:val="en-US" w:eastAsia="zh-CN"/>
              </w:rPr>
              <w:t>市场监督管理局</w:t>
            </w:r>
          </w:p>
        </w:tc>
      </w:tr>
      <w:tr w14:paraId="68280013">
        <w:tblPrEx>
          <w:tblCellMar>
            <w:top w:w="0" w:type="dxa"/>
            <w:left w:w="108" w:type="dxa"/>
            <w:bottom w:w="0" w:type="dxa"/>
            <w:right w:w="108" w:type="dxa"/>
          </w:tblCellMar>
        </w:tblPrEx>
        <w:trPr>
          <w:trHeight w:val="239"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44B71947">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年度部门整体预算</w:t>
            </w:r>
          </w:p>
        </w:tc>
        <w:tc>
          <w:tcPr>
            <w:tcW w:w="2049" w:type="dxa"/>
            <w:gridSpan w:val="2"/>
            <w:tcBorders>
              <w:top w:val="single" w:color="000000" w:sz="4" w:space="0"/>
              <w:left w:val="single" w:color="auto" w:sz="4" w:space="0"/>
              <w:bottom w:val="single" w:color="000000" w:sz="4" w:space="0"/>
              <w:right w:val="single" w:color="auto" w:sz="4" w:space="0"/>
            </w:tcBorders>
            <w:noWrap/>
            <w:vAlign w:val="center"/>
          </w:tcPr>
          <w:p w14:paraId="555AC078">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资金总额</w:t>
            </w:r>
          </w:p>
        </w:tc>
        <w:tc>
          <w:tcPr>
            <w:tcW w:w="1795" w:type="dxa"/>
            <w:gridSpan w:val="2"/>
            <w:tcBorders>
              <w:top w:val="single" w:color="auto" w:sz="4" w:space="0"/>
              <w:left w:val="single" w:color="auto" w:sz="4" w:space="0"/>
              <w:bottom w:val="single" w:color="auto" w:sz="4" w:space="0"/>
              <w:right w:val="single" w:color="auto" w:sz="4" w:space="0"/>
            </w:tcBorders>
            <w:noWrap/>
            <w:vAlign w:val="center"/>
          </w:tcPr>
          <w:p w14:paraId="6C53B0CA">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财政拨款</w:t>
            </w:r>
          </w:p>
        </w:tc>
        <w:tc>
          <w:tcPr>
            <w:tcW w:w="4087" w:type="dxa"/>
            <w:gridSpan w:val="3"/>
            <w:tcBorders>
              <w:top w:val="single" w:color="auto" w:sz="4" w:space="0"/>
              <w:left w:val="single" w:color="auto" w:sz="4" w:space="0"/>
              <w:bottom w:val="single" w:color="auto" w:sz="4" w:space="0"/>
              <w:right w:val="single" w:color="auto" w:sz="4" w:space="0"/>
            </w:tcBorders>
            <w:noWrap/>
            <w:vAlign w:val="center"/>
          </w:tcPr>
          <w:p w14:paraId="4D0FA457">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其他资金</w:t>
            </w:r>
          </w:p>
        </w:tc>
      </w:tr>
      <w:tr w14:paraId="4A3B586B">
        <w:tblPrEx>
          <w:tblCellMar>
            <w:top w:w="0" w:type="dxa"/>
            <w:left w:w="108" w:type="dxa"/>
            <w:bottom w:w="0" w:type="dxa"/>
            <w:right w:w="108" w:type="dxa"/>
          </w:tblCellMar>
        </w:tblPrEx>
        <w:trPr>
          <w:trHeight w:val="239"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7EC30AA1">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收入预算</w:t>
            </w:r>
          </w:p>
        </w:tc>
        <w:tc>
          <w:tcPr>
            <w:tcW w:w="2049" w:type="dxa"/>
            <w:gridSpan w:val="2"/>
            <w:tcBorders>
              <w:top w:val="single" w:color="000000" w:sz="4" w:space="0"/>
              <w:left w:val="single" w:color="auto" w:sz="4" w:space="0"/>
              <w:bottom w:val="single" w:color="000000" w:sz="4" w:space="0"/>
              <w:right w:val="single" w:color="auto" w:sz="4" w:space="0"/>
            </w:tcBorders>
            <w:noWrap/>
            <w:vAlign w:val="center"/>
          </w:tcPr>
          <w:p w14:paraId="65C82FD7">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0.00</w:t>
            </w:r>
          </w:p>
        </w:tc>
        <w:tc>
          <w:tcPr>
            <w:tcW w:w="1795" w:type="dxa"/>
            <w:gridSpan w:val="2"/>
            <w:tcBorders>
              <w:top w:val="single" w:color="auto" w:sz="4" w:space="0"/>
              <w:left w:val="single" w:color="auto" w:sz="4" w:space="0"/>
              <w:bottom w:val="single" w:color="auto" w:sz="4" w:space="0"/>
              <w:right w:val="single" w:color="auto" w:sz="4" w:space="0"/>
            </w:tcBorders>
            <w:noWrap/>
            <w:vAlign w:val="center"/>
          </w:tcPr>
          <w:p w14:paraId="0800BFF0">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0.00</w:t>
            </w:r>
          </w:p>
        </w:tc>
        <w:tc>
          <w:tcPr>
            <w:tcW w:w="4087" w:type="dxa"/>
            <w:gridSpan w:val="3"/>
            <w:tcBorders>
              <w:top w:val="single" w:color="auto" w:sz="4" w:space="0"/>
              <w:left w:val="single" w:color="auto" w:sz="4" w:space="0"/>
              <w:bottom w:val="single" w:color="auto" w:sz="4" w:space="0"/>
              <w:right w:val="single" w:color="auto" w:sz="4" w:space="0"/>
            </w:tcBorders>
            <w:noWrap/>
            <w:vAlign w:val="center"/>
          </w:tcPr>
          <w:p w14:paraId="647237B0">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r>
      <w:tr w14:paraId="432A003F">
        <w:tblPrEx>
          <w:tblCellMar>
            <w:top w:w="0" w:type="dxa"/>
            <w:left w:w="108" w:type="dxa"/>
            <w:bottom w:w="0" w:type="dxa"/>
            <w:right w:w="108" w:type="dxa"/>
          </w:tblCellMar>
        </w:tblPrEx>
        <w:trPr>
          <w:trHeight w:val="331"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6E3E54D2">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支出预算</w:t>
            </w:r>
          </w:p>
        </w:tc>
        <w:tc>
          <w:tcPr>
            <w:tcW w:w="2049" w:type="dxa"/>
            <w:gridSpan w:val="2"/>
            <w:tcBorders>
              <w:top w:val="single" w:color="000000" w:sz="4" w:space="0"/>
              <w:left w:val="single" w:color="auto" w:sz="4" w:space="0"/>
              <w:bottom w:val="single" w:color="000000" w:sz="4" w:space="0"/>
              <w:right w:val="single" w:color="000000" w:sz="4" w:space="0"/>
            </w:tcBorders>
            <w:noWrap/>
            <w:vAlign w:val="center"/>
          </w:tcPr>
          <w:p w14:paraId="1B2CE3D2">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5,707.66</w:t>
            </w:r>
          </w:p>
        </w:tc>
        <w:tc>
          <w:tcPr>
            <w:tcW w:w="1795" w:type="dxa"/>
            <w:gridSpan w:val="2"/>
            <w:tcBorders>
              <w:top w:val="single" w:color="auto" w:sz="4" w:space="0"/>
              <w:left w:val="single" w:color="000000" w:sz="4" w:space="0"/>
              <w:bottom w:val="single" w:color="000000" w:sz="4" w:space="0"/>
              <w:right w:val="single" w:color="000000" w:sz="4" w:space="0"/>
            </w:tcBorders>
            <w:noWrap/>
            <w:vAlign w:val="center"/>
          </w:tcPr>
          <w:p w14:paraId="54C10D1B">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5,707.66</w:t>
            </w:r>
          </w:p>
        </w:tc>
        <w:tc>
          <w:tcPr>
            <w:tcW w:w="4087" w:type="dxa"/>
            <w:gridSpan w:val="3"/>
            <w:tcBorders>
              <w:top w:val="single" w:color="auto" w:sz="4" w:space="0"/>
              <w:left w:val="single" w:color="000000" w:sz="4" w:space="0"/>
              <w:bottom w:val="single" w:color="000000" w:sz="4" w:space="0"/>
              <w:right w:val="single" w:color="000000" w:sz="4" w:space="0"/>
            </w:tcBorders>
            <w:noWrap/>
            <w:vAlign w:val="center"/>
          </w:tcPr>
          <w:p w14:paraId="0FB2FA8D">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r>
      <w:tr w14:paraId="04B409AF">
        <w:tblPrEx>
          <w:tblCellMar>
            <w:top w:w="0" w:type="dxa"/>
            <w:left w:w="108" w:type="dxa"/>
            <w:bottom w:w="0" w:type="dxa"/>
            <w:right w:w="108" w:type="dxa"/>
          </w:tblCellMar>
        </w:tblPrEx>
        <w:trPr>
          <w:trHeight w:val="296" w:hRule="atLeast"/>
          <w:jc w:val="center"/>
        </w:trPr>
        <w:tc>
          <w:tcPr>
            <w:tcW w:w="1727" w:type="dxa"/>
            <w:gridSpan w:val="3"/>
            <w:tcBorders>
              <w:top w:val="single" w:color="auto" w:sz="4" w:space="0"/>
              <w:left w:val="single" w:color="000000" w:sz="4" w:space="0"/>
              <w:bottom w:val="single" w:color="000000" w:sz="4" w:space="0"/>
              <w:right w:val="single" w:color="000000" w:sz="4" w:space="0"/>
            </w:tcBorders>
            <w:noWrap/>
            <w:vAlign w:val="center"/>
          </w:tcPr>
          <w:p w14:paraId="342A2916">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年度总体目标</w:t>
            </w:r>
          </w:p>
        </w:tc>
        <w:tc>
          <w:tcPr>
            <w:tcW w:w="7931" w:type="dxa"/>
            <w:gridSpan w:val="7"/>
            <w:tcBorders>
              <w:top w:val="single" w:color="000000" w:sz="4" w:space="0"/>
              <w:left w:val="single" w:color="000000" w:sz="4" w:space="0"/>
              <w:bottom w:val="single" w:color="000000" w:sz="4" w:space="0"/>
              <w:right w:val="single" w:color="000000" w:sz="4" w:space="0"/>
            </w:tcBorders>
            <w:noWrap/>
            <w:vAlign w:val="center"/>
          </w:tcPr>
          <w:p w14:paraId="2F4C55E6">
            <w:pPr>
              <w:widowControl/>
              <w:spacing w:line="240" w:lineRule="exact"/>
              <w:ind w:firstLine="0" w:firstLineChars="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一是全力以赴保安全。立足严的主基调，始终把保安全作为工作的重中之重，压实安全责任，织密安全网络，持续深化“三品一特”隐患排查治理，深入开展燃气安全专项整治，抓实抓好“三品一特”安全工作，确保全年全域不发生系统性、区域性安全事件，开展食品抽检1200批次、流通领域商品质量抽检400批次、获证企业工业产品监督抽查30批次。二是千方百计稳主体。持续深化简政放权、放管结合、优化服务，促进市场主体活力不断增强。深入开展助企纾困系列政策宣讲，推动各项政策直达快享、应享尽享。全力推进“个转企”换挡提速，确保“个转企”工作在“质和量”上实现新突破。三是用心用情惠民生。全力抓好旅游市场监管、农贸市场规范建设、商品监督抽检、“阳光厨房”数字监管项目建设、驻村帮扶等民生工作，不断擦亮各族群众、各方游客幸福底色。持续推进诚信计量专项整治行动，加强公平竞争审查工作，推进医疗领域腐败问题专项整治。组织好州县消委会换届工作。四是动真碰硬严监管。针对重点领域和关键环节加大监管执法力度，严厉打击扰乱市场秩序、侵害消费者权益等违法行为，深化“长江禁捕、打非断链”、市场领域扫黑除恶，让监管利剑出鞘、让违法者付出代价，维护公平竞争有序市场环境。五是多措并举增动能。围绕加快构建“三地共建、五业同优”产业新布局，聚焦“6+N”高原特色农牧业产业新体系，全力</w:t>
            </w:r>
            <w:r>
              <w:rPr>
                <w:rFonts w:hint="eastAsia" w:ascii="宋体" w:hAnsi="宋体" w:eastAsia="宋体" w:cs="宋体"/>
                <w:color w:val="000000"/>
                <w:kern w:val="0"/>
                <w:sz w:val="24"/>
                <w:lang w:eastAsia="zh-CN"/>
              </w:rPr>
              <w:t>推进</w:t>
            </w:r>
            <w:r>
              <w:rPr>
                <w:rFonts w:hint="eastAsia" w:ascii="宋体" w:hAnsi="宋体" w:eastAsia="宋体" w:cs="宋体"/>
                <w:color w:val="000000"/>
                <w:kern w:val="0"/>
                <w:sz w:val="24"/>
              </w:rPr>
              <w:t>“质量强州”建设，不断强化“熊猫家园·净土阿坝”品牌培育，持续推进知识产权高标准保护。建立部门财务制度，财务岗位设置部门资金使用、符合相关财务制度。</w:t>
            </w:r>
          </w:p>
        </w:tc>
      </w:tr>
      <w:tr w14:paraId="1D743171">
        <w:tblPrEx>
          <w:tblCellMar>
            <w:top w:w="0" w:type="dxa"/>
            <w:left w:w="108" w:type="dxa"/>
            <w:bottom w:w="0" w:type="dxa"/>
            <w:right w:w="108" w:type="dxa"/>
          </w:tblCellMar>
        </w:tblPrEx>
        <w:trPr>
          <w:trHeight w:val="296" w:hRule="atLeast"/>
          <w:jc w:val="center"/>
        </w:trPr>
        <w:tc>
          <w:tcPr>
            <w:tcW w:w="331" w:type="dxa"/>
            <w:vMerge w:val="restart"/>
            <w:tcBorders>
              <w:top w:val="single" w:color="000000" w:sz="4" w:space="0"/>
              <w:left w:val="single" w:color="000000" w:sz="4" w:space="0"/>
              <w:bottom w:val="single" w:color="000000" w:sz="4" w:space="0"/>
              <w:right w:val="single" w:color="000000" w:sz="4" w:space="0"/>
            </w:tcBorders>
            <w:noWrap/>
            <w:vAlign w:val="center"/>
          </w:tcPr>
          <w:p w14:paraId="2B78C4B4">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管理效率</w:t>
            </w: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14:paraId="4657B515">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一级指标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14:paraId="7C267A6D">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二级指标</w:t>
            </w:r>
          </w:p>
        </w:tc>
        <w:tc>
          <w:tcPr>
            <w:tcW w:w="1246" w:type="dxa"/>
            <w:vMerge w:val="restart"/>
            <w:tcBorders>
              <w:top w:val="single" w:color="000000" w:sz="4" w:space="0"/>
              <w:left w:val="single" w:color="000000" w:sz="4" w:space="0"/>
              <w:bottom w:val="single" w:color="000000" w:sz="4" w:space="0"/>
              <w:right w:val="single" w:color="000000" w:sz="4" w:space="0"/>
            </w:tcBorders>
            <w:noWrap/>
            <w:vAlign w:val="center"/>
          </w:tcPr>
          <w:p w14:paraId="2F89970C">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三级指标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14:paraId="438CE416">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指标值</w:t>
            </w:r>
          </w:p>
        </w:tc>
        <w:tc>
          <w:tcPr>
            <w:tcW w:w="3951" w:type="dxa"/>
            <w:gridSpan w:val="4"/>
            <w:tcBorders>
              <w:top w:val="single" w:color="000000" w:sz="4" w:space="0"/>
              <w:left w:val="single" w:color="000000" w:sz="4" w:space="0"/>
              <w:bottom w:val="single" w:color="000000" w:sz="4" w:space="0"/>
              <w:right w:val="single" w:color="000000" w:sz="4" w:space="0"/>
            </w:tcBorders>
            <w:noWrap/>
            <w:vAlign w:val="center"/>
          </w:tcPr>
          <w:p w14:paraId="5EB4791C">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指标设置参考值</w:t>
            </w:r>
          </w:p>
        </w:tc>
        <w:tc>
          <w:tcPr>
            <w:tcW w:w="1931" w:type="dxa"/>
            <w:vMerge w:val="restart"/>
            <w:tcBorders>
              <w:top w:val="single" w:color="000000" w:sz="4" w:space="0"/>
              <w:left w:val="single" w:color="000000" w:sz="4" w:space="0"/>
              <w:right w:val="single" w:color="000000" w:sz="4" w:space="0"/>
            </w:tcBorders>
            <w:noWrap/>
            <w:vAlign w:val="center"/>
          </w:tcPr>
          <w:p w14:paraId="24FDBA56">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指标实际完成值</w:t>
            </w:r>
          </w:p>
        </w:tc>
      </w:tr>
      <w:tr w14:paraId="7044A651">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07686535">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2CD320CC">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378DB252">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1246" w:type="dxa"/>
            <w:vMerge w:val="continue"/>
            <w:tcBorders>
              <w:top w:val="single" w:color="000000" w:sz="4" w:space="0"/>
              <w:left w:val="single" w:color="000000" w:sz="4" w:space="0"/>
              <w:bottom w:val="single" w:color="000000" w:sz="4" w:space="0"/>
              <w:right w:val="single" w:color="000000" w:sz="4" w:space="0"/>
            </w:tcBorders>
            <w:noWrap/>
            <w:vAlign w:val="center"/>
          </w:tcPr>
          <w:p w14:paraId="7044481A">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20BE3944">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777" w:type="dxa"/>
            <w:tcBorders>
              <w:top w:val="single" w:color="000000" w:sz="4" w:space="0"/>
              <w:left w:val="single" w:color="000000" w:sz="4" w:space="0"/>
              <w:right w:val="single" w:color="000000" w:sz="4" w:space="0"/>
            </w:tcBorders>
            <w:noWrap/>
            <w:vAlign w:val="center"/>
          </w:tcPr>
          <w:p w14:paraId="2013680D">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三年</w:t>
            </w:r>
          </w:p>
          <w:p w14:paraId="7ED02B03">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均值</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705AA196">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202</w:t>
            </w:r>
            <w:r>
              <w:rPr>
                <w:rFonts w:hint="eastAsia" w:ascii="宋体" w:hAnsi="宋体" w:eastAsia="宋体" w:cs="宋体"/>
                <w:color w:val="000000"/>
                <w:kern w:val="0"/>
                <w:sz w:val="24"/>
                <w:lang w:val="en-US" w:eastAsia="zh-CN"/>
              </w:rPr>
              <w:t>2</w:t>
            </w:r>
            <w:r>
              <w:rPr>
                <w:rFonts w:hint="eastAsia" w:ascii="宋体" w:hAnsi="宋体" w:eastAsia="宋体" w:cs="宋体"/>
                <w:color w:val="000000"/>
                <w:kern w:val="0"/>
                <w:sz w:val="24"/>
              </w:rPr>
              <w:t>年</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755A25CD">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202</w:t>
            </w:r>
            <w:r>
              <w:rPr>
                <w:rFonts w:hint="eastAsia" w:ascii="宋体" w:hAnsi="宋体" w:eastAsia="宋体" w:cs="宋体"/>
                <w:color w:val="000000"/>
                <w:kern w:val="0"/>
                <w:sz w:val="24"/>
                <w:lang w:val="en-US" w:eastAsia="zh-CN"/>
              </w:rPr>
              <w:t>3</w:t>
            </w:r>
            <w:r>
              <w:rPr>
                <w:rFonts w:hint="eastAsia" w:ascii="宋体" w:hAnsi="宋体" w:eastAsia="宋体" w:cs="宋体"/>
                <w:color w:val="000000"/>
                <w:kern w:val="0"/>
                <w:sz w:val="24"/>
              </w:rPr>
              <w:t>年</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21F16CBB">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202</w:t>
            </w:r>
            <w:r>
              <w:rPr>
                <w:rFonts w:hint="eastAsia" w:ascii="宋体" w:hAnsi="宋体" w:eastAsia="宋体" w:cs="宋体"/>
                <w:color w:val="000000"/>
                <w:kern w:val="0"/>
                <w:sz w:val="24"/>
                <w:lang w:val="en-US" w:eastAsia="zh-CN"/>
              </w:rPr>
              <w:t>4</w:t>
            </w:r>
            <w:r>
              <w:rPr>
                <w:rFonts w:hint="eastAsia" w:ascii="宋体" w:hAnsi="宋体" w:eastAsia="宋体" w:cs="宋体"/>
                <w:color w:val="000000"/>
                <w:kern w:val="0"/>
                <w:sz w:val="24"/>
              </w:rPr>
              <w:t>年</w:t>
            </w:r>
          </w:p>
        </w:tc>
        <w:tc>
          <w:tcPr>
            <w:tcW w:w="1931" w:type="dxa"/>
            <w:vMerge w:val="continue"/>
            <w:tcBorders>
              <w:left w:val="single" w:color="000000" w:sz="4" w:space="0"/>
              <w:right w:val="single" w:color="000000" w:sz="4" w:space="0"/>
            </w:tcBorders>
            <w:noWrap/>
            <w:vAlign w:val="center"/>
          </w:tcPr>
          <w:p w14:paraId="16D88586">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720BB46E">
        <w:tblPrEx>
          <w:tblCellMar>
            <w:top w:w="0" w:type="dxa"/>
            <w:left w:w="108" w:type="dxa"/>
            <w:bottom w:w="0" w:type="dxa"/>
            <w:right w:w="108" w:type="dxa"/>
          </w:tblCellMar>
        </w:tblPrEx>
        <w:trPr>
          <w:trHeight w:val="641"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441CFB08">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14:paraId="2F93D29F">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成本指标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14:paraId="75D74CE1">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预算管理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716EC4E1">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财政拨款预算编制偏离度</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777423E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13.6%</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72A1262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13.60%</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39D9659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39.26%</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4E93E15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17.21%</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777AE3D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-15.67%</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0B22DA60">
            <w:pPr>
              <w:widowControl/>
              <w:spacing w:line="240" w:lineRule="exact"/>
              <w:ind w:firstLine="0" w:firstLineChars="0"/>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18.84%</w:t>
            </w:r>
          </w:p>
        </w:tc>
      </w:tr>
      <w:tr w14:paraId="40B9B774">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0EA0D8E1">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2C383C3B">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1AA61118">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408E5584">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单位收入统筹度</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0F9AE83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97%</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068E938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96.80%</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2A597AB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97.7%</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01A0FFF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99.4%</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4A37C96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93.31%</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62F4DBA5">
            <w:pPr>
              <w:widowControl/>
              <w:spacing w:line="240" w:lineRule="exact"/>
              <w:ind w:firstLine="0" w:firstLineChars="0"/>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r>
      <w:tr w14:paraId="1688F2D1">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4C8A3D1D">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6379C811">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5C652B06">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6CA522C7">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预算年终结余率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06142D9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6B514AD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4.15%</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431F8B8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2.26%</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37DA1CC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2.51%</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158802D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7.69%</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5B6954D3">
            <w:pPr>
              <w:widowControl/>
              <w:spacing w:line="240" w:lineRule="exact"/>
              <w:ind w:firstLine="0" w:firstLineChars="0"/>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r>
      <w:tr w14:paraId="511C1C83">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78B6C0F5">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6FBE51EE">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23A65B23">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760831BB">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一般性支出金额</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35D0A38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671.3万元</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587AD90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671.33万元</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760D44D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67287D8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002CD75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671.33万元</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6C3C6FAE">
            <w:pPr>
              <w:widowControl/>
              <w:spacing w:line="240" w:lineRule="exact"/>
              <w:ind w:firstLine="0" w:firstLineChars="0"/>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315.39万元</w:t>
            </w:r>
          </w:p>
        </w:tc>
      </w:tr>
      <w:tr w14:paraId="4761D1D7">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3ED8A69D">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3BEA85AB">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147A0DD4">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财务管理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4D58FFCC">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财务管理规范</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2AFDF00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优</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465AD39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268E619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1829063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61609C16">
            <w:pPr>
              <w:widowControl/>
              <w:spacing w:line="240" w:lineRule="exact"/>
              <w:ind w:firstLine="0" w:firstLineChars="0"/>
              <w:jc w:val="left"/>
              <w:textAlignment w:val="center"/>
              <w:rPr>
                <w:rFonts w:hint="default" w:ascii="宋体" w:hAnsi="宋体" w:eastAsia="宋体" w:cs="宋体"/>
                <w:color w:val="000000"/>
                <w:kern w:val="0"/>
                <w:sz w:val="24"/>
                <w:lang w:val="en-US" w:eastAsia="zh-CN"/>
              </w:rPr>
            </w:pP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7D29700B">
            <w:pPr>
              <w:widowControl/>
              <w:spacing w:line="240" w:lineRule="exact"/>
              <w:ind w:firstLine="0" w:firstLineChars="0"/>
              <w:jc w:val="left"/>
              <w:textAlignment w:val="center"/>
              <w:rPr>
                <w:rFonts w:hint="default" w:ascii="宋体" w:hAnsi="宋体" w:eastAsia="宋体" w:cs="宋体"/>
                <w:color w:val="000000"/>
                <w:kern w:val="0"/>
                <w:sz w:val="24"/>
                <w:lang w:val="en-US" w:eastAsia="zh-CN"/>
              </w:rPr>
            </w:pPr>
          </w:p>
        </w:tc>
      </w:tr>
      <w:tr w14:paraId="0EF759CB">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7FD71668">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10088728">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0D5D0408">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资产管理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5F7B65C4">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资产配置预算偏离度</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7C3AC27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0.1%</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008DD14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0.10%</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61AEE76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0.1%</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393B659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0.1%</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7A5D28A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0.1%</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5801E075">
            <w:pPr>
              <w:widowControl/>
              <w:spacing w:line="240" w:lineRule="exact"/>
              <w:ind w:firstLine="0" w:firstLineChars="0"/>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r>
      <w:tr w14:paraId="4E50BF09">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6405CB14">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44461F61">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6551923D">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采购管理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1ED9DA0A">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采购执行率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68DF75B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79D796C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89.27%</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2FBD0D8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95.89%</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5FBC01D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87.62%</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3B0CF42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84.31%</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027F58D0">
            <w:pPr>
              <w:widowControl/>
              <w:spacing w:line="240" w:lineRule="exact"/>
              <w:ind w:firstLine="0" w:firstLineChars="0"/>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20.01%</w:t>
            </w:r>
          </w:p>
        </w:tc>
      </w:tr>
      <w:tr w14:paraId="20FF1DEE">
        <w:tblPrEx>
          <w:tblCellMar>
            <w:top w:w="0" w:type="dxa"/>
            <w:left w:w="108" w:type="dxa"/>
            <w:bottom w:w="0" w:type="dxa"/>
            <w:right w:w="108" w:type="dxa"/>
          </w:tblCellMar>
        </w:tblPrEx>
        <w:trPr>
          <w:trHeight w:val="468" w:hRule="atLeast"/>
          <w:jc w:val="center"/>
        </w:trPr>
        <w:tc>
          <w:tcPr>
            <w:tcW w:w="331" w:type="dxa"/>
            <w:vMerge w:val="restart"/>
            <w:tcBorders>
              <w:top w:val="single" w:color="000000" w:sz="4" w:space="0"/>
              <w:left w:val="single" w:color="000000" w:sz="4" w:space="0"/>
              <w:right w:val="single" w:color="000000" w:sz="4" w:space="0"/>
            </w:tcBorders>
            <w:noWrap/>
            <w:vAlign w:val="center"/>
          </w:tcPr>
          <w:p w14:paraId="75932177">
            <w:pPr>
              <w:widowControl/>
              <w:spacing w:line="240" w:lineRule="exact"/>
              <w:ind w:firstLine="0" w:firstLineChars="0"/>
              <w:jc w:val="both"/>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履职效能</w:t>
            </w: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60F23D50">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一级指标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0150484A">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二级指标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5BFF37BE">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三级指标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575E39EF">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指标值（包含数字及文字描述）</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47EC693E">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4E1B0F59">
        <w:tblPrEx>
          <w:tblCellMar>
            <w:top w:w="0" w:type="dxa"/>
            <w:left w:w="108" w:type="dxa"/>
            <w:bottom w:w="0" w:type="dxa"/>
            <w:right w:w="108" w:type="dxa"/>
          </w:tblCellMar>
        </w:tblPrEx>
        <w:trPr>
          <w:trHeight w:val="296" w:hRule="atLeast"/>
          <w:jc w:val="center"/>
        </w:trPr>
        <w:tc>
          <w:tcPr>
            <w:tcW w:w="331" w:type="dxa"/>
            <w:vMerge w:val="continue"/>
            <w:tcBorders>
              <w:left w:val="single" w:color="000000" w:sz="4" w:space="0"/>
              <w:right w:val="single" w:color="000000" w:sz="4" w:space="0"/>
            </w:tcBorders>
            <w:noWrap/>
            <w:vAlign w:val="center"/>
          </w:tcPr>
          <w:p w14:paraId="3A152529">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134B83F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18E766A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时效指标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362AE94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食品抽检及时率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76876E7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53481">
            <w:pPr>
              <w:widowControl/>
              <w:spacing w:line="240" w:lineRule="exact"/>
              <w:ind w:firstLine="0" w:firstLineChars="0"/>
              <w:jc w:val="left"/>
              <w:textAlignment w:val="center"/>
              <w:rPr>
                <w:rFonts w:hint="default"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lang w:val="en-US" w:eastAsia="zh-CN"/>
              </w:rPr>
              <w:t>90%</w:t>
            </w:r>
          </w:p>
        </w:tc>
      </w:tr>
      <w:tr w14:paraId="1E3E2D25">
        <w:tblPrEx>
          <w:tblCellMar>
            <w:top w:w="0" w:type="dxa"/>
            <w:left w:w="108" w:type="dxa"/>
            <w:bottom w:w="0" w:type="dxa"/>
            <w:right w:w="108" w:type="dxa"/>
          </w:tblCellMar>
        </w:tblPrEx>
        <w:trPr>
          <w:trHeight w:val="296" w:hRule="atLeast"/>
          <w:jc w:val="center"/>
        </w:trPr>
        <w:tc>
          <w:tcPr>
            <w:tcW w:w="331" w:type="dxa"/>
            <w:vMerge w:val="continue"/>
            <w:tcBorders>
              <w:left w:val="single" w:color="000000" w:sz="4" w:space="0"/>
              <w:right w:val="single" w:color="000000" w:sz="4" w:space="0"/>
            </w:tcBorders>
            <w:noWrap/>
            <w:vAlign w:val="center"/>
          </w:tcPr>
          <w:p w14:paraId="37555F42">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0DB60A6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1349CEB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6977E55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食品抽检批次</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123078F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≥1200批次</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7B513">
            <w:pPr>
              <w:widowControl/>
              <w:spacing w:line="240" w:lineRule="exact"/>
              <w:ind w:firstLine="0" w:firstLineChars="0"/>
              <w:jc w:val="left"/>
              <w:textAlignment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lang w:val="en-US" w:eastAsia="zh-CN"/>
              </w:rPr>
              <w:t>1200批次</w:t>
            </w:r>
          </w:p>
        </w:tc>
      </w:tr>
      <w:tr w14:paraId="4A3606F3">
        <w:tblPrEx>
          <w:tblCellMar>
            <w:top w:w="0" w:type="dxa"/>
            <w:left w:w="108" w:type="dxa"/>
            <w:bottom w:w="0" w:type="dxa"/>
            <w:right w:w="108" w:type="dxa"/>
          </w:tblCellMar>
        </w:tblPrEx>
        <w:trPr>
          <w:trHeight w:val="296" w:hRule="atLeast"/>
          <w:jc w:val="center"/>
        </w:trPr>
        <w:tc>
          <w:tcPr>
            <w:tcW w:w="331" w:type="dxa"/>
            <w:vMerge w:val="continue"/>
            <w:tcBorders>
              <w:left w:val="single" w:color="000000" w:sz="4" w:space="0"/>
              <w:right w:val="single" w:color="000000" w:sz="4" w:space="0"/>
            </w:tcBorders>
            <w:noWrap/>
            <w:vAlign w:val="center"/>
          </w:tcPr>
          <w:p w14:paraId="6377C3BD">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4588ADA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663D1EE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2F14614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流通领域商品质量抽检（批次）</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4BB024E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≥400批次</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1A9EF">
            <w:pPr>
              <w:widowControl/>
              <w:spacing w:line="240" w:lineRule="exact"/>
              <w:ind w:firstLine="0" w:firstLineChars="0"/>
              <w:jc w:val="left"/>
              <w:textAlignment w:val="center"/>
              <w:rPr>
                <w:rFonts w:hint="default"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lang w:val="en-US" w:eastAsia="zh-CN"/>
              </w:rPr>
              <w:t>400批次</w:t>
            </w:r>
          </w:p>
        </w:tc>
      </w:tr>
      <w:tr w14:paraId="5F5600F3">
        <w:tblPrEx>
          <w:tblCellMar>
            <w:top w:w="0" w:type="dxa"/>
            <w:left w:w="108" w:type="dxa"/>
            <w:bottom w:w="0" w:type="dxa"/>
            <w:right w:w="108" w:type="dxa"/>
          </w:tblCellMar>
        </w:tblPrEx>
        <w:trPr>
          <w:trHeight w:val="296" w:hRule="atLeast"/>
          <w:jc w:val="center"/>
        </w:trPr>
        <w:tc>
          <w:tcPr>
            <w:tcW w:w="331" w:type="dxa"/>
            <w:vMerge w:val="continue"/>
            <w:tcBorders>
              <w:left w:val="single" w:color="000000" w:sz="4" w:space="0"/>
              <w:right w:val="single" w:color="000000" w:sz="4" w:space="0"/>
            </w:tcBorders>
            <w:noWrap/>
            <w:vAlign w:val="center"/>
          </w:tcPr>
          <w:p w14:paraId="3FAD3FC4">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7FEFD1A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15728E3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4BC0297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获证企业工业产品监督抽查（批次）</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5329B10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≥30批次</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1C33C">
            <w:pPr>
              <w:widowControl/>
              <w:spacing w:line="240" w:lineRule="exact"/>
              <w:ind w:firstLine="0" w:firstLineChars="0"/>
              <w:jc w:val="left"/>
              <w:textAlignment w:val="center"/>
              <w:rPr>
                <w:rFonts w:hint="default"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lang w:val="en-US" w:eastAsia="zh-CN"/>
              </w:rPr>
              <w:t>30批次</w:t>
            </w:r>
          </w:p>
        </w:tc>
      </w:tr>
      <w:tr w14:paraId="3ED25317">
        <w:tblPrEx>
          <w:tblCellMar>
            <w:top w:w="0" w:type="dxa"/>
            <w:left w:w="108" w:type="dxa"/>
            <w:bottom w:w="0" w:type="dxa"/>
            <w:right w:w="108" w:type="dxa"/>
          </w:tblCellMar>
        </w:tblPrEx>
        <w:trPr>
          <w:trHeight w:val="296" w:hRule="atLeast"/>
          <w:jc w:val="center"/>
        </w:trPr>
        <w:tc>
          <w:tcPr>
            <w:tcW w:w="331" w:type="dxa"/>
            <w:vMerge w:val="continue"/>
            <w:tcBorders>
              <w:left w:val="single" w:color="000000" w:sz="4" w:space="0"/>
              <w:right w:val="single" w:color="000000" w:sz="4" w:space="0"/>
            </w:tcBorders>
            <w:noWrap/>
            <w:vAlign w:val="center"/>
          </w:tcPr>
          <w:p w14:paraId="7B6F8CF6">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49963E7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0827FE3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4ADB927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产品抽检应公布信息公布率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415D1A57">
            <w:pPr>
              <w:widowControl/>
              <w:spacing w:line="240" w:lineRule="exact"/>
              <w:ind w:firstLine="0" w:firstLineChars="0"/>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6ABE1">
            <w:pPr>
              <w:widowControl/>
              <w:spacing w:line="240" w:lineRule="exact"/>
              <w:ind w:firstLine="0" w:firstLineChars="0"/>
              <w:jc w:val="left"/>
              <w:textAlignment w:val="center"/>
              <w:rPr>
                <w:rFonts w:hint="default"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100%</w:t>
            </w:r>
          </w:p>
        </w:tc>
      </w:tr>
      <w:tr w14:paraId="0AE335B9">
        <w:tblPrEx>
          <w:tblCellMar>
            <w:top w:w="0" w:type="dxa"/>
            <w:left w:w="108" w:type="dxa"/>
            <w:bottom w:w="0" w:type="dxa"/>
            <w:right w:w="108" w:type="dxa"/>
          </w:tblCellMar>
        </w:tblPrEx>
        <w:trPr>
          <w:trHeight w:val="306" w:hRule="atLeast"/>
          <w:jc w:val="center"/>
        </w:trPr>
        <w:tc>
          <w:tcPr>
            <w:tcW w:w="331" w:type="dxa"/>
            <w:vMerge w:val="continue"/>
            <w:tcBorders>
              <w:left w:val="single" w:color="000000" w:sz="4" w:space="0"/>
              <w:right w:val="single" w:color="000000" w:sz="4" w:space="0"/>
            </w:tcBorders>
            <w:noWrap/>
            <w:vAlign w:val="center"/>
          </w:tcPr>
          <w:p w14:paraId="758FB049">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01E07AF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68F96A0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063BD44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提高流通领域产品监管水平</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73AFA82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逐步提高</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7CF8F">
            <w:pPr>
              <w:widowControl/>
              <w:spacing w:line="240" w:lineRule="exact"/>
              <w:ind w:firstLine="0" w:firstLineChars="0"/>
              <w:jc w:val="left"/>
              <w:textAlignment w:val="center"/>
              <w:rPr>
                <w:rFonts w:hint="default"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lang w:val="en-US" w:eastAsia="zh-CN"/>
              </w:rPr>
              <w:t>逐步提高</w:t>
            </w:r>
          </w:p>
        </w:tc>
      </w:tr>
      <w:tr w14:paraId="272D0F80">
        <w:tblPrEx>
          <w:tblCellMar>
            <w:top w:w="0" w:type="dxa"/>
            <w:left w:w="108" w:type="dxa"/>
            <w:bottom w:w="0" w:type="dxa"/>
            <w:right w:w="108" w:type="dxa"/>
          </w:tblCellMar>
        </w:tblPrEx>
        <w:trPr>
          <w:trHeight w:val="306" w:hRule="atLeast"/>
          <w:jc w:val="center"/>
        </w:trPr>
        <w:tc>
          <w:tcPr>
            <w:tcW w:w="331" w:type="dxa"/>
            <w:vMerge w:val="continue"/>
            <w:tcBorders>
              <w:left w:val="single" w:color="000000" w:sz="4" w:space="0"/>
              <w:right w:val="single" w:color="000000" w:sz="4" w:space="0"/>
            </w:tcBorders>
            <w:noWrap/>
            <w:vAlign w:val="center"/>
          </w:tcPr>
          <w:p w14:paraId="238044D8">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722121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1C4EF16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283908F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提高食品监管水平</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58A8DCF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逐步提高</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1AEC4">
            <w:pPr>
              <w:widowControl/>
              <w:spacing w:line="240" w:lineRule="exact"/>
              <w:ind w:firstLine="0" w:firstLineChars="0"/>
              <w:jc w:val="left"/>
              <w:textAlignment w:val="center"/>
              <w:rPr>
                <w:rFonts w:hint="default"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lang w:val="en-US" w:eastAsia="zh-CN"/>
              </w:rPr>
              <w:t>逐步提高</w:t>
            </w:r>
          </w:p>
        </w:tc>
      </w:tr>
    </w:tbl>
    <w:p w14:paraId="65D9911C">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contextualSpacing/>
        <w:jc w:val="left"/>
        <w:textAlignment w:val="auto"/>
        <w:outlineLvl w:val="9"/>
        <w:rPr>
          <w:rFonts w:hint="eastAsia" w:ascii="黑体" w:hAnsi="黑体" w:eastAsia="黑体" w:cs="黑体"/>
          <w:b w:val="0"/>
          <w:bCs w:val="0"/>
          <w:kern w:val="0"/>
          <w:position w:val="0"/>
          <w:sz w:val="32"/>
          <w:szCs w:val="32"/>
          <w:highlight w:val="none"/>
          <w:lang w:val="en-US" w:eastAsia="zh-CN" w:bidi="ar-SA"/>
        </w:rPr>
        <w:sectPr>
          <w:headerReference r:id="rId5" w:type="default"/>
          <w:footerReference r:id="rId6" w:type="default"/>
          <w:pgSz w:w="11906" w:h="16838"/>
          <w:pgMar w:top="2098" w:right="1474" w:bottom="1984" w:left="1587" w:header="851" w:footer="992" w:gutter="0"/>
          <w:pgNumType w:fmt="numberInDash"/>
          <w:cols w:space="425" w:num="1"/>
          <w:docGrid w:type="lines" w:linePitch="435" w:charSpace="0"/>
        </w:sectPr>
      </w:pP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86"/>
        <w:gridCol w:w="986"/>
        <w:gridCol w:w="1493"/>
        <w:gridCol w:w="1493"/>
        <w:gridCol w:w="986"/>
        <w:gridCol w:w="1240"/>
        <w:gridCol w:w="986"/>
        <w:gridCol w:w="1409"/>
        <w:gridCol w:w="1071"/>
        <w:gridCol w:w="1240"/>
        <w:gridCol w:w="986"/>
      </w:tblGrid>
      <w:tr w14:paraId="3CE0F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4306CE3">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3789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499AE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0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FDF3C9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51320021T000000057394－质量与安全抽检业务</w:t>
            </w:r>
          </w:p>
        </w:tc>
      </w:tr>
      <w:tr w14:paraId="37A59D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FD77D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33933A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409" w:type="dxa"/>
            <w:tcBorders>
              <w:top w:val="nil"/>
              <w:left w:val="nil"/>
              <w:bottom w:val="nil"/>
              <w:right w:val="nil"/>
            </w:tcBorders>
            <w:shd w:val="clear" w:color="auto" w:fill="auto"/>
            <w:vAlign w:val="center"/>
          </w:tcPr>
          <w:p w14:paraId="614D071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2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12585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州市场监管局</w:t>
            </w:r>
          </w:p>
        </w:tc>
      </w:tr>
      <w:tr w14:paraId="1EE54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BEC48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B1F66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FF37DF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0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A06F07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0D25E7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6" w:hRule="atLeast"/>
        </w:trPr>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73733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E8C73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07D656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食品党政同责考核及质量强州考核工作要求和根据2024年州委第二巡察组工作要求，校园抽检需达到4批次/千人，校园食品抽检需增加500批次食品抽检。2、根据新《中华人民共和国食品安全法》要求对食品生产企业及小作坊实现抽检全覆盖需增加500批次，2025年食品共需抽检1200批次。质量强州考核工作要求，为完成质量强州考核商品流通领域的抽检，流通领域抽检需400批次。获证企业工业产品监督抽查30批次</w:t>
            </w:r>
          </w:p>
        </w:tc>
        <w:tc>
          <w:tcPr>
            <w:tcW w:w="470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743028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完成食品抽检1200批次、流通领域商品抽检400批次、工业产品监督抽查30批次，信息公布率和抽检不合格产品核查处置率均达100%，项目按期完成。</w:t>
            </w:r>
          </w:p>
        </w:tc>
      </w:tr>
      <w:tr w14:paraId="218F8C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65301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85AC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0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655BEC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按照年度计划，组织开展食品、流通领域商品及工业产品质量抽检工作，确保抽检任务全面落实。加强抽检信息公示和不合格产品后续处置，提升监管效能。</w:t>
            </w:r>
          </w:p>
        </w:tc>
      </w:tr>
      <w:tr w14:paraId="4E110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DEDB1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208E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E083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5F8E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2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95A7D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456D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8742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BE9A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5C34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282C97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99E04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2C0A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5DE5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205.00</w:t>
            </w: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FE12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188.64</w:t>
            </w:r>
          </w:p>
        </w:tc>
        <w:tc>
          <w:tcPr>
            <w:tcW w:w="32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22C82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188.64</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3B08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F13F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891E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9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E7CB1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357D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BFDBC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718D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F82B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205.00</w:t>
            </w: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05D6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188.64</w:t>
            </w:r>
          </w:p>
        </w:tc>
        <w:tc>
          <w:tcPr>
            <w:tcW w:w="32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09A7E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188.64</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0793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D86F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827F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D0ADF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88908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2330E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FB1D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ECDC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EC1E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2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96B11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9A3F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5451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8DA7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62F9F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FBF51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0B136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D276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6DE7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F9F5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2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F679E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AC05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CE7A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6DA7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A37E6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8FC4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611BE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D463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13CF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A743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2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503A6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C0BF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9C3D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FEC4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CA109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07D8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6F773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BFF4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9B38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1D47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C915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E026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1CB1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07AF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C9D0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D50E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1DA0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0607E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7C62B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AD27A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2BAE7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F063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获证企业工业产品监督抽查批次</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4EB0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1F80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8BF1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批次</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0B5D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DC17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759B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E266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2F99F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C8AC7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6EE14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C9EFE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FF5B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食品抽检批次</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3C64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5C65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1200</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9E2A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批次</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BE00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1200</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2352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1568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4531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BDD84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0DC84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59BFD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FC0F2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5F50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流通领域商品质量抽检批次</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FF2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7079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400</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AA86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批次</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21C3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400</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0399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7186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FC65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39B0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3854D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9A27E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31340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70ED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信息公布率</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5D31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A58D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D357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63A3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FFFC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F0CA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C4BA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45EF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D93A1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B96C4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E032E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385A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抽检不合格产品核查处置率</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3391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9E37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9A5F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E4BF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3F95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676A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9BEC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80BD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AE6A8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CA7A0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43B1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时效指标</w:t>
            </w: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CA31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项目完成时间</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350F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8933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235B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91C2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9BCA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1D84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B699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E91A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72759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08CAD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1FBC4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C8CB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食品安全事件发生率</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7264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AF7C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逐年下降</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E691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1733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逐年下降</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665C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E3A8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4B3F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0C71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717EC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70DED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F1EE1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430F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食品监管水平</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831D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67F3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逐步提高</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4431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9E76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逐步提高</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64FD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176B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79AA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CE9A4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8257D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12FDB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E9BA8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B90D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流通领域产品监管水平</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6D2C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A851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高</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4E66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91FE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高</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B3FA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0121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6404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8634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44413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365B4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C0A45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F2B0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公平竞争的市场秩序</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293E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BF01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逐步提高</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3CC9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39EC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逐步提高</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BD51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5614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F153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E79B7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04934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A3A8C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9203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可持续影响指标</w:t>
            </w: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B6B7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保障生命财产健康安全</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560F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4D3D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影响良好</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671C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A699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影响良好</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11A4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8EE0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9214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86F58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7BACF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5682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满意度指标</w:t>
            </w: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D23D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服务对象满意度指标</w:t>
            </w: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4FBA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消费者对食品安全满意度</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3D31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5BEB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80</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F0D6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C1D1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80</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149B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43A4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5D13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4CA5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685B0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6426C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成本指标</w:t>
            </w:r>
          </w:p>
        </w:tc>
        <w:tc>
          <w:tcPr>
            <w:tcW w:w="14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C2BB6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经济成本指标</w:t>
            </w: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CF38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食品抽检监测成本（元/批次）</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9FD0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A048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1080</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8C57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元</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E810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1080</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3C21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F24F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E543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6EFDF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5685C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8473F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44E3B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04BB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商品抽检监测成本（元/批次）</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B502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BF2C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1585</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14FD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元</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06D9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1585</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6381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1DD7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AE44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8DB7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6A2A8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3EDED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9C2FF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9D1D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工业抽检监测成本（元/批次）</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61C2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D930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4000</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3104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元</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0E59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4000</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7EAB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DD6F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F083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9C480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79"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1EE68F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074A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08C1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6F25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99D8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35EA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89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854262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235C04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AABA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89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C725FE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715B02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C624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89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039C53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65498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4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63E6DB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304266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5291EF72">
      <w:pPr>
        <w:rPr>
          <w:rFonts w:hint="eastAsia" w:ascii="宋体" w:hAnsi="宋体" w:eastAsia="宋体" w:cs="宋体"/>
          <w:i w:val="0"/>
          <w:iCs w:val="0"/>
          <w:color w:val="000000"/>
          <w:sz w:val="18"/>
          <w:szCs w:val="18"/>
          <w:u w:val="none"/>
        </w:rPr>
        <w:sectPr>
          <w:headerReference r:id="rId7" w:type="default"/>
          <w:footerReference r:id="rId8" w:type="default"/>
          <w:pgSz w:w="16838" w:h="11906" w:orient="landscape"/>
          <w:pgMar w:top="1587" w:right="2098" w:bottom="1474" w:left="1984" w:header="851" w:footer="992" w:gutter="0"/>
          <w:pgNumType w:fmt="numberInDash"/>
          <w:cols w:space="425" w:num="1"/>
          <w:docGrid w:type="lines" w:linePitch="435" w:charSpace="0"/>
        </w:sectPr>
      </w:pP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86"/>
        <w:gridCol w:w="986"/>
        <w:gridCol w:w="1493"/>
        <w:gridCol w:w="1493"/>
        <w:gridCol w:w="986"/>
        <w:gridCol w:w="1240"/>
        <w:gridCol w:w="986"/>
        <w:gridCol w:w="1409"/>
        <w:gridCol w:w="1071"/>
        <w:gridCol w:w="1240"/>
        <w:gridCol w:w="986"/>
      </w:tblGrid>
      <w:tr w14:paraId="68ECDF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86CEC50">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49243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90A9A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0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32B2BE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51320021T000000057486－市场监管信息化建设及新闻宣传</w:t>
            </w:r>
          </w:p>
        </w:tc>
      </w:tr>
      <w:tr w14:paraId="0B44A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3B80E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9723A6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409" w:type="dxa"/>
            <w:tcBorders>
              <w:top w:val="nil"/>
              <w:left w:val="nil"/>
              <w:bottom w:val="nil"/>
              <w:right w:val="nil"/>
            </w:tcBorders>
            <w:shd w:val="clear" w:color="auto" w:fill="auto"/>
            <w:vAlign w:val="center"/>
          </w:tcPr>
          <w:p w14:paraId="3E6C30A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2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2C9AA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州市场监管局</w:t>
            </w:r>
          </w:p>
        </w:tc>
      </w:tr>
      <w:tr w14:paraId="74496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5D57C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22BB9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7434FD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0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A47AE1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4A6A3E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A89C1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1BF74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1E9B4B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对局机房的数据处理中心、办公网络等设施设备进行日常的软硬件维护，并提供日常巡检和应急保障，确保机房网络设施设备和办公网络长期稳定运行，提升市场监管效率和服务水平。</w:t>
            </w:r>
          </w:p>
        </w:tc>
        <w:tc>
          <w:tcPr>
            <w:tcW w:w="470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5E8FF2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完成机房网络设备维护、安全巡检、互联网接入等工作，网络运行稳定，故障响应及时，市场监管效率提升。</w:t>
            </w:r>
          </w:p>
        </w:tc>
      </w:tr>
      <w:tr w14:paraId="41533D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C1C03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5A65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0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9CB664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对数据中心、办公网络等设施进行日常维护和应急保障，定期开展安全巡检，确保网络系统长期稳定运行，提升信息化服务水平。</w:t>
            </w:r>
          </w:p>
        </w:tc>
      </w:tr>
      <w:tr w14:paraId="1DDB80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D3DA7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36D0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A1F9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FFC9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2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A2C34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12D4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912F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9B61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62D0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4916BA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C9E2F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9FD0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FE79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w:t>
            </w: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7B29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8.41</w:t>
            </w:r>
          </w:p>
        </w:tc>
        <w:tc>
          <w:tcPr>
            <w:tcW w:w="32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521E2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8.41</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5D20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81C1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AC01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9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CB224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0CF7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966FD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E4DE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6054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w:t>
            </w: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BE3F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8.41</w:t>
            </w:r>
          </w:p>
        </w:tc>
        <w:tc>
          <w:tcPr>
            <w:tcW w:w="32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0340E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8.41</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8C1F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A09A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83F7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DA26A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24120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F297D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E521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9DF1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75F7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2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169F3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F9DD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5DA9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EF9E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54ABB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47DF3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A262D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0E40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6AD0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DFA9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2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FE8CF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E57E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05B3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047E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628B1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0B30F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06850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780F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1C8E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7B15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2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23058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EA4E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EA6B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1B61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A6EEC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1E64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96AB4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BCAB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3931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9C5D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B84C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E851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B1D5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E169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A21B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E7B9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32CB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5BD33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1435C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9015B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132C2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65A4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互联网接入线路数</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31A6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ACC8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4CCD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条</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8E99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21D7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0980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0D7A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A346D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5B1AE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DBEF3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1DD40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AA7E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每月安全巡检次数</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4F94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CE91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756D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次</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0A4E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8038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F8BD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EDC4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842F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919CD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79854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CD0CB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51AC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网络安全设备防火墙维护数量</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B37F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EC0B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6452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个</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F568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378B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4FF6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2936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CD57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8A2E0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79EC3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9B9C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A8BC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互联网接入线路可用率</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8C53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2C79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99</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6F85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65EE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99</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0D97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D093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4CC5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343E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E843E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8038C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F6734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时效指标</w:t>
            </w: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0676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运维服务周期覆盖率</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2398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DBBD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BD24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602B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374F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3270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2BB7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8311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148BB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6AE6E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A7FED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279D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一般故障恢复时间</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B87B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7390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988B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小时</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601F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4C38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32BF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6E5B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B0D2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23D5D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7BD56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C0167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657A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服务响应时间</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DA5A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D2CD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F26F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小时</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DBED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167E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0353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4F97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EC9A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BCE4E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9A6B3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7641A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53F3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项目完成时间</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8FCE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C147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945F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08E4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D4FB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AD2D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4046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3C6E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BD5B6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24CB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105C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4B13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市场监管效率和服务水平提升度</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0047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D050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逐步提高</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5AB1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4E3C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逐步提高</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8844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D1BF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FD6A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F3E13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F0A8E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418A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满意度指标</w:t>
            </w: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8C19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服务对象满意度指标</w:t>
            </w: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9A99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服务对象满意度指标</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B7DE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9795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14ED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9322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AABB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6899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1A66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25D1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1F15E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E5A6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成本指标</w:t>
            </w: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08F3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经济成本指标</w:t>
            </w: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2F94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年度设备维护成本</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843B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D6D9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B3C2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万元</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765E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6EEE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0F51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EAB1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2129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79"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977495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29F4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FE53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D708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2F33E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2F9B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89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4751B0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28B3F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CA3E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89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B26A17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76698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B9B8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89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F497DA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3AD91B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4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D4EC98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ECCA3D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29B86DC0">
      <w:pPr>
        <w:rPr>
          <w:rFonts w:hint="eastAsia" w:ascii="宋体" w:hAnsi="宋体" w:eastAsia="宋体" w:cs="宋体"/>
          <w:i w:val="0"/>
          <w:iCs w:val="0"/>
          <w:color w:val="000000"/>
          <w:sz w:val="18"/>
          <w:szCs w:val="18"/>
          <w:u w:val="none"/>
        </w:rPr>
        <w:sectPr>
          <w:pgSz w:w="16838" w:h="11906" w:orient="landscape"/>
          <w:pgMar w:top="1587" w:right="2098" w:bottom="1474" w:left="1984" w:header="851" w:footer="992" w:gutter="0"/>
          <w:pgNumType w:fmt="numberInDash"/>
          <w:cols w:space="425" w:num="1"/>
          <w:docGrid w:type="lines" w:linePitch="435" w:charSpace="0"/>
        </w:sectPr>
      </w:pP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86"/>
        <w:gridCol w:w="986"/>
        <w:gridCol w:w="1493"/>
        <w:gridCol w:w="1493"/>
        <w:gridCol w:w="986"/>
        <w:gridCol w:w="1240"/>
        <w:gridCol w:w="986"/>
        <w:gridCol w:w="1409"/>
        <w:gridCol w:w="1071"/>
        <w:gridCol w:w="1240"/>
        <w:gridCol w:w="986"/>
      </w:tblGrid>
      <w:tr w14:paraId="29E95C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DF43C87">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A59DF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25A37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0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CC1CE6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51320021T000000057593－市场秩序维护与监管经费</w:t>
            </w:r>
          </w:p>
        </w:tc>
      </w:tr>
      <w:tr w14:paraId="3AA0A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90128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E62511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409" w:type="dxa"/>
            <w:tcBorders>
              <w:top w:val="nil"/>
              <w:left w:val="nil"/>
              <w:bottom w:val="nil"/>
              <w:right w:val="nil"/>
            </w:tcBorders>
            <w:shd w:val="clear" w:color="auto" w:fill="auto"/>
            <w:vAlign w:val="center"/>
          </w:tcPr>
          <w:p w14:paraId="375FBA2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2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41F55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州市场监管局</w:t>
            </w:r>
          </w:p>
        </w:tc>
      </w:tr>
      <w:tr w14:paraId="77EE5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94D2F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11DF1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BD0FA5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0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871959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636488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9" w:hRule="atLeast"/>
        </w:trPr>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D173B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141CF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6D77AC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全州工商、质监、食品、药品、物价、商标、专利、知识产权、反不正当竞争等执法办案工作。处理好有关市场监管方面的各类投诉工作。落实国家、省、州有关市场监督管理工作的方针政策。强化全州市场监管执法保障和协调，持续提升市场监管综合行政执法能力水平。开展专项价格监督检查，强化对各县（市）督导检查力度，进一步规范经营者收费行为，维护市场价格稳定秩序；进一步加大《中华人民共和国价格法》相关知识宣传，增强经营者守法、诚信经营意识。对州级相关部门公平竞争审查工作情况及州人民政府出台或提请州人民代表大会及其常务委员会审计的政策措施进行评估。</w:t>
            </w:r>
          </w:p>
        </w:tc>
        <w:tc>
          <w:tcPr>
            <w:tcW w:w="470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B75964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完成执法办案、投诉处理、公平竞争审查等工作，案件和投诉办结率均为100%，重大案件合规审查通过率达95%以上。</w:t>
            </w:r>
          </w:p>
        </w:tc>
      </w:tr>
      <w:tr w14:paraId="6E8E1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9F924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FA2D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0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7460AE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组织开展执法检查、公平竞争审查、价格监督等多项市场监管工作，强化执法保障，提升监管能力，维护市场秩序。</w:t>
            </w:r>
          </w:p>
        </w:tc>
      </w:tr>
      <w:tr w14:paraId="16D9BF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3FF69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3143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498E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5683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2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4A9D5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2417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F5CA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FA1A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4080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5397AA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890F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227A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B1BD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15.00</w:t>
            </w: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E6C7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15.00</w:t>
            </w:r>
          </w:p>
        </w:tc>
        <w:tc>
          <w:tcPr>
            <w:tcW w:w="32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59D8B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15.00</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5A6D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B234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BD88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9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80A0A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6BC4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AC9A8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68B7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E4CD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15.00</w:t>
            </w: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20FC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15.00</w:t>
            </w:r>
          </w:p>
        </w:tc>
        <w:tc>
          <w:tcPr>
            <w:tcW w:w="32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85C80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15.00</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C229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E3C4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DE13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745CF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23B6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7E455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7A3B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CEBC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262D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2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7575B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06EA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BD92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E147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5F7C4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2629C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35A5E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0F90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F33D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3E03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2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353BC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987E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1BD1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7C3E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9EA40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F4FE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D765E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AC28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AE66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146B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2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02175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1100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0BCA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90B6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327F8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87E5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03920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0BB0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1B73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D5E3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3019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ADDA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E94C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6944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9590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B5C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4E1E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383E35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0CD8F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165D7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2E9CF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DDB9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公平竞争审查数</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B32E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D5CC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23C1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个</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1723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F4F1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0E46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354C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EA51E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73CCF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CD90C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7F747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4E9D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重大节庆检查次数</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FFD3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F13E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5330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次</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D63C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FE42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1697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A4C4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43F62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934EE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3B4D4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A591B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616E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公平竞争政策宣传次数</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3F80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8C9D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5351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次</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55DF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EFF8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0A28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4EE4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9351A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80967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6F5F5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A6DB1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2F2B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案件办结率</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268B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8A56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63FD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CA5C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252A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56B3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D471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EFB3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AE4F3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FD682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F19C0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8115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投诉、举报办结率</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3DA3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A0D4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70E7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A327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F79C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B396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5ED3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67A2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1D825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1A7D5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D4AF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时效指标</w:t>
            </w: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94D1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项目完成时间</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D48C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C978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AA78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DA8C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5848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EC91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91CF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1181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0AAA9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7C17C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7777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EAC4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重大案件合规审查通过率</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351A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EAF3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95</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799C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8C29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95</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DDCE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9BE1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9E0E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F1077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9CF5C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7E973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3029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可持续发展指标</w:t>
            </w: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C0E1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市场监管长效机制健全程度</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E449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5283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高</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51B7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F139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高</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3D50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D51D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96AC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28D62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0E6B7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E26E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满意度指标</w:t>
            </w: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48DF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服务对象满意度指标</w:t>
            </w: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E8B4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监管单位满意度</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A49E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925A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80</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D281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F6C0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80</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F81D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8C2B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6B18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545E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AF4AF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59BBC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成本指标</w:t>
            </w:r>
          </w:p>
        </w:tc>
        <w:tc>
          <w:tcPr>
            <w:tcW w:w="14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8348F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经济成本指标</w:t>
            </w: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35EC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项目预算执行率</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8FFD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7D69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5EA2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B12E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2946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6F18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74B9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8F7F6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05881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D89DC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80EB0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E357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公平竞争审查成本</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28DE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16E9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1500</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3C70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元/个</w:t>
            </w:r>
          </w:p>
        </w:tc>
        <w:tc>
          <w:tcPr>
            <w:tcW w:w="14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EB42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1500</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C2DA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AB60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473F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50FE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79"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9C7C69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96DB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072A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DC00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81294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A7BA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89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919D03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1F316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5B7A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89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D64420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7D0CAC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694E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89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DA79FF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7352E9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4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CE55DD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FDF3D3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477629D9">
      <w:pPr>
        <w:rPr>
          <w:rFonts w:hint="eastAsia" w:ascii="宋体" w:hAnsi="宋体" w:eastAsia="宋体" w:cs="宋体"/>
          <w:i w:val="0"/>
          <w:iCs w:val="0"/>
          <w:color w:val="000000"/>
          <w:sz w:val="18"/>
          <w:szCs w:val="18"/>
          <w:u w:val="none"/>
        </w:rPr>
        <w:sectPr>
          <w:pgSz w:w="16838" w:h="11906" w:orient="landscape"/>
          <w:pgMar w:top="1587" w:right="2098" w:bottom="1474" w:left="1984" w:header="851" w:footer="992" w:gutter="0"/>
          <w:pgNumType w:fmt="numberInDash"/>
          <w:cols w:space="425" w:num="1"/>
          <w:docGrid w:type="lines" w:linePitch="435" w:charSpace="0"/>
        </w:sectPr>
      </w:pP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6"/>
        <w:gridCol w:w="976"/>
        <w:gridCol w:w="1482"/>
        <w:gridCol w:w="1536"/>
        <w:gridCol w:w="967"/>
        <w:gridCol w:w="1225"/>
        <w:gridCol w:w="984"/>
        <w:gridCol w:w="1396"/>
        <w:gridCol w:w="1053"/>
        <w:gridCol w:w="1225"/>
        <w:gridCol w:w="1056"/>
      </w:tblGrid>
      <w:tr w14:paraId="11BED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C12ECF4">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ED75C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39A2A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AC11A8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51320021T000000057619-食品安全监管经费</w:t>
            </w:r>
          </w:p>
        </w:tc>
      </w:tr>
      <w:tr w14:paraId="29AE3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E3C88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6488C1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605AF14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C6551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州市场监管局</w:t>
            </w:r>
          </w:p>
        </w:tc>
      </w:tr>
      <w:tr w14:paraId="377D69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7975F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1C143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82578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D19468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33E0E7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65"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42924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027FB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BB2C68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对辖区内13县（市）18至70周岁居住半年以上的常住居民随机进行调查，重点收集受访者对所在县（市）食品安全工作、食品安全状况等满意度评价，了解受访者对食品安全知识的认知和需求，并征集受访者对我州食品安全工作的意见和建议。通过满意度调查分析群众食品安全知识、态度、行为现状，探究群众食品安全知识、态度、行为对满意度的影响，引领公众树立正确的食品安全价值观，为有针对性地改进食品安全工作、提升食品安全保障水平提供依据。同时针对州内的群众，通过宣传活动次数≥2次”、宣传覆盖人数≥10000人，提高群众对食品安全工作的知晓度。餐饮服务单位食品安全量化分级管理覆盖率达到90%以上。食品安全管理责任。推动建立旅游景区餐饮食品安全综合治理机制，督促景区运营管理者落实管理责任，严格落实重大活动食品安全各方责任，采取驻点监管与全面巡查相结合，严控风险，做好应急处置备勤，防范食品安全事故。开展食品生产许可现场核查及食品生产企业质量体系检查。强化特殊食品生产经营使用单位监管，排查防范质量安全隐患，确保质量安全有效。</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38CAC5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完成食品安全监督检查、满意度调查、食品生产许可核查等任务，督查发现问题处置率100%，公众满意度达75%以上。</w:t>
            </w:r>
          </w:p>
        </w:tc>
      </w:tr>
      <w:tr w14:paraId="1772A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1F412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3E1C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BD14AE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开展食品安全监督检查、满意度调查、许可核查及宣传活动，推动餐饮单位量化分级管理，提升食品安全保障水平。</w:t>
            </w:r>
          </w:p>
        </w:tc>
      </w:tr>
      <w:tr w14:paraId="73F06C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23482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6D99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857B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C18E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48E38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04B4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F1B7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0472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C11D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53E75A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F3F11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458D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4B6F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5E13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9D5D4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B2B0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6F69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269B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BA38E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D40A6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21249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AF37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F859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7FE5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EDA54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5F52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FDBD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854C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58E53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DFA1D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77B29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5AA8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3DF3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D14E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E2752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470D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C44F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5E5D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65664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D13A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92E66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D58F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6246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32FA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F8E24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E03D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511E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2478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A4B84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1DE2F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21FA5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8C03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CDF3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8EE5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1895A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7C0E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DC2D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C4C3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F8117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F7953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FB47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1432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43FE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A687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5F79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5E82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A45B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E655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B350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48B7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256A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62F32C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77290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ECA12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62139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79DE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食品安全监督检查次数</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1C32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1E4E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A2D4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次</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1A6D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9B85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F050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7672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D4E4C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314D3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01B5B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2B9E6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E38A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食品满意度调查次数</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4ED7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930A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B011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次</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F02A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3485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AB32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6E7F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B2BA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80049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F93E9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18D9D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D4B5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食品生产现场许可核查数量</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5D19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764C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12</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D09C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家</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FC93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12</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8F39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7C59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67EC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5E5B7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AD14F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33EE8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B45F2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636E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调查样本量</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9C1D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25B6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1200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8A6A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人</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0F21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1200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A867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D973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0474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D3187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C74F4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1FD25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8E2EE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DB41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宣传活动参与率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9BB8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45C2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C7A9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51C7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85</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4EFC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A37B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41B9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1B39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7BC9C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31B05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096B2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3CFC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督查发现问题处置率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6162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BA43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DC44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0C1E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0F62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2932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C088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51364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F5626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B8546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8DE61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时效指标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034A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宣传活动按时完成率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A050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F96C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E309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391E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B6C3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BC09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7D43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9E260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5427C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C3367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F2A3A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9E6C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项目完成时间</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6CB5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7943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0B80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3BF5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BB2E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2AD7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99FA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2501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CA95D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600D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93F3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4B67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食品监管水平</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82EA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0C08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达到较高水平</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F577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C9A6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达到较高水平</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8D6A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98F7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51D9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3A078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72CE7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C84A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满意度指标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BA21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服务对象满意度指标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AF68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公众食品安全满意度</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A134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0CF1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75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BB29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F8B3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75</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E804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C578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8977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48514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AB023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DBE47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成本指标</w:t>
            </w:r>
          </w:p>
        </w:tc>
        <w:tc>
          <w:tcPr>
            <w:tcW w:w="14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C8FCE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经济成本指标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5B82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食品生产许可现场核查成本（每家）</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F0D2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6110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2900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1734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元</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D969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2900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895D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474B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7C46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E582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F739F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57F68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EABFB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92ED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食品满意度调查成本</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6C3D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184A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12.88</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D207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万元</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AF07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12.88</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2E64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B170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0A39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27E3C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8A2564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8FC3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91EC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9237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AB7B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4638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08BF05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60264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FA77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31A5CB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5E746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792D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898B9D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43A625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94C551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F6CFC6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0483D58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br w:type="page"/>
      </w: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6"/>
        <w:gridCol w:w="976"/>
        <w:gridCol w:w="1482"/>
        <w:gridCol w:w="1536"/>
        <w:gridCol w:w="967"/>
        <w:gridCol w:w="1225"/>
        <w:gridCol w:w="984"/>
        <w:gridCol w:w="1396"/>
        <w:gridCol w:w="1053"/>
        <w:gridCol w:w="1225"/>
        <w:gridCol w:w="1056"/>
      </w:tblGrid>
      <w:tr w14:paraId="6C80F1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FD6E5B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部门预算项目支出绩效自评表（2025年度）</w:t>
            </w:r>
          </w:p>
        </w:tc>
      </w:tr>
      <w:tr w14:paraId="68D13E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03F54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9150C7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51320021T000000057623－药品安全监督经费</w:t>
            </w:r>
          </w:p>
        </w:tc>
      </w:tr>
      <w:tr w14:paraId="05A14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C4329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229DA7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005067C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9C1C9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州市场监管局</w:t>
            </w:r>
          </w:p>
        </w:tc>
      </w:tr>
      <w:tr w14:paraId="5F9212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A7031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5925D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01ED9B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2AE141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4FC8A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F0E2D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50914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98A388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两品一械”企业监管力度不断加强；监管人员专业水平和综合业务素质不断提高；“两品一械”科普宣传力度不断加强；假冒伪劣的打击力度不断加强，假冒伪劣药品制售行为不断降低。开展专项整治4次，宣传活动2次</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A68A9A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开展药品安全专项整治和科普宣传，完成4次专项行动和2次宣传活动，督导检查覆盖率达50%以上，无重大药品安全事故。</w:t>
            </w:r>
          </w:p>
        </w:tc>
      </w:tr>
      <w:tr w14:paraId="16311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ED6D4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BE13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2E5B79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组织开展药品安全监督检查、专项整治和宣传培训，强化基层监管能力，提升药品安全监管水平。</w:t>
            </w:r>
          </w:p>
        </w:tc>
      </w:tr>
      <w:tr w14:paraId="13B0A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283EC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26E8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7385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D68C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E1406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CA0D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3523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3013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5303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25EF83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2A8AE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16A6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07D9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EDEB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94767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C0B9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C10F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BCE2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E8BCB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ADE86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72345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BB3A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0B2F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5B32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1BB66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4EBD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E3BA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F277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50048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2F10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0248B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8D71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D431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9AD9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8F2DF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A842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61C9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2077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C7C56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B084E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5015C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7A70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E7A2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206B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764CF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34F6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B581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5141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BB9CD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73E4B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050C9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411A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31AF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A2A3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48079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1C7A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CBCC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4035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39539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2706F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9AF67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6B63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06C2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C140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278E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DDC1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882B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77D6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84E8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FAB6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5EFA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6214C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E121E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CF80E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956D1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9B2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开展药械化安全科普知识宣传次数</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EC06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22A1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67D6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次</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ACC6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7469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16E9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94E5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1131E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EB5BB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20179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2246D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DC6E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专项行动（检查）任务数</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81B7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B79F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F7CF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次</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F6D4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7F6C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420F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043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8977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751CB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629BE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AE7D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1D5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对县（市）督导检查覆盖率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C3FB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BC3A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F599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EF78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102B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FAF7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AAFA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4549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7F65B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E4EE3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FFDF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时效指标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1116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项目完成时间</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63FA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F62E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C5B0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4253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6B79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AA15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675F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704FC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82F44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7D604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FF3F6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0981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药品案件查处率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5799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F097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明显提高</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F5BC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2E6F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明显提高</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D827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B707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DB0A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68DE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5CF06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63EFF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6839D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F951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药品执法监管水平</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C894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4108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逐步提高</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4603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DAB7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逐步提高</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030C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E5D1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D73C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429F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F2E28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51E54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5E574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59E5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药品安全重大事故发生率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AD1B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BDBD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0DBC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次</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BD5F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CD39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46C5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005A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381B4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19E2F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0C0E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满意度指标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7459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服务对象满意度指标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A7DB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群众满意度</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CCFD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B4BD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75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86F5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7808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75</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162C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83ED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4370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8EFB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2A70B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0928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成本指标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55B2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经济成本指标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0A10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药品监管成本</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1EBD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87E2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882A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万元</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CBD1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6D9F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F98A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3FE4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96D03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55D90C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AC38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D835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F100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F4074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D218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82BD18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39B82F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79EF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6D9F11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0A253E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CF66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55FB8E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38E99A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AA9256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1861E7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50C107B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br w:type="page"/>
      </w: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6"/>
        <w:gridCol w:w="976"/>
        <w:gridCol w:w="1482"/>
        <w:gridCol w:w="1536"/>
        <w:gridCol w:w="967"/>
        <w:gridCol w:w="1225"/>
        <w:gridCol w:w="984"/>
        <w:gridCol w:w="1396"/>
        <w:gridCol w:w="1053"/>
        <w:gridCol w:w="1225"/>
        <w:gridCol w:w="1056"/>
      </w:tblGrid>
      <w:tr w14:paraId="60E781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EAFAF28">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05EC1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05373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EC4D75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51320021T000000057630－市场监管业务知识培训及人力资源</w:t>
            </w:r>
          </w:p>
        </w:tc>
      </w:tr>
      <w:tr w14:paraId="020C2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6D736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355BC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6882C7E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581DD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州市场监管局</w:t>
            </w:r>
          </w:p>
        </w:tc>
      </w:tr>
      <w:tr w14:paraId="66D0C0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F59BF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C8D92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72F417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DABE19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1D10B5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0"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4BF52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C5FB1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CDE414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培训共3期《基层法治计量监管人员实操能力提升培训》《全州市场监管认证检验监管能力提升培训》《食品安全工作》《全州标准化工作业务培训》《强制性国家标准宣贯培训》，培训人次286人次3期，提高干部依法行政能力、业务水平和沟通协调能力，提高市场监管的效率和有效性，降低市场违法行为发生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101334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完成3期培训，培训286人次，培训合格率100%，干部综合素质和监管能力显著提升。</w:t>
            </w:r>
          </w:p>
        </w:tc>
      </w:tr>
      <w:tr w14:paraId="47FC3C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CF3BE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CB72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4B7F8B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组织开展基层法治计量、认证检验、食品安全等专题培训，提升干部依法行政能力和业务水平。</w:t>
            </w:r>
          </w:p>
        </w:tc>
      </w:tr>
      <w:tr w14:paraId="4B4B65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31296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1CCE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DA9F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14C4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CC0AA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FD3A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EF50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48CE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6FE4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34282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98FD9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AF62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B89B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429F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12.16</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FC5A8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12.16</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21B1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9A20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E56A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BB514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B2F4C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6454B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0680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28C7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F913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12.16</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3C1F5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12.16</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6835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48D2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EABB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167C8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B9F4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CB3C1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F851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A78F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2B76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0F31B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EC67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5F3E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8ECD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DF125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51856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58412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AC3A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979B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B683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B7679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6C57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8697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449D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B394B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0D5FC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55FB2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F264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87BF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9D75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4486B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B185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E352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C4A5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381F0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4FCE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0CE3A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33D5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C5EE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DE81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077F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F6B6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55CF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C212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05F3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A363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7ADE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5AE63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0F1E7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34710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AF93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017A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培训人次</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C436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2B34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286</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1ED9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人次</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FDA8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286</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B488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6ACC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BC9F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3443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6208B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14932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616B1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1C7D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培训期数</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3122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5458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1A5E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期</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D219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AE30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A432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A735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4D33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6987F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6FC8E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5F9E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ADB7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培训合格率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220B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BED9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EDE7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D111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B5C2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5E2A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1D77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43E3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C6004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135FE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F3588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时效指标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08AC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项目完成时间</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7422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774A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7425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CEAB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D176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1E1F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CB33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3A49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A4AEE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D727A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B4F11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BDB6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每期培训按时完成率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2FD6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8770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FB1C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1E12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95</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1B78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24B2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1BC3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124C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7202B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790C8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A9F9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9186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监管能力水平</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F6C4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5210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进一步提高</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8A2E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5BC9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进一步提高</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2F92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3511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DF5D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74DDF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49262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231B6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3E77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可持续影响指标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5FF0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干部综合素质</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0F01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9498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逐步提高</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ADFE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01DC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逐步提高</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0C44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44B8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CC1E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1B4F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9BCA4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F0AA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满意度指标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687D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服务对象满意度指标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1CF6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培训学员满意度</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3393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4555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6B6B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244E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2DBD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FAF9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05E8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70D53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D14E1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F6D2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成本指标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CECF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经济成本指标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412F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学员每天定额费用（元/人。天。）</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28EC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BA09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D64F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元</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6396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08B5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C5D1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0E00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F3A52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8768F7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C458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8279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B84B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EC08A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39FF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FF8B64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5D296E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8F02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827937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57F9F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BD65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74EF45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080A0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1B697A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B14759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25D5C95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br w:type="page"/>
      </w: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6"/>
        <w:gridCol w:w="976"/>
        <w:gridCol w:w="1482"/>
        <w:gridCol w:w="1536"/>
        <w:gridCol w:w="967"/>
        <w:gridCol w:w="1225"/>
        <w:gridCol w:w="984"/>
        <w:gridCol w:w="1396"/>
        <w:gridCol w:w="1053"/>
        <w:gridCol w:w="1225"/>
        <w:gridCol w:w="1056"/>
      </w:tblGrid>
      <w:tr w14:paraId="4EA1A2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243AEDD">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8B5D8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4E1F7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98156C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51320021T000000057636-质量与安全监管</w:t>
            </w:r>
          </w:p>
        </w:tc>
      </w:tr>
      <w:tr w14:paraId="69851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D0645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D6D08F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3F798ED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8588A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州市场监管局</w:t>
            </w:r>
          </w:p>
        </w:tc>
      </w:tr>
      <w:tr w14:paraId="323C6E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87821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3C2F7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ED27A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3F1E6D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3C83C3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EE261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A0FFB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3F755F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目前，我州检验检测机构39家，食品、机动车、生态环境共16家，需全覆盖监督检查，其他领域检测机构23家，按30%抽查应检查7家，共需检查23家。维护检验检测市场秩序，提升认证质效助力高质量发展。完成涉及我州民生、法制、能源计量审查工作。保障人民群众的利益。开展民生计量、能源计量和法制计量监督检查，加强对贸易结算、安全防护、医疗卫生、环境监测等在用强检计量器具的备案管理和监督检查。牵头在全州范围内开展特种设备安全专项整治，及时消除安全隐患、有效防范重特大安全事故的发生，确保全州经济社会稳定。</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603DC4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完成检验检测机构检查、民生计量监督检查、特种设备隐患排查等任务，问题处置率和隐患排查率均为100%。</w:t>
            </w:r>
          </w:p>
        </w:tc>
      </w:tr>
      <w:tr w14:paraId="26125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541BE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03F8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8EFFB5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开展检验检测机构监督检查、计量审查、特种设备专项整治等工作，保障计量准确和特种设备安全运行。</w:t>
            </w:r>
          </w:p>
        </w:tc>
      </w:tr>
      <w:tr w14:paraId="232DDF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4B9B0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6894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B05C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577F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34C8A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2C01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D444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900D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BCF6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4DCC79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2499A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241E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811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0238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D31CF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32F4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E0B0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859E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303FF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3511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3989B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17CC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0BF4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7662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0E464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9D7C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BFA6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C28C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6164F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92D4A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2C398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E3E6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93C8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073F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C99F9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FC6B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DA56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0278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C8501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BD164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C6CD8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A0B4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0815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933D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12803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456D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3491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1612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DF24A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1C77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AF5B8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20A6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E30B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81DB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F75CD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59CE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5592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96BB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90582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0C0F7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84BC3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CF57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9B76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0AC2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FDD0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3D89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CDE3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FAA9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5724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BCA4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5C4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55FCD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2FDF1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8179C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40C3E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1D1E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检测机构检查数量</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9396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64B8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E919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家</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ADD0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1E38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3C40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1501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0E9F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42F6D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0D928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25F66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27C0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重点用能企业审查数量</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18D4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DB7C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4F2B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家</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257F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0101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1E87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C88B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CADC5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29095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63C89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690E5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1369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认证及小微企业检查数量</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733C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8FF3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01D4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家</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69BB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D10A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D274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43C6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B02DD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90701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A24F3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0A026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A8F5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民生、能源、法制计量监督检查数量</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6F98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1F11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6B12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台/套</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CD1E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1757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C0AC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9773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E094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1394F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4EE42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FED90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D3F1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民生、能源、法制计量检查问题处置率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4ECD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A6C4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5A80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8187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A55D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8782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56EE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050F7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9956B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D0FAF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7C526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CB9B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特种设备安全隐患排查率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8AF7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33E4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5664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25E5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EBDA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860D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C1C2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E5F39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F132F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2AAE5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3AD3B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A678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审查整改完成率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EA1A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7BFF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CEED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FD84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32C0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387C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519F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2A9BA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5B2FB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CEF09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B513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时效指标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ED24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项目完成时间</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EC41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A973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6D01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7E8B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AF42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0E74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15A4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6E51B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88218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1D5D9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F53CB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DD2F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社会市场计量秩序</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C4B2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7209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逐步提高</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9781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748E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逐步提高</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F030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0D38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4EC5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F3F6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8D152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6B55F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34350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842A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重点用能企业能源计量管理水平</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69A2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4170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逐步提高</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ED7D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3B5C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逐步提高</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DF86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3168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99B8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014F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35E01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B710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满意度指标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EC40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服务对象满意度指标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03FA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特种设备使用单位安全满意度</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6690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94C0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C07E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C220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95</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2C82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365D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FDDC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34E51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6BFFD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C50A6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成本指标</w:t>
            </w:r>
          </w:p>
        </w:tc>
        <w:tc>
          <w:tcPr>
            <w:tcW w:w="14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3FDD3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经济成本指标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C86F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专家劳务费</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4568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14E2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FA2B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元/个</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4895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2074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5162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24A4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33D5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29C4E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96886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900D5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92F1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重点用能企业审查单位成本</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36E8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AA7B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939D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元</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8255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88AD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0E7D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DA09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9C21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C00A57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4B09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FA22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9895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9556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DB99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880559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3F555C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361F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10A13C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57014E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8BB7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447D11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4D48B8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4AC23A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30D69E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1045AF3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br w:type="page"/>
      </w: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6"/>
        <w:gridCol w:w="976"/>
        <w:gridCol w:w="1482"/>
        <w:gridCol w:w="1536"/>
        <w:gridCol w:w="967"/>
        <w:gridCol w:w="1225"/>
        <w:gridCol w:w="984"/>
        <w:gridCol w:w="1396"/>
        <w:gridCol w:w="1053"/>
        <w:gridCol w:w="1225"/>
        <w:gridCol w:w="1056"/>
      </w:tblGrid>
      <w:tr w14:paraId="580209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7A25AA2">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B0D0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D0203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405629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51320022R000005202861－追加州级部门一次性抚恤金及丧葬费</w:t>
            </w:r>
          </w:p>
        </w:tc>
      </w:tr>
      <w:tr w14:paraId="77F2D0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ED18C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302456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31A710F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F8FE8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州市场监管局</w:t>
            </w:r>
          </w:p>
        </w:tc>
      </w:tr>
      <w:tr w14:paraId="41885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69F2D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F41C4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30426F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A0968D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20D9E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2CE6D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AED38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6742B0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严格执行相关政策，保障工资及时、足额发放或社保及时、足额缴纳，预算编制科学合理，减少结余资金</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D79D04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按时足额发放抚恤金及丧葬费，发放覆盖率100%，保障政策落实到位。</w:t>
            </w:r>
          </w:p>
        </w:tc>
      </w:tr>
      <w:tr w14:paraId="534F90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70597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E03C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C6E99F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严格按照政策规定，完成相关人员的抚恤金和丧葬费核算与发放工作。</w:t>
            </w:r>
          </w:p>
        </w:tc>
      </w:tr>
      <w:tr w14:paraId="2E0859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9EC73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864B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F53F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131B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32F7B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8A3E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44BE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2E57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069E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121F0F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299CC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FDDB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FE61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0E5C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53.49</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A13B5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53.49</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1F42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B04C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8C2C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8EBC7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366F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E2A41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AA29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B9D8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B539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53.49</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9CECA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53.49</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2006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913F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583F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D557A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4F15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7E0FD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A6C8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AAFA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068F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4BEE8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4D31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019B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51FE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B9CC0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51ED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34D17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5694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4FFA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6CDF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B6C4F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0168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D1C4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D67B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EF065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49BD5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0EB33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34B9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145E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D506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753B4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2E78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EF66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13CC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62129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0147B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E8AEB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A956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4733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2897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D51D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80D6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1CF5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56B6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A08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22D7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2885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1E144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FCC56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A41F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0A8E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EE27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发放（缴纳）覆盖率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DA37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88D6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5BC7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6834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53EF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20D8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E0EF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9057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07B7D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CB39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6FE8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3924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足额保障率（参保率）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8C4E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8E79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3B4C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20C0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4403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544F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AA74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792A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ADFF3D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76F7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DAC1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D2FA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5EDF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6423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E178B1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4AF8B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AC0D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80461F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6A7FC5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CE6A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09B52C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0C14B7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31B8B6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892812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26F16D0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br w:type="page"/>
      </w: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6"/>
        <w:gridCol w:w="976"/>
        <w:gridCol w:w="1482"/>
        <w:gridCol w:w="1536"/>
        <w:gridCol w:w="967"/>
        <w:gridCol w:w="1225"/>
        <w:gridCol w:w="984"/>
        <w:gridCol w:w="1396"/>
        <w:gridCol w:w="1053"/>
        <w:gridCol w:w="1225"/>
        <w:gridCol w:w="1056"/>
      </w:tblGrid>
      <w:tr w14:paraId="20E5EA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7763AF5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4ECBFBA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46C5179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0E3D7B2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0B3B95D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3DA5BB7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7BF40A4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697EC5A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23C755D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34470DF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4613033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B406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EB3A807">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457B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BEA8D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0B06C2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51320022R000005203810－追加州级部门建房补贴</w:t>
            </w:r>
          </w:p>
        </w:tc>
      </w:tr>
      <w:tr w14:paraId="13DE5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7FA9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0218D2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6B0E5D0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532A8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州市场监管局</w:t>
            </w:r>
          </w:p>
        </w:tc>
      </w:tr>
      <w:tr w14:paraId="1AB1E8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42F61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A8A1B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B4D5FB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2C56FD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1A64A1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B3E70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0198B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7898E4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严格执行相关政策，保障工资及时、足额发放或社保及时、足额缴纳，预算编制科学合理，减少结余资金</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A3E829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按时足额发放建房补贴，发放覆盖率100%，保障政策落实到位。</w:t>
            </w:r>
          </w:p>
        </w:tc>
      </w:tr>
      <w:tr w14:paraId="54926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3AC1A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96BA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5398F7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根据相关政策，完成符合条件人员的建房补贴申报审核与发放工作。</w:t>
            </w:r>
          </w:p>
        </w:tc>
      </w:tr>
      <w:tr w14:paraId="6936B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75FF9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E4CA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FEB3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BACF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52358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1907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63C2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7136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F2A5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3320F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692D6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093E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D05C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568A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58D45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23D5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2EE6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65A4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9C270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F0D90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29F54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72B9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72B0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42B2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C2F65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5301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28AD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7218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5BA80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08F7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FC02C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20AC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050B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4819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63A67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4360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D605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21D6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09E38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CB867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E947F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7C18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6AAA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5CD0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AC4C8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3DF3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1B9A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DF38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1C2D8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CCB6E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D0DC3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C660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432E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4F75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D4A62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7027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540B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5D93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7841D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E6BEA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B143A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6148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66DF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55A4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413B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AABB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A966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B4F7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41CE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03E0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FF3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4CC02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8A968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0109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53BA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13CE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发放（缴纳）覆盖率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4A99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40D3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C9B0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2480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3BB3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B739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F044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CC39B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D04ED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735A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60BE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8CB8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足额保障率（参保率）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9AAF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28B5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1A74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D117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6237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B61E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C92D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E530F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F9B003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4BDD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A69F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693B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1C1B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063D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C66E45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54080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1120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A7555D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6A490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5F3C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549D86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732897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BE2BCC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C5F4EE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11DFC74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br w:type="page"/>
      </w: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6"/>
        <w:gridCol w:w="976"/>
        <w:gridCol w:w="1482"/>
        <w:gridCol w:w="1536"/>
        <w:gridCol w:w="967"/>
        <w:gridCol w:w="1225"/>
        <w:gridCol w:w="984"/>
        <w:gridCol w:w="1396"/>
        <w:gridCol w:w="1053"/>
        <w:gridCol w:w="1225"/>
        <w:gridCol w:w="1056"/>
      </w:tblGrid>
      <w:tr w14:paraId="63DA9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2A375D3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7E14C59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0794917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7BF4BCE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2A96784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2175591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5513F7A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0565F3D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49AA3D5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2359275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0ACE006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2349C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87C296B">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37321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284FB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70D0EA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51320022T000000326175－网络交易定向监督经费</w:t>
            </w:r>
          </w:p>
        </w:tc>
      </w:tr>
      <w:tr w14:paraId="2CADE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376D9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04E776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29C1860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C0EBC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州市场监管局</w:t>
            </w:r>
          </w:p>
        </w:tc>
      </w:tr>
      <w:tr w14:paraId="2E4AD7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97B04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40C3B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5E0F54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8F3FF3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0370E5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E841C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F63A3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C70905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依据《中华人民共和国电子商务法》《网络交易监督管理办法》等法律法规，依法开展网络交易信息定向监测工作，不断规范电子商务经营行为，有效净化全州网络市场环境。</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1A6135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完成网络交易定向监测2次，监测覆盖5个以上平台，监测覆盖率90%，网络交易环境持续优化。</w:t>
            </w:r>
          </w:p>
        </w:tc>
      </w:tr>
      <w:tr w14:paraId="5EBD8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6EF71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6FB3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AE10D2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依据《中华人民共和国电子商务法》，组织开展网络交易信息定向监测，规范电商经营行为，净化网络市场环境。</w:t>
            </w:r>
          </w:p>
        </w:tc>
      </w:tr>
      <w:tr w14:paraId="7BBD3F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3C05E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D7EB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964B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9893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E5D6A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0614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6F8D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432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3D3D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42D3FC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59691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C475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85C0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B2A4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4.97</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E86F8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4.97</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8013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95A8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9AB8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C3EDC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A1EDD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2E46B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74B0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3FAA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5E63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4.97</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73881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4.97</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9CE5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E3E9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7BF6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B968F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B373A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55455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D647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155D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FDA2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E0D93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64FE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71BF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8BA4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6DD30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DE00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56511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EDC0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ACD6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01F6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609AE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AA9F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8F8E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47F3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C5119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C490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5D887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EADE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78B0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F46B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337D3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B676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EAB5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FC4C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7CA14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B7E15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FDAAE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377B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3DDA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4F30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120F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D864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AFD1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9667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A6AB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CE66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4B16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6AB04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B11C0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4089B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27698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8E80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网络交易定向监测服务次数</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565A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E494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060A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次</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2AD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EEAB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D131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E206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BF97A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4A55E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EE2D2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407EA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AE6F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涵盖监测点数量</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1D83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A0B8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EE63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个</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5414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560A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8783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8FA6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6B320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5A7D7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FC197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485D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9768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参与活动商监测覆盖率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5367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E398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985B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8164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3786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EEA8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299A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C019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7A8DE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50E14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C5E6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时效指标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7CE4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完成时限</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90E4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8D41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8A20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A5F3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8924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920F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B716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9B78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57437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7DDEA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4D5A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C9C5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公平竞争的市场秩序</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B98E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9B49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逐步提高</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D0C1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CDDF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逐步提高</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B08C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7EBF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72C2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1C8DA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B3BA1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ED1B1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05FF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可持续影响指标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5E83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网络交易持续健康发展</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50E9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EA35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逐步提高</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D23B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883F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逐步提高</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7C29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F2B0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E26D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CA6C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3972D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A018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满意度指标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9207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服务对象满意度指标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3ACA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消费者对网络交易环境的满意度</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9AC9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C948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7A2B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A72D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68F1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6EE6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ABDD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AD6B5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0CF16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7857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成本指标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5696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经济成本指标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B1A5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定向监测成本</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A294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7826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376A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万元</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E214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8C60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1D12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155F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B1D09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82F00E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C163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B5B4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D1E4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D3BD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C303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CE6119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46AF83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54C8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5230C3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2DCB8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77FC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90E7DD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5F7DE4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EB558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93955B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097873C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br w:type="page"/>
      </w: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6"/>
        <w:gridCol w:w="976"/>
        <w:gridCol w:w="1482"/>
        <w:gridCol w:w="1536"/>
        <w:gridCol w:w="967"/>
        <w:gridCol w:w="1225"/>
        <w:gridCol w:w="984"/>
        <w:gridCol w:w="1396"/>
        <w:gridCol w:w="1053"/>
        <w:gridCol w:w="1225"/>
        <w:gridCol w:w="1056"/>
      </w:tblGrid>
      <w:tr w14:paraId="2C1BB3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162B60D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3B0CD7C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3EF15AA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633AF0A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40E096D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7A56D73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6B7B981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3D5600C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48B13F0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6EB2153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34D033B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1E96A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4390DE1">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BE9D1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1484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0EDF46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51320023R000009914893-工资性支出</w:t>
            </w:r>
          </w:p>
        </w:tc>
      </w:tr>
      <w:tr w14:paraId="5EEB3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9F551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A65B85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27AFD95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F155D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州市场监管局</w:t>
            </w:r>
          </w:p>
        </w:tc>
      </w:tr>
      <w:tr w14:paraId="6A6521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3EFF3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54A18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CBA040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1C268D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173D5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87C84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31130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0FC95B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严格执行相关政策，保障工资及时、足额发放或社保及时、足额缴纳，预算编制科学合理，减少结余资金。</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80B18F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按时足额发放职工工资，发放覆盖率100%，无拖欠、无差错。</w:t>
            </w:r>
          </w:p>
        </w:tc>
      </w:tr>
      <w:tr w14:paraId="65AE4C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F627B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B6CF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F8C886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严格执行工资发放政策，按月核算并发放职工工资及相关补贴，保障职工合法权益。</w:t>
            </w:r>
          </w:p>
        </w:tc>
      </w:tr>
      <w:tr w14:paraId="4352E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1CCE8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CD66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6A55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4AD4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9CE0C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A032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A6F7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EA2C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0767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1F6B60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4F10F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AA1B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9832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1,059.42</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A9E4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1,054.37</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09CAF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1,054.37</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0DFA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BC11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B3F4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67B8A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EDDD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FE7D8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507E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69B6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1,059.42</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DB1E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1,054.37</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54918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1,054.37</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C6F9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1AA4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C135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0A8F8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0BED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2D65A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8A9A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A719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5726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BD2A5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01CC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756A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DE31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C472D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7FA4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A1924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0E80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DDDD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5038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B3470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E7C9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5382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18BF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9088F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485FB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8B16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F3FA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3804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48C8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08493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5060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11C1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BBF9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65EC4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8D6CA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15314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AB11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052C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2C86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4643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CC61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AA79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0008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ACBA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B986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AA48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5F5A3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1401C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7278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0C1C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191F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发放（缴纳）覆盖率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EECA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3E0A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FAC5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8409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716D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FF35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CD72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B8DB2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CEB9D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2F90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AC18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0104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足额保障率（参保率）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ADE5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A6F6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672D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C30F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EDDA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A52E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7ED2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85E35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37348B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207A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05C7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81AB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E5FAB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99D3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B6B3D1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435FA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3379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62D696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3C8AF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0344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E91D66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1CAC4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C22672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83C7BB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083F2E9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br w:type="page"/>
      </w: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6"/>
        <w:gridCol w:w="976"/>
        <w:gridCol w:w="1482"/>
        <w:gridCol w:w="1536"/>
        <w:gridCol w:w="967"/>
        <w:gridCol w:w="1225"/>
        <w:gridCol w:w="984"/>
        <w:gridCol w:w="1396"/>
        <w:gridCol w:w="1053"/>
        <w:gridCol w:w="1225"/>
        <w:gridCol w:w="1056"/>
      </w:tblGrid>
      <w:tr w14:paraId="17AA4E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59DB739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71FD903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075C278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5E7238D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701971F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37C3690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1E1FD7C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0CCACD9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2E0552E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53F2CCA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72C50E6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8FC8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4461B6A">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2BC6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97102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45AEA5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51320023R000009915221－单位缴费</w:t>
            </w:r>
          </w:p>
        </w:tc>
      </w:tr>
      <w:tr w14:paraId="030990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9D74D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F50CF8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0D64E6B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42879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州市场监管局</w:t>
            </w:r>
          </w:p>
        </w:tc>
      </w:tr>
      <w:tr w14:paraId="685A88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1483B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D8096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195BBD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A748C3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30506C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D7A13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D2B18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C830B0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严格执行相关政策，保障工资及时、足额发放或社保及时、足额缴纳，预算编制科学合理，减少结余资金。</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D80657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按时足额缴纳职工社保、公积金等，缴纳覆盖率100%，保障职工权益。</w:t>
            </w:r>
          </w:p>
        </w:tc>
      </w:tr>
      <w:tr w14:paraId="5D505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E37E9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A055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A63881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按规定完成职工社会保险、住房公积金等费用的核算与缴纳工作。</w:t>
            </w:r>
          </w:p>
        </w:tc>
      </w:tr>
      <w:tr w14:paraId="364519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F9641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DDCA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BA13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699A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B0E04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5A39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06DA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E947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7097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77BC3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069D1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F2DF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AFD7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688.09</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4F00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647.93</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EEBFF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647.93</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A702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203F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FBAA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45ECB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11C8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F330D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B498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BEB0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688.09</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3097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647.93</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8F6CF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647.93</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A8A7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F0FE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F3F4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D46F1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34C5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B598D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21A5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2165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F89A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E1953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F395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4A20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6372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61644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2219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71FDA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9082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AAD9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2F01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BDF18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63B0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5981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0C23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9D3A5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F54BE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356BA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2980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E521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97C8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600D9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1530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4B32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F73F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42A5E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0E6C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F16C7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F3A0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9EE0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2358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289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5E95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CDD7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A40F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2920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4A6E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6421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493A1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DC279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1D6D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55C1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528E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发放（缴纳）覆盖率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99EA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E5EE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4C3A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3AED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CC0F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03FC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38CE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B131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F8D5E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B7E4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F411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5206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足额保障率（参保率）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066E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E381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EA45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AA14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8A62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91FA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D153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2F528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87198C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F925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E40D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48B1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10F76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CBE7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45B1C7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6424A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4916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F7EF80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6FE9E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2691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F34701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56FAD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31D8DB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EE54EF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44727B7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br w:type="page"/>
      </w: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6"/>
        <w:gridCol w:w="976"/>
        <w:gridCol w:w="1482"/>
        <w:gridCol w:w="1536"/>
        <w:gridCol w:w="967"/>
        <w:gridCol w:w="1225"/>
        <w:gridCol w:w="984"/>
        <w:gridCol w:w="1396"/>
        <w:gridCol w:w="1053"/>
        <w:gridCol w:w="1225"/>
        <w:gridCol w:w="1056"/>
      </w:tblGrid>
      <w:tr w14:paraId="49160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7EF62EF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129798E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5DD794D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0273343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3AB4CD3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3B8DD2C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16BA9A7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08394FF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670FEDA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0D4E858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0452F4F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9CDA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C77B3CB">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1903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A7456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EB611E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51320023R000009915925－聘用人员经费</w:t>
            </w:r>
          </w:p>
        </w:tc>
      </w:tr>
      <w:tr w14:paraId="07BA5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67B8B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390E5A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6A78AB0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E73C7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州市场监管局</w:t>
            </w:r>
          </w:p>
        </w:tc>
      </w:tr>
      <w:tr w14:paraId="292E13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3EEF7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680F5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668487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B701E4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70D24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03426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D7F46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A90A80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严格执行相关政策，保障工资及时、足额发放或社保及时、足额缴纳，预算编制科学合理，减少结余资金。</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7FEC60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按时足额发放聘用人员工资及缴纳社保，发放覆盖率100%，保障聘用人员权益。</w:t>
            </w:r>
          </w:p>
        </w:tc>
      </w:tr>
      <w:tr w14:paraId="3351D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E6730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6B9C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2B8954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根据聘用合同和相关政策，完成聘用人员工资发放和社保缴纳工作。</w:t>
            </w:r>
          </w:p>
        </w:tc>
      </w:tr>
      <w:tr w14:paraId="5EF97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4AA46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6E98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2FC5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19B6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A845D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83F2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D5AB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B5F3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23B3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5D8400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618E3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037F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A25F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56.39</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F609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46.76</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26FF5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46.76</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5CD3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BC77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5C4D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C3851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CB13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EB6C4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EF12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955B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56.39</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BA2B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46.76</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82E7C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46.76</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5CC3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CB2C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93B6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69349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23EB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82A91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C296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AA7B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CBC4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C9E14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23BF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E150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9890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B3B5F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87951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9F309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0697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3174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A744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8846A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C414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2283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6295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856B5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FF57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AA917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6CD2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0BC8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1876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9258E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98C4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18AE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0B37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F00A3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B7FC3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0EE7A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1000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7EDE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D609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62D6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9777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5E7B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D827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ED8F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2430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B915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13191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1D25B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DDE9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949C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5593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发放（缴纳）覆盖率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3014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0EA2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68D4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C211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00E3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C968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D47F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5A306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27C22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F419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00F1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99C5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足额保障率（参保率）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D120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3E98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30C0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7730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9307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0A55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8B97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302A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6768BF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52A7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0695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8E56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A4EB3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44C6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DF451C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472746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0BB6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CF9756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58314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6FAC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ED444C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44F76D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4D499F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CD10E9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4B52541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br w:type="page"/>
      </w: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6"/>
        <w:gridCol w:w="976"/>
        <w:gridCol w:w="1482"/>
        <w:gridCol w:w="1536"/>
        <w:gridCol w:w="967"/>
        <w:gridCol w:w="1225"/>
        <w:gridCol w:w="984"/>
        <w:gridCol w:w="1396"/>
        <w:gridCol w:w="1053"/>
        <w:gridCol w:w="1225"/>
        <w:gridCol w:w="1056"/>
      </w:tblGrid>
      <w:tr w14:paraId="5D594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6BDC257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164F21D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728632F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16F81A1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043F822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773448C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37F8FEB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5B93D46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75DC1D6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5884568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175C9C2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4536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2D9F95B">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57C10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5346C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0037E1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51320023T000007878971－民营商广及知识产权</w:t>
            </w:r>
          </w:p>
        </w:tc>
      </w:tr>
      <w:tr w14:paraId="0EFEA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3BF70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5E183F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672C9EE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89E2E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州市场监管局</w:t>
            </w:r>
          </w:p>
        </w:tc>
      </w:tr>
      <w:tr w14:paraId="30059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578C1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E48A0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9E0CA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67C5D6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023BB1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13DFB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436BB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C8A27E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推动市场主体积极、自觉年报。2.对全州市场监管领域相关部门开展联合“双随机、一公开”检查，实现监管全覆盖、常态化，抽查比例不低于5%”。3.省、州“十四五”知识产权保护和运用规划重点任务持续推进。4.全州营商环境知识产权指标评价得分明显提升。5.城市县域知识产权工作进一步深化，企事业单位知识产权创造质量、运用效益、保护效果、管理水平进一步提升。6、省、州“十四五”民营经济发展规划重点任务持续推进。7、优化民营经济营商环境。8、持续推进“小个专”党建工作，发展非公有制经济党员，党员数有所提高，基层党组织有所提高。投诉处理率达到95%以上</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9FD0A5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完成知识产权宣传、民营经济宣传、“双随机”抽查等工作，年报率达90%以上，企业满意度达80%。</w:t>
            </w:r>
          </w:p>
        </w:tc>
      </w:tr>
      <w:tr w14:paraId="61B9B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79297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66FB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F7E227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组织开展知识产权宣传、民营经济服务、“小个专”党建等工作，推动市场主体健康发展。</w:t>
            </w:r>
          </w:p>
        </w:tc>
      </w:tr>
      <w:tr w14:paraId="69F080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DFE5D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1715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DA5F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4A12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A895A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6B1F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A3AB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F716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4A93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106474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69086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E9BC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1AD8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306F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EF504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C73D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B445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0E51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78531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A018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5353F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F0BB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B874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E401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C08B1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69FB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469A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7745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ADAB8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8DEFD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ACDB4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EA81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1ADC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5CCD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28440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6110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1437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78A3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9FC57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9CC4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500B8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5958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F37B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64C6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AA94D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158E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DB87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B6E7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1110C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783F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98444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7C48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AB12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8D3F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8EAA8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6058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9426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79A5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3C920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F6C7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CE5AE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2758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6F4D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0AFC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ED58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C4A9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11E6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969C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4303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D582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8339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49275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A213F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EBFF6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BD47A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B570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数量指标知识产权宣传数量</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864A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F550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5122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次</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9AF8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1BB5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7A2A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DA69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25AC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6844D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5FD3F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FBCD7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856A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民营经济、小个专党建宣传次数</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192E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3848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17D3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次</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DEB1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A651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E303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7F5C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E164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BD9CA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0066C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3B608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E533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每万人口高价值发明专利拥有量</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6EAA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4D6E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2BAE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件</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EA1A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0.5</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C99E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6047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6A24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DEB1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CDDAB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AA9B3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36C0D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0D39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“双随机、一公开”企业抽查率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71EE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7332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32A7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7557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CFF1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1535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B0E4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BD1B6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09502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2F6CA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1FA3F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760C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年报率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0BCD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9BB9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F0B4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82BD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71C7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4BB8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AA0F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D138A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33262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52E95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48A2D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时效指标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3DF7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投诉处理及时率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90C2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A94E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1211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4A69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2FC2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7AD6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ABAA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0A8F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C4249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841E3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57771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9389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完成时间</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C24B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32F1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73DE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C185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2862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96A1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EEF5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96E2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92D35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4022D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9B7BE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7222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知识产权营商环境</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BF86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C9C5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明显优化</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2E67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481D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明显优化</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DFE1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00C2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0740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BD54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B4938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CE731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FBB53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385A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公平竞争的市场秩序</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5FC2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7382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稳中向好</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5B0A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AB69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稳中向好</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6F87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195C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AA4A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BA158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7EA5B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69B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满意度指标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154E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服务对象满意度指标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1D89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企业满意度</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1B44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0D25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3135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5328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59B4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ACC9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4500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44942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BA309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3C46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成本指标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594E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经济成本指标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8603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项目预算执行率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2E5D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4EC9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1CA7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C9CA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AAA6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6172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1E7B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0A18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7AABA3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B12D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E060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438D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07E6E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2092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932B02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7914C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B6E0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07955C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38B3D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64E4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13C402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04F0A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5F0C32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6BDC57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46B8572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br w:type="page"/>
      </w: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6"/>
        <w:gridCol w:w="976"/>
        <w:gridCol w:w="1482"/>
        <w:gridCol w:w="1536"/>
        <w:gridCol w:w="967"/>
        <w:gridCol w:w="1225"/>
        <w:gridCol w:w="984"/>
        <w:gridCol w:w="1396"/>
        <w:gridCol w:w="1053"/>
        <w:gridCol w:w="1225"/>
        <w:gridCol w:w="1056"/>
      </w:tblGrid>
      <w:tr w14:paraId="72091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35DE2D9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5E68BC6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1E7CE7A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6A8A546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4EBAD89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1FE5FB3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35C97F4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5B0C1CB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1613008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28BFD53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5453ED3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635A3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36C0739">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6ECD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4AD52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D85941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51320023T000008054761－弥补消委会经费补助</w:t>
            </w:r>
          </w:p>
        </w:tc>
      </w:tr>
      <w:tr w14:paraId="3973F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FED6D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9CBF06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4BAE652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73C5F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州市场监管局</w:t>
            </w:r>
          </w:p>
        </w:tc>
      </w:tr>
      <w:tr w14:paraId="12795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274C4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2125D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F4FC76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DBA377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1336C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0C8FF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49519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4A52DF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2024年改善消费维权环境。坚持“有诉必接、快速反应、及时处置”的工作理念，受理咨询投诉举报6123件，投诉调解成功率77.96%，高于全国平均水平24.17%。2025年开展组织建设、宣传活动及到省、县（市）开展业务工作进一步完善组织建设，发挥桥梁纽带作用，通过宣传活动引导消费者科学、合理、环保消费，督促经营者诚信经营，及时化解消费纠纷，维护本州消费者及进州旅游消费者合法权益，营造安全放心的消费环境。</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793A74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受理消费投诉6000件以上，调解成功率77.96%，开展宣传活动2次，消费者满意度达90%。</w:t>
            </w:r>
          </w:p>
        </w:tc>
      </w:tr>
      <w:tr w14:paraId="2BDDDA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C7513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EBED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65592D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开展消费维权宣传、投诉受理与调解工作，提升消费环境和服务水平。</w:t>
            </w:r>
          </w:p>
        </w:tc>
      </w:tr>
      <w:tr w14:paraId="6E7B64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1FE07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89F7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7EFA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9009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F8FB5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142D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0E03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FC5E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88C0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10DD1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51F7D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AB63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C178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B7F6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95472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0BC0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8EE0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2F73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5882E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A877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8DFA3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A012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E6BF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09FF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9906F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1A15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06DD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2BD1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33A9C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C0763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471DC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7415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7DD3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26BB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0715E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9D91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87BA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506D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476B4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13741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73B21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9B56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5244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A044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C3486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423B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13A3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6C7D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D11F2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7E8D8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FD321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09CC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3953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4CF1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B9BC5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C228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453E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C8A8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E8BB7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BBB9D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953DC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CD86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2096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E9E2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1B06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D572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5B60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BE2B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A66A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0A17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E8DD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41BACD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DE1DE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62EEA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B947D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4DA4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消费宣传教育、引导活动次数</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2BCD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F7F7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E646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次</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7FBB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1B25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EF8D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0558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0D37E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BCE32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BB599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040BB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0344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受理消费投诉数量</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EA20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99F3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5E12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件</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7F83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8C52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0F2C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EA12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E2CD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C15F3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F5973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1EBD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0415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消费投诉调解成功率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3B56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72C6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77.96</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A383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7154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77.96</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F70B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3D7A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EC16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114D9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41277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A2710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85AB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时效指标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D5AF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项目完成时间</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C905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CCF2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B50F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0333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1F9E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FEEF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11DC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0A681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DE4D9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7C88A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8AA4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3CCD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消费者维权知识知晓率提升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3C99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B567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E9F8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B16C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8B24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071B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C7F2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394D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BBCC4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995B9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4623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可持续发展指标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3D9C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安全放心的消费环境</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C55D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46B0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明显改善</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95FC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9D1D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明显改善</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AEE4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C306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5FEA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F255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54399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BCA4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满意度指标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080B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服务对象满意度指标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A885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消费者满意度</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F19A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78B6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957C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22AC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C6E1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821E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6AAB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3DB5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116A6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0FAD9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成本指标</w:t>
            </w:r>
          </w:p>
        </w:tc>
        <w:tc>
          <w:tcPr>
            <w:tcW w:w="14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41850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经济成本指标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57EF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项目预算执行率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73AF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85FC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7F27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0674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2A82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4DD3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1740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B3E1B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5545A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41000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3B84F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75FD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宣传品成本</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AF5A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A7C7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D0A6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元/套</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B134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119E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981A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0A35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6A4E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C6902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79CAD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E24CC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44A1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宣传资料成本</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850F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FA0B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343D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元/张</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D56B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4205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0AF5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637A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8B2C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4158E2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BB6B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B7D7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88C7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4A63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68C9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1BB01B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03BFEE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93A2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721717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312F3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9828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B57079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4225BE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EEC1D2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29E3FB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5C68D5D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br w:type="page"/>
      </w: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6"/>
        <w:gridCol w:w="976"/>
        <w:gridCol w:w="1482"/>
        <w:gridCol w:w="1536"/>
        <w:gridCol w:w="967"/>
        <w:gridCol w:w="1225"/>
        <w:gridCol w:w="984"/>
        <w:gridCol w:w="1396"/>
        <w:gridCol w:w="1053"/>
        <w:gridCol w:w="1225"/>
        <w:gridCol w:w="1056"/>
      </w:tblGrid>
      <w:tr w14:paraId="62F4D6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01FCA9D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7273A6B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1B0A187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7781E54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42B7132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4BCE120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387DDCD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15A4C72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1EF4965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4795622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073323A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9F6A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736E579">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0C91D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A069B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BE3897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51320023Y000009917272－日常公用经费</w:t>
            </w:r>
          </w:p>
        </w:tc>
      </w:tr>
      <w:tr w14:paraId="6ABA68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D9936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674F5E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2F64B13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9F370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州市场监管局</w:t>
            </w:r>
          </w:p>
        </w:tc>
      </w:tr>
      <w:tr w14:paraId="74F38E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4B9F2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BF0CF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E2D9E0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7F7A8A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51C05E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CD489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F3007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8ED464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提高预算编制质量，严格执行预算，保障单位日常运转。</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54010B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预算编制准确，科目调整控制在5次以内，“三公经费”控制率100%，单位运转保障有力。</w:t>
            </w:r>
          </w:p>
        </w:tc>
      </w:tr>
      <w:tr w14:paraId="11262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C5807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C543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A415BC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严格执行预算，保障单位日常办公、会议、差旅等基本运转需求。</w:t>
            </w:r>
          </w:p>
        </w:tc>
      </w:tr>
      <w:tr w14:paraId="6DF78E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7548E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19C7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FAA9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BF0F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BB917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0C7F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606F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1573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51E6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3AD2F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073B6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9363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E05A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299.74</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3C54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299.74</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3E19B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299.74</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3693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4706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2A0E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E2623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4808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EF990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636F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E2BB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299.74</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8874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299.74</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380EF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299.74</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FB64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34DF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FDE1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BC8D6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BF78B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497C9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8258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D7B4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144F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A33CF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21B8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84E3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487C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A28A9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CC5CE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0D535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43B0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2448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4075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6D430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BC8C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6E3C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1665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DA24B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CEF6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5A55C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F7BB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3306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C0C4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EFC84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02C2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BD81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25C1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D4AE5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8FA8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12E2C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DAB9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AE48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E846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D6C5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301C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2A76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CC01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1D05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0D76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177A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3236EC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8640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760FF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51F4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F70A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科目调整次数</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4350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31E7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1B59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次</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7675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5685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8EE9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9C68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AE4A3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1567C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12B5A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5CB3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3AC9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预算编制准确率（计算方法为：∣（执行数－预算数）/预算数∣）</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81E3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E2EA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22F0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4AC0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78DA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24BD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43E4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EC75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D9C5E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D15EB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8795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经济效益指标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8FAC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“三公经费”控制率[计算方法为：（“三公”经费实际支出数/预算安排数]×100%）</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F7DE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7B1D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7F53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FFB2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63F1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3D85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FFBC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1659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A3A15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D0A02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2542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0104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运转保障率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9BD1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8706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6833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F471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98B2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887D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84AE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B4025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713884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5A6C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FAC1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AB20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EE87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8D3F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2BE042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7C4D7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1A97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2BF867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0552DA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A2D5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641795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18F354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144460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761C31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1566493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br w:type="page"/>
      </w: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6"/>
        <w:gridCol w:w="976"/>
        <w:gridCol w:w="1482"/>
        <w:gridCol w:w="1536"/>
        <w:gridCol w:w="967"/>
        <w:gridCol w:w="1225"/>
        <w:gridCol w:w="984"/>
        <w:gridCol w:w="1396"/>
        <w:gridCol w:w="1053"/>
        <w:gridCol w:w="1225"/>
        <w:gridCol w:w="1056"/>
      </w:tblGrid>
      <w:tr w14:paraId="60374B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7B44AC2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3D6A125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08D3E59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7B37E97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0DDAF1A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27EC242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5E1D962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04B7A8A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540D04E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448F11B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709220F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204D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174C9C8">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BC73D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99D0F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9F4F10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51320024R000010654621－退休人员经费</w:t>
            </w:r>
          </w:p>
        </w:tc>
      </w:tr>
      <w:tr w14:paraId="7B803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22094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BD8B4F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0E6EF28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31E45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州市场监管局</w:t>
            </w:r>
          </w:p>
        </w:tc>
      </w:tr>
      <w:tr w14:paraId="2469C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11526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EE505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D7C373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05E9F5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25838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67F34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D0C60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053C9F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严格执行相关政策，保障工资及时、足额发放或社保及时、足额缴纳，预算编制科学合理，减少结余资金。</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85270A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按时足额发放退休人员待遇，发放覆盖率100%，保障退休人员基本生活。</w:t>
            </w:r>
          </w:p>
        </w:tc>
      </w:tr>
      <w:tr w14:paraId="608C96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D94C9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0AC1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7402B2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根据退休人员政策，完成退休金、补贴等费用的核算与发放工作。</w:t>
            </w:r>
          </w:p>
        </w:tc>
      </w:tr>
      <w:tr w14:paraId="6306BD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75ADE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E939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CF48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6456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CA69C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7F40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D649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E0D1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0743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034ED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58F7F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6D2C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8FB1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342.96</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A613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332.19</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5EBFE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332.19</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9AC8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C239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3B60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3E32A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86884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F8AD3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C0CA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98A5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342.96</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7140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332.19</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0098C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332.19</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468C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DC6E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88C1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F68C5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2E55F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5AF0A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A920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BACE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D435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AD44C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C60E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B1B0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0A37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19D6F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F7843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6ECC5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1DAC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9BC3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D134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CCBB7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F335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6635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2BB3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7A3CE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65F23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72D6A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658B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2110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1279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6807C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0141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2B1C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9296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3E9BF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7979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160F7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48F8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E6E0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245F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567B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042D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0FCC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F6B8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BC30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7A6C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9EEE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453682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BDF2D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7A28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1940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41AB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发放（缴纳）覆盖率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27DE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CB1D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AF53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A214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35C9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6D21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D3CF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E018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3177D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FD71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99FD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680E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足额保障率（参保率）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C2B4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7329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672C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B0D8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A221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C376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68FD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A2C0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B8FDAA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3B8F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6744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729B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0D39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7083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0AB22A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6F8EC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60DF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939BB4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2C693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F98A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A9D12F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0E69F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B65431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BD4662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55F69D5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br w:type="page"/>
      </w: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6"/>
        <w:gridCol w:w="976"/>
        <w:gridCol w:w="1482"/>
        <w:gridCol w:w="1536"/>
        <w:gridCol w:w="967"/>
        <w:gridCol w:w="1225"/>
        <w:gridCol w:w="984"/>
        <w:gridCol w:w="1396"/>
        <w:gridCol w:w="1053"/>
        <w:gridCol w:w="1225"/>
        <w:gridCol w:w="1056"/>
      </w:tblGrid>
      <w:tr w14:paraId="5F333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72B7750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305CED4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3113E37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24DB466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7E9175E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3970FC9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4EA90CD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17A42FE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57FDB8C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1915482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0FFC9FF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9D49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BCE3E15">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32827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5F4E2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3C8DA9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51320024R000010655518－目标绩效奖（行政按月随工资发放70%部分）</w:t>
            </w:r>
          </w:p>
        </w:tc>
      </w:tr>
      <w:tr w14:paraId="1571F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ADA90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5FC1FA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5F73465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EAF83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州市场监管局</w:t>
            </w:r>
          </w:p>
        </w:tc>
      </w:tr>
      <w:tr w14:paraId="3D94E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545E8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C25C6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3C556A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3F0672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1778BB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1E695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F4736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E2271E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严格执行相关政策，保障工资及时、足额发放或社保及时、足额缴纳，预算编制科学合理，减少结余资金。</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172A50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按时足额发放目标绩效奖，发放覆盖率100%，保障干部职工积极性。</w:t>
            </w:r>
          </w:p>
        </w:tc>
      </w:tr>
      <w:tr w14:paraId="4D457A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5F44F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0BFB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3520DC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根据绩效考核结果，按月完成目标绩效奖的核算与发放工作。</w:t>
            </w:r>
          </w:p>
        </w:tc>
      </w:tr>
      <w:tr w14:paraId="5C73B2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FFCC0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261D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E165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6B22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F0F8E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12C2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A240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C907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867D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61717B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8B5D8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272A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7A54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425.48</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6F06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425.48</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0759C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425.48</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8F88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F91E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0075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9B680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7E51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6712F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EC6F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ADFB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425.48</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B5A6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425.48</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23F40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425.48</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23B0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B0A0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B0E5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5F19B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315C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ABA97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A879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12C8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5352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73A50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DA04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95C5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7FF0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F10B5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F6891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426AE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C3DF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84FB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F1EF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BFB78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735C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9E13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A18C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93992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E67A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7C405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D457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3C0E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7CEA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94942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9FEC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CF40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FC72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9589C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DFB1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9261C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4852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4434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CD82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4492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E8E7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AA2C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F060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66F0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4796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5C93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6CF39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847B9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C8C4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2B25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C896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发放（缴纳）覆盖率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9BE4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A38B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4428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0105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FE19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4019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FCDA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C320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119B8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5870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E5C4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3031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足额保障率（参保率）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1CB3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78D4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6832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015D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4773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9E13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5563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E68C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77A5D6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7964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3B42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DE81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6A44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AFE1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609382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13A5D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DC24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BA4A2C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4D638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33BA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5AB5C3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01EF00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42742F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E20F34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6E565D2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br w:type="page"/>
      </w: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6"/>
        <w:gridCol w:w="976"/>
        <w:gridCol w:w="1482"/>
        <w:gridCol w:w="1536"/>
        <w:gridCol w:w="967"/>
        <w:gridCol w:w="1225"/>
        <w:gridCol w:w="984"/>
        <w:gridCol w:w="1396"/>
        <w:gridCol w:w="1053"/>
        <w:gridCol w:w="1225"/>
        <w:gridCol w:w="1056"/>
      </w:tblGrid>
      <w:tr w14:paraId="45BB6B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272EE6A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7150293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7426B07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5CDB5A1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40E7DB5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130AB76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78CD0CB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6C6DBEF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6A20F2D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6BC3144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603171D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00DF2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8052E76">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D3B9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896C4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DF2BA5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51320024T000012032363-2024年市场监管专项资金</w:t>
            </w:r>
          </w:p>
        </w:tc>
      </w:tr>
      <w:tr w14:paraId="4E49B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2DC8B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264583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1DD1A72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45ADB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州市场监管局</w:t>
            </w:r>
          </w:p>
        </w:tc>
      </w:tr>
      <w:tr w14:paraId="47011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5BF7C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909E1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441E7F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E52E03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6C1DCF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13DBF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669C4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0B73CE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2024年按照省市场监管局年度重点工作任务，完成食品抽检监测、工业产品质量安全监管、“铁拳”暨“春雷”行动、市场监管综合业务等工作。</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EB50FF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完成食品抽检、特种设备检查、“铁拳”行动等任务，信息公布率和处置率均为100%，无重大安全事故。</w:t>
            </w:r>
          </w:p>
        </w:tc>
      </w:tr>
      <w:tr w14:paraId="03F98D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A5B22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3502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F852ED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按照省局部署，完成食品抽检、特种设备检查、放心舒心消费创建等工作，提升市场监管效能。</w:t>
            </w:r>
          </w:p>
        </w:tc>
      </w:tr>
      <w:tr w14:paraId="7EE277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EA1E9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B53E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F142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E75D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28C94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FBF8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166A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6872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5933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5679A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1DDE3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3462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8E8A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64D6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14.28</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D6A99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14.28</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BEC6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9DD3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1A8F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F1E00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63954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9826F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FC4E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74B3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259C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14.28</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49215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14.28</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5AB8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4D02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BF31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85A87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6CA0F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93ABE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1F9C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108F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E035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71C8E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FED1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F0B8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1620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D84E8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2CF4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8EF9B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3572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7183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B9D3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3D7EB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061D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6B77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7214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B022D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2589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29E27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9A64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4FE3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6291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FCA14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B74E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35ED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3BC0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C31E0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A1DC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AFF33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316B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4CAC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B3DD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903F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7D75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EF42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1C47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024B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DC58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2C03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26A3E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F2D61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94CBF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881B2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6A3E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省级普通食品抽检监测任务</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E1FE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5782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458</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F71D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批次</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A80F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458</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5A03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3376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4F29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4A765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8C1D2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A6F1E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4D158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5AFC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特种设备安全现场检查</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9691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E957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54B3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家</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F76F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853C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E78E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A5A1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B644A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248A5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6609D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1DDA4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F3F4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“特拳”及“春雷”行动</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15F8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B692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85BA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90C2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B1EC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0365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F041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7B3E4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2C12B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431D2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326CB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DFE2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放心舒心消费示范单元提质升级的现场核查数量</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78B7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A783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ADD9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户</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5134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2918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EE2C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65CE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E3C6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E7707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288A6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2D3D0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C1D0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生产环节抽查合格率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4304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B35D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1059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9875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67A7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DA51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4457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F95E6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8E6BA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7F1A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4B461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C95D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食品抽检应公布信息公布率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9602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8374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7320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2F46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F312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97CF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3379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68F0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86718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EA165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47DD0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2413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抽检不合格食品核查处置率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3949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1471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1474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823A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FADB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F1A2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2D3B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585A3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F18D1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83520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F889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时效指标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9512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完成时间</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AF1D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DFB6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2024</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3D9B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AEA2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2024</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9841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E22A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7E54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E05F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94AFE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72D5C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9FEB2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09C4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辖区内与补助资金相关的重大食品安全监管责任事故发生数</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41DE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7031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D970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次</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ED4D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BEAD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CCC2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D182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95CC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ECEE8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3EE31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7F9A7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DAA5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公平竞争的市场秩序</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1F79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E8BE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稳中向好</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0E5A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71CE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稳中向好</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CD96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B7B3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6426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1A8C1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34908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0413A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726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可持续影响指标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4E0F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严守食品安全、工业产品安全、特种设备安全底线</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DDBA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7865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长期</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56F0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FA57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长期</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4422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E8A4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A24B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91BA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F4AA9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B53E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满意度指标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ADA8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满意度指标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44E1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公众对食品安全的满意度</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D265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3A13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75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B03A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分</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D458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75</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3EEF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F2BE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5C74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7EF5E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F99FA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D998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成本指标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49B5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社会成本指标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5546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食品抽检检测成本（每批次）</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2314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2946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1700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B9E0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元/个</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C350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1700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172E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3554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817C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2A54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13CA7C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65DE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92D5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0DDA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7BFAB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0321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E06C89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2C0790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7219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77D884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246AF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83A6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850524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15C9F6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30816B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91AFCF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35B985B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br w:type="page"/>
      </w: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6"/>
        <w:gridCol w:w="976"/>
        <w:gridCol w:w="1482"/>
        <w:gridCol w:w="1536"/>
        <w:gridCol w:w="967"/>
        <w:gridCol w:w="1225"/>
        <w:gridCol w:w="984"/>
        <w:gridCol w:w="1396"/>
        <w:gridCol w:w="1053"/>
        <w:gridCol w:w="1225"/>
        <w:gridCol w:w="1056"/>
      </w:tblGrid>
      <w:tr w14:paraId="3B0DB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1CFF218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51F61DB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57813AC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542C862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4559B73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162E06D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115BF6C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21F935A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04997B9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49E9658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605B19E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62EF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C0A447A">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9BF1B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C99E2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762AFD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51320025R000012338995－追加人员工资性支出</w:t>
            </w:r>
          </w:p>
        </w:tc>
      </w:tr>
      <w:tr w14:paraId="5CEEEE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8F3B1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6E2AB5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094636A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329A7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州市场监管局</w:t>
            </w:r>
          </w:p>
        </w:tc>
      </w:tr>
      <w:tr w14:paraId="2DC0C6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41993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AADB5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6ED20A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3390A2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30D9C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A1334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37AEF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8A4B74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严格执行相关政策，保障工资及时、足额发放或社保及时、足额缴纳，预算编制科学合理，减少结余资金</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E0611E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按时足额发放追加人员工资，发放覆盖率100%，保障人员待遇落实。</w:t>
            </w:r>
          </w:p>
        </w:tc>
      </w:tr>
      <w:tr w14:paraId="6F8941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2B605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887F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03CB97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根据人事变动和政策调整，完成追加人员工资的核算与发放工作。</w:t>
            </w:r>
          </w:p>
        </w:tc>
      </w:tr>
      <w:tr w14:paraId="04C261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168AA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1B23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12CC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C9E5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A2596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1F9B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450A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B223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102E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04D1B2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BFE9F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01CA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028D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82FA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74.93</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CCD8F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74.93</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D36C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70E5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9749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C5A2D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C281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2D865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2363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B28D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3582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74.93</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87744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74.93</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2152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5333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45BC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CAE76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D5D4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B8442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BE6D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281A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144D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1CDC4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AD1D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3842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E736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E0792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33693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82CFE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7ABE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547C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0E08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2BAA3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CB4F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1305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BAF9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15822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7499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4B057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1CBD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1B37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DEBC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ED4B7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A867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6C4B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6EB3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29492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9416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F65FC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1E29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4D58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9946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764B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CB05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D676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FDD2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4B6C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09E4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CE3F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68D12F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63ED8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78B0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BF1B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5A70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发放（缴纳）覆盖率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996E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CF79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E134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56C5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C40A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7B42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D0A8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2AC1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25422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C009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5F62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730F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足额保障率（参保率）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9970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C627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0949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A2BD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B02B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0486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4155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C380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BABA72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F80F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5328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C9B7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5CA0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12D6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390EFB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319CB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5551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F63ACC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2F03B3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463B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9E2318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4DD9D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DDF3A4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AE76FB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43BC4FA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br w:type="page"/>
      </w: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6"/>
        <w:gridCol w:w="976"/>
        <w:gridCol w:w="1482"/>
        <w:gridCol w:w="1536"/>
        <w:gridCol w:w="967"/>
        <w:gridCol w:w="1225"/>
        <w:gridCol w:w="984"/>
        <w:gridCol w:w="1396"/>
        <w:gridCol w:w="1053"/>
        <w:gridCol w:w="1225"/>
        <w:gridCol w:w="1056"/>
      </w:tblGrid>
      <w:tr w14:paraId="10690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57854AE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4DDC6FA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3445B5F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0718BF6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4BC66DC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52F2CB6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4E179EA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43833C5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4FC4BFC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3FC9DA9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2E972A0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48E1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6DE0A58">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602F9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F825E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F9289B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51320025R000012408768－年度考核奖（30%）</w:t>
            </w:r>
          </w:p>
        </w:tc>
      </w:tr>
      <w:tr w14:paraId="17546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F3A92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CF6856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671182D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461FD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州市场监管局</w:t>
            </w:r>
          </w:p>
        </w:tc>
      </w:tr>
      <w:tr w14:paraId="55D3C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F20E7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E2DE3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C81C85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AE2FA2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5BA65B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A80EF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FF4E7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E98454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严格执行相关政策，保障工资及时、足额发放或社保及时、足额缴纳，预算编制科学合理，减少结余资金</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EE9EC2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按时足额发放年度考核奖，发放覆盖率100%，激励干部职工积极作为。</w:t>
            </w:r>
          </w:p>
        </w:tc>
      </w:tr>
      <w:tr w14:paraId="35E887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81196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79DB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C08485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根据年度考核结果，完成考核奖的核算与发放工作。</w:t>
            </w:r>
          </w:p>
        </w:tc>
      </w:tr>
      <w:tr w14:paraId="4F031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CADCC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3181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3E15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B7F5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512C2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C7EE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19E7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35CE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6ED5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3A0B8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8F03F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9EEE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17AC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3C37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198.28</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B0FDD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198.28</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AD96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643D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6DC3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81D49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D9EC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6CA56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0193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DCEA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9CA4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198.28</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31CC1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198.28</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0C93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29FB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5A93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84180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8B3A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0BBE9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34B0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F9DD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A8FF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7971E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497A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47C9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BA45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08387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225F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B9495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7EEF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B65D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D966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88A96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BD67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ED1F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6D19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B25A5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0B16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F8922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99DB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F6D3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11A1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1645C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EC32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0111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D411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C84CC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326F0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58C2D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860A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DD53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75E6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6CDE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AD56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EB17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C2A6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5F88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991E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04D3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34026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03722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EE13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71D1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856A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发放（缴纳）覆盖率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6A9A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646C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7D35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F2F1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A04B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F064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2DF2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8FFF6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3BB39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2DE6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8242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EBF2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足额保障率（参保率）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8D1A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0E9F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B519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4CB2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5554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518E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6398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CB61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F3D871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30B6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6B10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9CF5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29420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1E98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2F5222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197D8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3671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664528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04962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BC2F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B812DD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01990A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B702E8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A2F282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7F80533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br w:type="page"/>
      </w: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6"/>
        <w:gridCol w:w="976"/>
        <w:gridCol w:w="1482"/>
        <w:gridCol w:w="1536"/>
        <w:gridCol w:w="967"/>
        <w:gridCol w:w="1225"/>
        <w:gridCol w:w="984"/>
        <w:gridCol w:w="1396"/>
        <w:gridCol w:w="1053"/>
        <w:gridCol w:w="1225"/>
        <w:gridCol w:w="1056"/>
      </w:tblGrid>
      <w:tr w14:paraId="2A56F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5A99210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4D364F5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053D650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764E61D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27483B3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40E7A6C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5DB53F1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58D0942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15AB1B1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4001F48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3E5A5FB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5CF1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ADAA1C4">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22218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4429F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BBD7FD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51320025T000012488942－标准综合监管经费</w:t>
            </w:r>
          </w:p>
        </w:tc>
      </w:tr>
      <w:tr w14:paraId="3E9319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9E240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6D3403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2B993C6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C392E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州市场监管局</w:t>
            </w:r>
          </w:p>
        </w:tc>
      </w:tr>
      <w:tr w14:paraId="452E7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32B31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F50D1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80EA54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4DFA73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45D56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D5F98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2A903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5BA031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督促开展对标准实施的监督检查、组织开展企业标准、团体标准双随机抽查、强制性标准宣传贯彻、开展标准实施信息调查反馈和效果评估工作、开展州级地方标准复审、开展地方标准审查备案工作、开展企业的对标达标工作。开展“天府名品”创建标准化、监督商品条码管理等工作。</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2367CB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完成地方标准复审20个、标准双随机抽查3项，标准引领作用持续增强。</w:t>
            </w:r>
          </w:p>
        </w:tc>
      </w:tr>
      <w:tr w14:paraId="221F35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D37D1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98EF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B2DA6C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组织开展地方标准复审、企业标准抽查、标准宣贯等工作，推动标准化战略实施。</w:t>
            </w:r>
          </w:p>
        </w:tc>
      </w:tr>
      <w:tr w14:paraId="0E932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80E6E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07A7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C648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49BC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C7AF6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3FE2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DA97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EBC8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8A56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3F9A6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B6B8C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A489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CEB3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9F2D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9.45</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198C1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9.45</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0445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2A6B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46DB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D829C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4835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2F97D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695F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8B9C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5E07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9.45</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B8C32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9.45</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97A8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58AF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FA68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21748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44EF6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DC14E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5867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0347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8C99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26526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4AD6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282F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01C7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E139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FA8AE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519D9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28A2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1176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59B5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496C5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80F2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6369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4E04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CF952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C850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287C9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B0D3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17A6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9C42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8D032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080F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AD87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5976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55D85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FBBA5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4286C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6FCE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1B52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6937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3957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6E6C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D0F4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EF6F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782A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3414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A6C9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2401E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161B3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0110C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058B2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E31A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复审地方标准数</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1BB7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0E63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84D6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个</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42E9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1A24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D5DB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B817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33F6F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2C406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87037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9C2C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5BC1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标准双随机抽查数量</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AF21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7992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FFC7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8623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11F3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3B4F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CEDD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FFE9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B3DDB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07DE4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C2DA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9C6D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标准抽查评价问题发现率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3B8C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0805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05B9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F50C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2858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5AAF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DCA7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8276E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21C6C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B6E57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4536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时效指标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B32C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地方标准复审完成时间</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C1D2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BF5D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BA8F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6A3E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3A17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085B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CC4D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BA49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C8399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8555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B0A2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A591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标准引领产业高质量发展</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517B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4C91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不断向好</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775A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F538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不断向好</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FFED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6A7B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9928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3071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5D582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BB46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满意度指标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1CE0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满意度指标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0F26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标准化监管工作满意度</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2128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FFE1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4572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7D44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4615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327C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249A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0C62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15401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09A59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成本指标</w:t>
            </w:r>
          </w:p>
        </w:tc>
        <w:tc>
          <w:tcPr>
            <w:tcW w:w="14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310AD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经济成本指标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EAC2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标准评价成本（每项）</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64FA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4776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B07C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元</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0EF9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62B2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8D6D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7B44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C61B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CCA02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1AA3B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C9927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0A01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项目总成本控制率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E140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13E7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3EB0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F99D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34D4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3145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2984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D50C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F857AA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59CB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11B6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DB30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9A6EA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7B81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F83E01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3FDEC6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0216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128D60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31A817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3A3E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5ADBD4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4AD9A4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3DA5C9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75A08C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r w14:paraId="54D07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53B0C89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2C42C9E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6D973E7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287D9E1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6DEA552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60D6DE0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0F6B4DC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51CE1BE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0FF8865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0627C0B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42FE0CE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6E58A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721A96F">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41AA1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E1988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5CD6B1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51320025T000012881881-2024年中央食品监管专项资金</w:t>
            </w:r>
          </w:p>
        </w:tc>
      </w:tr>
      <w:tr w14:paraId="25B16E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BC613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81439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6A71372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0BFB1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州市场监管局</w:t>
            </w:r>
          </w:p>
        </w:tc>
      </w:tr>
      <w:tr w14:paraId="112FC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56C77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2F5CF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79889C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414E42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208B20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457A5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DF027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0ADE12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深入开展食品风险隐患排查；强化食品抽检监测工作；加强基层食品监管人员能力建设工作培训；加强培训，提高监管人员专业水平和综合素质；监管及检验检测技术支持能力提升；委托聘请第三方机构开展2024年下半年食品生产企业许可现场核查工作。</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B5A0C7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完成食品生产企业核查17家，不合格食品核查处置率100%，无重大食品安全事故。</w:t>
            </w:r>
          </w:p>
        </w:tc>
      </w:tr>
      <w:tr w14:paraId="520409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F5C41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382F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D1EEE7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组织开展食品生产企业许可核查、风险隐患排查和监管能力提升培训。</w:t>
            </w:r>
          </w:p>
        </w:tc>
      </w:tr>
      <w:tr w14:paraId="302F71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10D6B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04B6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9F77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1514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F490F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7752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0C5A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22D8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FFD7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13BC53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671A5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40D2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4973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5765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1.27</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38560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1.27</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4BED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2C8F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BDB2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703CE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FC10D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D1063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F0CF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3291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3CEC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1.27</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BEEBC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1.27</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99FF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0D93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7FB8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6E444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EC0B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FB8C9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3F04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458A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EF26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AEAD7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44E0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8567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22C6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C01E4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1FBA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62515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090F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BDB9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7F96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12526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7551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B011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6D5D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CB2AC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64A45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D74A8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1B9C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460C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A23A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ABCA1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7463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C827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FD8C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B7EDA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4282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ED276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7E7A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7F1C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50B9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FAE3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DF8E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72A1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D399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477A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A12E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B42C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7C51D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44CCE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3D39A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A6F5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087E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生产核查数</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F818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53EA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17</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EA72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家</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FA39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17</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3F1E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23E7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2C1F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DF84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74BA7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89E16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93E31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D0DC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抽检不合格食品核查处置率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4D09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E405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5DB9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B92E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2973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A565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B028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CE1C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60CCD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2EA01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91560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2FAD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食品安全投诉举报处置率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0465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7A76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BCC8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2E0B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B233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8D58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BEFB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F459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2F581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D46D9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19EC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时效指标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CC19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食品监管专项工作整体完成时间</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0D96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ABA8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2024</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9810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ADFC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2024</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AB0C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667B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5F87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51964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70B33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1E08D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D9C4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经济效益指标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349A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辖区内与补助资金相关的重大食品安全监管责任事故发生数</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FECF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1ABA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114C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次</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6415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0AA6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F42D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59B0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54F9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34531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24AE9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3DDE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40A6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食品安全执法能力和监管能力</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848A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CBFB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逐步提高</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F03B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B0ED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逐步提高</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178B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AAC3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1E11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A6A50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735C9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1A74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满意度指标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DBEB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服务对象满意度指标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A43C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重大活动食品安全保障对象满意度</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DBA8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5739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5541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B679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85</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1145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D057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F131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7199B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EC8C0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3FA5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成本指标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CAE9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经济成本指标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2F16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食品监管业务培训成本</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281B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970C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EC08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元/人·次</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BAC5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FA00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AAF0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EA61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585C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9A14CE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483F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4BD0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1107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004B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73D4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28E017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265C83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BCF9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9B4A3F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662B8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2E06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09E432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2C418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8F9F1B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5C3A88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r w14:paraId="6D372F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5B8A956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2D762C4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0061777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3C10CF7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0E6C604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579B27C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35DF8CA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568BE24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70529F0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2FCC120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046E40F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AF67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D0257E7">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4C9A1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11988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FA2DDD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51320025T000013665248－职工交伙食费</w:t>
            </w:r>
          </w:p>
        </w:tc>
      </w:tr>
      <w:tr w14:paraId="42F496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06C18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A45305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7DF47E9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5CFB5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州市场监管局</w:t>
            </w:r>
          </w:p>
        </w:tc>
      </w:tr>
      <w:tr w14:paraId="04F18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92325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394F1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AAA6E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75F759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2CDBC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1B23A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583B0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34CE00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提高预算编制质量，严格执行预算，保障单位日常运转。</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37BAE0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按时完成职工伙食费收取与支付，预算执行准确，保障食堂正常运转。</w:t>
            </w:r>
          </w:p>
        </w:tc>
      </w:tr>
      <w:tr w14:paraId="0E3DEE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D7601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46B6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A2DA49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按月收取职工伙食费并支付食堂运营费用，确保食堂正常运转。</w:t>
            </w:r>
          </w:p>
        </w:tc>
      </w:tr>
      <w:tr w14:paraId="41F4A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D1220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DB5B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2DC2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8F14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79311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FDED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9CAA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2FDF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64B1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35D47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CFFDB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2286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CFB5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444A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7.45</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006BC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7.45</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7FDB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2438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B667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34CC9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04E87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C58EA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F1CE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BEBA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E3D3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2B89A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A683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71C2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9C78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D9946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ACCC7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25D55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3FAE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40E3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1F9F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94072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99A9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0D74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80FD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CDB6E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FE38E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3D9A8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511B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EECA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1FE6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7.45</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84769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7.45</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43DA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DF75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977B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4CA4D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4154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29E0F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FC6B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D3BC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FFE6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01C31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592D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2EE4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4C02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FFFD0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6AFE0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35571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40AA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ACF2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7AD9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6D27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436B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9C5A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726B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493E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B74A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5B3A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10C29F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76D50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85033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4A32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5D4E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科目调整次数</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9838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C7A7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A81C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次</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E945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E27C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60E2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4A9E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5461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D478C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F70D1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A744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955A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预算编制准确率（计算方法为：∣（执行数－预算数）/预算数∣）</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54F4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1E1F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C35A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7D9D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1E77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9031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F20F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8E73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B105B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ABDEC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6F10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经济效益指标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F95B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支出率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AFF3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A581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A8D6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095B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135D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C793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0893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34BF8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3CD01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72817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5CCD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40B9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运转保障率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9FB7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C39F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94BF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AFAF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4D48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4F92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18AD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6E5F0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45643F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3B3E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6EFF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CD83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8BA80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127A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C83CEA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75BBD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7E8A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3588C6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362FF9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07B7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59B96A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2D4739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D167EC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2C649E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6E9ECF7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br w:type="page"/>
      </w: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6"/>
        <w:gridCol w:w="976"/>
        <w:gridCol w:w="1482"/>
        <w:gridCol w:w="1536"/>
        <w:gridCol w:w="967"/>
        <w:gridCol w:w="1225"/>
        <w:gridCol w:w="984"/>
        <w:gridCol w:w="1396"/>
        <w:gridCol w:w="1053"/>
        <w:gridCol w:w="1225"/>
        <w:gridCol w:w="1056"/>
      </w:tblGrid>
      <w:tr w14:paraId="337CF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3444034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1CAC704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50335D4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6BABC1D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4BCA84F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5917C92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22B28A6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7B7C040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73C7535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0FF94BF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201469E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ED05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925284A">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25CEF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FD4C6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915D0C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51320025T000013665298－代扣水费</w:t>
            </w:r>
          </w:p>
        </w:tc>
      </w:tr>
      <w:tr w14:paraId="4B1EF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23390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93B214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19C90BD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0FB4F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州市场监管局</w:t>
            </w:r>
          </w:p>
        </w:tc>
      </w:tr>
      <w:tr w14:paraId="0D8EC5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C170F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3B5CB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E81DD2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4B2EBA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4C7444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02D42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E5EFC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A34C83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提高预算编制质量，严格执行预算，保障单位日常运转</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33FDFC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按时完成职工水费代扣代缴工作，预算执行准确，保障正常用水。</w:t>
            </w:r>
          </w:p>
        </w:tc>
      </w:tr>
      <w:tr w14:paraId="6AA23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26982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CB9E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A0B83F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按月代扣职工水费并上缴财政代管，确保单位用水费用及时缴纳。</w:t>
            </w:r>
          </w:p>
        </w:tc>
      </w:tr>
      <w:tr w14:paraId="1D3F8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7F47A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DFA9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8CF4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B394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34DFC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FD6F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B769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6395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F2AE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3EF09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3C877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48AC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999C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C6EF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0.59</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B1FDC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0.59</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DD92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D60B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AA64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DB325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17E9E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34647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175A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417C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D84E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A3335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42D0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64FF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28FD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50D23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100A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DFD57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5710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5CCD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1C0A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930DB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EB32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97AE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339A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33134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7BDB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68613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6D93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35F9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3D00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0.59</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1A564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0.59</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79E7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2E14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6C31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7CB2B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4CBA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071FD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F649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6D95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8B3B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65A56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C08A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3143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4872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B3C99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52E8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07E71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3B97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502E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3B34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C81B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B1AE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1ABC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0EA3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AC26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4016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05FE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3D5D5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FF6D5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18370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9B3D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9F04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科目调整次数</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B34A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0AA9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96E1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次</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3320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12A2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D6AB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B0E1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9290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21767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A327F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9B18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7067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预算编制准确率（计算方法为：∣（执行数－预算数）/预算数∣）</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8086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3D0D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610A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B63A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CEC1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230C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A64A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F0A1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52D8C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531A9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7618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经济效益指标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BDA1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支出率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A48A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6955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3ADA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B3DC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61D0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3B37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3EED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7CC7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1A671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4C6E8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2B5F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93CF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运转保障</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05AF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2A69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B5FF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6198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BD38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C77D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6CBC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2100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22108A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9A78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06F6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92FF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3480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F2DD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F2BD14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68892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FA79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934932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22201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4092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1AE694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70656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015C62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0AF957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50EEC98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br w:type="page"/>
      </w: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6"/>
        <w:gridCol w:w="976"/>
        <w:gridCol w:w="1482"/>
        <w:gridCol w:w="1536"/>
        <w:gridCol w:w="967"/>
        <w:gridCol w:w="1225"/>
        <w:gridCol w:w="984"/>
        <w:gridCol w:w="1396"/>
        <w:gridCol w:w="1053"/>
        <w:gridCol w:w="1225"/>
        <w:gridCol w:w="1056"/>
      </w:tblGrid>
      <w:tr w14:paraId="762B9C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663D701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7A1C0F5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5303DA8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6100823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075C89C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5FF22A5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7D64189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59F9A84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5D1BE1E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5CF3EDD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3A6DACB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05C48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14197EF">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33EDA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EB580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35F99C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51320025T000013665363-质量保证金</w:t>
            </w:r>
          </w:p>
        </w:tc>
      </w:tr>
      <w:tr w14:paraId="3F963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2529D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A6E6F7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2323428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B7189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州市场监管局</w:t>
            </w:r>
          </w:p>
        </w:tc>
      </w:tr>
      <w:tr w14:paraId="712BD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F818E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CC333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9A9229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F3173A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63B31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F1E7F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C7F36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B812AA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开展单位办公室维修，抽检项目，信息化建设等项目质量保证金，上缴财政代管，从一体化中退付。</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AE6109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按规定完成质量保证金收缴与退还工作，预算执行准确，无资金浪费。</w:t>
            </w:r>
          </w:p>
        </w:tc>
      </w:tr>
      <w:tr w14:paraId="37090C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E7BA3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C60A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6FBFCF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根据合同约定，完成相关项目质量保证金的收取和退还工作。</w:t>
            </w:r>
          </w:p>
        </w:tc>
      </w:tr>
      <w:tr w14:paraId="4FE516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6E743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D438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66BB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FFE7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D0371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89B5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E88C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360B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D4D5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36BC3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2959D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8E63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6A92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B1DA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9.38</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66D47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9.38</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AD6C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33DA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9236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35BD3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4B2C4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D6D61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98F8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2724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B0E5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B1720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62BD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558C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E50A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6BE11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5E26A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25B09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208D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675A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DE5B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57FE6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E32C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C6A1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2C31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4BAD3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A616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E679B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EDAB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F534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FB61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9.38</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E02A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9.38</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8BFE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6FBA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8638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656F6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B7776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1F9C9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CD4C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42FD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3915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A6230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CF75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D6EE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1E70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48414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C1D8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60061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FFB4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5876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F062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CA5B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D4CF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495E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28F9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D467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273D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ADE7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1C33E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5B549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D50AC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9605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07BB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科目调整次数</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B97D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9F6D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04F9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次</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5C08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11E1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CD24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EF75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8CA9F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4C199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596A4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1605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B821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预算编制准确率（计算方法为：∣（执行数－预算数）/预算数∣）</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7363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2581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6CD0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02A1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36D4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785E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1013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5398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97AFE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4308C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9CA5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经济效益指标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085E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支出率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330A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5304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A4EE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66ED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AAA2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69DC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4D09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25ADB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3C284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98A91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C468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B4AA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运转保障率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2F15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1A95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6107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FDD5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D027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6951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0E74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B38D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64B21D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4CAC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AEF9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CAFD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CFA3B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86D6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DBD4D2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16531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2C9B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E1FF2A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3AFF4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19EE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4AF610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21F043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CF4574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DA0692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06569E9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br w:type="page"/>
      </w: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6"/>
        <w:gridCol w:w="976"/>
        <w:gridCol w:w="1482"/>
        <w:gridCol w:w="1536"/>
        <w:gridCol w:w="967"/>
        <w:gridCol w:w="1225"/>
        <w:gridCol w:w="984"/>
        <w:gridCol w:w="1396"/>
        <w:gridCol w:w="1053"/>
        <w:gridCol w:w="1225"/>
        <w:gridCol w:w="1056"/>
      </w:tblGrid>
      <w:tr w14:paraId="6EB22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6686090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08FFFF9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2EC7650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4984DD3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3E3DFE2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1DD9FD9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4E68199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33047F5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3DD29D5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25009DF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3C1FD09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59239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9976734">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9AEAD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6947B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C89EFB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51320025T000013666083-2025年中央药品监管补助资金</w:t>
            </w:r>
          </w:p>
        </w:tc>
      </w:tr>
      <w:tr w14:paraId="5415CD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69A9B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6F5502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57175C8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89C49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州市场监管局</w:t>
            </w:r>
          </w:p>
        </w:tc>
      </w:tr>
      <w:tr w14:paraId="489860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0714A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42103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B069FF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9940CA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7C56C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8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1B778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4BC6B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0F2E98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通过组织实施药品（含医疗器械、化妆品）抽查检查、不良反应监测、专项整治（检查）等工作，严厉打击违规违法行为，切实落实强监管守底线目标任务。通过组织实施培训宣传，提升监管人员能力水平和素质，提升监管对象遵纪守法意识，切实落实企业主体责任。组织实施各类重点专项整治、检查工作，严厉打击违法违规行为；完善监管规范和监督机制，提升监管水平；开展业务能力提升培训，不断提高业务水平和技能；落实风险防控、应急管理、科普知识宣传等工作。</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356FA1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完成药品监督检查、专项整治和宣传培训任务，无重大药品安全事故。</w:t>
            </w:r>
          </w:p>
        </w:tc>
      </w:tr>
      <w:tr w14:paraId="46451C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A30B6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9F10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128A98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组织开展药品监督检查、专项整治、宣传培训等工作，提升药品安全监管能力。</w:t>
            </w:r>
          </w:p>
        </w:tc>
      </w:tr>
      <w:tr w14:paraId="60D64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D17EB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0ED8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4EB4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20EC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97013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EB0D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32F2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FCE7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6B75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6ECCE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71F88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E22B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5201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6F65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11.00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ECE19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11.00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089C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1FF6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A398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72A8E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09BD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C7167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EB0A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9885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026D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11.00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C9F03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11.00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AD14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CACB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9277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D5C79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A1777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EEB28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D5FB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8E5C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2AD6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B47EC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168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A643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A193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E72C5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4A13F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B51F0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E561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9709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71C4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D9CDA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DE03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A882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4511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0172B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53C8B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5AC04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1BFD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C170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1BDC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915B3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CCD9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C0BD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CD81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36BFA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D9F8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6231C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D9A6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1429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B5C3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6016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F1EC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A184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A325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A1BE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4753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E100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65E10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78150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D3317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F0039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95DF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宣传培训数</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D688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80BC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C60F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次</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906E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312A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28B8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21ED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E8CB9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B1145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6EDD9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30D14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A4BB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药品监督检查数</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F474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48BD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BFCC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次</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1C4E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36F2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7C89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0C3D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F630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0CC38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A7D30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0F049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83BA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专项整治数</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327E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729B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C0C2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次</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890C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D8B7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A9DA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B9CE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94757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D82F4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69684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FF1D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9241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不合格检验处置率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6754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9AC9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D775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F2B0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8D00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FF89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94B5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AE779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27D30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A8797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506D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时效指标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9B1C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完成时限</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1992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54D1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F9A9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5EEB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E4ED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0137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DBE2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B4C41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CCDA0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9305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ACD7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经济效益指标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7BB2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辖区发生重大药品安全事故数</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155F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8D0F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742D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次</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5C8F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3A75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8724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17A3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68BFD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D760A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C027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成本指标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819D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经济成本指标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C300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培训成本</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9D24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8FA6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5A55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人/天</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BD44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45EE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6DBD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9998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CCF19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774B7A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9A7A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EC4A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0AEB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3934D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D202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F0D53F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0AD22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1450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F6719C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4CAFFA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DE20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4B58C3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4D1C15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DC7A35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A7713D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1986B97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br w:type="page"/>
      </w: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6"/>
        <w:gridCol w:w="976"/>
        <w:gridCol w:w="1482"/>
        <w:gridCol w:w="1536"/>
        <w:gridCol w:w="967"/>
        <w:gridCol w:w="1225"/>
        <w:gridCol w:w="984"/>
        <w:gridCol w:w="1396"/>
        <w:gridCol w:w="1053"/>
        <w:gridCol w:w="1225"/>
        <w:gridCol w:w="1056"/>
      </w:tblGrid>
      <w:tr w14:paraId="29BD52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5BF2028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3B4421E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54571B1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47DCC42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50E3406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724000E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31B5193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3639BD1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6E38E45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6923DC2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07BBB53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53B2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E1CA026">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1583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D9663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04B9D7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51320025T000013666124-2024年知识产权专项资金</w:t>
            </w:r>
          </w:p>
        </w:tc>
      </w:tr>
      <w:tr w14:paraId="0A340A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C6B36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ECBCDF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4953A9E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9BDE7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州市场监管局</w:t>
            </w:r>
          </w:p>
        </w:tc>
      </w:tr>
      <w:tr w14:paraId="6C34AB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CEABD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088A3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A11C9E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66E028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416C2B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F386E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9D579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219594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主要用于知识产权行政执法体系和知识产权保护能力建设、国家级知识产权试点示范、地理标志产业发展、专利密集型产业培育、推动知识产权贯标、完善知识产权融资体系等。</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A0263C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完成知识产权行政保护案件10件，质押融资登记340万元，项目完成率95%以上。</w:t>
            </w:r>
          </w:p>
        </w:tc>
      </w:tr>
      <w:tr w14:paraId="789181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5E0BB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6499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EBC2FB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组织开展知识产权保护、融资、宣传等工作，推动知识产权工作能力提升。</w:t>
            </w:r>
          </w:p>
        </w:tc>
      </w:tr>
      <w:tr w14:paraId="48E26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3676F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0FDE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1BF5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8E0E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8E3CC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F055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C720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50A6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90CF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2CDE4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A6FF8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36FA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BB72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75A7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45CF4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0F27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3B23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D974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F896F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6634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09719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3C33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3F8D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4E7A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02FF8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3053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335F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0451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6BCB9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6C4CB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BF08D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EF87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F4AA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49D1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10C49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50DB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3F65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6C9F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30AFD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88C6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B4F62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C1E8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1999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2AD0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C57E2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D783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5947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7405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6B307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992FA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28A5D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3B28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FF76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F36A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35E53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E3C4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B3FC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86A2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884BB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24A4F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CAD04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DA3F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ACA3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CDC6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F688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5E18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BD8B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B86F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5EE7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7F68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0283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7E784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E93FE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64B66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3AA87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487C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知识产权质押融资登记金额</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E3AE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4CEF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340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BB90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万元</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E7A8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340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1518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32EC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B12D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CB7E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082F2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53CD3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89D95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020F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知识产权行政保护案件数</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5935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EEF9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9C02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件</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B105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E4EE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4058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B4F3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DDB7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88310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F959B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FF289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611B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完善知识产权融资风险补偿金管理办法</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1811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CD48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B700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份</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ED0B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47F3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D532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0466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83F48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F7021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5F6F4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5CD66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D25D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成立专利裁决工作站</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7447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51E9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0661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个</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F01B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451C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EC36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1DAA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A408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E3127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9CD5F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51412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3765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项目完成率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F8FE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D6E1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76AD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0EBD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95</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9AFA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879A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0137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24431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FDEB2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C352A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F750B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BD81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项目验收合格率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01BA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AFCE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875A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B92B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95</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B1F6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C8E8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AD8B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6743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3337C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0AB2F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94C1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时效指标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33AE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项目完成时限</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D739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8668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318B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22E7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D86F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E79A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A7B9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7C3A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58E9D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6FC4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4D83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可持续发展指标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BBAE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知识产权工作能力</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E14A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33DD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进一步提升</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8F6F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2528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进一步提升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906E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D8CC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5D47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9F68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729D47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C589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A959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9C5A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01CB4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CA6D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894EB6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040B9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5E66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498331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48304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FADE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0BF5A6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463748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2429D7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7C20EB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r w14:paraId="4A2A8F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5D532BF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3F8B8A5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42A2610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3A4EA9D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082E07B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008940E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5279E40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5941DEC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106CBD9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656338B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66713F1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B469C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C240724">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A9F5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AA9DD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0B228F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51320025T000013697751-2025年省级市场监管专项资金</w:t>
            </w:r>
          </w:p>
        </w:tc>
      </w:tr>
      <w:tr w14:paraId="220D1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34EA0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9860B8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0C4FEC9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9E41A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州市场监管局</w:t>
            </w:r>
          </w:p>
        </w:tc>
      </w:tr>
      <w:tr w14:paraId="00CE29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25E29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0A359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F67A88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67C9B0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03D8C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A2C3D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5851C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FD4821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紧紧围绕省、州市场监管局确定的年度重点工作，深入实施质量强省战略，全面提升全省市场监管能力。严守食品、重要工业产品质量、特种设备三条安全底线。强化消费引导、深入推进放心舒心消费环境建设。开展“铁拳”暨“春雷行动”、加强反垄断和反不正当竞争执法、价格监管、广告监管、网络和合同监管、开展基层市场监管局（所）标准化规范化建设示范创建，提高综合行政执法水平。</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4C9BDC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完成食品抽检、认证检查、春雷行动等任务，信息公布率100%，无重大安全事故。</w:t>
            </w:r>
          </w:p>
        </w:tc>
      </w:tr>
      <w:tr w14:paraId="6501E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2AC66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2951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6302B6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按照省局部署，完成食品抽检、认证检查、春雷行动等工作，提升市场监管效能。</w:t>
            </w:r>
          </w:p>
        </w:tc>
      </w:tr>
      <w:tr w14:paraId="0C205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57EFF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C0EA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851D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9703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2A353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7D5F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16FF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32B7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B3C6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1FDAC3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CD7A3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F930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09F9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08E9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134.19</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37E6B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134.19</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EC1C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4AC0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60CE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73562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346EB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4E980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F372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8281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BBE7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134.19</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55DCB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134.19</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977E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4E18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8895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8C6D9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93A45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6D333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0FAD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E40B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6401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7A419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8F40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9BD6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7B91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2228F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8CD4F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703A7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B2B5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637C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F499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76B5A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4D99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5217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F253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30A72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21BB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93CF5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244F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BEC1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A27B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08A39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43CC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9E80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61A2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62047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CD48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212FB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22D8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B084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79E8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2F5D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4E63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629F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CB18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6D99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CC1D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5C99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3F451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3CA32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07353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3D608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AE72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老旧化工特种设备和电站锅炉隐患专项整治（家）</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F24C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42E1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3B94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家</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59CF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88DF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46AC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1DE0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3741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8A570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E0751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299E1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580F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春雷行动</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1C41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D7D8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A4AF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FB81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78FE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285C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AD4E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B014A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2AB44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8FDEA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4272A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9083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认证活动监督检查数</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98F5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BA98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2597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家</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1275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5ED7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B0C7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BFDB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8400B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1461D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99067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93796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83B0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省级普通食品抽检监测数</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404F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AAA5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520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81BF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批次</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30A1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520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452A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CADA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0325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16649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EFC5F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178DB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EB2E3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0DBC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小微企业质量提升数</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036F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13F9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F2E2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家</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B77D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69C3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DEF5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D716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6C36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33D95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6DC92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B3D71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9A9D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抽检不合格食品核查处置率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5AE2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1633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11A0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1797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ABCE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B455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CEB7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DF131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5A8C2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36788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21F2C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8FEA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生产环节抽检合格率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D3CB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871D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F666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236E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C97F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E546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8991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B0CC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930E2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4E3B6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79B99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67B6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食品抽检应公布信息公布率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0F1D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7925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3CB6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6527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C457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8256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7A50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6665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10BB4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9A137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A055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时效指标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1CC8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完成时间</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4B84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76F9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9B60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1367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274A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0BC0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538E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7A52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198F1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C29DB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411DE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BA62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辖区内与补助资金相关的重大食品安全事故发生数</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887C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06BC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3012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次</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D6C3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0D47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759D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6FA2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6CFA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8911F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03637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C8E04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75B8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公平竞争的市场秩序</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C404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5BB4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稳中向好</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E3EC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D2BA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稳中向好</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6C48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DD6E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388C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A37D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478C3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18473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7D09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可持续影响指标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56D1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严守食品安全、工业产品安全、特种设备安全底线</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7266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BBE7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长期</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7736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A6AC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长期</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AE27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8BA8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7269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D71F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504A8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8A30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满意度指标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811B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满意度指标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3BD3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公众对食品安全满意度</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5E90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5117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98DA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分</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BB36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CBF0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07B7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76A6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39EF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E31EB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B69B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成本指标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ACB5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经济成本指标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75AA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食品抽检监测成本（批次）</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668B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8B4F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1681</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8A31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元</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A0C0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1681</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3F87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47C5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1A1E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14374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4A2ABC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CD80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CD85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7596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3C57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1B57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318261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56904C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B7AE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5E3C13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018A16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1AF7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6C99EE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1B5110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DC8A57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4BF47C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16237FF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br w:type="page"/>
      </w: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6"/>
        <w:gridCol w:w="976"/>
        <w:gridCol w:w="1482"/>
        <w:gridCol w:w="1536"/>
        <w:gridCol w:w="967"/>
        <w:gridCol w:w="1225"/>
        <w:gridCol w:w="984"/>
        <w:gridCol w:w="1396"/>
        <w:gridCol w:w="1053"/>
        <w:gridCol w:w="1225"/>
        <w:gridCol w:w="1056"/>
      </w:tblGrid>
      <w:tr w14:paraId="56CB5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089ECB9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61EFB62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0A44B0D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3D45823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0E4467B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3AADA2D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0E1F0B4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416C8A5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06B86F5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767EEF2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28E9D5A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1C52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5E51154">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B2E59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CBF3B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735113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51320025T000013986311-2025年省级药品监管专项资金</w:t>
            </w:r>
          </w:p>
        </w:tc>
      </w:tr>
      <w:tr w14:paraId="45E9B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C72FC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F2EB3A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3C2CBD2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ABA14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州市场监管局</w:t>
            </w:r>
          </w:p>
        </w:tc>
      </w:tr>
      <w:tr w14:paraId="7C046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BF181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CD124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4F592F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21A78A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469EB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E731D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74B78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A5DC06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切实加强药品安全监管，守牢药品安全底线，进一步规范药品经营使用秩序；强化监督检查，加大对制售假劣药品违法犯罪活动的打击力度；完成省级药品抽检任务，提高药品抽检质量，强化药品技术支撑；加强培训学习，提高监管人员专业水平和综合业务素质；加大“两品一械”科普宣传力度，增强公众识别防范风险意识；完善监督管理、应急管理等机制，提升风险防范能力和水平。化妆品抽样35批次，医疗器械抽样15批次</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79B566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完成化妆品抽检35批次、医疗器械抽样15批次，不合格报告处置率100%，无重大药品安全事故。</w:t>
            </w:r>
          </w:p>
        </w:tc>
      </w:tr>
      <w:tr w14:paraId="3F6FBF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00623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4C88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62A297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组织开展药品抽检、宣传培训、监督检查等工作，提升药品安全监管能力。</w:t>
            </w:r>
          </w:p>
        </w:tc>
      </w:tr>
      <w:tr w14:paraId="316DEF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7D4A7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6F0C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31FA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2ABD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899B0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E249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2522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D99F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A450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13D97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27F43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E6A5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8B06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968A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9.91</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A6BB2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9.91</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C20A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2247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E543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02820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85AB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BE914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21CF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454A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1FC0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9.91</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52CF7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9.91</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695D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2F62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C9CC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001E9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A92D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3219E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1D7D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F547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50AF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FAA32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F265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9C8E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EABC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93721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3831A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296CE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B041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D491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3CCE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36025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F786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513C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92DA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7A4D2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440C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BA5F8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0067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ADA5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227F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5F157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0DCB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3CA1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EE4D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D04A2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39680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FA759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854B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2A4F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B834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4FEA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F4CB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58AE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3392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A0AA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D309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366D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178688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CF153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E91CE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C3707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2668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省级化妆品抽购样</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B73E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DDA0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CA20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批次</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E1DE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35</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0B7C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2D7B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FFC8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E330B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0EF5F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826A7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5ACB0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A037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省级医疗器械抽样</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2DF7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609A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B563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批次</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58B0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FB2A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DFD8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A999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E75A1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C18F9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4BC8F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5881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354F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不合格检验报告处置率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8557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1B1C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886C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80E6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39E6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836F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0C34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6A6A5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E1693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AF23A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D847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时效指标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23E2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项目完成时间</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8856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EFFE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956F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8555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D2B7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FAE1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DC5B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AC6FA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5F403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ED2F3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6F78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06EE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辖区内发生与补助资金相关的重大“两品一械”安全事故</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E41D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9DE9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E729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次</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4BEE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C94E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B319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5EE6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60C4A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EDBC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FBA97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8FB5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可持续影响指标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514F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“两品一械”安全监管能力</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B0D7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607A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逐步提高</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7F93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E296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逐步提高</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DE18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E538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E123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D1A7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E8AA3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222D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成本指标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ECF3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经济成本指标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A93C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培训成本</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900B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7C95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078E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元/天</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64DD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79FB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0D3D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E6F9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29851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AB6E88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581B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09FD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F803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D5A95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80A1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881478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2A5B75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725B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D4932F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18BA28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4D8B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6271BD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2BCB5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6DBBE5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5F33D4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r w14:paraId="3EA28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49B5487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2CE4B6C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35041A2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1FA2D04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604E608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0F9DD18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0B62C44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1C1A817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26521A8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713D88D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7F9DCE9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E6EFA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63F212D">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DC2A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C6EDC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15EA83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51320025T000013986378-2025年省级知识产权专项资金</w:t>
            </w:r>
          </w:p>
        </w:tc>
      </w:tr>
      <w:tr w14:paraId="51F635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4E40D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1BAABA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7EC6D51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3E81C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州市场监管局</w:t>
            </w:r>
          </w:p>
        </w:tc>
      </w:tr>
      <w:tr w14:paraId="45345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F101C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8642D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02ADCD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2DD6DD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7F59F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0"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69F7B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10947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E2CCD5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为进一步加强和规范省局下达我州省级财政知识产权专项资金绩效管理，促进专项资金高效益运用，根据《四川省市场监督管理局关于做好2025年度省级财政知识产权专项资金使用及项目管理的通知》（川市监函〔2025〕170号）、《省级财政知识产权专项资金管理办法》，主要用于地理标志产业发展、知识产权行政执法体系和知识产权保护能力建设。</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422F8A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完成知识产权行政保护案件20件，专利产品备案10件，宣传培训2次，高价值发明专利拥有量达0.6件/万人。</w:t>
            </w:r>
          </w:p>
        </w:tc>
      </w:tr>
      <w:tr w14:paraId="3FED25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E44A3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CCE8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C599D4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组织开展知识产权保护、备案、宣传等工作，推动知识产权工作能力提升。</w:t>
            </w:r>
          </w:p>
        </w:tc>
      </w:tr>
      <w:tr w14:paraId="161A6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AEE8D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A091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F31F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AD10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194AE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903C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9919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7631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0BE6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39EC0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3453A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EF51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A19C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9263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3.49</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AFBE1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3.49</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2B10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37AB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5CC9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B212B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BDA8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6188E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37FC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10BC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57B7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3.49</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90F2D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3.49</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185F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8102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742E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A5107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7334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13B91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15D8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92CB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C41B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F1CF9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B35A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9763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37E4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DB033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BDB16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F097E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9174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5197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E33B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BA526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63D3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0FD0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AA16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84401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A6EB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D5F75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8145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BA90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566F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F1DEC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BE35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005E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3FD4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9E3D5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BC199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A5A39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468A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281B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4565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F05F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75CB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05C0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014E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6EBA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4D9C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A6A3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70537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3CB06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9B5AD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F4B22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36C3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知识产权行政保护案件数</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BE36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2609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7ABF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件</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52C2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181B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1DFD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44C4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11B6E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70FE0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EB44E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58C0F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7891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年度专利产品备案数</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F875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8360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710F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件</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6E8E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B854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D105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1FF5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E49A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1ABDA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9FA9B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961F2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CA8E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每万人口高价值发明专利拥有量</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6B24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2F1C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0.6</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BEA0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件</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331F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0.6</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9254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3047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AA0C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E96E0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72847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51EA3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01411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4808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开展知识产权宣传、培训等活动</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7A54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771B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2179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次</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22CE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FCF1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EBBA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30D2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EC82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14D66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2DD72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BF2C1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5E80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年地理标志专用标志使用核准增长率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E7F2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4744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2BEF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FBBB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F68A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7406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8FE7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A79C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728EA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88636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EF65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时效指标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C290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项目完成时间</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858B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B1D0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1330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299C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F96F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C4C9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848A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4B8BC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23DDB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E2402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23604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经济效益指标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86D4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专利实施项目新增产值年增长率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2FCB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9D4F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不低于全州GDP增长率</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1D6F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720D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不低于全州GDP增长率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2B00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6E45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3EB3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C27F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44BCB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29813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40627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0C43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专利实施项目新增利税年增长率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2F04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DA33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不低于全州GDP增长率</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2428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326F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不低于全州GDP增长率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98C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2F24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0C18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B58A2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084E0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89F7C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D81F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可持续影响指标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D160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知识产权工作能力</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95C0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99AE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进一步提升</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7096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080A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进一步提升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8304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C41E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F7E8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39ED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CA967D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C29D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2D12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E82B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EDCC2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A182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8A7BEE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4CC46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10C3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AB2C5C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4FCA3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D4B9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FA08DF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3FD203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7E2FAC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DEBEED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3EBF2FF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br w:type="page"/>
      </w: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6"/>
        <w:gridCol w:w="976"/>
        <w:gridCol w:w="1482"/>
        <w:gridCol w:w="1536"/>
        <w:gridCol w:w="967"/>
        <w:gridCol w:w="1225"/>
        <w:gridCol w:w="984"/>
        <w:gridCol w:w="1396"/>
        <w:gridCol w:w="1053"/>
        <w:gridCol w:w="1225"/>
        <w:gridCol w:w="1056"/>
      </w:tblGrid>
      <w:tr w14:paraId="22F59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018C0EE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4BD863B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2E8D1B2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4F2F90A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50FEF2D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449E1B5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439A97C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7D59214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627B296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7B28BC3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4A30988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8C46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BAD9DD0">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5A82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8F4D8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1B7AB7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51320025Y000012974203－日常公用经费（其他运转类）</w:t>
            </w:r>
          </w:p>
        </w:tc>
      </w:tr>
      <w:tr w14:paraId="04798E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B82B8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3A9F64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2FB3027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2B5A3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州市场监管局</w:t>
            </w:r>
          </w:p>
        </w:tc>
      </w:tr>
      <w:tr w14:paraId="06283F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2FB5D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06CBE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2E81E3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7FFF66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7396B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E70FB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64C24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23BC2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提高预算编制质量，严格执行预算，保障单位日常运转。</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6EB0AD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预算编制准确，科目调整控制在5次以内，“三公经费”控制率100%，单位运转保障有力。</w:t>
            </w:r>
          </w:p>
        </w:tc>
      </w:tr>
      <w:tr w14:paraId="078E32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B0066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9E63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050C77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严格执行预算，保障单位日常办公、会议、差旅等基本运转需求。</w:t>
            </w:r>
          </w:p>
        </w:tc>
      </w:tr>
      <w:tr w14:paraId="7AD13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50371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95DA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E8D0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A422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1B594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D5ED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E074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13C7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D2EA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77194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A16F3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7A06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1049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195.53</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4DF8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195.53</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0B3C1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195.53</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0CC6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26BE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3110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C0087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E7B7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BB76D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7463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78EF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195.53</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CF86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195.53</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20F99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195.53</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4381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36B6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CA2B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F6614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D392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D5986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8A32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7D24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C269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452C3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F9A0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5D72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8604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BF64C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3859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61A8A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2FF9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E644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85B2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345AC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AC9B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7CFD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6C1D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474D8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C26C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CDAED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0228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CC79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F902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7799E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44AD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55F4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2077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CCFC3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8BC0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8BB87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198B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7D05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70FF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3ED5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6F50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2A95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52EA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3F15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2968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55ED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51BC1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42676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277EE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5B07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3EB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科目调整次数</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55B4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EBEB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8BF2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次</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CF56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7E00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F514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68A2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E2CB0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9DCA2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61925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73BC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864E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预算编制准确率（计算方法为：∣（执行数－预算数）/预算数∣）</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5CD0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DF5E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7C1B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AA91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F545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DDED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6C7C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985C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5E181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E1855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F07A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经济效益指标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9022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“三公经费”控制率[计算方法为：（“三公”经费实际支出数/预算安排数]×100%）</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F1F6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4936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FAEF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C0CD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C389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2F3F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4CE0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D9E17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2DDA3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C2484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8FE3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83C8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运转保障率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E284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7CD0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ED50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2824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FE04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E5F6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8815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A3A1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E61C7D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1683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673D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724E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343F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4EFA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B67097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6E832C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313D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C60B16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16448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6CF0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5D3BD4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4292F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35B639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E18122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64C5567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br w:type="page"/>
      </w: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6"/>
        <w:gridCol w:w="976"/>
        <w:gridCol w:w="1482"/>
        <w:gridCol w:w="1536"/>
        <w:gridCol w:w="967"/>
        <w:gridCol w:w="1225"/>
        <w:gridCol w:w="984"/>
        <w:gridCol w:w="1396"/>
        <w:gridCol w:w="1053"/>
        <w:gridCol w:w="1225"/>
        <w:gridCol w:w="1056"/>
      </w:tblGrid>
      <w:tr w14:paraId="59AA0A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623EFBE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172B5BB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5214389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7A43663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5E1830E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4ABD799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5A24412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0DFEC4D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0B36C50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28B1FF8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71809EB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76B0D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A5CE949">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39FC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98695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B16280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51320025Y000013371712－财政代管资金</w:t>
            </w:r>
          </w:p>
        </w:tc>
      </w:tr>
      <w:tr w14:paraId="4EDB9A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12D6A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5821D8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52C665E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3081F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州市场监管局</w:t>
            </w:r>
          </w:p>
        </w:tc>
      </w:tr>
      <w:tr w14:paraId="335C5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DB903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D9816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0651DB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788A84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345EF8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EA92E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0F594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6FB072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提高预算编制质量，严格执行预算，保障单位日常运转</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5164A8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提高预算编制质量，严格执行预算，保障单位日常运转</w:t>
            </w:r>
          </w:p>
        </w:tc>
      </w:tr>
      <w:tr w14:paraId="33341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ACD70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AA99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5CA3B5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提高预算编制质量，严格执行预算，保障单位日常运转</w:t>
            </w:r>
          </w:p>
        </w:tc>
      </w:tr>
      <w:tr w14:paraId="4C0DD9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EFB3F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856A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E169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AFB5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75682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C482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BCB6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6B57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BDF7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075BC0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0A9BB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F3E9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9F1A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F6C7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1.44</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7931A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1AE4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71F7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0281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F14BC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5C21D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3B19F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B9EE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2193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5F3E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58931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B68E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931E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CC6E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1B724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AD49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57B43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8174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B3EE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489D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33038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42F8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7D0F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9B90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FDF92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F1996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E5332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203E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5A16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49FB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1.44</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88302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B3ED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4CAE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8D71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A2BC5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C27B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C32FA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EDCE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C28C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B362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86D9B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984D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F14F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2A95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03C99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0EFC2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27516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A1F1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78DD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33A0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B76E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A870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FF05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87CF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8C7C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8A3F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B4E0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017D9C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7EA6D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8990A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4C45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0D63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科目调整次数</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C5E9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9F35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A8EA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次</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B5DB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7E77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2F84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3DCA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FA15B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B2928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237FE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05B6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A41B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预算编制准确率（计算方法为：∣（执行数－预算数）/预算数∣）</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F782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565E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A13E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DD0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1632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D250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9233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F81E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316B9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CAB74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F839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经济效益指标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A831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“三公经费”控制率[计算方法为：（“三公”经费实际支出数/预算安排数]×100%）</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69F8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BCC6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AA49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E390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DF11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757B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0C6C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05A4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6C3D8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254CC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BD29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51F3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运转保障率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81E0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C6B6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2983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EBB8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58E5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7E79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93FD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06A6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670036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D302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8AB2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C1E5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AFEE1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A4A4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EBC203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项目自评得分90分</w:t>
            </w:r>
          </w:p>
        </w:tc>
      </w:tr>
      <w:tr w14:paraId="6D2EA3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3684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D05B49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03018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5A07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524EF1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0AA7C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5DFC48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62943F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441E77A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br w:type="page"/>
      </w: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6"/>
        <w:gridCol w:w="976"/>
        <w:gridCol w:w="1482"/>
        <w:gridCol w:w="1536"/>
        <w:gridCol w:w="967"/>
        <w:gridCol w:w="1225"/>
        <w:gridCol w:w="984"/>
        <w:gridCol w:w="1396"/>
        <w:gridCol w:w="1053"/>
        <w:gridCol w:w="1225"/>
        <w:gridCol w:w="1056"/>
      </w:tblGrid>
      <w:tr w14:paraId="4A0EB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555BEF6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0B06C52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7427B8F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4EC1FC3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1A24ABD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0625D54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2CD239F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71E32C9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26E7ACC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1E1E1B4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19206B5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86455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B38A599">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966A2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41CEC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08C12B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51320025Y000013840672－工作经费</w:t>
            </w:r>
          </w:p>
        </w:tc>
      </w:tr>
      <w:tr w14:paraId="5EC166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93900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B20B5F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6A45B0F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772C6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州市场监管局</w:t>
            </w:r>
          </w:p>
        </w:tc>
      </w:tr>
      <w:tr w14:paraId="7F041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007F4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E4B1A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FE027C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950C0E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5443A6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B7486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4D5FC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5ACA58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提高预算编制质量，严格执行预算，保障单位日常运转</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BE694B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预算执行准确，科目调整控制在5次以内，单位运转保障有力。</w:t>
            </w:r>
          </w:p>
        </w:tc>
      </w:tr>
      <w:tr w14:paraId="77FF1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17B17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4F38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F5E976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严格执行预算，保障单位日常工作运转。</w:t>
            </w:r>
          </w:p>
        </w:tc>
      </w:tr>
      <w:tr w14:paraId="02AB8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E4BC9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2F12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E9CA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4216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637D8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6D07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8161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7250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CC25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61B0A2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C52B5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E4C3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0B5A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B11C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24.76</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5C22B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24.76</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9C90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039D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7AB5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A391B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B9EF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5D9D1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CBF6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97E0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9C8D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24.76</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27BC2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24.76</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53E8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4D0F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6F94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75692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E061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F0187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A8E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A63B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EE3D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37D94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8F50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1B6F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58ED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C7992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56B85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39020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9E48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95CE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346E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82F52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579D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81C0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0889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079DC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871DF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D1184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C756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AA9C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BA72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44D70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EE9E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9C91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BBA6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F71D4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0898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38DF2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59AE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98D0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20C4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EADB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B82F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7D28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282B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4290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65CF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8DB8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38C38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F47FB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124EA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9A22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6D9C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科目调整次数</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F974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FC6C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1390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次</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BDF8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952E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F954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795E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7F858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795D8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A6B6E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BC0B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278C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预算编制准确率（计算方法为：∣（执行数－预算数）/预算数∣）</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6FFD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DD41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F2EE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C6A1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6197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56C6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722B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D73E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F195B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D6BC3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A179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经济效益指标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FF4A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“三公经费”控制率[计算方法为：（“三公”经费实际支出数/预算安排数]×100%）</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BFAB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4F3C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FA05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8EE6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B80E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8376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584A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00012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ABB6A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96FDB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5629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4996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运转保障率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C39C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E1C1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3540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707D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6691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F68D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F9A4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4DC2D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6250B0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E7AE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499A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7EE1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EEA2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222B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DD1AA1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4279C6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4ABB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6832AE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14A8C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AB80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FB5C3E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5D119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28FEBC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D0E92C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652461C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br w:type="page"/>
      </w: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6"/>
        <w:gridCol w:w="976"/>
        <w:gridCol w:w="1482"/>
        <w:gridCol w:w="1536"/>
        <w:gridCol w:w="967"/>
        <w:gridCol w:w="1225"/>
        <w:gridCol w:w="984"/>
        <w:gridCol w:w="1396"/>
        <w:gridCol w:w="1053"/>
        <w:gridCol w:w="1225"/>
        <w:gridCol w:w="1056"/>
      </w:tblGrid>
      <w:tr w14:paraId="60FB3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7DBEEBE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3FF2CF0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1E18E1B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6935563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1BE8773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7B39D86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5D57FB6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7CA65D2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1D6ACB6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26B1342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3BF1A01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A7D90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45B1E17">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A1924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19D4F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76D24B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51320023R000007728618－目标绩效奖（按月随工资发放70%部分）</w:t>
            </w:r>
          </w:p>
        </w:tc>
      </w:tr>
      <w:tr w14:paraId="42BC7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DE851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647AB3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16AEA0D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C7101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州市场监督管理综合保障中心</w:t>
            </w:r>
          </w:p>
        </w:tc>
      </w:tr>
      <w:tr w14:paraId="61C83F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57A42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FA1DB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53A9E4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4440E5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5EB951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E2385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153A6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4A067F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严格执行相关政策，保障工资及时、足额发放或社保及时、足额缴纳，预算编制科学合理，减少结余资金。</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488B83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按时足额发放目标绩效奖，发放覆盖率100%，保障干部职工积极性。</w:t>
            </w:r>
          </w:p>
        </w:tc>
      </w:tr>
      <w:tr w14:paraId="311F9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91409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BAF8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D7140A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根据绩效考核结果，按月完成目标绩效奖的核算与发放工作。</w:t>
            </w:r>
          </w:p>
        </w:tc>
      </w:tr>
      <w:tr w14:paraId="4FC2D9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D8909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2D0F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2F8A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55D8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39DD4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819A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BC76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38E6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C14A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46ECB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4765E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25DD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1E48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74.78</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1F9D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74.78</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EA775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74.78</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1357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FE49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84F0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57E85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C2569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A588E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ECCE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FFCC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74.78</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F483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74.78</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8C209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74.78</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9132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F771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5ACD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C6BFA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99E3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8E3DD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A34E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9D3D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2B0C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68E74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B570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4068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03D4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3412C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157E5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82925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645A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5A6E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51C4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5A698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6714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0410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FD2E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E91D8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2381A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721E4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0E11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3BD1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8000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75AB9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F293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AB1F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12F9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163C4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0049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3298D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A0D2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5909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3EAC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7CEB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5AD2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D4D1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920E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5AC8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36C7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20D1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26D503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AA17B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B719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4F3B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DD5F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发放（缴纳）覆盖率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1E0B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33E5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104F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1C36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2D0F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1D64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6A87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2EDD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04998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F952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EA7A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8860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足额保障率（参保率）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2367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FEB3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3CAE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8CA5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0412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379D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F1FA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AA98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E6AB4A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1FC2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1B6D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E245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8394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1F13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CBB210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0C590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9300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29DBFC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6B583B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E752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54D17C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70CC6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23698A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1AA705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1481608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br w:type="page"/>
      </w: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6"/>
        <w:gridCol w:w="976"/>
        <w:gridCol w:w="1482"/>
        <w:gridCol w:w="1536"/>
        <w:gridCol w:w="967"/>
        <w:gridCol w:w="1225"/>
        <w:gridCol w:w="984"/>
        <w:gridCol w:w="1396"/>
        <w:gridCol w:w="1053"/>
        <w:gridCol w:w="1225"/>
        <w:gridCol w:w="1056"/>
      </w:tblGrid>
      <w:tr w14:paraId="28921F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56E6536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2370AE9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2AF2C2B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7ED975F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47E51DD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53F854C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42F7648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0CE5532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6B77B1E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4003A71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1E6E4AF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FE5C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0792B99">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E3ED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81BC2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A24B8C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51320023R000009914893-工资性支出</w:t>
            </w:r>
          </w:p>
        </w:tc>
      </w:tr>
      <w:tr w14:paraId="2865C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4E6FE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205D39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4BF60FC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CF66C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州市场监督管理综合保障中心</w:t>
            </w:r>
          </w:p>
        </w:tc>
      </w:tr>
      <w:tr w14:paraId="1C641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2BF15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7EB84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58DC07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672DCC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60753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63B0A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DEE68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FB17C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严格执行相关政策，保障工资及时、足额发放或社保及时、足额缴纳，预算编制科学合理，减少结余资金。</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42CDD1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按时足额发放职工工资，发放覆盖率100%，无拖欠、无差错。</w:t>
            </w:r>
          </w:p>
        </w:tc>
      </w:tr>
      <w:tr w14:paraId="6947B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2ED7A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384F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3C9CF3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严格执行工资发放政策，按月核算并发放职工工资及相关补贴，保障职工合法权益。</w:t>
            </w:r>
          </w:p>
        </w:tc>
      </w:tr>
      <w:tr w14:paraId="34AE0D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44B44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63DA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E6AE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08F5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04B10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14F6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095A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2B63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8261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7B14E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2BEAA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04AB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EA04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182.13</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6D30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178.97</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B5F8C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178.97</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09B3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2636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B258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E38E3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75910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39B04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3850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728C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182.13</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923D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178.97</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5EF77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178.97</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7A06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E907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0471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57416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C210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3EB26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689A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8EE7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8CA1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E414B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913F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9644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A242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8DE71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0CD8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CB350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32AA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7B67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9826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BA6DA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7659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D782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7170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E2BFB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549ED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72063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51B1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28FA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FA99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E4C3B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9CF6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5B41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CC1E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1275F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970B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80D9F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3616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3B67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D9AE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0896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349C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2892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098D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F8B0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2BE7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ECAF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60208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C7323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824A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785E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E5CA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发放（缴纳）覆盖率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4988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52A7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2588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7468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0662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C6CB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8667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97CB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1F3F0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5071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04F2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4A8E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足额保障率（参保率）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D5AE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1A4C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9353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729E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925A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FD34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8831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05E64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5F9024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E750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24B1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2177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F0B0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41A4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B150F8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2895CC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97EB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81C068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48EC7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4B5B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6A684F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4C32DB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A069EC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6C1359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41FAD8E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br w:type="page"/>
      </w: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6"/>
        <w:gridCol w:w="976"/>
        <w:gridCol w:w="1482"/>
        <w:gridCol w:w="1536"/>
        <w:gridCol w:w="967"/>
        <w:gridCol w:w="1225"/>
        <w:gridCol w:w="984"/>
        <w:gridCol w:w="1396"/>
        <w:gridCol w:w="1053"/>
        <w:gridCol w:w="1225"/>
        <w:gridCol w:w="1056"/>
      </w:tblGrid>
      <w:tr w14:paraId="30DB9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5CAA12E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3E9AD4A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1ED2F18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64DA436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2B4A604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34B3AA9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3BBAEBA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1F304C7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66F7B28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102BB57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10CCA1F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B63C7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7EEB3A2">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995D4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4993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B189DF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51320023R000009915221－单位缴费</w:t>
            </w:r>
          </w:p>
        </w:tc>
      </w:tr>
      <w:tr w14:paraId="51DE6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17857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958BD5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6E5800E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37188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州市场监督管理综合保障中心</w:t>
            </w:r>
          </w:p>
        </w:tc>
      </w:tr>
      <w:tr w14:paraId="413701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615C2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932AA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2006E5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5C443D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377BF7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01EF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FEF48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8BBBFA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严格执行相关政策，保障工资及时、足额发放或社保及时、足额缴纳，预算编制科学合理，减少结余资金。</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C1B4A9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按时足额缴纳职工社保、公积金等，缴纳覆盖率100%，保障职工权益。</w:t>
            </w:r>
          </w:p>
        </w:tc>
      </w:tr>
      <w:tr w14:paraId="7DFDF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7BA56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B76B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58DBB7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按规定完成职工社会保险、住房公积金等费用的核算与缴纳工作。</w:t>
            </w:r>
          </w:p>
        </w:tc>
      </w:tr>
      <w:tr w14:paraId="3EE976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25146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B4B5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B7D2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4D8D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28594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3268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0A33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FFEC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0438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73BEF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54085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3076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6BD5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139.73</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BA70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133.65</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FFCF7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133.65</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ED26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4A2B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3C4C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5A5AA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7BAE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01FBA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C36A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87CF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139.73</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EE1D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133.65</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D2A33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133.65</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20DD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3837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E6EF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AED89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2B898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47E48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4815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3E1C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5CA9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FF814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E29B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E2B2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6695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2882B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3D28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1ACA9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1898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F6DA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D63E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EF893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6A93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543F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055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12213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EC1E0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54A6D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B6A8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DB03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FBFB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8337B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08AD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E010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C507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B6713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7C0D0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5F91E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2CB4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1A4B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B9A0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A40A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80C9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43EF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DCE6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A06C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F099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6BB5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50C6E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5F919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6FC3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B6D6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8B60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发放（缴纳）覆盖率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F569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305C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BB92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2EB5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CEDF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CC6E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D6D3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62F15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0A4CB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F8A9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F7C5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3705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足额保障率（参保率）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F12E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AE1E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0E56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CF96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637F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0EAE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1E03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F939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8D01F8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A1EE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1732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F1B8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D593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BC37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81A28C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700A2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FE58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084969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6FBBC0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8C5B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C38AC9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575C8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560027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3D5D9F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2DE2AD2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br w:type="page"/>
      </w: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6"/>
        <w:gridCol w:w="976"/>
        <w:gridCol w:w="1482"/>
        <w:gridCol w:w="1536"/>
        <w:gridCol w:w="967"/>
        <w:gridCol w:w="1225"/>
        <w:gridCol w:w="984"/>
        <w:gridCol w:w="1396"/>
        <w:gridCol w:w="1053"/>
        <w:gridCol w:w="1225"/>
        <w:gridCol w:w="1056"/>
      </w:tblGrid>
      <w:tr w14:paraId="7E5B2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62A24F9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0E3202D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268C4C7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617B218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52B395C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0FEDE7F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0FB0319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1F8ABFC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35C4F11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229BF76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4C8573C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D02BC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0ABE269">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2CABF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577D0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2E4FD7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51320023Y000009917272－日常公用经费</w:t>
            </w:r>
          </w:p>
        </w:tc>
      </w:tr>
      <w:tr w14:paraId="58265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AD8BC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335D0E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0DA8818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A65AB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州市场监督管理综合保障中心</w:t>
            </w:r>
          </w:p>
        </w:tc>
      </w:tr>
      <w:tr w14:paraId="4A435D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2E819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72666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0A37E3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646095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7D38A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F159D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B89F9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2D7A55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提高预算编制质量，严格执行预算，保障单位日常运转。</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BF5EA4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预算编制准确，科目调整控制在5次以内，“三公经费”控制率100%，单位运转保障有力。</w:t>
            </w:r>
          </w:p>
        </w:tc>
      </w:tr>
      <w:tr w14:paraId="1735CA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B2631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8F8B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B200E2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严格执行预算，保障单位日常办公、会议、差旅等基本运转需求。</w:t>
            </w:r>
          </w:p>
        </w:tc>
      </w:tr>
      <w:tr w14:paraId="5B1DB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22950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9421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37F4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72A4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B2712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EF2B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F60D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2407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5D5A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37D60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AFA4F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77F7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93C4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17.22</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D9EC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17.22</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FC466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17.22</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ECA5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BBF9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DCA0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0FBEF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11BA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96446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9983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9F5D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17.22</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80DA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17.22</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2AE31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17.22</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DC62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0C68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5591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09921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8887B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8EEFB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0866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4446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753C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35311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A4F3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9675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A8B7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9547D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8002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C202B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92C8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6E7C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022C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C6F47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D452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F18F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1A1A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B2275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E0437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4991F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F417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C7D6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CC96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08DFB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64CE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3229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E627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2A47B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01E9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FB18E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6169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50EF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F7D1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D9F6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0C4B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41C4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3C30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F4DB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F5B2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3E38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136C54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532F5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F0132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723F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75F7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科目调整次数</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57C6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6C93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0EFD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次</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0921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A25E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858A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B1A4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CE36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8135F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CFDD5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68D9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2A2D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预算编制准确率（计算方法为：∣（执行数－预算数）/预算数∣）</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CEBE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047C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2426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1AB2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1544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63DB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AC68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9AF62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EC30F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5DD9F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45F8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经济效益指标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6799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“三公经费”控制率[计算方法为：（“三公”经费实际支出数/预算安排数]×100%）</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D204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A701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0B8A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2E91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329D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46F8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7156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D578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ECDDA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E823F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61B7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E807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运转保障率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D66D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E55A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57EC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351A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6A98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94A7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664B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7A5F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72C1FA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8725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6804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2072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8B54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4FCB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F77A29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31B15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8662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E9A5C8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56BF14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4F6A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46DE7A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23AB4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0D73CA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66EA91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69E4902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br w:type="page"/>
      </w: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6"/>
        <w:gridCol w:w="976"/>
        <w:gridCol w:w="1482"/>
        <w:gridCol w:w="1536"/>
        <w:gridCol w:w="967"/>
        <w:gridCol w:w="1225"/>
        <w:gridCol w:w="984"/>
        <w:gridCol w:w="1396"/>
        <w:gridCol w:w="1053"/>
        <w:gridCol w:w="1225"/>
        <w:gridCol w:w="1056"/>
      </w:tblGrid>
      <w:tr w14:paraId="442CB4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029B10C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78328CB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0E20B5B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214DA23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5F0E42F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26B2A87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714BBF4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4A661BD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64881FD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23C71A0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7941E4B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22119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F2CCBF1">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4BB1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59B1F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DC30B2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51320025R000012338995－追加人员工资性支出</w:t>
            </w:r>
          </w:p>
        </w:tc>
      </w:tr>
      <w:tr w14:paraId="56556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0D838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3008B3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67940D0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01B26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州市场监督管理综合保障中心</w:t>
            </w:r>
          </w:p>
        </w:tc>
      </w:tr>
      <w:tr w14:paraId="33A6A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5739B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9F61C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7C2859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C4F407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47AE6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47191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5A93B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BB5833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严格执行相关政策，保障工资及时、足额发放或社保及时、足额缴纳，预算编制科学合理，减少结余资金</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81E52F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按时足额发放追加人员工资，发放覆盖率100%，保障人员待遇落实。</w:t>
            </w:r>
          </w:p>
        </w:tc>
      </w:tr>
      <w:tr w14:paraId="28291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7E2CF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05D1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54B169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根据人事变动和政策调整，完成追加人员工资的核算与发放工作。</w:t>
            </w:r>
          </w:p>
        </w:tc>
      </w:tr>
      <w:tr w14:paraId="69ECD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3662B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ACDD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ACE1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FA76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06780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3678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4786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DE93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55E9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612651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2755B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26B5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4358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3355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178.78</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697B0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178.78</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1F6E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44A2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AF5C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F63CE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4D40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DCF92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602F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A1DD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B5C6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178.78</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B57C6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178.78</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55FC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EC7D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2334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FB8D5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68D7B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9FBCA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8AF5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9E7C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289B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8B46E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7EB8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4C40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2DA4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6F209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A0DE3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580B4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41D2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2CF5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F519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15D2E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39A6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D680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A99E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D5E3D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70F03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8AAB9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6BAA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2F3B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7B3B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80D4E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2342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9A92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E6EC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CCD9F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AE39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0D272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156F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3BA5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E96E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3765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D66C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E87F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2E18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87D2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A0F7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B9B2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629602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C66ED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601D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FB45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317F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发放（缴纳）覆盖率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5CF9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EB64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3B56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D111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38B3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2B3D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965B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A4E6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7FEFD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BC8D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6B99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F46A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足额保障率（参保率）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38C6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C40E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2C6A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A24A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19DB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C05B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A117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6C226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A1C740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2899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6A24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A884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04D8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294C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F424EC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00F5E1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E34F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B7528C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2FB25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9F1B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FD8C6E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379978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C9313B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09C6DC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6CF40B8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br w:type="page"/>
      </w: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6"/>
        <w:gridCol w:w="976"/>
        <w:gridCol w:w="1482"/>
        <w:gridCol w:w="1536"/>
        <w:gridCol w:w="967"/>
        <w:gridCol w:w="1225"/>
        <w:gridCol w:w="984"/>
        <w:gridCol w:w="1396"/>
        <w:gridCol w:w="1053"/>
        <w:gridCol w:w="1225"/>
        <w:gridCol w:w="1056"/>
      </w:tblGrid>
      <w:tr w14:paraId="42382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23E74B4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5B56AAA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57CE630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26B6115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05D6923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2440041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68FD880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166A9F3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7AE6BBC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5BB3914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6998FFD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396C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B2C9409">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FC51A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50A59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2E2FB2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51320025R000012408768－年度考核奖（30%）</w:t>
            </w:r>
          </w:p>
        </w:tc>
      </w:tr>
      <w:tr w14:paraId="5B26D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2743E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1309CB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61CF244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AC88A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州市场监督管理综合保障中心</w:t>
            </w:r>
          </w:p>
        </w:tc>
      </w:tr>
      <w:tr w14:paraId="368AB5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38791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FF95E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BB03EC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6306D0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6A2329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851E1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440C2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0A7088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严格执行相关政策，保障工资及时、足额发放或社保及时、足额缴纳，预算编制科学合理，减少结余资金</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6445E8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按时足额发放年度考核奖，发放覆盖率100%，激励干部职工积极作为。</w:t>
            </w:r>
          </w:p>
        </w:tc>
      </w:tr>
      <w:tr w14:paraId="4D9E0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D2C60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E1C4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F58834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根据年度考核结果，完成考核奖的核算与发放工作。</w:t>
            </w:r>
          </w:p>
        </w:tc>
      </w:tr>
      <w:tr w14:paraId="29D71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A6203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EEE4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1A42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DF04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EB317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5BB1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64F6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B039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F43A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66DD5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8377D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7EEE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C43C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8AE8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26.76</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9EBD2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26.76</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4859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99C2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D7C3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6CDF3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9D17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76B61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C54D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65E1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E632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26.76</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135A6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26.76</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35A2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0D35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16DD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8E810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15D4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C03B3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5B85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D009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3873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0A2FA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5327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9D45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FFDF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6831D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5BCE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BB4CC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BA82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05D2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0840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77AE8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E25E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8ED6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6F87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CD8B7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2195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BF86F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E0A0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665F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8A1A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C2A2A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03CE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91EF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E895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D81CF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AD29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7FFA8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53E7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1151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6995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3CA1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917A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1219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FDD8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2085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CE15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0A77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26DF3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503EE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EB46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D2FC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A39C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发放（缴纳）覆盖率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E7E0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1994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1C1B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3CA8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E97B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948F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EA9E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F1B13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85BEA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B8C5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E95D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2ED1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足额保障率（参保率）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58DF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57B7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391A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C365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B755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7529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A940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4C181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9B4C4A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0E8F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2D45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088C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90A9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3D00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C70D2E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7231C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EB40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F4FA77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07BC47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A004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515A32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4B923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57ED49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8A3A64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003C7EF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br w:type="page"/>
      </w: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6"/>
        <w:gridCol w:w="976"/>
        <w:gridCol w:w="1482"/>
        <w:gridCol w:w="1536"/>
        <w:gridCol w:w="967"/>
        <w:gridCol w:w="1225"/>
        <w:gridCol w:w="984"/>
        <w:gridCol w:w="1396"/>
        <w:gridCol w:w="1053"/>
        <w:gridCol w:w="1225"/>
        <w:gridCol w:w="1056"/>
      </w:tblGrid>
      <w:tr w14:paraId="6320C4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10EC677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661A389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371D1A5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0551224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4C1A11F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6C63D93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36D51ED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6834C92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2293BDB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344B44F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3F76F85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920DA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C489582">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3915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C6267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B9B4D1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51320025Y000012974203－日常公用经费（其他运转类）</w:t>
            </w:r>
          </w:p>
        </w:tc>
      </w:tr>
      <w:tr w14:paraId="111BC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A4E0F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4D4441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6243FD3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5D4AB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州市场监督管理综合保障中心</w:t>
            </w:r>
          </w:p>
        </w:tc>
      </w:tr>
      <w:tr w14:paraId="51707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FB345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7DC53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503F65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7A884E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617B3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34F72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2675C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76F359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提高预算编制质量，严格执行预算，保障单位日常运转。</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CE9563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提高预算编制质量，严格执行预算，保障单位日常运转。</w:t>
            </w:r>
          </w:p>
        </w:tc>
      </w:tr>
      <w:tr w14:paraId="0F632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1AD92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9422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360908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提高预算编制质量，严格执行预算，保障单位日常运转。</w:t>
            </w:r>
          </w:p>
        </w:tc>
      </w:tr>
      <w:tr w14:paraId="49BAB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AA187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14A2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5B96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4EF3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76841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C659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B0A4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1363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8624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4825B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B3221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3E9F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D0BC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33.27</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EF31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33.27</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6F42B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33.27</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429E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FBF6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97CC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20A97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96B9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059F7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E2B0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4811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33.27</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EB4C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33.27</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BDEBC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33.27</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DB7B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07C5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7DFE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9ABAE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B751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8336E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7659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EE6F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054F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4BED8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E2B0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770C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F83D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5B941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E6FE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6CC3D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6A88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0393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29E5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5A42B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2A4C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BB12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6787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0BC33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34517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89DD8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17BB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8A3A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BD37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F5070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CAD1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3B98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708C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2BD0E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A5B4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8D604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1680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373F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1C9E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7959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C07D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40F1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8C6E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EC82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7F5E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A48D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16A07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265B3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AFB82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1566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5510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科目调整次数</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59A5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7C88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4CF8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次</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876A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708C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DD31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5C89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908C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CEA70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224D2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C43D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560B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预算编制准确率（计算方法为：∣（执行数－预算数）/预算数∣）</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90B8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B36A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06A0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3D07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CBE8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EBAA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F631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3090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DDEB5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BBBA8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2717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经济效益指标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7FA0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“三公经费”控制率[计算方法为：（“三公”经费实际支出数/预算安排数]×100%）</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0745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810C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2FC0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A9DB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ACF4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7637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04FE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9E59D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332D9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CED03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5E8E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54D7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运转保障率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F0F6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DE0E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824B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E956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7366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31A0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B01A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9751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2AC25B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23B2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52A2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D009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93B04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311B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CADC0D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4E22B1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E9BB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B59771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59090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56BC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BC50FF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7CDF01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C12C3C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B6A2DF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1AD1CDA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br w:type="page"/>
      </w: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6"/>
        <w:gridCol w:w="976"/>
        <w:gridCol w:w="1482"/>
        <w:gridCol w:w="1536"/>
        <w:gridCol w:w="967"/>
        <w:gridCol w:w="1225"/>
        <w:gridCol w:w="984"/>
        <w:gridCol w:w="1396"/>
        <w:gridCol w:w="1053"/>
        <w:gridCol w:w="1225"/>
        <w:gridCol w:w="1056"/>
      </w:tblGrid>
      <w:tr w14:paraId="1546F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0CF5B0B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0302237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3C38FD8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39FBE0D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00D4199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3DC7A80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667296E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02FDA1C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1635599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65F828F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0C996B7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A4D9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A7851E4">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4A5A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4B0C9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114442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51320022R000005203810－追加州级部门建房补贴</w:t>
            </w:r>
          </w:p>
        </w:tc>
      </w:tr>
      <w:tr w14:paraId="47438E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1BDFD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0DFC21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2CBF0FA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5265E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州计量检定测试所</w:t>
            </w:r>
          </w:p>
        </w:tc>
      </w:tr>
      <w:tr w14:paraId="2F94C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04714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6A792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032CA8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F0B204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12BB5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91C70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46947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B5CA49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严格执行相关政策，保障工资及时、足额发放或社保及时、足额缴纳，预算编制科学合理，减少结余资金</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BE9368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严格执行相关政策，保障工资及时、足额发放或社保及时、足额缴纳，预算编制科学合理，减少结余资金</w:t>
            </w:r>
          </w:p>
        </w:tc>
      </w:tr>
      <w:tr w14:paraId="649DF8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698F4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6BF2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311DE8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严格执行相关政策，保障工资及时、足额发放或社保及时、足额缴纳，预算编制科学合理，减少结余资金</w:t>
            </w:r>
          </w:p>
        </w:tc>
      </w:tr>
      <w:tr w14:paraId="6A221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335C8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497A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577A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9AF0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30C5D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04C2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328A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DB6A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3CA3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34661F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D144A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1FE6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8D45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2094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019DE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2BC7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528F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CF41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AFA7E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8047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C383B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DB1F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3B6D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1952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3805E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F6CC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A948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D3DF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2C0C2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57BC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03774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90B6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CDF8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E155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5D517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9BE5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8077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C48F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F222E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7C00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ED6E5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7D7F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D3E1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DFF6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ECBFF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BE24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3E54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1074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3B59C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FEA5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CDA98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F1DF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8179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E7F4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58EA4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EBF2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4CC6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E04E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1818F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1B327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2850F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DF98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514F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D9C7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EB3F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0DAB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F171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2DF7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44B6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9007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E7F5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2A50A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A8EAF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7161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C3D1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09F8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发放（缴纳）覆盖率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A5A2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37D8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045B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22C6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3981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A04F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9050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5488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43411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47B0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2BDD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4A8A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足额保障率（参保率）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0318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CB05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D7B5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2EB4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B669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3930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A6D4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927DF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AF00D9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0FBB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3AA6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4AE2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F7379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31B8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1F5041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17AF9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01A5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00F692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17DA6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12F7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8B3804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527A3C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DB133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4DC501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62EACC6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br w:type="page"/>
      </w: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6"/>
        <w:gridCol w:w="976"/>
        <w:gridCol w:w="1482"/>
        <w:gridCol w:w="1536"/>
        <w:gridCol w:w="967"/>
        <w:gridCol w:w="1225"/>
        <w:gridCol w:w="984"/>
        <w:gridCol w:w="1396"/>
        <w:gridCol w:w="1053"/>
        <w:gridCol w:w="1225"/>
        <w:gridCol w:w="1056"/>
      </w:tblGrid>
      <w:tr w14:paraId="2C7298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005CECA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5ABA458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1A686AB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5CEA1EE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3C09D50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2DE69D9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797BDDA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247D438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1510C81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2C6590D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3FDEDEB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43E01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E1A37D7">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F2E94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8E8D2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C4A97B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51320023R000007728618－目标绩效奖（按月随工资发放70%部分）</w:t>
            </w:r>
          </w:p>
        </w:tc>
      </w:tr>
      <w:tr w14:paraId="383343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BC459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9D92A5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48442CC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F4455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州计量检定测试所</w:t>
            </w:r>
          </w:p>
        </w:tc>
      </w:tr>
      <w:tr w14:paraId="30302C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8B403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6650B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16E91E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C7B3E5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3369F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44F9C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38516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B89DC2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严格执行相关政策，保障工资及时、足额发放或社保及时、足额缴纳，预算编制科学合理，减少结余资金。</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F4EDD8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严格执行相关政策，保障工资及时、足额发放或社保及时、足额缴纳，预算编制科学合理，减少结余资金。</w:t>
            </w:r>
          </w:p>
        </w:tc>
      </w:tr>
      <w:tr w14:paraId="74A13C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E3E5F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06FE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7511DE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严格执行相关政策，保障工资及时、足额发放或社保及时、足额缴纳，预算编制科学合理，减少结余资金。</w:t>
            </w:r>
          </w:p>
        </w:tc>
      </w:tr>
      <w:tr w14:paraId="0F31D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70DC3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81B8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1AA2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612E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986BE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892D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48E2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694C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71FC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5F1695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6AF6A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B8D9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2A4F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37.39</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180A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37.39</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8CC8C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37.39</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D314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A052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CD74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1C2C6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D3E13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641DA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197B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2699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37.39</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C40A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37.39</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810AA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37.39</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20D5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6674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FA69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1C918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E443B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51070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E642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A119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D0B5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F481D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B168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F810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8D3F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5648A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66015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84A77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F38A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E20D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2542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52AB5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0E0A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6C20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0EAC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37A15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5FEF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E5A78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977A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208A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D218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A26B7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7C1A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B0E9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6FF9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B45C8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2F5F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B6ADF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A09A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33FF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CCC9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72A5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1739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95E5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E5D9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EAB3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E873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F0BD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419D94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86687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ED5F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AF00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4363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发放（缴纳）覆盖率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001F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2F55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14BB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FB5F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59C8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21C6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9129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BB93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72EDC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2E1A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0C5A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3472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足额保障率（参保率）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B645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26F3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0E60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5305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DA0C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5E05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3A8D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5E96B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4E2873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E1AF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B417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D99F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B078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CBBA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64FDB8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5988F5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285E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640CF8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74F027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185E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BDE7EB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02A11F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64E114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3613ED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3787AAF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br w:type="page"/>
      </w: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6"/>
        <w:gridCol w:w="976"/>
        <w:gridCol w:w="1482"/>
        <w:gridCol w:w="1536"/>
        <w:gridCol w:w="967"/>
        <w:gridCol w:w="1225"/>
        <w:gridCol w:w="984"/>
        <w:gridCol w:w="1396"/>
        <w:gridCol w:w="1053"/>
        <w:gridCol w:w="1225"/>
        <w:gridCol w:w="1056"/>
      </w:tblGrid>
      <w:tr w14:paraId="2F620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669929A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6EBB3B2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4F4D152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56783A6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12DC7C0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6E9BA3B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3EE2A0D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7093E76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7EF923A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516C54E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0DCD050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442E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4E7E68E">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5338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EDE6F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34FAA1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51320023R000009914893-工资性支出</w:t>
            </w:r>
          </w:p>
        </w:tc>
      </w:tr>
      <w:tr w14:paraId="6580C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E9770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53C6C4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4CF3773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BAD14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州计量检定测试所</w:t>
            </w:r>
          </w:p>
        </w:tc>
      </w:tr>
      <w:tr w14:paraId="79F310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80C1D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45C5D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462E35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AA9DB2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0E7680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CC136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E3100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8FA6EB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严格执行相关政策，保障工资及时、足额发放或社保及时、足额缴纳，预算编制科学合理，减少结余资金。</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EDC8E7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严格执行相关政策，保障工资及时、足额发放或社保及时、足额缴纳，预算编制科学合理，减少结余资金。</w:t>
            </w:r>
          </w:p>
        </w:tc>
      </w:tr>
      <w:tr w14:paraId="0727C3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5B9B8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79DC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AEF17D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严格执行相关政策，保障工资及时、足额发放或社保及时、足额缴纳，预算编制科学合理，减少结余资金。</w:t>
            </w:r>
          </w:p>
        </w:tc>
      </w:tr>
      <w:tr w14:paraId="65DFF2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4DBAA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A182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ADA9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F747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F8636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9BA8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7F8B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D7CC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4402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6AAD5F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F3DDA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C53C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9B41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92.45</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41B9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87.62</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20047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87.62</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1BDD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84B9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68EF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7D7F8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A6A04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10F80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08B1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717B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92.45</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7BFA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87.62</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8FD73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87.62</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2A9E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C467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CEA6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C8257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95049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0B6C3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1895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BE54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BCAB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198DC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7239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82E7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1868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08C96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8353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522D7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9D55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6D3E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CAAB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6F32D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3899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1BB0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E9E4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6674E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68909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1C92F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F126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7E1C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D21B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11420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BB99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EC30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A12B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7A673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8D63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F882B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5173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2811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231B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CEAA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08BF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D4B9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5BAB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D402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53B7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54C4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521D8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197EB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FC32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6F98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2D28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发放（缴纳）覆盖率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127D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265C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62E1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7E14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C089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2E92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A7B5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7A54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645C2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8D16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5FAC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2B18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足额保障率（参保率）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0273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9D49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DDB0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1B05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EDCC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59D0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1F56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7B37F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E7D850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60FA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7D20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D28E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6AB94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8905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74211D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3BF2E0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0A15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8DA679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51171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60F8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7FF1D5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130AF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6BD13A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E59620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5221040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br w:type="page"/>
      </w: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6"/>
        <w:gridCol w:w="976"/>
        <w:gridCol w:w="1482"/>
        <w:gridCol w:w="1536"/>
        <w:gridCol w:w="967"/>
        <w:gridCol w:w="1225"/>
        <w:gridCol w:w="984"/>
        <w:gridCol w:w="1396"/>
        <w:gridCol w:w="1053"/>
        <w:gridCol w:w="1225"/>
        <w:gridCol w:w="1056"/>
      </w:tblGrid>
      <w:tr w14:paraId="23E83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25475ED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2DE071E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579FD0B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195D3EB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1C796D7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4FDC099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7D9B34F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795C78C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481989A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701C52A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257F59D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72784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E113F80">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B834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B026D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9407AD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51320023R000009915221－单位缴费</w:t>
            </w:r>
          </w:p>
        </w:tc>
      </w:tr>
      <w:tr w14:paraId="2394B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0AF9E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ABC7A5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2AA4227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5BB4C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州计量检定测试所</w:t>
            </w:r>
          </w:p>
        </w:tc>
      </w:tr>
      <w:tr w14:paraId="7A5F2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144EF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EDCA3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47CDB4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D5B188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0F97F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B1092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14B57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E55941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严格执行相关政策，保障工资及时、足额发放或社保及时、足额缴纳，预算编制科学合理，减少结余资金。</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771AB0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严格执行相关政策，保障工资及时、足额发放或社保及时、足额缴纳，预算编制科学合理，减少结余资金。</w:t>
            </w:r>
          </w:p>
        </w:tc>
      </w:tr>
      <w:tr w14:paraId="1DD62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DCFE2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233E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F681DD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严格执行相关政策，保障工资及时、足额发放或社保及时、足额缴纳，预算编制科学合理，减少结余资金。</w:t>
            </w:r>
          </w:p>
        </w:tc>
      </w:tr>
      <w:tr w14:paraId="1A063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D27C2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C9B8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03B1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F278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15B15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9972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E757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7B32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A2E5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22CCA6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94FD4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0EF2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02A0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67.10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D581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62.27</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F2131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62.27</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E9B2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B627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71F1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79E6F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A338B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EFC9F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65A8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253F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67.10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20E5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62.27</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F101A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62.27</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D480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44CF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3B16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DF8BE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1E5A2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9B7E3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2B3D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3655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2DF9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32F07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0934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1B42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FCEA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15425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21E6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8869D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06CB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B950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7DF5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8EF7D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D46D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D1BA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ACAF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EF57D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73F4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CE96A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DEC7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CA3F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0098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56032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80EF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7879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1EB7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DC0FD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0B00A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5F8E6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84F9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7B37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C824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BD86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0953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70BF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9E1D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2A8E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0913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0D49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6F9E6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12043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79DC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053A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1724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发放（缴纳）覆盖率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8562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752B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4612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263F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4EC4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FA18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5988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58B3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7CFC1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06B6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C0E6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BE22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足额保障率（参保率）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A700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12E0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DD93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56E0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80E6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80C9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5218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B14BC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475587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B7D6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AED7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9C97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EC05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F106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8A92A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7338B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821B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01BC39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33B520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6BD6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32DFE0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72093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7913F0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D8FF2A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4105E2A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br w:type="page"/>
      </w: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6"/>
        <w:gridCol w:w="976"/>
        <w:gridCol w:w="1482"/>
        <w:gridCol w:w="1536"/>
        <w:gridCol w:w="967"/>
        <w:gridCol w:w="1225"/>
        <w:gridCol w:w="984"/>
        <w:gridCol w:w="1396"/>
        <w:gridCol w:w="1053"/>
        <w:gridCol w:w="1225"/>
        <w:gridCol w:w="1056"/>
      </w:tblGrid>
      <w:tr w14:paraId="74091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777D1CD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6BFFBAB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198BAAA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729101C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1CCE382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443A8F6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483E979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07384FE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6B17ED8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31051D5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28EC2D4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08C1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D2DCB8F">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0A3D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C86AF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D7272E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51320023R000009915925－聘用人员经费</w:t>
            </w:r>
          </w:p>
        </w:tc>
      </w:tr>
      <w:tr w14:paraId="190D0E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FCC31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EB6316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0DAB862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18DD3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州计量检定测试所</w:t>
            </w:r>
          </w:p>
        </w:tc>
      </w:tr>
      <w:tr w14:paraId="455BC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493F0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24A3C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FA838F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D91407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18E48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5C578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2C037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2E4123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严格执行相关政策，保障工资及时、足额发放或社保及时、足额缴纳，预算编制科学合理，减少结余资金。</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16872B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严格执行相关政策，保障聘用人员工资及时、足额发放，社保及时、足额缴纳，发放覆盖率达100%，足额保障率达100%。</w:t>
            </w:r>
          </w:p>
        </w:tc>
      </w:tr>
      <w:tr w14:paraId="29798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1AFF0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4914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A7CF26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加强聘用人员管理，按时足额发放聘用人员工资及缴纳社保，保障聘用人员合法权益。合理控制聘用人员成本，提高聘用人员使用效益。</w:t>
            </w:r>
          </w:p>
        </w:tc>
      </w:tr>
      <w:tr w14:paraId="19045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04B88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62A1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4070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5E9C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2C300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FA31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FB1D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43FC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43B1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3741A0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A756F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EFFC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1A9B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28.16</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A46D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25.25</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FDACA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25.25</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6A05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20D5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3725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6C9EE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840B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67F47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A44E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8967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28.16</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4749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25.25</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B299D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25.25</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D81A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A573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7A62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F2547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569C6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3D6BB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FA1F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8F6E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4D12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502AE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2CFE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AC74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5C8B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B5D88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E684C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F9F56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DAC2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B2E8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900D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63BE3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63D3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EDBF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368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EB0AE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5396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B9D08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7CCC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A401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38C6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0C2AA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5412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BE9E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09FF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FCE06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A2B0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C6401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65F6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A1CC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056B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C82B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2175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3EDC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9879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754C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220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2202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11DFE7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CE0A1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8ED7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D4EF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8D89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发放（缴纳）覆盖率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A966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C62F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FA6E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2B76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B54C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5F3B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26C0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A936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48B59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36C2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4C04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92A9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足额保障率（参保率）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B4E6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98B6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3B0C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87C7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1D5C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5917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69AB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BB3A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22CFEF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4F9E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2F28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ABF5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46C78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EA62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6856AD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36EF7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8500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7FE335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1EECF5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B0BC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E112E4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4220A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F750ED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DB56E6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2AB0DDC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br w:type="page"/>
      </w: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6"/>
        <w:gridCol w:w="976"/>
        <w:gridCol w:w="1482"/>
        <w:gridCol w:w="1536"/>
        <w:gridCol w:w="967"/>
        <w:gridCol w:w="1225"/>
        <w:gridCol w:w="984"/>
        <w:gridCol w:w="1396"/>
        <w:gridCol w:w="1053"/>
        <w:gridCol w:w="1225"/>
        <w:gridCol w:w="1056"/>
      </w:tblGrid>
      <w:tr w14:paraId="5288E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52F4B09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306050E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30C2E83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6AFEB07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343817B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35361B8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6ED3BC5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2E86C75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710E1A2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4C44E51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4265F71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20CD7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BE5D911">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9461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D5719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6FEFFE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51320023Y000009917272－日常公用经费</w:t>
            </w:r>
          </w:p>
        </w:tc>
      </w:tr>
      <w:tr w14:paraId="72A46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9DDE0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AE65E8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62E5740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67B9A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州计量检定测试所</w:t>
            </w:r>
          </w:p>
        </w:tc>
      </w:tr>
      <w:tr w14:paraId="435230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9EF07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9746E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97A4C4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2959A8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392EB8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90EE2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AB3DE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629C90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提高预算编制质量，严格执行预算，保障单位日常运转。</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083F0C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提高预算编制质量，严格执行预算，保障单位日常运转。</w:t>
            </w:r>
          </w:p>
        </w:tc>
      </w:tr>
      <w:tr w14:paraId="090BF6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4AE61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A91A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BF876B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提高预算编制质量，严格执行预算，保障单位日常运转。</w:t>
            </w:r>
          </w:p>
        </w:tc>
      </w:tr>
      <w:tr w14:paraId="2D7CA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00563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6C40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7283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AE4D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EFE99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1591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63DE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E0C0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BE4F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559012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4209E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0F3D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DA03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31.52</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48D4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30.02</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F7DE8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30.02</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72DA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2CAC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7E9D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DC4A1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7235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9B0B8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F64B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14E4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31.52</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BFDC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30.02</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DDEDB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30.02</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6B62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6E1D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1559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8317B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A380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03348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C7E4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F275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B4DE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543E2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06A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5F7C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F8E8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9C0F2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871CA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DE480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BDEF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5378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A374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B07E6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62CD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06F5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54D6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6EF8C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C828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2B9E0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F1E9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D433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3DB6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745CB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09F7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86CA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246C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272F8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FE8B8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2D8A2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FA6D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5474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8887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D4D3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F67E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D2EF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5157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5A61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36A9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2EC4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089E7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D9CE2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9D5F9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5ACE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39EF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科目调整次数</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98F5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7D72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660B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次</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CFB4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E217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22F4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A53E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78A2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2D307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35E36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7B91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2111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预算编制准确率（计算方法为：∣（执行数－预算数）/预算数∣）</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781D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BF09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A1AF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3EE2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89D4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CF7C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5CA7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8B0D5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76EAC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ACA2E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5802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经济效益指标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2B95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“三公经费”控制率[计算方法为：（“三公”经费实际支出数/预算安排数]×100%）</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26D6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F880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5959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BD06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B722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B1EF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2A67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FCCC9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3179F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E6F56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6F33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0EAA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运转保障率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9BC2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83B0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75B1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EF40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5702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B672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F6A0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C9CF7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FE7423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984C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3E3E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F987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2FBC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12C1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7FE880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5C7822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1FF3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D2B063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722BC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EEC6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787D73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4E9994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BF7FBE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64D582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2596A07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br w:type="page"/>
      </w: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6"/>
        <w:gridCol w:w="976"/>
        <w:gridCol w:w="1482"/>
        <w:gridCol w:w="1536"/>
        <w:gridCol w:w="967"/>
        <w:gridCol w:w="1225"/>
        <w:gridCol w:w="984"/>
        <w:gridCol w:w="1396"/>
        <w:gridCol w:w="1053"/>
        <w:gridCol w:w="1225"/>
        <w:gridCol w:w="1056"/>
      </w:tblGrid>
      <w:tr w14:paraId="7CACC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0CAA3F9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33B181F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178DB23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78CB066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4722DBA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222058F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00C0540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010D5BD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60BC010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155943B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0118A57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138B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872972B">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D912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396FB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2C7FE1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51320024R000010654621－退休人员经费</w:t>
            </w:r>
          </w:p>
        </w:tc>
      </w:tr>
      <w:tr w14:paraId="0FB1D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0FBA6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4D77C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19288FC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26F18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州计量检定测试所</w:t>
            </w:r>
          </w:p>
        </w:tc>
      </w:tr>
      <w:tr w14:paraId="061B31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A492B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6FDA8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B80B9D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28EA22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45114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E8C32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7A854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AB604E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严格执行相关政策，保障工资及时、足额发放或社保及时、足额缴纳，预算编制科学合理，减少结余资金。</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A8AF66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严格执行相关政策，保障离休人员工资及时、足额发放，社保及时、足额缴纳，发放覆盖率达100%，足额保障率达100%，预算编制科学合理。</w:t>
            </w:r>
          </w:p>
        </w:tc>
      </w:tr>
      <w:tr w14:paraId="429EDE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BD3E7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3C46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153B57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按时足额发放离休人员工资及各项补贴，及时缴纳离休人员相关社保费用。加强离休人员服务管理，保障离休人员合法权益，确保离休人员待遇落实到位。</w:t>
            </w:r>
          </w:p>
        </w:tc>
      </w:tr>
      <w:tr w14:paraId="6696E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B48C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14A2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C95B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541D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CDD02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80F8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3F9A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A88F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C296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33DCAF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01AB8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D9C1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B8DB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C579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8B466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F262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51EB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4BCD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D4172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13C2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2679E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0D81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0162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B483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B426E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B95C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2C6E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DEBF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07BAF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18B90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F1E6E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8EA8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788D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A44A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F1E72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D1AF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6DA8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0D40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EA205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91BD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9E0FF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50A2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C8BB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A794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69724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1AF1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652A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6AF6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4E9F5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81139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CEE35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72A5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F6FD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9647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A03F1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47BE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B1EE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4272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84D1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6C1C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0B306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C009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A04D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2390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84ED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2091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362B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8F6E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2C46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84A9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8828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192D5A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982CA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7128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71E2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CBFB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发放（缴纳）覆盖率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3BAA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1C32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5DA1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7812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336A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0CE5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AF38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8EF2F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95F7D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CA3C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6D06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9432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足额保障率（参保率）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72DA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7110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25D7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7CE8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A08B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8EF5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1028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D62D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15DD37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E465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0B3C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1768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9153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BBDE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180BBE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44087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D0E0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F659DC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2865F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CE11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1FDA26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01CFB4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F7E779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08935F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4967CEA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br w:type="page"/>
      </w: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6"/>
        <w:gridCol w:w="976"/>
        <w:gridCol w:w="1482"/>
        <w:gridCol w:w="1536"/>
        <w:gridCol w:w="967"/>
        <w:gridCol w:w="1225"/>
        <w:gridCol w:w="984"/>
        <w:gridCol w:w="1396"/>
        <w:gridCol w:w="1053"/>
        <w:gridCol w:w="1225"/>
        <w:gridCol w:w="1056"/>
      </w:tblGrid>
      <w:tr w14:paraId="52FB0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72AD258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1BFC556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63EB10E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06E2537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3E0A4B2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47AE146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709DE99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40CF1F5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559B28B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7364DDB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587E59E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DF23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C16BFA6">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85ECE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C08BC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130523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51320024T000010424621－隐蔽式加油机检测系统采购</w:t>
            </w:r>
          </w:p>
        </w:tc>
      </w:tr>
      <w:tr w14:paraId="6DB634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6A906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02E614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1E4A8E8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79B83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州计量检定测试所</w:t>
            </w:r>
          </w:p>
        </w:tc>
      </w:tr>
      <w:tr w14:paraId="31140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858D0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4C101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B4D673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3CB925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665D45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0B9D0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C38F6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10E117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为做好我州加油机检测工作，打击违法行为。我所计划2024年购置1套隐蔽式加油机检测系统，总计资金50万元。</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295DF5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完成购置隐蔽式加油机检测系统1套，验收合格率100%，项目完成时限1年以内，加油机作弊投诉数量控制在30次/年以内，计量检定能力范围持续影响，设备使用人员满意度优良，项目成本控制在50万元以内。</w:t>
            </w:r>
          </w:p>
        </w:tc>
      </w:tr>
      <w:tr w14:paraId="5C928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066E6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0738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B082DE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为做好全州加油机检测工作，打击违法行为，购置隐蔽式加油机检测系统1套。加强设备验收管理，确保设备质量合格。投入使用后有效提升加油机检测能力，维护市场计量秩序，保障消费者权益。</w:t>
            </w:r>
          </w:p>
        </w:tc>
      </w:tr>
      <w:tr w14:paraId="0A500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5AE43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D81B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CA61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003D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C22F9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9449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5ECD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B5BF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2367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06C07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9C321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CF7B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9B29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198A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48.50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8EBB2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48.50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4D37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FE04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95CD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E806D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3E02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3DFA5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EF5C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56D2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EA9A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48.50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89CE2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48.50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3BF6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CF11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9269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F327B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1D5F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69852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058F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D61D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88A9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F5528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F925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14D8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954D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41F76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2533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8F35A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A003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28A3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25C3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93A4B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D7DA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37C5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2010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154EC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C961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DD483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A5C3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0837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FE16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1A58E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0525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B543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D01F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352C3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87283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ECC9D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FA9B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E3E6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0932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6E51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B132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19ED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7A0B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5500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AF6D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93F8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2EF84F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45176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A9EEF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3829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CF15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购置隐蔽式加油机检测系统数量</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61B2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76B4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2F69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套</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C933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0E87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03A4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19DD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AD1CF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AABC6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E8981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AB34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B2B5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验收合格率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C961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33F6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2466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2D38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115F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4136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C2B5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44200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B3383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ACC3C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2DBE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时效指标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5DD1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项目完成时限</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B2A2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E0A4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968C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B317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7841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3356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2080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1243B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2A8E2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ECDB3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AAAD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0AF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加油机作弊投诉数量</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2609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1328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3AEF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次/年</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EBA0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8E8E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199C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0F6B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A5681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AC394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1B931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5520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可持续影响指标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688E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计量检定能力范围</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9B17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61F3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持续影响</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F5EA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0DC1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持续影响</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3CFF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106B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E4E3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2FAFD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68818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BA0E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满意度指标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2365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满意度指标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EE1D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设备使用人员满意度</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7962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9D93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优良</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0813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0AD2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优良</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AE93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ED37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F10A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6EEDB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0660D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02FC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成本指标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C882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经济成本指标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CE6D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项目成本</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F441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7151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B44D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万元</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8F98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2D32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8844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8791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CEC2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025F66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B6E7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6952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1DDB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F42BA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5216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CE2738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562E6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4122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8F1DB2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57D2F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8926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3794B2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7F18A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DDACA8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9ECAE2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22B34ED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br w:type="page"/>
      </w: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6"/>
        <w:gridCol w:w="976"/>
        <w:gridCol w:w="1482"/>
        <w:gridCol w:w="1536"/>
        <w:gridCol w:w="967"/>
        <w:gridCol w:w="1225"/>
        <w:gridCol w:w="984"/>
        <w:gridCol w:w="1396"/>
        <w:gridCol w:w="1053"/>
        <w:gridCol w:w="1225"/>
        <w:gridCol w:w="1056"/>
      </w:tblGrid>
      <w:tr w14:paraId="41C9EA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580AEC7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326C034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24A73AE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7A95B56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1B4A1BB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6569A50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2537182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634048F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0E601B4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155D1BB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57C732F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1CDCA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DCAE140">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5768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C5210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331B6F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51320025R000012338995－追加人员工资性支出</w:t>
            </w:r>
          </w:p>
        </w:tc>
      </w:tr>
      <w:tr w14:paraId="0F38F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0AB2E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772341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31CA725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7DCFC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州计量检定测试所</w:t>
            </w:r>
          </w:p>
        </w:tc>
      </w:tr>
      <w:tr w14:paraId="0F7EA4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3FB78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18C92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45A674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F6B909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3C75B7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CAB3D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F4298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B4CB00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严格执行相关政策，保障工资及时、足额发放或社保及时、足额缴纳，预算编制科学合理，减少结余资金</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BC7683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严格执行相关政策，保障追加人员工资及时、足额发放，社保及时、足额缴纳，发放覆盖率达100%，足额保障率达100%，预算编制科学合理。</w:t>
            </w:r>
          </w:p>
        </w:tc>
      </w:tr>
      <w:tr w14:paraId="68126D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CC05F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4E77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3A60A9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根据人员变动情况，及时追加人员工资预算，确保新增人员工资及时足额发放。加强人员经费管理，合理安排资金使用，保障人员经费支出需求。</w:t>
            </w:r>
          </w:p>
        </w:tc>
      </w:tr>
      <w:tr w14:paraId="1CD1E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75285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BE5B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0D06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8FB3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8C1D1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1BC5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C101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CA97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1B44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21B39E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4F304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A170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5C06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171D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6.09</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7F2D9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6.09</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8D07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5AF4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362B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70AD1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8CDF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085DB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F142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EFD7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848F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6.09</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43FA9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6.09</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78EE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A45D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ACED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EAC67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C48B7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02335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1B54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B6BF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ECF8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F6357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D0B8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2451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B835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1E2E8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DE0B5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477A9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4092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D55C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6F3E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A82EC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AE6D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1B36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104C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912A4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2177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A0712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02A3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98D4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330E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3D956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8995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D2AB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5431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C98B1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BFE8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CFA58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4666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1652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EFFA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E375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FC45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B9B2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4CD0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03A3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7BE2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9B86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5B8922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F5FDE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30D0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4841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6D95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发放（缴纳）覆盖率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8687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3FFD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1143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671A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46F2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5153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3855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74E8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C5515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54C8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294C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924E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足额保障率（参保率）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AA55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BE22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2704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E8BB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196C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8974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2AF6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9BEC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C794D3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8B51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7173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9740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E7B2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B90D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209378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091AA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9951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977CAC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24E29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FF2F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6B45B1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5CB14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72C533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6A0D55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59D5524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br w:type="page"/>
      </w: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6"/>
        <w:gridCol w:w="976"/>
        <w:gridCol w:w="1482"/>
        <w:gridCol w:w="1536"/>
        <w:gridCol w:w="967"/>
        <w:gridCol w:w="1225"/>
        <w:gridCol w:w="984"/>
        <w:gridCol w:w="1396"/>
        <w:gridCol w:w="1053"/>
        <w:gridCol w:w="1225"/>
        <w:gridCol w:w="1056"/>
      </w:tblGrid>
      <w:tr w14:paraId="5337A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3B4F33A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667F0F8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1360073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4370A03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65D0CA8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15B69B4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6163370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057BDB4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7F1FBD6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01B30CA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62E48B7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46141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DE42D4B">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DAA5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2BE5B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BA49F9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51320025R000012408768－年度考核奖（30%）</w:t>
            </w:r>
          </w:p>
        </w:tc>
      </w:tr>
      <w:tr w14:paraId="390484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FAFDB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C04B86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7F35225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C7CA0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州计量检定测试所</w:t>
            </w:r>
          </w:p>
        </w:tc>
      </w:tr>
      <w:tr w14:paraId="67F61E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FE05E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BE546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C0616E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18A4F0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35AF38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01E69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CDE23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9EECEA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严格执行相关政策，保障工资及时、足额发放或社保及时、足额缴纳，预算编制科学合理，减少结余资金</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1EAFF6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严格执行相关政策，保障年度考核奖（30%部分）及时、足额发放，发放覆盖率达100%，足额保障率达100%，预算编制科学合理。</w:t>
            </w:r>
          </w:p>
        </w:tc>
      </w:tr>
      <w:tr w14:paraId="7D5F6A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4FE49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F6E0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0E91B9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按年度考核结果及时发放考核奖30%部分，严格执行考核奖发放政策。加强预算管理，确保资金及时到位，发挥考核奖激励作用。</w:t>
            </w:r>
          </w:p>
        </w:tc>
      </w:tr>
      <w:tr w14:paraId="78688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026B8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1B2C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7E0B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12D3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463EA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6A3F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EB06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0710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1636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63C37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61070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CA8F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E1ED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BA6D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14.87</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5F5B8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14.87</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AAA1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6FC8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68B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EC354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F40B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0E505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905D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F0BF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CF58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14.87</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B5E5A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14.87</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D861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E765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A9BC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9F29A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805DE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4EDB0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E75B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00B8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911E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CE9EF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5021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A68E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0FA3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F562B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EBF2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529DA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F164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63F7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0407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33571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D552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0904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9B7A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F114E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0D78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DAE29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2636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293B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5E34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BA60B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4291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9B84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8F06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F1A2C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1359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2E44F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D071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5739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2AEC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6C08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3529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298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9A0E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F51D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7817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D303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49B0E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E138B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1358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7C1B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065B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发放（缴纳）覆盖率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9C05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5C51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1610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D2D2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5B92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C648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F842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F6F18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C30C4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07FD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9A07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51FD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足额保障率（参保率）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E208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424E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A8E3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B8B4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F2A2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DE9D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964D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B4A2C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E8F324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5951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4B0A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9D6C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81A6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8A8B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87A442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0C4E4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77D1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B77F82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4F9E7A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D25A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93D9CA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21A001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D60DE9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289A2F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25E2EF9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br w:type="page"/>
      </w: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6"/>
        <w:gridCol w:w="976"/>
        <w:gridCol w:w="1482"/>
        <w:gridCol w:w="1536"/>
        <w:gridCol w:w="967"/>
        <w:gridCol w:w="1225"/>
        <w:gridCol w:w="984"/>
        <w:gridCol w:w="1396"/>
        <w:gridCol w:w="1053"/>
        <w:gridCol w:w="1225"/>
        <w:gridCol w:w="1056"/>
      </w:tblGrid>
      <w:tr w14:paraId="2502A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5E4DA04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50CDBE5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76DD486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2E51E9B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17DB2E6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2AEB72C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704EC50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087F225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62DA8E3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217DE79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71E225D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9C82A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409BECF">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60CD4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6E2CD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B0B710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51320025T000012480134-2025年全州计量检定工作专项经费</w:t>
            </w:r>
          </w:p>
        </w:tc>
      </w:tr>
      <w:tr w14:paraId="66DB19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C23D0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176043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4046A8B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9933F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州计量检定测试所</w:t>
            </w:r>
          </w:p>
        </w:tc>
      </w:tr>
      <w:tr w14:paraId="26F99A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5E639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7671B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131BDD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2D6CED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73578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B255A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F5472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9949CD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完成全州计量器具检定约20000台、件及计量器具校准2000台件，以及州局下达的其他任务；按计划完成全州计量器具周期检定；保障了计量器具的量值准确可靠，维护广大群众的利益。</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0BF1B9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完成全州计量器具检定约20000台、件及计量器具校准2000台件，以及州局下达的其他任务；按计划完成全州计量器具周期检定；保障了计量器具的量值准确可靠，维护广大群众的利益。</w:t>
            </w:r>
          </w:p>
        </w:tc>
      </w:tr>
      <w:tr w14:paraId="541C8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6C392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E1C7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3971F7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完成全州计量器具检定约20000台、件及计量器具校准2000台件，以及州局下达的其他任务；按计划完成全州计量器具周期检定；保障了计量器具的量值准确可靠，维护广大群众的利益。</w:t>
            </w:r>
          </w:p>
        </w:tc>
      </w:tr>
      <w:tr w14:paraId="76D6B8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EDCBE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1E86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A25E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2E93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EF1F7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2CDB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B0A2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D61A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BA6D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5ED75F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6C593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9830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0DB2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107.00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D5A8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93.97</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A4425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93.97</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E27E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E5E2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D594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15DB6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18BAE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63C44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9E9A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164A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107.00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AC29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93.97</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CB8B2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93.97</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90E7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496A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D0FF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F6BFD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AFF7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3ADE9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453B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A12E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E935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E344A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BF73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3331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FDDD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93E25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D0632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3717D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67AC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80F5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1177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03251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2040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E2EA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19F3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800E6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60FC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4153B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DE7C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D810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3A6F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F6564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D692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D807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B4AC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F0799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321D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01321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8698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DA59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6FD3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F305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7937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7E2F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7449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B1BC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EB16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A93B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3116DA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0"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D42F0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8C1C4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E366B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C462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完成全州计量器具检定数量</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2A9B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250C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20000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A62D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个（台、套、件、辆）</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F755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2C12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1D33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5B6C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B5A9E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0"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5F6C9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BD063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7CAF0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FED1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完成计量器具校准数量</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5923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3557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F409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个（台、套、件、辆）</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BE7E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33AC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B619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8FD8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00F90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8D1D2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A6085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F254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0739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计量检定工作达标率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4D27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7647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0509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06B7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5FDB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BFC5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16D8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CEE6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01083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45027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9540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时效指标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D4D5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鉴定报告出具及时率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7AC8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12B0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AB2A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0484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8985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8D91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3ABB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8A17E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AD38C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53DBE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7CA7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57C3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维护市场公平交易秩序</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4347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0E84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市场公平交易秩序稳定</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FB05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FA94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市场公平交易秩序稳定</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A18A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BF13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5323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C7C8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27B26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70CB8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B280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可持续影响指标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7E64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保障全州计量器具的量值准确可靠</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9823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F950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持续影响</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7EC8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CAFC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持续影响</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06F0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49C5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AE5C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4D24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A1CB8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6BD9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满意度指标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6533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服务对象满意度指标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4D7A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群众满意度</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9CD9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121A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B399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42EA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AD0C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D9CB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1A36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CDB1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EB519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8C48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成本指标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CB9D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经济成本指标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C00D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项目成本</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BEED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D764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118.2</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9473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万元</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F1A9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118.2</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C726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DC52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E655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BE1F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656C91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92BC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C475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1283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5A530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E1B8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F68850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28E9F8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1E26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3FBE9C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0C8020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89C2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03FC26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55BD1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310479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8FCCAB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3BC81A5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br w:type="page"/>
      </w: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6"/>
        <w:gridCol w:w="976"/>
        <w:gridCol w:w="1482"/>
        <w:gridCol w:w="1536"/>
        <w:gridCol w:w="967"/>
        <w:gridCol w:w="1225"/>
        <w:gridCol w:w="984"/>
        <w:gridCol w:w="1396"/>
        <w:gridCol w:w="1053"/>
        <w:gridCol w:w="1225"/>
        <w:gridCol w:w="1056"/>
      </w:tblGrid>
      <w:tr w14:paraId="6A416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679273F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19A96EF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268D4F3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4FD7896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3BC987A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3EE98B7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4AA2E8B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7FC9F21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293515E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412992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66A9EDD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4BCC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068EB84">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C5163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FBC05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C06499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51320025T000012482952－民生类计量检测设备更新</w:t>
            </w:r>
          </w:p>
        </w:tc>
      </w:tr>
      <w:tr w14:paraId="00AC7F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4C737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276C11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3806A0F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3DE6B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州计量检定测试所</w:t>
            </w:r>
          </w:p>
        </w:tc>
      </w:tr>
      <w:tr w14:paraId="226016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6E8F1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3BD1A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E8D048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8C5A43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1D8E30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5EC26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9D918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59EAD8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购置水表检定装置、燃气表检定装置各2套，提高检定工作效率，各2套，更好地向全州提供水表、气表检定服务，资金成本不超预算。</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57E7F2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购置水表检定装置、燃气表检定装置各2套，提高检定工作效率，各2套，更好地向全州提供水表、气表检定服务，资金成本不超预算。</w:t>
            </w:r>
          </w:p>
        </w:tc>
      </w:tr>
      <w:tr w14:paraId="7A0B3B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2BA96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0E7C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629D5A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购置水表检定装置、燃气表检定装置各2套，提高检定工作效率，各2套，更好地向全州提供水表、气表检定服务，资金成本不超预算。</w:t>
            </w:r>
          </w:p>
        </w:tc>
      </w:tr>
      <w:tr w14:paraId="21168B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7CBE1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EA55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68C4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571F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C1809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3A8E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432C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15DF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371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44872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38D19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DA6A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F3DB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120.00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A143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99.58</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3234A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99.58</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D296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090B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152B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080FB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6873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52896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C699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CCF8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120.00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544C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99.58</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D0B6B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99.58</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39F4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8C1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D671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DA7E5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0A73E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49437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7248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4E12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4749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500B2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F76D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5A60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4A54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3AA84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32B4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F9C3D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7BCF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ABBA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3608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E92F3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3EC4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3FDA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E26A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D2F16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0671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A656F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BC5A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9BFF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CC5B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52DDB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9759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F399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E071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71D4F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1EB1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CDF81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D307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11D7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3F6B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C35D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0126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A3FF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0DE5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0C4F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91B9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E8F9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6F298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848DD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57E91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322E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C7B4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民生类计量检测设备更新改造数量</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2EA7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A1BE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66F9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套</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8629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3EB9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B37A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E264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26050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7E2DA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D9D87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6907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DFDE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验收合格率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7868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BBB4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D7D9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10E0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F79E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C3FF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74DD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F9EC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844AA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D0C8A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3F63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时效指标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2083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项目完成时限</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B205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10DD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61D7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6930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D92F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829A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2253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51E57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1F76A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CAA8C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4305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09DA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提升水表、气表检定工作效率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6685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3715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显著提升</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01A1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AFE7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显著提升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55BC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98D6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1B14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595AE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7C32F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CB856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A9CA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可持续影响指标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D442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水表/气表检定结果误差率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C89A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CBC8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F42E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6E2A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0A27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74ED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21FB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FDF4B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B08FF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9A8D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满意度指标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9705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满意度指标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7B63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设备使用者对设备的满意度</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7B7D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5934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61BA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6CC9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A6AA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CC08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3AF8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1113D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1318E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11A9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成本指标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E672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经济成本指标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616E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项目成本</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4CA2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0FA6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121</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F1BB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万元</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721F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121</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236B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13DB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E357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16BF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7B149D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77FC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B488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8B71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C8872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54C9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F5983F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4301A4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6DD2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1B6487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3B02B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2B76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E2A9C1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289760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10FE16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0F5E42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52F8539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br w:type="page"/>
      </w: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6"/>
        <w:gridCol w:w="976"/>
        <w:gridCol w:w="1482"/>
        <w:gridCol w:w="1536"/>
        <w:gridCol w:w="967"/>
        <w:gridCol w:w="1225"/>
        <w:gridCol w:w="984"/>
        <w:gridCol w:w="1396"/>
        <w:gridCol w:w="1053"/>
        <w:gridCol w:w="1225"/>
        <w:gridCol w:w="1056"/>
      </w:tblGrid>
      <w:tr w14:paraId="0AC43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7B20FD8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5454A7B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7D6752D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3F624C6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117BEE6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7EAD160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70FC94B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091028A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2476A84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27E8D68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66FAE8B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60EAD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2922938">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008D9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F201E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BBAF66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51320025Y000012974203－日常公用经费（其他运转类）</w:t>
            </w:r>
          </w:p>
        </w:tc>
      </w:tr>
      <w:tr w14:paraId="5C8222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EFF43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E44D79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0918B65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EDC55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州计量检定测试所</w:t>
            </w:r>
          </w:p>
        </w:tc>
      </w:tr>
      <w:tr w14:paraId="1854D2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02795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178E9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E36D4F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44A012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13510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15052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6A696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4430EB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提高预算编制质量，严格执行预算，保障单位日常运转。</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083ABA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提高预算编制质量，严格执行预算，保障单位日常运转。</w:t>
            </w:r>
          </w:p>
        </w:tc>
      </w:tr>
      <w:tr w14:paraId="64AB7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0A64B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1542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56622A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提高预算编制质量，严格执行预算，保障单位日常运转。</w:t>
            </w:r>
          </w:p>
        </w:tc>
      </w:tr>
      <w:tr w14:paraId="3A6F32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EE0DD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BE14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9A83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91B5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EC652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942C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7EE8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0AA5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F954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3677C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FFCB3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7F86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310C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15.21</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A4A4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10.50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C9138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10.50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00FA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5AB8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2EDE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BBE97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D427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026AB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FF67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E683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15.21</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40A2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10.50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77E12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10.50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8530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EB0C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4963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26DCB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0C02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6798B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CC56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1EF3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7BB6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85A10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6533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60BE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1054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CF82E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1D07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7B3EB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2ED2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2BF6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CA5A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D698D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170E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5561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074A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5938D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FD4E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23651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56BE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CD00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878D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AB91A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1AA0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8516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6315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D62C3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6381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C73B9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BC81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4438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324F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DA91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5C8A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B03C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A39A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FDB2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DD36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C3AE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7E06E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9319A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4551A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1F0C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B99F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科目调整次数</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3A70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BEFB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8269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次</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83C0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8DD4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0E0E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3A64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725A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05EA0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9A861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0F8C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09C6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预算编制准确率（计算方法为：∣（执行数－预算数）/预算数∣）</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FBD8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5769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7B02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3455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AEC7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FF17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384F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9509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6F4B3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28A2A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307A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经济效益指标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B9C9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“三公经费”控制率[计算方法为：（“三公”经费实际支出数/预算安排数]×100%）</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1CD8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5289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47F3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A92E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AF52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0F4C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7ED0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07426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1F7DE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81FE1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E6C5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C3F4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运转保障率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A257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FA08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9388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AC86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F1F3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5DAF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FC3C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94FC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DD0E94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5776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C5F4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9E4E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3FF25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4F95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E89FD7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6FF96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F5CC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85EFEB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550F58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4BFD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C01FD4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6F7EE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3C97CB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0FBE4F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542A870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br w:type="page"/>
      </w: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6"/>
        <w:gridCol w:w="976"/>
        <w:gridCol w:w="1482"/>
        <w:gridCol w:w="1536"/>
        <w:gridCol w:w="967"/>
        <w:gridCol w:w="1225"/>
        <w:gridCol w:w="984"/>
        <w:gridCol w:w="1396"/>
        <w:gridCol w:w="1053"/>
        <w:gridCol w:w="1225"/>
        <w:gridCol w:w="1056"/>
      </w:tblGrid>
      <w:tr w14:paraId="77D588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7BC2BF4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70A68CF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44AEDFB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189CC44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083A0C4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7B73146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4EB5D15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6A6E9C2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15C024D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2D1F972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1109829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6307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0C93936">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45EF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D6A43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07A168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51320025Y000013371712－财政代管资金</w:t>
            </w:r>
          </w:p>
        </w:tc>
      </w:tr>
      <w:tr w14:paraId="22495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826D0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F808C0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00C6AE0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9C7E8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州计量检定测试所</w:t>
            </w:r>
          </w:p>
        </w:tc>
      </w:tr>
      <w:tr w14:paraId="13BD6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43EA0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60E4C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ED368C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4C7CAC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2D9C80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8D5D2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28B47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5B9C0F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提高预算编制质量，严格执行预算，保障单位日常运转</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AA1E56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提高预算编制质量，严格执行预算，保障单位日常运转</w:t>
            </w:r>
          </w:p>
        </w:tc>
      </w:tr>
      <w:tr w14:paraId="4CAAEA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3F59C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1ADC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BF1110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提高预算编制质量，严格执行预算，保障单位日常运转</w:t>
            </w:r>
          </w:p>
        </w:tc>
      </w:tr>
      <w:tr w14:paraId="22F66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1BD33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73B7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9A27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9D17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573C0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D33F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6817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4444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E6FD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5F408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319CD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E2BB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C01D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A580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15.01</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5977D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B211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4615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997C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E4940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6736C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01043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4498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811D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B7E0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BAE96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8932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18A4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4079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44A25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7384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CA387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1994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6FE1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8594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D8BC7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43AC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A2F8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9107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9A5BB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EE8F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211A3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610B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5093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457B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15.01</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99E46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2D38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AD25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420F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36D0E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383F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00B68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FE6D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A8B4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79DA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F69EA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CF1D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42A2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0362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FE542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546B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E44DF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C43A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E4A8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3875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3F6B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1984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DDED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D320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E157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1DA8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B482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53884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7197E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09126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1B5B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7C6E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科目调整次数</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D229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F594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F259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次</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AC76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758A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BC6A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0931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B9D95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31633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BEB51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1B32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B894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预算编制准确率（计算方法为：∣（执行数－预算数）/预算数∣）</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BA54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3756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FD02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78B2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DBAC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8624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7895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C56D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73339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F6984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7B64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经济效益指标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8C00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“三公经费”控制率[计算方法为：（“三公”经费实际支出数/预算安排数]×100%）</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1796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FBB2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846A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02CA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46AC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6B94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71D2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3F20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FE3C3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ACA38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D888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8EEB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运转保障率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E31E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207D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BD2D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1F4D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A4DF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335D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115B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9B29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A3FE22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19B6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8581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A9AE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D1B3B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2811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DFA06E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7CFB2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5EC2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0316C8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5C2D5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31F0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7D0435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5604A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47C6C4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1D09F5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1754354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br w:type="page"/>
      </w: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6"/>
        <w:gridCol w:w="976"/>
        <w:gridCol w:w="1482"/>
        <w:gridCol w:w="1536"/>
        <w:gridCol w:w="967"/>
        <w:gridCol w:w="1225"/>
        <w:gridCol w:w="984"/>
        <w:gridCol w:w="1396"/>
        <w:gridCol w:w="1053"/>
        <w:gridCol w:w="1225"/>
        <w:gridCol w:w="1056"/>
      </w:tblGrid>
      <w:tr w14:paraId="3B202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0CAE58D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202465B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3DDF02B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4B06D59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654315D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6C32C32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3936B78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1D6BDE7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050D016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763CD6B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0961E54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9E5E9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77D481B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4F56009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1014A5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7B59940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588628C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27B69CC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3D2B8A5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2F88028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76A616F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0C550B5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463C8EA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401D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A808DD8">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E1BC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244FE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C38377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51320023R000007728618－目标绩效奖（按月随工资发放70%部分）</w:t>
            </w:r>
          </w:p>
        </w:tc>
      </w:tr>
      <w:tr w14:paraId="5A167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46294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DD1E0A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1912281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1550A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州产品质量和特种设备监督检验所</w:t>
            </w:r>
          </w:p>
        </w:tc>
      </w:tr>
      <w:tr w14:paraId="4E0D6B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158A8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646CB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455630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CA6B0F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7A0B6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53398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0B796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29B63E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严格执行相关政策，保障工资及时、足额发放或社保及时、足额缴纳，预算编制科学合理，减少结余资金</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8BAECD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严格执行相关政策，保障工资及时、足额发放或社保及时、足额缴纳，预算编制科学合理，减少结余资金</w:t>
            </w:r>
          </w:p>
        </w:tc>
      </w:tr>
      <w:tr w14:paraId="54F1A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D6F6C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9B0C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334786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严格执行相关政策，保障工资及时、足额发放或社保及时、足额缴纳，预算编制科学合理，减少结余资金</w:t>
            </w:r>
          </w:p>
        </w:tc>
      </w:tr>
      <w:tr w14:paraId="1DC678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A06DB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7E67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E75A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34F3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70625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B26C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CE0B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6A47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E8FF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4A8784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66CEF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A660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F2AD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25.80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1C87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48.31</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98A4D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48.31</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5BE4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8B61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98E4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93E3A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D2D65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D9F4F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36C3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5FB0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25.80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8319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48.31</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D071C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48.31</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96CB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E198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17F3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39C12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5961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3F16A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D8A2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BEF5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DDB0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69BC5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4FB0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C7FB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3C12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67BCE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C196B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BD04D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8711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84AF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A28E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394B0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6622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8C0B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FF3B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40729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1F94F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D9E8E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A787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5986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C0B3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2702F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681F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4B21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4C9C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775B1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AA72B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93223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10F5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7005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A1D1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8D41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454A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AC6B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9DEB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92D8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DC87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9F9F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1D317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8490F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317B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DFB4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1AE1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发放（缴纳）覆盖率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1C13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347B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6046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97EC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9410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D777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D4D3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90CDC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DCFA8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8AE8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FAF4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FA4E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足额保障率（参保率）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8A8D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BAB5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40FC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2009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1D65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0C55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D7D8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2BBE2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8383A7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6CFF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A114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489C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D58B0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A9B5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79B56E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243EF0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A6EE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072AAE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5F6DE3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FA4B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376B08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2D9526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CE68F8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CAE1F8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665682A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br w:type="page"/>
      </w: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6"/>
        <w:gridCol w:w="976"/>
        <w:gridCol w:w="1482"/>
        <w:gridCol w:w="1536"/>
        <w:gridCol w:w="967"/>
        <w:gridCol w:w="1225"/>
        <w:gridCol w:w="984"/>
        <w:gridCol w:w="1396"/>
        <w:gridCol w:w="1053"/>
        <w:gridCol w:w="1225"/>
        <w:gridCol w:w="1056"/>
      </w:tblGrid>
      <w:tr w14:paraId="7A793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1A1B458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17D69A4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5C7A2D9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07802E8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630E0A5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64A7061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4898158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56994CA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74DA04B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1F01300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40120A3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4CA9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85043FF">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DE07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E2D0E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7EB034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51320023R000009914893-工资性支出</w:t>
            </w:r>
          </w:p>
        </w:tc>
      </w:tr>
      <w:tr w14:paraId="24788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AB235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607FD4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2072FE7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CF734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州产品质量和特种设备监督检验所</w:t>
            </w:r>
          </w:p>
        </w:tc>
      </w:tr>
      <w:tr w14:paraId="756741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86DD8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AC185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D541E8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54A062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6836D8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66B09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686A8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61EF0A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严格执行相关政策，保障工资及时、足额发放或社保及时、足额缴纳，预算编制科学合理，减少结余资金</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540CAF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严格执行相关政策，保障工资及时、足额发放或社保及时、足额缴纳，预算编制科学合理，减少结余资金</w:t>
            </w:r>
          </w:p>
        </w:tc>
      </w:tr>
      <w:tr w14:paraId="78361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EB8FE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41E6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0417F4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严格执行相关政策，保障工资及时、足额发放或社保及时、足额缴纳，预算编制科学合理，减少结余资金</w:t>
            </w:r>
          </w:p>
        </w:tc>
      </w:tr>
      <w:tr w14:paraId="5A49A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B78AA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F6E5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9D33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908E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32F64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59D8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A353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245C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30E2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3BC6D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511FF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1B21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8D07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62.52</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ADA8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144.66</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54666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144.66</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ACB0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265C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BB0D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D9413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3C10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483E2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EA68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7DC0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62.52</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911B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144.66</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48374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144.66</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BC5B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4CBF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530D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53BBC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5344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57DA4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B493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EAF1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FC52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27819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92CA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3201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A329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D9A22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FAA6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B468F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CC52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01B4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2A4C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13476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8BB6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1A7F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1B41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08680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9CF6D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C0989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5806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DDC6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E459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05147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3FAD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2C15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5778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BA096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876A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A828E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A404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E480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8058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94E4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1074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F910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138A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9B5D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F03E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B974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54FDE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8C664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AAF8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7CB7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A6E7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发放（缴纳）覆盖率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0C12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FAF1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240B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5C66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5BD2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B363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3EC3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1B87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D6A77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283F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211D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E84F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足额保障率（参保率）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4BF8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B532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51F3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5000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E129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ADAF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C9FC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9C96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BF324D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CEDA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F639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D004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6FBA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0C62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996121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2A095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3900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658AD5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66C65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E1D0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008A77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355142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486EC2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9873F9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7B689CF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br w:type="page"/>
      </w: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6"/>
        <w:gridCol w:w="976"/>
        <w:gridCol w:w="1482"/>
        <w:gridCol w:w="1536"/>
        <w:gridCol w:w="967"/>
        <w:gridCol w:w="1225"/>
        <w:gridCol w:w="984"/>
        <w:gridCol w:w="1396"/>
        <w:gridCol w:w="1053"/>
        <w:gridCol w:w="1225"/>
        <w:gridCol w:w="1056"/>
      </w:tblGrid>
      <w:tr w14:paraId="11F30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407D2CC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1C26E46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49F5AB9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440FA3D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3BFB875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744CBC0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0F446D4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6653DB3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2B3521C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5851496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3815672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2BF8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90C2A19">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095EB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B0CF3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916E98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51320023R000009915221－单位缴费</w:t>
            </w:r>
          </w:p>
        </w:tc>
      </w:tr>
      <w:tr w14:paraId="708A40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57EB0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ADE6D4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203F5C1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00853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州产品质量和特种设备监督检验所</w:t>
            </w:r>
          </w:p>
        </w:tc>
      </w:tr>
      <w:tr w14:paraId="27EA3F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8E03F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8ACB3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AEDB20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2EA10B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6856FA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66C46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A919A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2B817B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严格执行相关政策，保障工资及时、足额发放或社保及时、足额缴纳，预算编制科学合理，减少结余资金</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2E5801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严格执行相关政策，保障工资及时、足额发放或社保及时、足额缴纳，预算编制科学合理，减少结余资金</w:t>
            </w:r>
          </w:p>
        </w:tc>
      </w:tr>
      <w:tr w14:paraId="55BB8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3685C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AA17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D1CAD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严格执行相关政策，保障工资及时、足额发放或社保及时、足额缴纳，预算编制科学合理，减少结余资金</w:t>
            </w:r>
          </w:p>
        </w:tc>
      </w:tr>
      <w:tr w14:paraId="40DD5D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C1312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7169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3486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379E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63126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B6A0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349B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C26C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30DA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27CB4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5AFC6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3CA0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80D8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45.08</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0A9A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98.32</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22D95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98.32</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4607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180B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E39A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8D458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1583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97B5A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D41F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18B9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45.08</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343D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98.32</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FCFC1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98.32</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F0D7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203E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E32A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E7DB8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9ABC7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0C7DB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D7FA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1CEA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0893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6DD91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7488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7619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D32E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DCC90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5234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D80B2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2ADB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EE77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060A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167D7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5450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A902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FD44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5470B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032A1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94AA4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CC80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21C7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EC48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4AEF6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1E56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C714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9C86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9BFF4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3CD2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56149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597C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1531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7B4F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5D2D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A90B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91D0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AA90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1213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5D67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A0E0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65532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CA267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35F8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5D6B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2966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发放（缴纳）覆盖率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C9E0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3485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02DF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FDBF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8465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2CD7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21B1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75F0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5341F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CBA7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CA5A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ABAE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足额保障率（参保率）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A430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2410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E897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FA29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A1C4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CCFB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9AA6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62FE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017D1D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3626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37FC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44BD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C0842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BF98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DBB180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0BA70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A287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AA0FC9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6D98D9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5C70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FB1D93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75EDC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B23B98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4FD9CB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63DDC45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br w:type="page"/>
      </w: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6"/>
        <w:gridCol w:w="976"/>
        <w:gridCol w:w="1482"/>
        <w:gridCol w:w="1536"/>
        <w:gridCol w:w="967"/>
        <w:gridCol w:w="1225"/>
        <w:gridCol w:w="984"/>
        <w:gridCol w:w="1396"/>
        <w:gridCol w:w="1053"/>
        <w:gridCol w:w="1225"/>
        <w:gridCol w:w="1056"/>
      </w:tblGrid>
      <w:tr w14:paraId="29551B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60BF1AB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6427E46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62929D6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66967B2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37B7068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467B25D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223C9CF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45F0B4A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58B5E38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63D3D15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1E918F5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490B3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C2A2801">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DDF7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9E3A4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6501C9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51320023R000009915925－聘用人员经费</w:t>
            </w:r>
          </w:p>
        </w:tc>
      </w:tr>
      <w:tr w14:paraId="30802A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F7F88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D5E64D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6212274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79E52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州产品质量和特种设备监督检验所</w:t>
            </w:r>
          </w:p>
        </w:tc>
      </w:tr>
      <w:tr w14:paraId="512B4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CF512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D772B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377AFF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9B9C0E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41FE2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CFB07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E8C9B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89BA84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严格执行相关政策，保障工资及时、足额发放或社保及时、足额缴纳，预算编制科学合理，减少结余资金</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08D711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严格执行相关政策，保障工资及时、足额发放或社保及时、足额缴纳，预算编制科学合理，减少结余资金</w:t>
            </w:r>
          </w:p>
        </w:tc>
      </w:tr>
      <w:tr w14:paraId="7A2EFE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83924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88B7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07D1F4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严格执行相关政策，保障工资及时、足额发放或社保及时、足额缴纳，预算编制科学合理，减少结余资金</w:t>
            </w:r>
          </w:p>
        </w:tc>
      </w:tr>
      <w:tr w14:paraId="6B316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B1C85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084C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950B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5B70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B4F91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BDB3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AFF9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B9C8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5DBC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2D5D85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69589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808C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517C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1E28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7.79</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06D73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7.79</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83DF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CAB3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C237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0AFAA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FCCE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2C600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4DA7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D564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A8E2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7.79</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C2A16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7.79</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7F57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28D7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A1E0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F87E9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F9D5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4458B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093C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B221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0F39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D1A71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059F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FC9D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D8DF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B35ED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960F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3974F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E130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1E85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7379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98E51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7932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2180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BCDA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3C610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342A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0D148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CA1F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0B19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3E60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D47CC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6EDC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9AFD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A78D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528FA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6BA57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1C940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EC73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047E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795F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91CB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6A77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7CF8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C493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55CC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BECC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0135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277F3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230BF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6FA5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7232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F366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发放（缴纳）覆盖率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3900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9360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F8B3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6952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1B53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511C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37C8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4009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45BE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E6B6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1738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6A87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足额保障率（参保率）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0677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E960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795E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0D83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9FD7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C227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8FDF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F876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DCAB34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9A9E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B0A6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8B18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D260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5122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A38EB4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2B509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06E1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8AB2A9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2E2A26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1E65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2DF243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3FD13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7A6CDE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575A5D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39C7A43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br w:type="page"/>
      </w: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6"/>
        <w:gridCol w:w="976"/>
        <w:gridCol w:w="1482"/>
        <w:gridCol w:w="1536"/>
        <w:gridCol w:w="967"/>
        <w:gridCol w:w="1225"/>
        <w:gridCol w:w="984"/>
        <w:gridCol w:w="1396"/>
        <w:gridCol w:w="1053"/>
        <w:gridCol w:w="1225"/>
        <w:gridCol w:w="1056"/>
      </w:tblGrid>
      <w:tr w14:paraId="56543A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7891458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3FBE158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15F4C37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4B7748E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72D5E73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6EE025C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7A2EBC6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568D4E5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0F333CC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052A39A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7199138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0917F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CAE20CB">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CC49B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15316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5CC82B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51320023Y000009917272－日常公用经费</w:t>
            </w:r>
          </w:p>
        </w:tc>
      </w:tr>
      <w:tr w14:paraId="1A42A4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FF0DD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E978D2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0EEA993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31C1C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州产品质量和特种设备监督检验所</w:t>
            </w:r>
          </w:p>
        </w:tc>
      </w:tr>
      <w:tr w14:paraId="72EA8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D9057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EDF49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2C78E7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CAAAFE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5613BB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DBCC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33FB1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FAB43E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提高预算编制质量，严格执行预算，保障单位日常运转</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D36DC3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提高预算编制质量，严格执行预算，保障单位日常运转</w:t>
            </w:r>
          </w:p>
        </w:tc>
      </w:tr>
      <w:tr w14:paraId="228F8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40BE4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1A47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FF28BD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提高预算编制质量，严格执行预算，保障单位日常运转</w:t>
            </w:r>
          </w:p>
        </w:tc>
      </w:tr>
      <w:tr w14:paraId="07EDE6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BC925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272D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2B43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92E8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F6E4E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2DB2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1A8A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E7D2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03E0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29864B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A6CA2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180B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FFA8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11.62</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0D6F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18.38</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F9181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18.38</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8365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AE74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88DE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FB1CE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D5901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C928C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AA5C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C9EB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11.62</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88AE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18.38</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A2250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18.38</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15D4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6735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2C17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513A7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388B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ECF02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94A6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7135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3EE4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FC788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DEE2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E368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E452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27150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0447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7190C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C070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80F4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032F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A34C4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AD02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3153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6495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576D5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2BFD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AB6F3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14A7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1F73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BEA3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37C8D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2529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69C7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E91B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6DF0E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697C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5EC78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9D20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899F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8456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3555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5FB2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9594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1FFB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0882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A244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C77C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3ACCF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5B0B7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0D711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E45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5665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科目调整次数</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65CE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C0F6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7657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次</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F107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B68E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3D9E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9A11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974B1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29A47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430BA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0C19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4F18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预算编制准确率（计算方法为：∣（执行数－预算数）/预算数∣）</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FBF3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3EB9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2487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DDBC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1093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C3AA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81B2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A180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0A821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85EFE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266A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经济效益指标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4017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“三公经费”控制率[计算方法为：（“三公”经费实际支出数/预算安排数]×100%）</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422F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C43F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D968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AF22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5CD7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314C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AECE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182B1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CD95A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0E5F9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E0A0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BF19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运转保障率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6AA2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D87B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B253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B145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104B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F6B2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B75F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DA7F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E8B28C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1910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9570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BAA3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716C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FC10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A28F47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14859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4D3C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66D3A1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096AF2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F416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1D50B7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0B820A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A5C275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053BD4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76208E9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br w:type="page"/>
      </w: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6"/>
        <w:gridCol w:w="976"/>
        <w:gridCol w:w="1482"/>
        <w:gridCol w:w="1536"/>
        <w:gridCol w:w="967"/>
        <w:gridCol w:w="1225"/>
        <w:gridCol w:w="984"/>
        <w:gridCol w:w="1396"/>
        <w:gridCol w:w="1053"/>
        <w:gridCol w:w="1225"/>
        <w:gridCol w:w="1056"/>
      </w:tblGrid>
      <w:tr w14:paraId="6B90D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74A3E25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502AE5E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453B458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20EB776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28C6A6D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5F934AD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4FA28D8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62375BC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4D57A1A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74CE474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0DA931D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054BD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2350A57">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6DD03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EA0C4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5D9447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51320025R000012338995－追加人员工资性支出</w:t>
            </w:r>
          </w:p>
        </w:tc>
      </w:tr>
      <w:tr w14:paraId="046D4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03E35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65CF46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0FBF997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00A42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州产品质量和特种设备监督检验所</w:t>
            </w:r>
          </w:p>
        </w:tc>
      </w:tr>
      <w:tr w14:paraId="1E0395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7ADCE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D9D85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92039A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31AC45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7D65A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66B61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66B12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E9E445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严格执行相关政策，保障工资及时、足额发放或社保及时、足额缴纳，预算编制科学合理，减少结余资金</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8578EB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严格执行相关政策，保障工资及时、足额发放或社保及时、足额缴纳，预算编制科学合理，减少结余资金</w:t>
            </w:r>
          </w:p>
        </w:tc>
      </w:tr>
      <w:tr w14:paraId="2A7C3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F98C5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632C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AE65E7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严格执行相关政策，保障工资及时、足额发放或社保及时、足额缴纳，预算编制科学合理，减少结余资金</w:t>
            </w:r>
          </w:p>
        </w:tc>
      </w:tr>
      <w:tr w14:paraId="65009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767ED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8BB8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CDEB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A9FF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81A64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9216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424E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9858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80BC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69906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598B4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2492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C90C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0CAF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21.78</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EFEF1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21.78</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B1E8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3B6A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9327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0EF21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2250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F3CC3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7752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C186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305C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21.78</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B12C5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21.78</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FF2A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955E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E778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B2210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96A9A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A8352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D17F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3725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2147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334B9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C4A4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3E6D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7282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5A5F9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F9E3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8FE02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B0A1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E23E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EB64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5FAF7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A80C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9249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4862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CA14C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24C4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9CB8B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E1D5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0425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97B0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FAEC4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5CA3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008E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D2FA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FFF33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702D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E63EB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E418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C27C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7892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2485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33BC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714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AC76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F9DE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5766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475A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57EDE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E067B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A8FA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1E7F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E8D0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发放（缴纳）覆盖率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30E1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B322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A91F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D50A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180B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ED7A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D90F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20CD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872B1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869A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55A2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DC69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足额保障率（参保率）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783E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2CCF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C04A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1042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E857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FFDB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A042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6578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686B5F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217E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029D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C1E8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438F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379B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9FDEE1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16F01E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B550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A976AC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32710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FA43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ADDE60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591F5F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05AE6F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A98BF0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0113E30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br w:type="page"/>
      </w: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6"/>
        <w:gridCol w:w="976"/>
        <w:gridCol w:w="1482"/>
        <w:gridCol w:w="1536"/>
        <w:gridCol w:w="967"/>
        <w:gridCol w:w="1225"/>
        <w:gridCol w:w="984"/>
        <w:gridCol w:w="1396"/>
        <w:gridCol w:w="1053"/>
        <w:gridCol w:w="1225"/>
        <w:gridCol w:w="1056"/>
      </w:tblGrid>
      <w:tr w14:paraId="5F9171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56BF75D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30DB26D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0E52CF0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733904C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2964BD5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612F117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7EB28B8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735C783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03698AE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1B4EBFE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2573FC2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C43E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18F8495">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CECE0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4CE76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CB8FE2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51320025R000012408768－年度考核奖（30%）</w:t>
            </w:r>
          </w:p>
        </w:tc>
      </w:tr>
      <w:tr w14:paraId="44DF1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06C64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6B4D7F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487E31D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9E8B2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州产品质量和特种设备监督检验所</w:t>
            </w:r>
          </w:p>
        </w:tc>
      </w:tr>
      <w:tr w14:paraId="211BE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CCF35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B4E57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602902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1C8F29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5573E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B227A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F764D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3117AD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严格执行相关政策，保障工资及时、足额发放或社保及时、足额缴纳，预算编制科学合理，减少结余资金</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D67F3A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严格执行相关政策，保障工资及时、足额发放或社保及时、足额缴纳，预算编制科学合理，减少结余资金</w:t>
            </w:r>
          </w:p>
        </w:tc>
      </w:tr>
      <w:tr w14:paraId="06A1C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6C683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94E3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C51153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严格执行相关政策，保障工资及时、足额发放或社保及时、足额缴纳，预算编制科学合理，减少结余资金</w:t>
            </w:r>
          </w:p>
        </w:tc>
      </w:tr>
      <w:tr w14:paraId="58BAC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27E77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0209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5E56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9C19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5EA03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36EF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4EE7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7170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43F5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2FB9A8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39ECB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B876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2640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F9C9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26.91</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5C518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26.91</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05A6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4688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1581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6346A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3153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4572E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CE32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FA91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7455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26.91</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F1987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26.91</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54D6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3364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E91C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0594D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A6F8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55D13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C274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5281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4056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AF997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08FE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50B6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6BB0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43ABE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8E6F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C5F05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4B53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FA81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CCD9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40E01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2172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CDA5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1875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1AB8F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09B95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89A5F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7C1C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0940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231D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8B288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42B0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F9C0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06A2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A776D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278C3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11A49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D400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A3CE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27E7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BF11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F674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D311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93B4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F06D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A812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2459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7A38A7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32742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A103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EC87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6C57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发放（缴纳）覆盖率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9835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5E35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5E39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6CAC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1E83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0DCB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CF08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2CBF4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9C23B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4300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7A1C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3EDF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足额保障率（参保率）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A67B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9560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7BC4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DA52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B681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AC3C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D87D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2FBC6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28BBD1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C323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D155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2274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750F6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1A13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EEA825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746C5E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8F4D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988930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0C5F8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0B1F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3227AD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7E00E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68C1B4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1D363D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64FF920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br w:type="page"/>
      </w: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6"/>
        <w:gridCol w:w="976"/>
        <w:gridCol w:w="1482"/>
        <w:gridCol w:w="1536"/>
        <w:gridCol w:w="967"/>
        <w:gridCol w:w="1225"/>
        <w:gridCol w:w="984"/>
        <w:gridCol w:w="1396"/>
        <w:gridCol w:w="1053"/>
        <w:gridCol w:w="1225"/>
        <w:gridCol w:w="1056"/>
      </w:tblGrid>
      <w:tr w14:paraId="0B42D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76302A4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6B85DDC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7C9FC6F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404451E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2F8615E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3CDC19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1C2AF6E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5C147A6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232EB81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3F75F27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28708D4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82752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7458981">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153C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44DDD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415523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51320025T000012607963－特种设备检验工作专项经费</w:t>
            </w:r>
          </w:p>
        </w:tc>
      </w:tr>
      <w:tr w14:paraId="0ABD32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9DE2C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3C9906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58B6069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1D70E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州产品质量和特种设备监督检验所</w:t>
            </w:r>
          </w:p>
        </w:tc>
      </w:tr>
      <w:tr w14:paraId="2369F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E2392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6AF44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6A29A7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BD5E9E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5387D8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0C79F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49FD7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300AB1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该项目是我所开展特种设备检验检测工作常年性项目，实施该项目有助于全州境内在用特种设备的法定检验任务按期完成，确保检验工作顺利开展，保障全州特种设备安全稳定运行，为地方经济建设、安全生产保驾护航。</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86C32A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该项目是我所开展特种设备检验检测工作常年性项目，实施该项目有助于全州境内在用特种设备的法定检验任务按期完成，确保检验工作顺利开展，保障全州特种设备安全稳定运行，为地方经济建设、安全生产保驾护航。</w:t>
            </w:r>
          </w:p>
        </w:tc>
      </w:tr>
      <w:tr w14:paraId="1137F3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BC197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8AF4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57A3D2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该项目是我所开展特种设备检验检测工作常年性项目，实施该项目有助于全州境内在用特种设备的法定检验任务按期完成，确保检验工作顺利开展，保障全州特种设备安全稳定运行，为地方经济建设、安全生产保驾护航。</w:t>
            </w:r>
          </w:p>
        </w:tc>
      </w:tr>
      <w:tr w14:paraId="6DB1CC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1DD22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CD9C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A1BB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5F70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0B0B4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FF06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820F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7EC7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06CE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1929D8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390E7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F542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8FEA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42B2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36.96</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FC9DB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36.96</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22BA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8618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BCB9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0CBD5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F590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56685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E3CD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1F0C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7AF7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36.96</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98A30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36.96</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54C1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089F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54E4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B443D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3BBCB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0FFD2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C641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8D10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14BA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66EFA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375C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B826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DEC9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9CCF8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42F18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CB157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6123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1F8C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F770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9037D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8B89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6331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5B6A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A5008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F6C25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C0433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C529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C0D9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AA58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D5168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D0B5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3764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E85D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70AA8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199A5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42031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E620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DC4E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000C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F1D2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DA3D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8B90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C52E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C818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D787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1477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222C9C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1AD68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86A45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F0379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7D88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定检任务完成率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9539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E061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DA60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35F1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3AF2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B029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F5AC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8249D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F9F42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B3F3A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AF791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427A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检验工作覆盖率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C7D9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7762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9B05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F095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A617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33A6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1237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C13DA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5855B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9F001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EF1C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5CFC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检验报告合规率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5937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3279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A246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50BD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B870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E89A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397F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A1A26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8F051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9408B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F9D3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时效指标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CB28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法定检验任务按时完成率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8578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C928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3649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DF24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F39B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FAB6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7F99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2A1C8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8E00B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E3081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AD0B8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3FD1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提升企业安全生产水平</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3899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2539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优良</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1010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4D77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优良</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645E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FEBB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2442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91A2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36E62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C678D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C76DE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D053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保障经我所检定设备安全稳定运行</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A8BC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24D1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优良</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B1E7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DAFF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优良</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CA27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65DE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CAA5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FDAD0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96BC2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4495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满意度指标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538A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服务对象满意度指标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F4DC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特种设备使用单位满意度指标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EE11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12DE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1D95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A7CA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0154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9E02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FFF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52D32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F6AB0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D34B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成本指标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6040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经济成本指标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7483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项目总成本</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EEA7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6C40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763F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万元</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17B1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F070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A257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A532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5CE7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75E98C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99ED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3088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1F17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C7AD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7812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B602FF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7F7E8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5260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40E800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6B44B0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0F73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83D49F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581EF7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2CE097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EE3E9E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r w14:paraId="42DFEE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2432247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1A189D9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1DE5EB5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3BB0594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471765F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314F3DC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6914276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086E321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23FA953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47B1642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2560296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40883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340592B">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B413F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2C2EC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0EA1E2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51320025T000013727923-2025年质特所实验室设备购置</w:t>
            </w:r>
          </w:p>
        </w:tc>
      </w:tr>
      <w:tr w14:paraId="343CE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6BA64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0D134B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2175FA8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00259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州产品质量和特种设备监督检验所</w:t>
            </w:r>
          </w:p>
        </w:tc>
      </w:tr>
      <w:tr w14:paraId="33A50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3C9DF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9466F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C8E36F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8449C9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1B884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0"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00196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AB8A3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DCB57C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根据2024年专家评审建议，结合我所工作实际，我所拟在2025年新购置实验室保险柜一台，预算2000元，摇筛机一台，预算4000元，恒温恒湿养护室设备一台，预算18000元，总共三台设备，预算合计24000元，旨在提高检验检测数据精确度、工作效率、安全性，完善实验室设备配置，强化我所检验检测能力。</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D55BC9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根据2024年专家评审建议，结合我所工作实际，我所拟在2025年新购置实验室保险柜一台，预算2000元，摇筛机一台，预算4000元，恒温恒湿养护室设备一台，预算18000元，总共三台设备，预算合计24000元，旨在提高检验检测数据精确度、工作效率、安全性，完善实验室设备配置，强化我所检验检测能力。</w:t>
            </w:r>
          </w:p>
        </w:tc>
      </w:tr>
      <w:tr w14:paraId="66A25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ECF0E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DA79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C95B85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根据2024年专家评审建议，结合我所工作实际，我所拟在2025年新购置实验室保险柜一台，预算2000元，摇筛机一台，预算4000元，恒温恒湿养护室设备一台，预算18000元，总共三台设备，预算合计24000元，旨在提高检验检测数据精确度、工作效率、安全性，完善实验室设备配置，强化我所检验检测能力。</w:t>
            </w:r>
          </w:p>
        </w:tc>
      </w:tr>
      <w:tr w14:paraId="69A16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D5FB6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4E96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F26A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0F4A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85A6C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512E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C4D4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C9FD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2532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3332F4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0387F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58E8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7B38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0CAF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2.30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EBB10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2.30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DE41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90D8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AC89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B9570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76A4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E790B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04AC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A963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57F8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2.30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32515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2.30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9669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F0C6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2E0C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6939D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CBBBD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95059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5ED5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75F9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7EDE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6DD78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A9F4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87D0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C9BA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EEB7A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74FD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A7170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A631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75F3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898D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066CB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E4DF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C9A0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A337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FF52B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F31C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03171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D25F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DC28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E754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E91E8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E799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B7EF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4F0A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EC24C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E115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A0604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B11F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317B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8E7E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C7D5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145C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7360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32D9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8000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AD44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6AF3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45E5D4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ED5EC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F3552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F4176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5CE8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购置恒温恒湿养护室设备数量</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0DA5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7E43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1AFE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台/套</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42C9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AE8B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B719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5CF8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D022B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6F2A2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F5562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7B2E5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AF17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购置摇筛机数量</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61DA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129C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9DD7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台/套</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1726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AC25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651A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1EDE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4066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EC597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59F5D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80A38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8F6C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购置实验室保险柜数量</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559B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44F9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9F37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台/套</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CA9D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FC13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B311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71DB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A28F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2BD9F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BB1FF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D0FBE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8201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设备验收合格率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64BB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CCC9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B241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A137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8395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4688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139F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E279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4ED20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67585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24D9D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842B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检验检测数据出错率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7871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874C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93AE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9AD6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C270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4CA9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D208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6CA6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DE43E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CC2C0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43300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B409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购买设备满足环保要求</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9AB6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BE8F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优良</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E420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A0AA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优良</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2ADB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D258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EE94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87021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D29A4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7F167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E257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时效指标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8ACD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项目完成时限</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906C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4E56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76C5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CFDE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D857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754A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8599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248EB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4609D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ADAAC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BC877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EA74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服务水平提升程度</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879F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AA77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优良</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CB97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7D48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优良</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8053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8054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51F5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0FBF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7391D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44E97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61747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D326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办公效率评级</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0EED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CD72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优良</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7DED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02A7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优良</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D449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AC33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3057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7B455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C9004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F35D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满意度指标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CD38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满意度指标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FAE5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设备使用人员满意度</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A108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6C04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F15C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B500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D906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6112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032E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7DBD3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01830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C69D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成本指标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45FA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经济成本指标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F21D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项目成本</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FF94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E0B8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2.4</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5E40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万元</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3C96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2.4</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B740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AA79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49AC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DAC76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BD0353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71D8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115E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BCEB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C1E9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112E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51F445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10FDE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28A1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96C6EC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38D40E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11AB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D6CF59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1A23B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533F89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395FC2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646DB71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br w:type="page"/>
      </w: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6"/>
        <w:gridCol w:w="976"/>
        <w:gridCol w:w="1482"/>
        <w:gridCol w:w="1536"/>
        <w:gridCol w:w="967"/>
        <w:gridCol w:w="1225"/>
        <w:gridCol w:w="984"/>
        <w:gridCol w:w="1396"/>
        <w:gridCol w:w="1053"/>
        <w:gridCol w:w="1225"/>
        <w:gridCol w:w="1056"/>
      </w:tblGrid>
      <w:tr w14:paraId="244B7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0E0686C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1CF7015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3B6F4B9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1D62DB4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4865144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291A452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0D5E7E3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7DDE906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7CDCEEC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1E65B51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22560A0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C3C35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CEFC3F5">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C7D5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DB0A3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A9B21C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51320025T000013727957-2025年质特所办公室设备购置</w:t>
            </w:r>
          </w:p>
        </w:tc>
      </w:tr>
      <w:tr w14:paraId="3ED447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C8DC9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3E38F3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6525F03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1525C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州产品质量和特种设备监督检验所</w:t>
            </w:r>
          </w:p>
        </w:tc>
      </w:tr>
      <w:tr w14:paraId="2BF58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3D50A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C48FC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3DCAFA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F902A7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01982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0"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935C5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ABE00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E51173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我所旨在通过有效利用2025年度部门预算资金2.08万元达到以下工作目标：2025年质检所办公室设备购置项目主要内容为购置便携式打印机一台，预算4000元，平板电脑一台，预算4000元，视频会议液晶显示屏一台，预算9200元，办公室保险柜一个，预算2000元，所长办公室碎纸机一台，预算800元，总共五台设备，预算合计20000元。</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ADB28A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我所旨在通过有效利用2025年度部门预算资金2.08万元达到以下工作目标：2025年质检所办公室设备购置项目主要内容为购置便携式打印机一台，预算4000元，平板电脑一台，预算4000元，视频会议液晶显示屏一台，预算9200元，办公室保险柜一个，预算2000元，所长办公室碎纸机一台，预算800元，总共五台设备，预算合计20000元。</w:t>
            </w:r>
          </w:p>
        </w:tc>
      </w:tr>
      <w:tr w14:paraId="7D6E9F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40C83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4DB1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578B02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我所旨在通过有效利用2025年度部门预算资金2.08万元达到以下工作目标：2025年质检所办公室设备购置项目主要内容为购置便携式打印机一台，预算4000元，平板电脑一台，预算4000元，视频会议液晶显示屏一台，预算9200元，办公室保险柜一个，预算2000元，所长办公室碎纸机一台，预算800元，总共五台设备，预算合计20000元。</w:t>
            </w:r>
          </w:p>
        </w:tc>
      </w:tr>
      <w:tr w14:paraId="5D4A73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78A73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C8F8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E7E7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3BD3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08CC1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11F8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96A7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A646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BEDF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405F0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222E4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C475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8539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6748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1.93</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73693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1.90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9C03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98.51%</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65A2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2DDF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9.85</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2F242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3EA6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BEFFA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5601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F306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3395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1.93</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33D68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1.90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8654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98.51%</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AF23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EA81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71C49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A7E3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75031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0CF0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79B2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BA9F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3AA85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740E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1D56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3536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CD7ED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8788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A100C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9736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91B6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630F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26CED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7CDD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A125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341E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5F10F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4174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9303C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8349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55DF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AC0E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59915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D31E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4931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8830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17A0A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80EC0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7E70E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21D9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545E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1F53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8B51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0957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9BAE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A81A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D05B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B1F2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E8C7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0E34A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504DA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48DEC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BA434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F4AF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购置办公室保险柜</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E4E9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1FFE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033D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台/套</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301B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A904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93D4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1D5F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81684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272F5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2AF51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A3B38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5016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购置视频会议液晶显示屏</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E03E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0423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F9F5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台/套</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764A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4EC0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9EA2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83DC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9A4EA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02902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0CEBD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E09C5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4BDB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购置平板电脑</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E3FE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D124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5DDC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台/套</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93CE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331F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EC5A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0E34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2441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026C0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937E5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DDEAE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9995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购置便携式打印机</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EABE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642B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034A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台/套</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D8D6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7990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9B00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8E84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97FBB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6F509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64C34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22E2A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D0CB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购置领导办公室碎纸机</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D987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59C1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449F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台/套</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017F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4EF5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B1A1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C076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AF2C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CF238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A2ECC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18F19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6F2F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设备验收合格率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9A30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DFD2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B559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4810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4464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9720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15F0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E351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1E23C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83D1F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F3802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3DDF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设备环保达标率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8109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F57C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E3F5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70D0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356B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D63A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2C1C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D3057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1C0DA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EBAD4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6BC8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时效指标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3A8F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项目完成时限</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D4ED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5AAD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8A4C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9AD2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83E0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1B65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516C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B1BC8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45156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BA81E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213B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可持续发展指标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29B4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办公效率持续提高</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3E10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415E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优良</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4823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F80C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优良</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FAFC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2680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FA2B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0B18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F99DF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4EB3F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A253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可持续影响指标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E3BC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设备使用周期</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15D4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A3FD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28A7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5E5D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0571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EE89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8199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B7060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EFAEE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38D4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满意度指标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C8E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满意度指标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F2BA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设备使用人员满意度</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2FB5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817D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0911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CEE9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95</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CD1A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35EE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011D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AA3A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EB8D7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7A02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成本指标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6AAF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经济成本指标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1D51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项目成本</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B47F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68F2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36B4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万元</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81CD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40B0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C565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55C2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62D6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7A1D06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9C84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0E44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99.85</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9236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ED549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A581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FFA751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项目自评得分99.85分</w:t>
            </w:r>
          </w:p>
        </w:tc>
      </w:tr>
      <w:tr w14:paraId="6DE25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55CF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D6FC49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20C065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BBE9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E56BDD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3151D9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D27800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96655E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70E68CD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br w:type="page"/>
      </w: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6"/>
        <w:gridCol w:w="976"/>
        <w:gridCol w:w="1482"/>
        <w:gridCol w:w="1536"/>
        <w:gridCol w:w="967"/>
        <w:gridCol w:w="1225"/>
        <w:gridCol w:w="984"/>
        <w:gridCol w:w="1396"/>
        <w:gridCol w:w="1053"/>
        <w:gridCol w:w="1225"/>
        <w:gridCol w:w="1056"/>
      </w:tblGrid>
      <w:tr w14:paraId="6D6A2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623B573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7F5FBA3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4A7244E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37E975D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3DA98C8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71F4995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36E8FAC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12A2740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2567AA3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185483C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5272A63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E2B1C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4F9EA85">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42F5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863A2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6FD4F6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51320025T000013734370－质特所2025年产品质量检验检测事业运行</w:t>
            </w:r>
          </w:p>
        </w:tc>
      </w:tr>
      <w:tr w14:paraId="516BE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D6D08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C1A215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311B687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76E0C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州产品质量和特种设备监督检验所</w:t>
            </w:r>
          </w:p>
        </w:tc>
      </w:tr>
      <w:tr w14:paraId="6449F6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81042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CB369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B2DFF6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2E027C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2AE11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5"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3242A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DD2CF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D963BD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我所旨在通过有效利用2025年度部门预算资金30万元达到以下工作目标：保质保量完成省局下达的监督抽查和风险监测相关任务，配合州局，联合县局开展产品质量监督抽查抽样工作，切实做好委托检验检测工作，积极宣贯产品质量安全相关知识，提供技术咨询，开展贵金属（金、银）产品质量检验检测工作，保证州内旅游沿线贵金属（金、银）产品质量，开展“钢管脚手架扣件检验项目”，填补阿坝州脚手架检测空白，更新产业新技术和升级检验检测设备，切实维护消费者利益；建立持续通过培训，提升单位职工技术能力；提高检验检测数据的准确度及精确度，提高实验室综合业务能力，为行政部门执法提供强有力的可靠的技术支持。</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3EE853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我所旨在通过有效利用2025年度部门预算资金30万元达到以下工作目标：保质保量完成省局下达的监督抽查和风险监测相关任务，配合州局，联合县局开展产品质量监督抽查抽样工作，切实做好委托检验检测工作，积极宣贯产品质量安全相关知识，提供技术咨询，开展贵金属（金、银）产品质量检验检测工作，保证州内旅游沿线贵金属（金、银）产品质量，开展“钢管脚手架扣件检验项目”，填补阿坝州脚手架检测空白，更新产业新技术和升级检验检测设备，切实维护消费者利益；建立持续通过培训，提升单位职工技术能力；提高检验检测数据的准确度及精确度，提高实验室综合业务能力，为行政部门执法提供强有力的可靠的技术支持。</w:t>
            </w:r>
          </w:p>
        </w:tc>
      </w:tr>
      <w:tr w14:paraId="37233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F98A0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C4D1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FB0071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我所旨在通过有效利用2025年度部门预算资金30万元达到以下工作目标：保质保量完成省局下达的监督抽查和风险监测相关任务，配合州局，联合县局开展产品质量监督抽查抽样工作，切实做好委托检验检测工作，积极宣贯产品质量安全相关知识，提供技术咨询，开展贵金属（金、银）产品质量检验检测工作，保证州内旅游沿线贵金属（金、银）产品质量，开展“钢管脚手架扣件检验项目”，填补阿坝州脚手架检测空白，更新产业新技术和升级检验检测设备，切实维护消费者利益；建立持续通过培训，提升单位职工技术能力；提高检验检测数据的准确度及精确度，提高实验室综合业务能力，为行政部门执法提供强有力的可靠的技术支持。</w:t>
            </w:r>
          </w:p>
        </w:tc>
      </w:tr>
      <w:tr w14:paraId="1E1270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C8912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0D6D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3658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BC35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EA5EE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8C37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F59C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8F22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C4DD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3899AE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06661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CBAB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1D18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D448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17.68</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A8568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17.68</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D3A0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B135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D43D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C7209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04BA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0DCC6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CA9D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2784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BBD5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17.68</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CE3EE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17.68</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0E36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C775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BFEB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F700C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CB01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598E2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1089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9233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6A9E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96D40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33B8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DCD0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0ADC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59705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55AC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56DAA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9EAC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8053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CB34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A9870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454F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45D3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30D9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6EB3B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4EE5F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75D5E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A935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ACA9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F203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9A199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E3F4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4066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6E17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CC0E8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BC3B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3916A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764D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B80B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8830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84D6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1CDB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2004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ACC3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E775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8639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3207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227F0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BB665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BCF22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350BF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5917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完成抽样任务数量</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8233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66A9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3228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批次</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3880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FF30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699D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CC66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91CB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EEFC2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BB474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F5E54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653D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开展质量安全宣贯次数</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8B9E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F4D4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6761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场次</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4BDA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E13E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7297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339C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D004C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1CD55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09DE0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A5BA4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292B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开展钢管脚手架扣件、金银、建材等检验检测数量</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85C8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7DA3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710F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批次</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ADF2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0E16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2423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7FFD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4A68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83BCB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1519E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4F50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FA82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随机抽查抽样单出错率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81C8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2CE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2E5A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7276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C1C8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29B7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17D8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BC83F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86D53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6A0AF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071C7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时效指标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EC2A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检验检测报告出具时间</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D21E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051F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36F1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工作日</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5795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EBC0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2059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14C4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4A751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FCA21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9F3A4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49D1F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ACB2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在规定时间内完成任务</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42DA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7CBE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E28B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6394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F082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62F7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E43A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82B24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C4C56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D41D5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0D117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C6D6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企业投诉数量</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A42D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8BF9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9587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人次</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0882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E655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5AB8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F16F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115F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7C83D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8B824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704C7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D9DB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发挥检验检测机构的质量监督检验作用</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61BD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ECEB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优良</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D068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BECE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优良</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A07B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F500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2C41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4BCE5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649DD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5A609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DAB4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生态效益指标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7F60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任务执行符合环保要求</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C0E5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A692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优良</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5987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53F1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优良</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4FF4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203D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EE29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FC29B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34194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6569C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3C16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可持续影响指标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5E61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检验检测数据具有可持续性</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F26A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E6D7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优良</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5D36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A44C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优良</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62BD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54F2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5507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F570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FCA72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B145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满意度指标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40F1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满意度指标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AA19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企业满意度</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547C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E818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CC4A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BDB7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4D3C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551D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8B6B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967D8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1A2BD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4675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成本指标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1166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经济成本指标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1634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严控成本支出</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1109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534C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8847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万元</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E95D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E08E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3D1E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C5A1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6E33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0AE414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E837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6D99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EACA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5337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6524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D71B16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558D7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40E4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F4DC7C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43CC1B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A217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AC9DC8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221CC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0C2A98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6C9F89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70A757D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br w:type="page"/>
      </w: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6"/>
        <w:gridCol w:w="976"/>
        <w:gridCol w:w="1482"/>
        <w:gridCol w:w="1536"/>
        <w:gridCol w:w="967"/>
        <w:gridCol w:w="1225"/>
        <w:gridCol w:w="984"/>
        <w:gridCol w:w="1396"/>
        <w:gridCol w:w="1053"/>
        <w:gridCol w:w="1225"/>
        <w:gridCol w:w="1056"/>
      </w:tblGrid>
      <w:tr w14:paraId="5EC998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465B46F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04DF30A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2B4C198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103EC7B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4F4DCEC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4030BA8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2F06AF2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38401C2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7CB2F6D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0779CE0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253F13C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C04E8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A512004">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EE2EF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88878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03E90B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51320025T000013975942-2024年质检所设备购置尾款</w:t>
            </w:r>
          </w:p>
        </w:tc>
      </w:tr>
      <w:tr w14:paraId="101CB1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9C9AE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B59066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5EE9252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FE860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州产品质量和特种设备监督检验所</w:t>
            </w:r>
          </w:p>
        </w:tc>
      </w:tr>
      <w:tr w14:paraId="22FE1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A7828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3C540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827A3E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ABD6EB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1A9A8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00564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3E39D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474DBD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2024年质检所设备购置尾款支付6925元。</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C67157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2024年质检所设备购置尾款支付6925元。</w:t>
            </w:r>
          </w:p>
        </w:tc>
      </w:tr>
      <w:tr w14:paraId="41A6A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E8BFF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FF86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E76988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2024年质检所设备购置尾款支付6925元。</w:t>
            </w:r>
          </w:p>
        </w:tc>
      </w:tr>
      <w:tr w14:paraId="3FB21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9AADF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F4E6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1C9C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E189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3398A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325F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4B6F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4ABA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2E77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7A3851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FCD19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798F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48A5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F86D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0.69</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38F2E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0.69</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53CD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2DD9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91BD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F0C78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5A36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72009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6AF6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D79F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799A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4F5D7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C203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7279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3452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BF34B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2316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C00D5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E9D0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D3F0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5D95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F155D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A959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7D30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99C4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AEF6A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3707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82290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BE32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6A99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5E90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0.69</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B62CC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0.69</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6254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682B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0540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FA52A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06C92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46798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54F7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6382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D2E4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C4EAC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184D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9AEF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86D5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07D97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B2469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9FEF4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5692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E392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F7F1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C88C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3D45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8144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BE94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50A0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9DB7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F8D8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1030A1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A7302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0E55B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4744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DB0C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支付2024年设备购置尾款</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217A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04BB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6925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1EDA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元</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946E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6925</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FEFC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2B89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BF7D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93BD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93362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0CF0F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F52F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B057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保质保量完成支付</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0A5A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D6A2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优良</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2416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17A5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优良</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9501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692C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8E10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D04B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0589F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C01FC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E355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时效指标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2ECE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在2025年完成支付</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7011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62C8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0421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F497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C09F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497B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9A4C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2FD3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800DD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2A0C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510D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经济效益指标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C32F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无资金浪费</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4585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F411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优良</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5835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10BB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优良</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FF96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8C0C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17BC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3B85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840A4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BD57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满意度指标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A65E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满意度指标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E416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投诉人次</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9051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A17E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E352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人次</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8A8D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5E0B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9773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ADAF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1F55D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0F5FA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DA42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成本指标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B2A5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经济成本指标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1BF9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按额完成支付</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5D45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166F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6925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FED1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元</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8A76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6925</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D446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EF8E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23F2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5260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FFE66D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672D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45C4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2E59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40F8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6747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E735DA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770BB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DA96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BD0FE1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1A017B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ED6E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FA8741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69E176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CD4BB2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A77C9D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6F99056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br w:type="page"/>
      </w: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6"/>
        <w:gridCol w:w="976"/>
        <w:gridCol w:w="1482"/>
        <w:gridCol w:w="1536"/>
        <w:gridCol w:w="967"/>
        <w:gridCol w:w="1225"/>
        <w:gridCol w:w="984"/>
        <w:gridCol w:w="1396"/>
        <w:gridCol w:w="1053"/>
        <w:gridCol w:w="1225"/>
        <w:gridCol w:w="1056"/>
      </w:tblGrid>
      <w:tr w14:paraId="32CB64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36962CF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4AC3FD7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115EA64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6A54EC7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6E3F068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5828BEE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00B6B16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24246F6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675A41A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4591167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006FDAF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F2D9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F5C2437">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6BD5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665B7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9A54D7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51320025Y000012974203－日常公用经费（其他运转类）</w:t>
            </w:r>
          </w:p>
        </w:tc>
      </w:tr>
      <w:tr w14:paraId="2822F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4216A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E862E3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2C240F3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34738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州产品质量和特种设备监督检验所</w:t>
            </w:r>
          </w:p>
        </w:tc>
      </w:tr>
      <w:tr w14:paraId="5C544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44841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E5425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C1B795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060CA0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4ED74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6E7DA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9D450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4711F4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提高预算编制质量，严格执行预算，保障单位日常运转</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5AB170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提高预算编制质量，严格执行预算，保障单位日常运转</w:t>
            </w:r>
          </w:p>
        </w:tc>
      </w:tr>
      <w:tr w14:paraId="14E8D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5014E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9283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2A82EB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提高预算编制质量，严格执行预算，保障单位日常运转</w:t>
            </w:r>
          </w:p>
        </w:tc>
      </w:tr>
      <w:tr w14:paraId="6DA7DD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806ED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BB8A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7D6F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B82F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5848E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64CF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2A14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34DF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B5E8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37C70D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EDF35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7AA2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A288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10.99</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7FDF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17.26</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365FD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17.26</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2C68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2BA9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B076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77258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B98F9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3D2CC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AC5D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C9DB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10.99</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58D7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17.26</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A9748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17.26</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4C06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6A12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DF6B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1D9EB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024D2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54F46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223B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B18F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DDFC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56C17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5529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E904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1B81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159B5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15509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CD896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3AB4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BAA3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0103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863B1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D7A6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2DD5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C071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0780E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6318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11A93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BCFC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8519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29CF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E78E9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FBA5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9941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0AA7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279DF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B1146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8809F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732D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4212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AEB0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A018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97C3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1C9A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8319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822A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7390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B102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7B814F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6AF1D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A5648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ECBA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24B9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科目调整次数</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FD8B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B23D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ED69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次</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C56D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3D22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F0A9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A2FE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6FBDB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24805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78BDF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2D94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03E7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预算编制准确率（计算方法为：∣（执行数－预算数）/预算数∣）</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C473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40D8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848E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2FB1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B99B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659F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0E78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BCDA8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5FEED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BC581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CAD6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经济效益指标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DEFE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“三公经费”控制率[计算方法为：（“三公”经费实际支出数/预算安排数]×100%）</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0ABC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2063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A03E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8725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477F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574F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A46F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6F5BB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4638D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BB924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8022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B555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运转保障率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B98A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816C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6D12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DD33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2892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733F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33A5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869A3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FD8434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F9F6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E2C5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9935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7016E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682E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5B163A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74D86E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2C96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97193F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4E31C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118F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CAFED4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3CF89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1A9F06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3F48B3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70985DF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br w:type="page"/>
      </w: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6"/>
        <w:gridCol w:w="976"/>
        <w:gridCol w:w="1482"/>
        <w:gridCol w:w="1536"/>
        <w:gridCol w:w="967"/>
        <w:gridCol w:w="1225"/>
        <w:gridCol w:w="984"/>
        <w:gridCol w:w="1396"/>
        <w:gridCol w:w="1053"/>
        <w:gridCol w:w="1225"/>
        <w:gridCol w:w="1056"/>
      </w:tblGrid>
      <w:tr w14:paraId="11A9E2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2583E3C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058BB83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66810CE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1A94F61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674D231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7B8FB19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4C966EF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3F5C316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4D25E3B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7564C62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5566174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FEAA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422D470">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9851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C0E22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316C35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51320026T000014344911-2025年省级监督抽查抽样项目</w:t>
            </w:r>
          </w:p>
        </w:tc>
      </w:tr>
      <w:tr w14:paraId="76D901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017F8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3BF815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2562F97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0A8B9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州产品质量和特种设备监督检验所</w:t>
            </w:r>
          </w:p>
        </w:tc>
      </w:tr>
      <w:tr w14:paraId="6E0CD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066F6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26DCE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DECFAE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744139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7F43E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1D931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38236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86EA6E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2025年我所省级监督抽查抽样项目资金主要用于工业产品质量监督抽查及风险监测工作，要求完成抽样采样任务不低于210批次。</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6795A8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2025年我所省级监督抽查抽样项目资金主要用于工业产品质量监督抽查及风险监测工作，要求完成抽样采样任务不低于210批次。</w:t>
            </w:r>
          </w:p>
        </w:tc>
      </w:tr>
      <w:tr w14:paraId="22AA0D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0DEFA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6DC9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0690EC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2025年我所省级监督抽查抽样项目资金主要用于工业产品质量监督抽查及风险监测工作，要求完成抽样采样任务不低于210批次。</w:t>
            </w:r>
          </w:p>
        </w:tc>
      </w:tr>
      <w:tr w14:paraId="68DDA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AD167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B20C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947A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1F77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7A8F7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9EF5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669E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8013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0EE4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37633A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72A80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1087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B2A2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5F48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17.85</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4E866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17.85</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29B0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F862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2972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7F445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59548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2B5F8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E16B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E9E3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83BD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17.85</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3061F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17.85</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ACC9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DE98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A2C8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E0BA4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A5D6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A2F2A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1312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54F8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0008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1744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F5A7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DF63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7E00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ABC5C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BAEF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634F4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53C2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B860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450C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BBA46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7D68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9860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0396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C954F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9344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FC529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F297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8740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1D4E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E3EBA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30C3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F90B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AD53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623BC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57B0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945D5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5074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776B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F92F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2858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E4B7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75C3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1900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A4EB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1BDA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4306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173AD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FA9CD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01BB2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663A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2A59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完成省局下达监督抽查抽样和风险监测采样任务等不低于210批次</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C9EE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3BEC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210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A4AA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批次</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A922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210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1FA7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C988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4FA0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4629E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11196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CBF6F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DD15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9E05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随机抽查抽样单出错率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FD0D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B2B3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9DFE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24BE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1803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B9FB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B470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3F3E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0FEE0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2F9C6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4D88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时效指标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2944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在规定时间内完成任务</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AF10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3C0D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83F6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2253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FC62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D619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7EC6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3FB61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6AC1F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2DAD6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1CB6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生态效益指标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07E9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任务执行符合环保要求</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4465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0402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优良</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8199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AB63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优良</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9DE7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1787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79D9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A0B6B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57EC5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5709A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C0EB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可持续发展指标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5428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此项工作社会影响具有可持续性</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F0E9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A1ED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优良</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DA97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0A2C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优良</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E8A9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47FF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7965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BC04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EDB23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3529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满意度指标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498F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服务对象满意度指标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427E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企业投诉数量</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73FD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3DFF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A7ED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人次</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6969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AC15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F0D3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397B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74C45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89986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7123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成本指标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5084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经济成本指标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D871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项目成本</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D250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19BB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21</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96E4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万元</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DD7F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21</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F708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F1F6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C8B4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D8F9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8EF4F8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6E54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AB3F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E5B5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323A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D9FD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9FCFED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4D560D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9EEF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22C8C3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3CE98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B7BC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D77321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5A46A7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C36601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BA9A6B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r w14:paraId="2EABA9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6A04DF2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08D5E10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7DAAD5B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7F84053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61BA5CE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532008A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64164F9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7326436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5475A93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1B6FBBA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3312E28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9568B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9A10000">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7972B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3A64E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E70DC7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51320021T000000057340－实验室维护、检定、校准、运行及功能改造经费</w:t>
            </w:r>
          </w:p>
        </w:tc>
      </w:tr>
      <w:tr w14:paraId="43BCF8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EEDD3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A651A1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6C1EB9C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E7464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州食药检研中心</w:t>
            </w:r>
          </w:p>
        </w:tc>
      </w:tr>
      <w:tr w14:paraId="5B57B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AB3DA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35C64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231FC9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478EDA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6EC50B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0"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8B0AE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EF8CB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00A7B2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根据《中华人民共和国计量法》第九条及《检验检测机构资质认定能力评价检验检测机构通用要求》第4.4条，我局需对实验室仪器设备及移液器检定校准以及实验室日常维护费及临时急需的小型仪器设备购置，实验室检验检测系统维护，从而保障实验室安全事故零发生及检验、检测数据准确率达到98%以上。</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BC45C8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根据《中华人民共和国计量法》第九条及《检验检测机构资质认定能力评价检验检测机构通用要求》第4.4条，我局需对实验室仪器设备及移液器检定校准以及实验室日常维护费及临时急需的小型仪器设备购置，实验室检验检测系统维护，从而保障实验室安全事故零发生及检验、检测数据准确率达到98%以上。</w:t>
            </w:r>
          </w:p>
        </w:tc>
      </w:tr>
      <w:tr w14:paraId="3B03F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96D0D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C0ED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3764F6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根据《中华人民共和国计量法》第九条及《检验检测机构资质认定能力评价检验检测机构通用要求》第4.4条，我局需对实验室仪器设备及移液器检定校准以及实验室日常维护费及临时急需的小型仪器设备购置，实验室检验检测系统维护，从而保障实验室安全事故零发生及检验、检测数据准确率达到98%以上。</w:t>
            </w:r>
          </w:p>
        </w:tc>
      </w:tr>
      <w:tr w14:paraId="418814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34CDA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6DD2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9B82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8F4D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0077A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F953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0951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39D9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C6E0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4197F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4C6F1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7D15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926A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21.00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7519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17.50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07300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17.50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37E5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4CFF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9F24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0A1B3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441E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2323F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07CE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D545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21.00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B90D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17.50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896CA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17.50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9763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7CB6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8198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80A5D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7475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6956B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3B48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D3F2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8251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08B6F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B6F6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5EC0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CD36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1EAD7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34A3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3A61D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909E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5045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AC90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C02F3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CA05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EF28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941D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79B35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E91B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89D3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B2D1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1279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381B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BC3C8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5F4E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6695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F047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A2991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CFF8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9C669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216C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94E1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8B92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AA71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CFBF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3ED5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5F75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6BBB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CA0D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98F3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7DE2F0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F27E0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83E9F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B983B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DE4D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参加能力验证并通过次数</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8516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460C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420C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次</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D361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153B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1AE7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7A5C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86BF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F03B6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8A93C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50A48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D7C3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仪器设备及检验监测系统维修（护）数量</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1F7A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1F76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046D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台/套</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0F5B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7C82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F2F8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5A97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758B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9F75D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B21AA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0C689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5AB3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仪器设备、移液器检定校准数量</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055A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2F90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C439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台/套</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8DF6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F1D6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F496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1CB5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9BAEF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4899D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FF126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8E248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D45F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小型仪器设备购置数量</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21EB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0FA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C7C9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45FE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3056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BAA9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F4E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518EE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3CEB0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EA367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3D8E8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0A97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检验检测数据准确率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EBB6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FC03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98</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A5F3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2D3E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98</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6AD9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99E5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2AD5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F91F5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650CC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0BDD3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1B3D2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77C7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实验室质量体系人员培训合格率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4438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90FE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3B71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76C8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95</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E471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925E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191F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8FF5A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F0D1E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C5F9E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82DA5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7834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仪器设备购置合格率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871A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04D8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F6A9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49B2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10D9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EB3C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0CFC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BF06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FD4E3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D12B9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547C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时效指标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D015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项目完成时间</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ADEF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7373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按时完成</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0725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5583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按时完成</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1DDB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C586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579E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E9564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F969A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0FB2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DBC6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4926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实验室安全事故发生次数</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B9A0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28C7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B59C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次</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B159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5389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3A32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B5DC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BD4C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D7549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FD55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满意度指标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3CD3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服务对象满意度指标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74A0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检验检测人员对实验室场所满意度</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287F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CB22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3BC5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5DF8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83D9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49F7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586C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9C6A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8F675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08B2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成本指标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FEA5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经济成本指标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5A9A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项目成本金额</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4B08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71D7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21</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F4AD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万元</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07FC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21</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2612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588F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1561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958C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DE9FB3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7AA1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9535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6F1E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BC0D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5E38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1E7C84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2CEC48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DC52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C272E5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176CA1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DBAA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05C7E2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714204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AAB6E6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A2730C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40716D5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br w:type="page"/>
      </w: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6"/>
        <w:gridCol w:w="976"/>
        <w:gridCol w:w="1482"/>
        <w:gridCol w:w="1536"/>
        <w:gridCol w:w="967"/>
        <w:gridCol w:w="1225"/>
        <w:gridCol w:w="984"/>
        <w:gridCol w:w="1396"/>
        <w:gridCol w:w="1053"/>
        <w:gridCol w:w="1225"/>
        <w:gridCol w:w="1056"/>
      </w:tblGrid>
      <w:tr w14:paraId="14680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235DF84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22EE419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0DB86BC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55A16A7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729F31B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61DF50D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0B3C259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5416ADC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2306AF3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2ACC34F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18BEC82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5EADE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C87210F">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6A0EF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B07AF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F42908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51320021T000000057343－民族药物研究费</w:t>
            </w:r>
          </w:p>
        </w:tc>
      </w:tr>
      <w:tr w14:paraId="74E2A0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6A72C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57ADD1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2DC9CFF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49167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州食药检研中心</w:t>
            </w:r>
          </w:p>
        </w:tc>
      </w:tr>
      <w:tr w14:paraId="698818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7B892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271D9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138C07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4781D2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30E42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C5E37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340EF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29E885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考虑我州藏药、羌药品种多达480余种，然而无专业机构对质量标准进行研究和提高，生产工艺和质量标准不高，产品质量不高，微生物限度最终无法控制，致使产品不被更多的大众所认可。根据州委编办的批复加挂“阿坝州民族药物研究所”牌子，赋予我局民族药物种植、制剂品种标准起草提升等研究工作。我局将开展中藏羌药材研究，提高中藏羌药标准制定的科学性和规范性。</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B54757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考虑我州藏药、羌药品种多达480余种，然而无专业机构对质量标准进行研究和提高，生产工艺和质量标准不高，产品质量不高，微生物限度最终无法控制，致使产品不被更多的大众所认可。根据州委编办的批复加挂“阿坝州民族药物研究所”牌子，赋予我局民族药物种植、制剂品种标准起草提升等研究工作。我局将开展中藏羌药材研究，提高中藏羌药标准制定的科学性和规范性。</w:t>
            </w:r>
          </w:p>
        </w:tc>
      </w:tr>
      <w:tr w14:paraId="1DC207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E02F5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DDD0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065987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考虑我州藏药、羌药品种多达480余种，然而无专业机构对质量标准进行研究和提高，生产工艺和质量标准不高，产品质量不高，微生物限度最终无法控制，致使产品不被更多的大众所认可。根据州委编办的批复加挂“阿坝州民族药物研究所”牌子，赋予我局民族药物种植、制剂品种标准起草提升等研究工作。我局将开展中藏羌药材研究，提高中藏羌药标准制定的科学性和规范性。</w:t>
            </w:r>
          </w:p>
        </w:tc>
      </w:tr>
      <w:tr w14:paraId="12D62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09237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0A4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99E9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14AB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D88A5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66BA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17EE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6D7E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CB99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3E135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245E0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4FFB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2356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D9D8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8D6DA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2C52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EB6F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04EA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594DC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FF84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63AF9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C663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862F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E4EB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35FA1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574C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44FD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4E0C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F4B32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9E4F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93770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1594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3B65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1BBF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A3D26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C56A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C654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5651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C3CD1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C5DA3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73FF0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7A56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314A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2DF1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5BF61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0E64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79C0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41C0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B7AA0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9344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36CC8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06D2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80E2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A40D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9AC25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A94B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5AE4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F1CA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0ABA7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2B645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F878F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BEFD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91EB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0247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AF31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2F9D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F819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4EDA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C490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F4A9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39C7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1ED819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9B11B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504B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66410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0C35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发表论文数量</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DD77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0D30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5DBF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篇</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7CAF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CCF6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17E2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5B7C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8D1F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36058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34477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8C4A8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2D35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制定或修订藏羌药质量标准数量</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64FD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F5B4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E8EF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个</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BED4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EA92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2E40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5D17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29A9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599D3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1383E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F1BA0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3DEB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建立科研团队数量或人才培养数量</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1B58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D82D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D617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个</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A843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0ED5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3E48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E599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0754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CA2BD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70E32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5A26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628C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科研项目验收合格率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2323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889A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D87B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56FB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E252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7C4D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BB74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6B4A4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D925C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E0ECD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CBB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时效指标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9893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项目完成时间</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470C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AE71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按时完成</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9ED5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7490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按时完成</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7CB6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32CE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FD3C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04CB9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68DE9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87F4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F637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可持续影响指标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65FC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推动民族药标准提升影响年限</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4E50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9015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A24D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01D7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D5EA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65CD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C044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5501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4C674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0D12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满意度指标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0FC8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服务对象满意度指标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7499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服务藏羌药材种植户对技术服务的满意度</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697F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A41F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838A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C8EF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A26C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EF74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2DB9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F9D2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33AC0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154B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成本指标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2228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经济成本指标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7ADB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项目成本金额</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2440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D8EF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A469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万元</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8F9D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6216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BAEE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B542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A55F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503F7A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F2DE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6A27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611A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88F07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ECCA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CC76D7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246E4F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370D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748E57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6919A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F9C6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41E46A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63ABAB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4F7CAE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05DD50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7F90AD9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br w:type="page"/>
      </w: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6"/>
        <w:gridCol w:w="976"/>
        <w:gridCol w:w="1482"/>
        <w:gridCol w:w="1536"/>
        <w:gridCol w:w="967"/>
        <w:gridCol w:w="1225"/>
        <w:gridCol w:w="984"/>
        <w:gridCol w:w="1396"/>
        <w:gridCol w:w="1053"/>
        <w:gridCol w:w="1225"/>
        <w:gridCol w:w="1056"/>
      </w:tblGrid>
      <w:tr w14:paraId="7EBB9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66C0E50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167F277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04B6F8E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26D084C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6C1F0DC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3616E87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60B0B29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4D4882F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0ED6FE6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54A308C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7FA3578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F5E5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CF1CCC1">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28EC8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3CDB8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066C7D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51320022R000005969462－追加州级部门编内退休人员一次性退休补贴</w:t>
            </w:r>
          </w:p>
        </w:tc>
      </w:tr>
      <w:tr w14:paraId="29C29A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3E0FC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ECDBBD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70AA724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61641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州食药检研中心</w:t>
            </w:r>
          </w:p>
        </w:tc>
      </w:tr>
      <w:tr w14:paraId="2C75AF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7D82D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CB465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043127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2130E3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1E758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2B254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2E9B9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BA2749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严格执行相关政策，保障工资及时、足额发放或社保及时、足额缴纳，预算编制科学合理，减少结余资金</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7F50EA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严格执行相关政策，保障工资及时、足额发放或社保及时、足额缴纳，预算编制科学合理，减少结余资金</w:t>
            </w:r>
          </w:p>
        </w:tc>
      </w:tr>
      <w:tr w14:paraId="089973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3437B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D656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4A93F5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严格执行相关政策，保障工资及时、足额发放或社保及时、足额缴纳，预算编制科学合理，减少结余资金</w:t>
            </w:r>
          </w:p>
        </w:tc>
      </w:tr>
      <w:tr w14:paraId="36849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A7D1B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B5BE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F5FD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1E7C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6DCE2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5532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D80D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EFB6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54F2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7BFFA2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6ECC8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C0D8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A499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E08D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5.68</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EAAE8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5.68</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2E01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FFFB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B7EC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F0028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0E01A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EB446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5796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E585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4ACF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5.68</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E23F5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5.68</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D6AD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A19C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D6EA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4CB29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86802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C4ADC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36D9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7BCB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980A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3103C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E21E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F897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3F5A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EF148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7877E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93D1A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A08B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7704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388C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815D9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445E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39DE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F24F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B1CA7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25A62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4D815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E4F5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8D4C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A036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3DE33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598E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299C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D095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26E83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39FAF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DD903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569C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637B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22BF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96A0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8A7E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F2B6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6DCC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912B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10F3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1386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70F60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F2B6D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D8E4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EE38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51A8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发放（缴纳）覆盖率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D0DA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2A09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82C2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C6A2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7DA2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6AE5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FB11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67384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D0409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7EDD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EB00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1889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足额保障率（参保率）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B5B5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07A9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FD9C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5854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237C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446D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7DDD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51AF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69DD59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CD89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1F8B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015C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04E5F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7C73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50D7F6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2398D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FEC8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40E792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4A6BC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96DB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54C8C5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61A5B6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FF2669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A7DD51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5E95E64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br w:type="page"/>
      </w: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6"/>
        <w:gridCol w:w="976"/>
        <w:gridCol w:w="1482"/>
        <w:gridCol w:w="1536"/>
        <w:gridCol w:w="967"/>
        <w:gridCol w:w="1225"/>
        <w:gridCol w:w="984"/>
        <w:gridCol w:w="1396"/>
        <w:gridCol w:w="1053"/>
        <w:gridCol w:w="1225"/>
        <w:gridCol w:w="1056"/>
      </w:tblGrid>
      <w:tr w14:paraId="22B87A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3FE97B6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39BE40C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67F434F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4968655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7BFD10B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16350CC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270BF1C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0CA71BC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31C60D3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29E3883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1F6C688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99AD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87E032C">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1E4A2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6EFE5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2144F8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51320022T000000340338－州本级药品抽检经费</w:t>
            </w:r>
          </w:p>
        </w:tc>
      </w:tr>
      <w:tr w14:paraId="6A26EA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17BCA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B610D0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1A70FC8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6A1CF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州食药检研中心</w:t>
            </w:r>
          </w:p>
        </w:tc>
      </w:tr>
      <w:tr w14:paraId="4B1BA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4EC8F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74512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4C6599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38E7F5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48A122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96B39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A0905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613F14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按照新《中华人民共和国药品管理法》和新修订的《药品质量抽查检验管理办法》规定，完成州本级药品抽检任务，尽快适应机构改革后药品质量监督管理的新常态。按照四川省药品监督管理局对各市州需要自行拟定药品抽验计划的总体要求，完成州本级50批次的药品抽验计划。为药品监管提供技术支撑。</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DB2D57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按照新《中华人民共和国药品管理法》和新修订的《药品质量抽查检验管理办法》规定，完成州本级药品抽检任务，尽快适应机构改革后药品质量监督管理的新常态。按照四川省药品监督管理局对各市州需要自行拟定药品抽验计划的总体要求，完成州本级50批次的药品抽验计划。为药品监管提供技术支撑。</w:t>
            </w:r>
          </w:p>
        </w:tc>
      </w:tr>
      <w:tr w14:paraId="712DE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66E2F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62F4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2D4028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按照新《中华人民共和国药品管理法》和新修订的《药品质量抽查检验管理办法》规定，完成州本级药品抽检任务，尽快适应机构改革后药品质量监督管理的新常态。按照四川省药品监督管理局对各市州需要自行拟定药品抽验计划的总体要求，完成州本级50批次的药品抽验计划。为药品监管提供技术支撑。</w:t>
            </w:r>
          </w:p>
        </w:tc>
      </w:tr>
      <w:tr w14:paraId="419613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20DC1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E206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A47C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02CA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9844B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8B64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9AA7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7CF5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22A9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006B95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4351A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A233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BC7B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2630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A14D7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A219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D923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B521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43FCA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D3CF2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36CC8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A9C3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E8EA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0B02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B722F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FCF4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A074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2F9E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94D22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2C7A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6A664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D1E5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0E5A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3C13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C836B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86D6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874C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A477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E8AA5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E9C5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3FA06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1277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7E86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3CBD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E1B0F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A03B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ABA1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8713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F0CF3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E51E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24496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F503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2659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48DD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13BBD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093F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08B2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74FD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1AE47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43E59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7017C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98FF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DE1C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5807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2441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5E88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D27E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7269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966E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A8E5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36B0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6575CC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40B20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AE3EC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95D3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5710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药品抽检批次</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5B73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517C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2853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批次</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3499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F224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E110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C941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5FBA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4555D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E563D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6BC7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6F25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检验报告书差错率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E3E2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E92A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C2AD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5CA7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78EE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EDD4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3847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00AD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D104F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38A94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9816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时效指标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9CB2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抽检任务按期完成率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7916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D35A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951F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47A4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5E7E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61B2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91DA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3C53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65D42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0581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0C65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1D29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不合格检验报告移送执法部门处置率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5115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0354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002F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86D1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CF2E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3EA7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907D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65CC7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5762F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D4BE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满意度指标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B21A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服务对象满意度指标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7B81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监管机构对药品抽检工作满意度</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4F87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2DF2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7BAD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C169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D064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CC46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A6FB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0F386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DC6BF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4FA9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成本指标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890C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经济成本指标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869A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每批次药品抽检成本</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62F6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395B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5051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元</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E79D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0A4A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E007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F614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D8BB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1E0ECF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2E93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2D6C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BCB5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43C8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615F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61C41B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48FD67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A045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A000FD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05FA9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CDB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447366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0B61A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7D42D1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735F8A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4D9C9AE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br w:type="page"/>
      </w: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6"/>
        <w:gridCol w:w="976"/>
        <w:gridCol w:w="1482"/>
        <w:gridCol w:w="1536"/>
        <w:gridCol w:w="967"/>
        <w:gridCol w:w="1225"/>
        <w:gridCol w:w="984"/>
        <w:gridCol w:w="1396"/>
        <w:gridCol w:w="1053"/>
        <w:gridCol w:w="1225"/>
        <w:gridCol w:w="1056"/>
      </w:tblGrid>
      <w:tr w14:paraId="782AD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0ED63DA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75934AC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56B52A2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27CF2D5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76A224F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45B1289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7B2E91C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2E711BF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568CFE0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7C3E7FC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3BD28FC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6678A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BFAB02D">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8785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1BA3A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E812A1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51320022T000000346226－州本级食品抽检专项</w:t>
            </w:r>
          </w:p>
        </w:tc>
      </w:tr>
      <w:tr w14:paraId="559A2F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DD07F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89886D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06DAF4B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B71D1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州食药检研中心</w:t>
            </w:r>
          </w:p>
        </w:tc>
      </w:tr>
      <w:tr w14:paraId="6665E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5B429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08EAB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1EB53E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59D09C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1AFA0C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900CB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F25B0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99CF95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根据《中华人民共和国食品安全法》第八条，县级以上人民政府应当将食品安全工作纳入本级国民经济和社会发展规划，将食品安全工作经费列入本级政府财政预算，加强食品安全监督管理建设，为食品安全工作提供保障。2025年将完成100批次的食品抽检工作。为食品监管提供技术支撑。</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7EC2CB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根据《中华人民共和国食品安全法》第八条，县级以上人民政府应当将食品安全工作纳入本级国民经济和社会发展规划，将食品安全工作经费列入本级政府财政预算，加强食品安全监督管理建设，为食品安全工作提供保障。2025年将完成100批次的食品抽检工作。为食品监管提供技术支撑。</w:t>
            </w:r>
          </w:p>
        </w:tc>
      </w:tr>
      <w:tr w14:paraId="2BACAB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8436D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D65C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C15C27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根据《中华人民共和国食品安全法》第八条，县级以上人民政府应当将食品安全工作纳入本级国民经济和社会发展规划，将食品安全工作经费列入本级政府财政预算，加强食品安全监督管理建设，为食品安全工作提供保障。2025年将完成100批次的食品抽检工作。为食品监管提供技术支撑。</w:t>
            </w:r>
          </w:p>
        </w:tc>
      </w:tr>
      <w:tr w14:paraId="73AE4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67115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4CB7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9644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17F3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90EDD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DB5F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268B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E91F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3AE2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6ABD2C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86FAA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C5AF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D52C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16.80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55AF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14.79</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43612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14.79</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5D2D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B454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6C43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4AC18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6EE4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0148A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10B0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EA7C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16.80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75F8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14.79</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7BD37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14.79</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88E3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17A4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7FCE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BAF9D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B35F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58052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9B1F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B534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6508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E443D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AB0C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38E9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CFAA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16E2D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BA42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FD9EF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DABD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6A48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8784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1FDDE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AD1B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77DF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19A0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5774B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A61B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C243E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F57A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157E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314E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27B50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213C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E6DF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0C60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EDA99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2D59A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25A4E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39FE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207F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864F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9D25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BD11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23B5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BB2C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A2DB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6E45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EC4F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20B6FE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DA67A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10215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D0E6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F1F0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食品抽检批次</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D5F5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74ED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C7DD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批次</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E5A8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623E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DC61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557D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F6390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73248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805F4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75ED6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C2EF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复检报告书差错份数</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86B7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DD31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9444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份</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8BAA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7240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569E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58D3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AF87A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134E1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D02F7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535F6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84F2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年度报告书差错份数</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E819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C312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F484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份</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88F2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26FE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DC68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FAB6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07F47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72C15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A8FA7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7E47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时效指标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C63F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项目完成时间</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E7A2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5A92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按时完成</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BF88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D26D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按时完成</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2C29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4C41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7107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9F2A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822C3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BFBA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C70F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D498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不合格检验报告移送执法部门处置率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6514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1674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938A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DCB8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ED08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AEE3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9B29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0362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D430E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C9EB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满意度指标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9550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服务对象满意度指标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B6B1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监管机构对药品抽检工作满意度</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5FA9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9B3F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8B2E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47D1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06C2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3EE3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67B7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CD1B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C500D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A768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成本指标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B882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经济成本指标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ECF6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每批次食品抽检成本</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B412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7597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1680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AF0C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元</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1D3C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1680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0EED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DFBB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B0F6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62F5C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6E3A23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4E40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0A0B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DFE8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E33A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DCA6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FDE7F7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278758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232D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974DDA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26FB8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9ED1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DBFBF8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51AF4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1E5129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3545BF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r w14:paraId="1AC57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32F54A0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52FBB0C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273E4ED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69678E6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02E8886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76087F3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71BE880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4AD7505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638E4CE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6901A9D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29858D8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3718C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357FD16">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E941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64B69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F6DEEA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51320022T000007339498－中央药品监管补助资金</w:t>
            </w:r>
          </w:p>
        </w:tc>
      </w:tr>
      <w:tr w14:paraId="4CEBD9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E4DCB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92FFC9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27C792D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3DF80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州食药检研中心</w:t>
            </w:r>
          </w:p>
        </w:tc>
      </w:tr>
      <w:tr w14:paraId="16997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BFBEB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D0826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BD45D3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7A4BED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3A0AB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24C5C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8AFFB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46EA7C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为进一步加强我州药品安全监管工作，不断提升药品安全监管水平，促进药品监管事业持续健康发展。该资金用于开展药械化不良反应和药物滥用检测的收集、上报和数据分析工作、宣传工作；配合省评审中心开展监测工作；加强对县（市）药械化不良反应监测、药物滥用监测工作的指导。</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D099C3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为进一步加强我州药品安全监管工作，不断提升药品安全监管水平，促进药品监管事业持续健康发展。该资金用于开展药械化不良反应和药物滥用检测的收集、上报和数据分析工作、宣传工作；配合省评审中心开展监测工作；加强对县（市）药械化不良反应监测、药物滥用监测工作的指导。</w:t>
            </w:r>
          </w:p>
        </w:tc>
      </w:tr>
      <w:tr w14:paraId="304B1F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28105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F4A9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43EC02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为进一步加强我州药品安全监管工作，不断提升药品安全监管水平，促进药品监管事业持续健康发展。该资金用于开展药械化不良反应和药物滥用检测的收集、上报和数据分析工作、宣传工作；配合省评审中心开展监测工作；加强对县（市）药械化不良反应监测、药物滥用监测工作的指导。</w:t>
            </w:r>
          </w:p>
        </w:tc>
      </w:tr>
      <w:tr w14:paraId="467A87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1A3DC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18A6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5535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2CAD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DD588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AFA4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C777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C784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5FCA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6E9789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06E98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D1E8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9715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3F0B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88F1F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450E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0BED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410E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C464E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95FA8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D08FF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D190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3573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DEC0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C5CEF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9A5B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9BAB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5848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1A743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BC866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A3B81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C0D0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EBD0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4BB9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16239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E403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4353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2144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FF203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4CAE4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0D597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07E4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6FA5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6BB7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2FE07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5AC5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5948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34BD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4FF71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6D34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3B591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EF21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F02B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F686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BC2B1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6BBB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FE67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E72C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BAF9F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FDBFD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4751D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2181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51D6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EFE2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56C9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1671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C111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A912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FA7F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B219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89B6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3D92D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4E4E8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CBA95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79A4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4F0F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宣传培训次数</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B011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EF79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89D4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次</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878C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52A7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AA3D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43E7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F1F3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204B8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2B6E4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10C2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1E0F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监测任务完成率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3904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9CAC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5E08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9B9C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E0B1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7C09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1325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8B820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DE225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C8C1E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FD09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时效指标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B440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项目完成时间</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5756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71FE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按时完成</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87F3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份</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3613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按时完成</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5792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DEEF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B213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D86A6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F4F1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7731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8A62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E87D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药品监管水平</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B22B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DF3E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不断提高</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D550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8253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不断提高</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AC43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BB00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C228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3E6AF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C2240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6AD6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成本指标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6221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社会成本指标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37BC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项目总成本</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FC48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5509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3490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万元</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29DE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CB19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EAB0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FB3B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4D71F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FB0863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EE22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0BE8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B685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BCC4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3234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C6C29C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5B8B0B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E361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68932C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6D0EDB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D90A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6D61A4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74DA28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0CFF38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D1AED6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5B79186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br w:type="page"/>
      </w: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6"/>
        <w:gridCol w:w="976"/>
        <w:gridCol w:w="1482"/>
        <w:gridCol w:w="1536"/>
        <w:gridCol w:w="967"/>
        <w:gridCol w:w="1225"/>
        <w:gridCol w:w="984"/>
        <w:gridCol w:w="1396"/>
        <w:gridCol w:w="1053"/>
        <w:gridCol w:w="1225"/>
        <w:gridCol w:w="1056"/>
      </w:tblGrid>
      <w:tr w14:paraId="3E5947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70576E5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26132A0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2DF4304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74E7224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3084342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632DD16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351DE45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5492C82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48CDD6E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215B202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1F38065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7590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59C0C4C">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213B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59A14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DBEF39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51320023R000007728618－目标绩效奖（按月随工资发放70%部分）</w:t>
            </w:r>
          </w:p>
        </w:tc>
      </w:tr>
      <w:tr w14:paraId="0EAF3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045E4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E541DD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5A2F3CA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40ABE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州食药检研中心</w:t>
            </w:r>
          </w:p>
        </w:tc>
      </w:tr>
      <w:tr w14:paraId="799A8B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7C96A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CEE5E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5F3378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0D14B8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3B680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27F2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B3D82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B96447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严格执行相关政策，保障工资及时、足额发放或社保及时、足额缴纳，预算编制科学合理，减少结余资金。</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DD2EF7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严格执行相关政策，保障工资及时、足额发放或社保及时、足额缴纳，预算编制科学合理，减少结余资金。</w:t>
            </w:r>
          </w:p>
        </w:tc>
      </w:tr>
      <w:tr w14:paraId="6DE43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55577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A1C4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FDF877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严格执行相关政策，保障工资及时、足额发放或社保及时、足额缴纳，预算编制科学合理，减少结余资金。</w:t>
            </w:r>
          </w:p>
        </w:tc>
      </w:tr>
      <w:tr w14:paraId="50D8C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E8914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C099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A586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9FA4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B5B4E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D137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F8C4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EA1B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D0FF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59B0EC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85E87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ACE1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7A02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116.34</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7566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118.34</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894FA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118.34</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F996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0555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D601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DBA93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8D1F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2F4B3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564C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C8A9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116.34</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08AD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118.34</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9E0B7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118.34</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E7DB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7023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C1AE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97514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C55C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D95CF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4744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484F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F3CE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5B235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5BE7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3C65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F3F1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33BB2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47EA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ADF4C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14CF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1FE3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098A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2EA5C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C1DA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E050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53FE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71AD5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7B22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A4A05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60AE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29DD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552E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CC2EE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219C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3A77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63D7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F4A0C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39C9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ADB5E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A107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F1E8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CFCB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CBDA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E089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2970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6FD2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74B6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504A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D714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4376DB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85175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5E3E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FBA3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AA29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发放（缴纳）覆盖率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8421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C932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B978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422A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C72F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340F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E1EC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20C6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C5643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4840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4434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5BB8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足额保障率（参保率）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CCA0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086A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4FC8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C275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75D4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9D14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1D64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7517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397BEA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9CD4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BB2C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9B81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5D79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A4BC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473319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31375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92ED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11D5E2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11CE8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18A1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F45DD0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07BA5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CB3C13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BE39D2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2BE7F2B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br w:type="page"/>
      </w: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6"/>
        <w:gridCol w:w="976"/>
        <w:gridCol w:w="1482"/>
        <w:gridCol w:w="1536"/>
        <w:gridCol w:w="967"/>
        <w:gridCol w:w="1225"/>
        <w:gridCol w:w="984"/>
        <w:gridCol w:w="1396"/>
        <w:gridCol w:w="1053"/>
        <w:gridCol w:w="1225"/>
        <w:gridCol w:w="1056"/>
      </w:tblGrid>
      <w:tr w14:paraId="141901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1C7F0C6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44A0264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2C6D6C2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53A3DAD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3AC6D19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24EDAA8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1A503AD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250E364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4B0315A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6E8BAAA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1F0798A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274E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AC6B483">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C1693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15583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ADACA1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51320023R000009914893-工资性支出</w:t>
            </w:r>
          </w:p>
        </w:tc>
      </w:tr>
      <w:tr w14:paraId="218D75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D8DBC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25F10F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55DB870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4C3AD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州食药检研中心</w:t>
            </w:r>
          </w:p>
        </w:tc>
      </w:tr>
      <w:tr w14:paraId="39DB23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43A88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4032B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DB8781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764775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6D6C9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066A8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A93F3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A197EF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严格执行相关政策，保障工资及时、足额发放或社保及时、足额缴纳，预算编制科学合理，减少结余资金。</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6196AD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严格执行相关政策，保障工资及时、足额发放或社保及时、足额缴纳，预算编制科学合理，减少结余资金。</w:t>
            </w:r>
          </w:p>
        </w:tc>
      </w:tr>
      <w:tr w14:paraId="30611C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4CF28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CFE0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ADBE65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严格执行相关政策，保障工资及时、足额发放或社保及时、足额缴纳，预算编制科学合理，减少结余资金。</w:t>
            </w:r>
          </w:p>
        </w:tc>
      </w:tr>
      <w:tr w14:paraId="3F585F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98ACE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A7DC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F6B2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CA5F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62FA3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30AC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C723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91C9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0A0E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14235E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FE513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765D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3F89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311.35</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CB6A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298.50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D3C1C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298.50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8D31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DFE1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D473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1C283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19A8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7712B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9876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BC4E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311.35</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AE34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298.50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948DF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298.50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6BCB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3086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4199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EA819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195A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7A916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E842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5F2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616D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E577C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ADA1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6C0F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6B76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00B54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D07CB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1E6A2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81E7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8343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4A3C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612EC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479E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F001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E457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A893E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748A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5B3EE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A786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DDB6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9D7B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B9A94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3A3D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2D4B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E7B0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22140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A0E3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56BA9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FF83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FD01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F02C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CFD1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B681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2589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2007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7CDC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0999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7AE4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6E113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DAE31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56FF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7841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E55E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发放（缴纳）覆盖率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3893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0960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4579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7898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42EB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E42C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C23A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5542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4D6F4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FEAC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0F51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B8F5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足额保障率（参保率）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5EC2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F558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EBD4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963F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41FC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609D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4755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DD0FA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1B6831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2B9E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5561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1656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25FD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3D09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A34580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6A8E9F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7CFC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CD28CE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450EB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9C3C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E006E8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1AC82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1F2BAD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8BBDD2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5A4E8D5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br w:type="page"/>
      </w: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6"/>
        <w:gridCol w:w="976"/>
        <w:gridCol w:w="1482"/>
        <w:gridCol w:w="1536"/>
        <w:gridCol w:w="967"/>
        <w:gridCol w:w="1225"/>
        <w:gridCol w:w="984"/>
        <w:gridCol w:w="1396"/>
        <w:gridCol w:w="1053"/>
        <w:gridCol w:w="1225"/>
        <w:gridCol w:w="1056"/>
      </w:tblGrid>
      <w:tr w14:paraId="66EAF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09D16CC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6B1E512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702AC06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0E7F8F1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470B2CE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1311561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1F079B8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2F5F28B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4391618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5DC665E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058A101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B6ABB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65CBFC2">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ED26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ACE97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AF4375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51320023R000009915221－单位缴费</w:t>
            </w:r>
          </w:p>
        </w:tc>
      </w:tr>
      <w:tr w14:paraId="4CCAED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EA509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0EE96E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7A0DBF6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2378A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州食药检研中心</w:t>
            </w:r>
          </w:p>
        </w:tc>
      </w:tr>
      <w:tr w14:paraId="56C6B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5FBF2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46C7A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47F4A8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3A391D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02FC9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6B606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5CE87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6451F8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严格执行相关政策，保障工资及时、足额发放或社保及时、足额缴纳，预算编制科学合理，减少结余资金。</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12857A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对照年度目标，说明相关任务目标的完成情况（100字以内）</w:t>
            </w:r>
          </w:p>
        </w:tc>
      </w:tr>
      <w:tr w14:paraId="62124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7F0E5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D6DB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40662B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C9CA8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73B70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FF2D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82EE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2A97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4B2D0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4A7A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47F8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1D51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D597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3E0AD7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AF101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B592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0447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221.76</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7AAB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213.28</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37A47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213.28</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63F2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990E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1F49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4CC31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1.预算执行率=预算执行数/调整后预算数，预算执行率未达到90%的需说明原因（100字以内）；2.年中发生预算调整的（追加或调减），应单独说明理由；3.其他资金包括：社会投入资金、银行贷款。</w:t>
            </w:r>
          </w:p>
        </w:tc>
      </w:tr>
      <w:tr w14:paraId="169162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7E531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A5FE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E939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221.76</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A8AF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213.28</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64E30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213.28</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3B8B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42F0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4C88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66399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1C79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E18C3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530E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D426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F732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1EDEB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8F0B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DC1A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3F9D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E0058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F94D4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B90E2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CF73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1B25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49D4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BE0B1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9D93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BE0B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BA9D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7EE3C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450B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D204A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C0B9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C0F2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057C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C5648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051F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FF80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60ED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8C144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6B16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78FC7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D826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A824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6DD3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6946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3570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6AC1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9F6E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24FA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C979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CE95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26B51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E54EB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9508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641C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B2B1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发放（缴纳）覆盖率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FD76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E861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7CC9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956F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568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EA24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DD22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A309C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7BA64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88D6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1671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74C3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足额保障率（参保率）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F5A5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4BA0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F0DF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3F4C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2804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3668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9D62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859B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E84405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A4F0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E7C2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6FB3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78B8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98B8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4CFD9C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1DBE5A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DB92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3872B0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556A8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5CF1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089D6C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1B52BD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7B6932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FFCAAD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688E34E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br w:type="page"/>
      </w: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6"/>
        <w:gridCol w:w="976"/>
        <w:gridCol w:w="1482"/>
        <w:gridCol w:w="1536"/>
        <w:gridCol w:w="967"/>
        <w:gridCol w:w="1225"/>
        <w:gridCol w:w="984"/>
        <w:gridCol w:w="1396"/>
        <w:gridCol w:w="1053"/>
        <w:gridCol w:w="1225"/>
        <w:gridCol w:w="1056"/>
      </w:tblGrid>
      <w:tr w14:paraId="5514E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3B6304F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167753E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28B801A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1209F85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7A6BF38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2C5C1C7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7329BB5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7659BA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152D7B0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71B0908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1CC8B35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4FA9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022EF67">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4AD1D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35653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E27B42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51320023R000009915925－聘用人员经费</w:t>
            </w:r>
          </w:p>
        </w:tc>
      </w:tr>
      <w:tr w14:paraId="4AC87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48E84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FC8753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43928D4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63324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州食药检研中心</w:t>
            </w:r>
          </w:p>
        </w:tc>
      </w:tr>
      <w:tr w14:paraId="05C3D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C6591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1E0D0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651DA3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582E6C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5CB62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8A980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0D768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738EAC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严格执行相关政策，保障工资及时、足额发放或社保及时、足额缴纳，预算编制科学合理，减少结余资金。</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3EC71C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严格执行相关政策，保障工资及时、足额发放或社保及时、足额缴纳，预算编制科学合理，减少结余资金。</w:t>
            </w:r>
          </w:p>
        </w:tc>
      </w:tr>
      <w:tr w14:paraId="17DC3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89388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C3D8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3AF512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严格执行相关政策，保障工资及时、足额发放或社保及时、足额缴纳，预算编制科学合理，减少结余资金。</w:t>
            </w:r>
          </w:p>
        </w:tc>
      </w:tr>
      <w:tr w14:paraId="1C8AA8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E1970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2A35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CDD7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2263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AA33F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5E94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8236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5413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D36C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3A016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820FD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5C6C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A23A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20.52</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F7CB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20.09</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78B9C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20.09</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954F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FD32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F5E2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4680E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84E1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7F7F0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00A6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7649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20.52</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8AC7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20.09</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90A09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20.09</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EAA2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97BC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3392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DCC91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D3E3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E8458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7018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029C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FE55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09B3D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C1CD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B6CE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FE56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9EDFF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D62D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031CA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8E02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9AEC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482E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1CBBE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F074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BA29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E5FA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0C938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0677D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F45E1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61CF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A0E3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7F73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358D5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F5EB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7103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8196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90CDF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FA61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BC212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2561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9563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0844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F078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FB60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4192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0AC4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E6C5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773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43E5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5AFD1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76CD9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E094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E0FD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D193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发放（缴纳）覆盖率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82AC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0BCA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6383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09E9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0945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9FD2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F193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5B372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D706B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8B06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0BBA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1260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足额保障率（参保率）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6E44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BAA0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492B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9610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2BE4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126E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2A25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6C07E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AF5097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7536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FE27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663F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28557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8027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9CB055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2D5FF0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B81F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12CFED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022F8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62B9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39E5DF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29858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F51CC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ABC458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6F16784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br w:type="page"/>
      </w: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6"/>
        <w:gridCol w:w="976"/>
        <w:gridCol w:w="1482"/>
        <w:gridCol w:w="1536"/>
        <w:gridCol w:w="967"/>
        <w:gridCol w:w="1225"/>
        <w:gridCol w:w="984"/>
        <w:gridCol w:w="1396"/>
        <w:gridCol w:w="1053"/>
        <w:gridCol w:w="1225"/>
        <w:gridCol w:w="1056"/>
      </w:tblGrid>
      <w:tr w14:paraId="3CA5E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02F7425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7CAEE30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1BB861A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70020DB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537D728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45B1A73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65F5F81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6392B3D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3D2CDCC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6753CFF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400CD61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7CCB6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D1427C3">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E850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9DDF0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C4A001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51320023R000009916588－其他支出</w:t>
            </w:r>
          </w:p>
        </w:tc>
      </w:tr>
      <w:tr w14:paraId="6555B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1C1A3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A07A68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289C89D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24993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州食药检研中心</w:t>
            </w:r>
          </w:p>
        </w:tc>
      </w:tr>
      <w:tr w14:paraId="08E31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61AA2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E5D5B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595634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791A61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2410E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5DFB1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71995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3ACB15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严格执行相关政策，保障工资及时、足额发放或社保及时、足额缴纳，预算编制科学合理，减少结余资金。</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6E8EF9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严格执行相关政策，保障工资及时、足额发放或社保及时、足额缴纳，预算编制科学合理，减少结余资金。</w:t>
            </w:r>
          </w:p>
        </w:tc>
      </w:tr>
      <w:tr w14:paraId="329013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1CB03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1A3E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1984EA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严格执行相关政策，保障工资及时、足额发放或社保及时、足额缴纳，预算编制科学合理，减少结余资金。</w:t>
            </w:r>
          </w:p>
        </w:tc>
      </w:tr>
      <w:tr w14:paraId="69025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7A6D0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CA56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0DFF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4467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3B409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C90C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9D84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D34D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054F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7C19B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25709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7DF3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79C5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1.15</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ADEC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0.41</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7FA01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0.41</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E878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B304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AFFC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7EF37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4C83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8BE0C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838D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3649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1.15</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A63E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0.41</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3AA13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0.41</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C70E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801E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E34B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295E2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7972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FB48B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7F0D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3784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624C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3500D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F78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9272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1C6B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CBF26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36605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973FA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D62D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D82F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95AB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1D5C9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F8EA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7960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C05C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E1F1E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DE7AA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39C7D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3AE7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4C31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BD93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8AAEB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0D36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DB66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071F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5CE00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757B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713A8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7DC5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0710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C853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0CA4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E270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7A34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A528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AFF4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C6C6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F9CC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6308A4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98B51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5863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EA97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98B4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发放（缴纳）覆盖率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4734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CAD3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9F12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164D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3923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B0E3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9394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9DA9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873EF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3075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6C43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C6C7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足额保障率（参保率）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C697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D6D5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A231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3917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DC74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CD00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AEB1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3193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5E8D01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4FA5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8368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3645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BC5F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B6B0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9A4DE7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053415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AEEB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02C916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6151C2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91FE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B6C917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0332C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5C227F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D2DD51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354347B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br w:type="page"/>
      </w: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6"/>
        <w:gridCol w:w="976"/>
        <w:gridCol w:w="1482"/>
        <w:gridCol w:w="1536"/>
        <w:gridCol w:w="967"/>
        <w:gridCol w:w="1225"/>
        <w:gridCol w:w="984"/>
        <w:gridCol w:w="1396"/>
        <w:gridCol w:w="1053"/>
        <w:gridCol w:w="1225"/>
        <w:gridCol w:w="1056"/>
      </w:tblGrid>
      <w:tr w14:paraId="53C0D2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71AD4E7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0CC074B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3F25848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1105D6A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0ECE12E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660018E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4E2C89F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2E8E828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3B28E63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7BBD553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42B2CA9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BF82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34019B4">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AE1B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3F6C1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591F3E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51320023T000009779009－阿坝州川贝母、羌活、党参等重点道地中药材基原鉴定与质量评价研究</w:t>
            </w:r>
          </w:p>
        </w:tc>
      </w:tr>
      <w:tr w14:paraId="0F628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62A78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41D37E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32687B5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FC308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州食药检研中心</w:t>
            </w:r>
          </w:p>
        </w:tc>
      </w:tr>
      <w:tr w14:paraId="1D783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4AD08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6BE3B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E3C999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008F7B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2EFF1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B0DCE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FAAB2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6C1720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阿坝州生产力促进中心申报的《阿坝州川贝母、羌活、党参等重点道地中药材基原鉴定与质量评价研究》科研项目，我局作为科研项目合作单位主要承担三种药材成分检测、重金属检测及质量评价工作，分配给我局17.50万元科研项目合作经费。</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E6C67A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阿坝州生产力促进中心申报的《阿坝州川贝母、羌活、党参等重点道地中药材基原鉴定与质量评价研究》科研项目，我局作为科研项目合作单位主要承担三种药材成分检测、重金属检测及质量评价工作，分配给我局17.50万元科研项目合作经费。</w:t>
            </w:r>
          </w:p>
        </w:tc>
      </w:tr>
      <w:tr w14:paraId="18D5C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0543D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0980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AEA99E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阿坝州生产力促进中心申报的《阿坝州川贝母、羌活、党参等重点道地中药材基原鉴定与质量评价研究》科研项目，我局作为科研项目合作单位主要承担三种药材成分检测、重金属检测及质量评价工作，分配给我局17.50万元科研项目合作经费。</w:t>
            </w:r>
          </w:p>
        </w:tc>
      </w:tr>
      <w:tr w14:paraId="731E1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2D299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E75F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F689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755E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4BF1D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A862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CE45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D761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3347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0E5F46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F2742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E06C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ACC3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CC28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2.86</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24175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2.86</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A4FE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3E6C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6668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31E7A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C5CA9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38538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4395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A211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90CF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7D2E0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3D68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E7A1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E319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C6828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0EF70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AA40E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0AA8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1FFE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5943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8E00F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9CA8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BB1B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0FE3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E061A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C765C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689EB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1022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E045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FBE6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2.86</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DD9EC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2.86</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EC6D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33BE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6275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5FDEB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05C39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5EFD8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B64A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FA25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0C10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BBFCA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DC00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3B27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E91F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8318B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C100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9DAC5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AB4E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1A45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1DCA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3CD5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D4D1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3EA3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0261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3EF5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36D0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1BA8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7E1E5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9F4E5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863F4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7006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FCBA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药材成分检测、重金属检测及质量评价品种</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A946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C2CE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6B07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个</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225E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2DE9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5760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461A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92BD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79799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30995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4D9D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1D39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科研项目验收合格率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3084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D4DA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900A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F514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690A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8DB9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BE2B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7D06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055F2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DEE53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EF04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时效指标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43D5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项目完成时间</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F958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ADCA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2025年</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2B46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5960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2025年</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C5FC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9652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7D41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5356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89E3C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6E53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07F7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可持续影响指标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01B0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推动民族药标准提升影响年限</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DA7F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C2B2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7672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B563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55FC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6079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CFDB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0CD6D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806D56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6706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6B8F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24E6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7428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C611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37156F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0F672F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CE38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63A7A2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0AFAD0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54EC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2FB441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4BB39F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66AF7A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79AD10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7C6DD13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br w:type="page"/>
      </w: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6"/>
        <w:gridCol w:w="976"/>
        <w:gridCol w:w="1482"/>
        <w:gridCol w:w="1536"/>
        <w:gridCol w:w="967"/>
        <w:gridCol w:w="1225"/>
        <w:gridCol w:w="984"/>
        <w:gridCol w:w="1396"/>
        <w:gridCol w:w="1053"/>
        <w:gridCol w:w="1225"/>
        <w:gridCol w:w="1056"/>
      </w:tblGrid>
      <w:tr w14:paraId="48A66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104CCC4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137D539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7E7CA82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38484A4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13A487E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5BCE47F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60900A9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3F48591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6D726CE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1954834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4BA2B32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2143A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C31C2A1">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901B9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48220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DF9A25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51320023T000009793169－优质高产羌活种质溯源及其绿色生态种植关键技术集成研究与示范应用（重点项目）</w:t>
            </w:r>
          </w:p>
        </w:tc>
      </w:tr>
      <w:tr w14:paraId="7D179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16616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A3D41B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389AC35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7F9E0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州食药检研中心</w:t>
            </w:r>
          </w:p>
        </w:tc>
      </w:tr>
      <w:tr w14:paraId="0FE46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2B725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F538C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02D5F1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FE4407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514DD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0"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DC78B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6761B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E61971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（1）筛选出适宜于规模化种植的羌活种质资源1—2份，并构建其DNA指纹图谱。</w:t>
            </w:r>
            <w:r>
              <w:rPr>
                <w:rFonts w:hint="eastAsia" w:ascii="宋体" w:hAnsi="宋体" w:eastAsia="宋体" w:cs="宋体"/>
                <w:color w:val="000000"/>
                <w:kern w:val="0"/>
                <w:sz w:val="24"/>
                <w:lang w:val="en-US" w:eastAsia="zh-CN"/>
              </w:rPr>
              <w:br w:type="textWrapping"/>
            </w:r>
            <w:r>
              <w:rPr>
                <w:rFonts w:hint="eastAsia" w:ascii="宋体" w:hAnsi="宋体" w:eastAsia="宋体" w:cs="宋体"/>
                <w:color w:val="000000"/>
                <w:kern w:val="0"/>
                <w:sz w:val="24"/>
                <w:lang w:val="en-US" w:eastAsia="zh-CN"/>
              </w:rPr>
              <w:t>（2）筛选出适宜于高质量发展的道地优良羌活品种（系）1—2个。</w:t>
            </w:r>
            <w:r>
              <w:rPr>
                <w:rFonts w:hint="eastAsia" w:ascii="宋体" w:hAnsi="宋体" w:eastAsia="宋体" w:cs="宋体"/>
                <w:color w:val="000000"/>
                <w:kern w:val="0"/>
                <w:sz w:val="24"/>
                <w:lang w:val="en-US" w:eastAsia="zh-CN"/>
              </w:rPr>
              <w:br w:type="textWrapping"/>
            </w:r>
            <w:r>
              <w:rPr>
                <w:rFonts w:hint="eastAsia" w:ascii="宋体" w:hAnsi="宋体" w:eastAsia="宋体" w:cs="宋体"/>
                <w:color w:val="000000"/>
                <w:kern w:val="0"/>
                <w:sz w:val="24"/>
                <w:lang w:val="en-US" w:eastAsia="zh-CN"/>
              </w:rPr>
              <w:t>（3）发表专业论文1篇。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393F37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（1）筛选出适宜于规模化种植的羌活种质资源1—2份，并构建其DNA指纹图谱。</w:t>
            </w:r>
            <w:r>
              <w:rPr>
                <w:rFonts w:hint="eastAsia" w:ascii="宋体" w:hAnsi="宋体" w:eastAsia="宋体" w:cs="宋体"/>
                <w:color w:val="000000"/>
                <w:kern w:val="0"/>
                <w:sz w:val="24"/>
                <w:lang w:val="en-US" w:eastAsia="zh-CN"/>
              </w:rPr>
              <w:br w:type="textWrapping"/>
            </w:r>
            <w:r>
              <w:rPr>
                <w:rFonts w:hint="eastAsia" w:ascii="宋体" w:hAnsi="宋体" w:eastAsia="宋体" w:cs="宋体"/>
                <w:color w:val="000000"/>
                <w:kern w:val="0"/>
                <w:sz w:val="24"/>
                <w:lang w:val="en-US" w:eastAsia="zh-CN"/>
              </w:rPr>
              <w:t>（2）筛选出适宜于高质量发展的道地优良羌活品种（系）1—2个。</w:t>
            </w:r>
            <w:r>
              <w:rPr>
                <w:rFonts w:hint="eastAsia" w:ascii="宋体" w:hAnsi="宋体" w:eastAsia="宋体" w:cs="宋体"/>
                <w:color w:val="000000"/>
                <w:kern w:val="0"/>
                <w:sz w:val="24"/>
                <w:lang w:val="en-US" w:eastAsia="zh-CN"/>
              </w:rPr>
              <w:br w:type="textWrapping"/>
            </w:r>
            <w:r>
              <w:rPr>
                <w:rFonts w:hint="eastAsia" w:ascii="宋体" w:hAnsi="宋体" w:eastAsia="宋体" w:cs="宋体"/>
                <w:color w:val="000000"/>
                <w:kern w:val="0"/>
                <w:sz w:val="24"/>
                <w:lang w:val="en-US" w:eastAsia="zh-CN"/>
              </w:rPr>
              <w:t>（3）发表专业论文1篇。</w:t>
            </w:r>
          </w:p>
        </w:tc>
      </w:tr>
      <w:tr w14:paraId="51965E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9D201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1B52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11EF0E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（1）筛选出适宜于规模化种植的羌活种质资源1—2份，并构建其DNA指纹图谱。</w:t>
            </w:r>
            <w:r>
              <w:rPr>
                <w:rFonts w:hint="eastAsia" w:ascii="宋体" w:hAnsi="宋体" w:eastAsia="宋体" w:cs="宋体"/>
                <w:color w:val="000000"/>
                <w:kern w:val="0"/>
                <w:sz w:val="24"/>
                <w:lang w:val="en-US" w:eastAsia="zh-CN"/>
              </w:rPr>
              <w:br w:type="textWrapping"/>
            </w:r>
            <w:r>
              <w:rPr>
                <w:rFonts w:hint="eastAsia" w:ascii="宋体" w:hAnsi="宋体" w:eastAsia="宋体" w:cs="宋体"/>
                <w:color w:val="000000"/>
                <w:kern w:val="0"/>
                <w:sz w:val="24"/>
                <w:lang w:val="en-US" w:eastAsia="zh-CN"/>
              </w:rPr>
              <w:t>（2）筛选出适宜于高质量发展的道地优良羌活品种（系）1—2个。</w:t>
            </w:r>
            <w:r>
              <w:rPr>
                <w:rFonts w:hint="eastAsia" w:ascii="宋体" w:hAnsi="宋体" w:eastAsia="宋体" w:cs="宋体"/>
                <w:color w:val="000000"/>
                <w:kern w:val="0"/>
                <w:sz w:val="24"/>
                <w:lang w:val="en-US" w:eastAsia="zh-CN"/>
              </w:rPr>
              <w:br w:type="textWrapping"/>
            </w:r>
            <w:r>
              <w:rPr>
                <w:rFonts w:hint="eastAsia" w:ascii="宋体" w:hAnsi="宋体" w:eastAsia="宋体" w:cs="宋体"/>
                <w:color w:val="000000"/>
                <w:kern w:val="0"/>
                <w:sz w:val="24"/>
                <w:lang w:val="en-US" w:eastAsia="zh-CN"/>
              </w:rPr>
              <w:t>（3）发表专业论文1篇。</w:t>
            </w:r>
          </w:p>
        </w:tc>
      </w:tr>
      <w:tr w14:paraId="1C087D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D2390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D9C3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EFED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0E14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7BC78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D5AA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8965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5F71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4EAD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5F5AF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7C4A6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A1C4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07E3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D183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1.74</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B6D64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1.74</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1B28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355B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15D3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9C2B3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216C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C7444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2C2A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B36D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9502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1.74</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B9E70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1.74</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04BD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E2A8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C16B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64675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EB8C6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A443F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0D36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9725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AD80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41DBC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B598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70AE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BB62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D093C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CE12D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422D4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8444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C691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F623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CCB93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C42C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06CF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7237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936F7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7C49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72A3D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EB38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0C8A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1793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C9EF2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42D4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F4FF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B7E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02F9E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7926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49D7A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7B46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2D37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FF10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B138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42EC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8E85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F8F5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212F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FC5E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3D65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1A321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E5CAC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7ADB5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7BA38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BD7A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筛选出适宜于高质量发展的道地优良羌活品种（系）个数</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22D6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4411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246E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个</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E955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FCE2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A188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F75D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DFD80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350B5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FB63D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A3F58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A8B0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筛选出适宜于规模化种植的羌活种质资源份数</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EB6E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AFFA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6E29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份</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2E80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8BAB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EC57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A3B1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9EDB0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4C0CC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2ABC9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702EA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EEA6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发表专业论文篇数</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EC78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BDC1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2261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篇</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8FF2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C250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7378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C5A1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DB676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48E28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EAB20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D032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A2BD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科研项目验收合格率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68A7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09C7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C199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ADF7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251B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1716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0785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7226D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14630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C2CCA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5CB7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时效指标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81E3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项目完成时间</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991D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0FAE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2025年8月26日</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CE8E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07FB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2025年8月26日</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7ED5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FAB3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D426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6A959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26B48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FBF5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C817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1325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筛选出适宜于规模化种植的羌活种质资源份数</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4675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8235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6DAC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个</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AAD9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B335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E1CD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C8AE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E43D9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A66A63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1EC5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8FAE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F9F8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23CA9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2CBD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EE7553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3406F6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4560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521D84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327F0A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E5BF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873FA1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56CB4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0DA088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6A1F26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r w14:paraId="5D51C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43D74D4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2C92295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07655E8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009CBAC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5FED7D7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706A2F7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6E9F891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5A47084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1E87F5D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6E335CE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4A782B4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BCB65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B229DF6">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B703D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7F6E1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EF4750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51320023Y000009917272－日常公用经费</w:t>
            </w:r>
          </w:p>
        </w:tc>
      </w:tr>
      <w:tr w14:paraId="1EACBB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76773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69C3F8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158A843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6EFE6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州食药检研中心</w:t>
            </w:r>
          </w:p>
        </w:tc>
      </w:tr>
      <w:tr w14:paraId="237C6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388A8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A0F64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230D03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2063D1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138D9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57A5F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36E62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29D924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提高预算编制质量，严格执行预算，保障单位日常运转。</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D545FE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提高预算编制质量，严格执行预算，保障单位日常运转。</w:t>
            </w:r>
          </w:p>
        </w:tc>
      </w:tr>
      <w:tr w14:paraId="61779E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E65E3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BB8B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A903B2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提高预算编制质量，严格执行预算，保障单位日常运转。</w:t>
            </w:r>
          </w:p>
        </w:tc>
      </w:tr>
      <w:tr w14:paraId="56674B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A282E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2934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1B65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9BD9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2A891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AA91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9FD5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61CD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87AF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24591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267F8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4BFC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CFC9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38.97</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29B2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31.18</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6EB1B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31.18</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B52C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E483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0ED2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D3489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9C7E1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0DF3A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D90A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B831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38.97</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176B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31.18</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3E3A1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31.18</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2E28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B172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9977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69D94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029D5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011D9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159B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D534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6D4F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A1D5E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D429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1398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35F7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B8C06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B152C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57491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CFFC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4406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CD0B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BA367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D239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E458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46A3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9E7E3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AB41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11523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C45C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A5F8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05C4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1A6B2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83DA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BFED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55D8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5066A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860B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30E56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72FC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DBDA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30B0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ABC6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A913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0FB5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1918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91BA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7D52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2F18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7B313B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70C73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FE6FF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B250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2DA2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科目调整次数</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8EB0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CE39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3F47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次</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6FB1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F2CE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BA78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2E59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3FE6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9CFAA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A4995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F976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C5B0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预算编制准确率（计算方法为：∣（执行数－预算数）/预算数∣）</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78D0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FCE4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3C60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3129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1A15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3EF9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5F7B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BEF2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37F70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35DB3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4B61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经济效益指标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3910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“三公经费”控制率[计算方法为：（“三公”经费实际支出数/预算安排数]×100%）</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BE25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3159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DEDD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519A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D904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5BA3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54B8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9F5E5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BB5C9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B1804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AF2E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A4CB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运转保障率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9694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4777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C130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2DDB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8AB2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FE07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B164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482A6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AD7CBC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CD79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311C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CED2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C264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AD61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6D0F87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374530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0430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FE1C12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626EE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7FE4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F95BB5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4AD00C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91204D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7C39B4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7F175690">
      <w:pPr>
        <w:widowControl/>
        <w:spacing w:line="240" w:lineRule="exact"/>
        <w:ind w:firstLine="536"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br w:type="page"/>
      </w: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6"/>
        <w:gridCol w:w="976"/>
        <w:gridCol w:w="1482"/>
        <w:gridCol w:w="1536"/>
        <w:gridCol w:w="967"/>
        <w:gridCol w:w="1225"/>
        <w:gridCol w:w="984"/>
        <w:gridCol w:w="1396"/>
        <w:gridCol w:w="1053"/>
        <w:gridCol w:w="1225"/>
        <w:gridCol w:w="1056"/>
      </w:tblGrid>
      <w:tr w14:paraId="28491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06F07649">
            <w:pPr>
              <w:widowControl/>
              <w:spacing w:line="240" w:lineRule="exact"/>
              <w:ind w:firstLine="536"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6E8EF8C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302B704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6178F6A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24B2BD1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59F317B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3331B13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06772CC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0A9DF3C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0EF7C31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674B62F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92B4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0D63065">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E9F88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ADBA6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6E214A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51320024R000010654282－离休人员经费</w:t>
            </w:r>
          </w:p>
        </w:tc>
      </w:tr>
      <w:tr w14:paraId="543300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D7F10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B6FA0A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732192D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7CDD7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州食药检研中心</w:t>
            </w:r>
          </w:p>
        </w:tc>
      </w:tr>
      <w:tr w14:paraId="09B0A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16F91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9FAE4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23DF6D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C4E5F0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0773FA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507E0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DB031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99AF82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严格执行相关政策，保障工资及时、足额发放或社保及时、足额缴纳，预算编制科学合理，减少结余资金。</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95526E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严格执行相关政策，保障工资及时、足额发放或社保及时、足额缴纳，预算编制科学合理，减少结余资金。</w:t>
            </w:r>
          </w:p>
        </w:tc>
      </w:tr>
      <w:tr w14:paraId="643E6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645DA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A8DD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89C843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严格执行相关政策，保障工资及时、足额发放或社保及时、足额缴纳，预算编制科学合理，减少结余资金。</w:t>
            </w:r>
          </w:p>
        </w:tc>
      </w:tr>
      <w:tr w14:paraId="431BA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D88BB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48B6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13C2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2189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D8DEA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03E9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A5E1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DBF8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0AC5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7E1A61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AAF80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5396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E997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24.01</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DC3A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23.68</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BC770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23.68</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412E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2462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72E9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45A70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D3BC0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4105E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5DB5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FEAD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24.01</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892D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23.68</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D81AA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23.68</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C35A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6BFB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2C11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169B5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EDFA9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93C7A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4D9C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0A63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6758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060DB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D947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B2DA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8718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D7AC8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C6F9F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C1A2C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F95A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2DD7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07A6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E3739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2AA0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2BAC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BCC2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075C0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35B5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BAA67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7DAB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DB86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0A7A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03C63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57C7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EA58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BF83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492A9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A4CEE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1D5CB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7697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2D01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2F01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4B8C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5927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0042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0633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9143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E694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88C2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7AA4B3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DCC20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FB3E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5E1A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B177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发放（缴纳）覆盖率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3D70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7F3F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0711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7AE4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9FD0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E410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B84C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D3548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12F3B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2903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120D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305F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足额保障率（参保率）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AE09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C1C8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06BB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1378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369E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63BF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1736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8070C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3EFD07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41C9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65E6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E2C5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E905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B407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54520B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1AA19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4C07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335183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7CCFC1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2B9C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6DB54D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5213AB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5D6F04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1748FF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53534CD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br w:type="page"/>
      </w: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6"/>
        <w:gridCol w:w="976"/>
        <w:gridCol w:w="1482"/>
        <w:gridCol w:w="1536"/>
        <w:gridCol w:w="967"/>
        <w:gridCol w:w="1225"/>
        <w:gridCol w:w="984"/>
        <w:gridCol w:w="1396"/>
        <w:gridCol w:w="1053"/>
        <w:gridCol w:w="1225"/>
        <w:gridCol w:w="1056"/>
      </w:tblGrid>
      <w:tr w14:paraId="6A1414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0A8AF23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7C6A359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22AC900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7B4CAAC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60B3761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1A6A999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5947A18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7D71398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710C7FB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010BFE2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6932645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18CC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64D7097">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2366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BA6EF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AA631A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51320024R000010654621－退休人员经费</w:t>
            </w:r>
          </w:p>
        </w:tc>
      </w:tr>
      <w:tr w14:paraId="25F3D8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EAA77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2AD899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2653305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595ED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州食药检研中心</w:t>
            </w:r>
          </w:p>
        </w:tc>
      </w:tr>
      <w:tr w14:paraId="03173E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B22CF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B7530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1AF447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F273AA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43D75F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80D7B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88E82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7F5446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严格执行相关政策，保障工资及时、足额发放或社保及时、足额缴纳，预算编制科学合理，减少结余资金。</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7E98E0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严格执行相关政策，保障工资及时、足额发放或社保及时、足额缴纳，预算编制科学合理，减少结余资金。</w:t>
            </w:r>
          </w:p>
        </w:tc>
      </w:tr>
      <w:tr w14:paraId="036E4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30DAA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2452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1872AE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严格执行相关政策，保障工资及时、足额发放或社保及时、足额缴纳，预算编制科学合理，减少结余资金。</w:t>
            </w:r>
          </w:p>
        </w:tc>
      </w:tr>
      <w:tr w14:paraId="0C0A8A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6C3A0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0E57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78EF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6159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29034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5786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965E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8223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B862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5C5157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1D91B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5BE6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4EF9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49.89</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BC67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49.56</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7B121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49.56</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6B1C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165D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DAE3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69ADC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D7AA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86804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352F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BBA0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49.89</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F7E2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49.56</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2768A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49.56</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9767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A90B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23EA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02062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FC2F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727F4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8FC9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38F8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26DF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10A44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7AD0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957B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02CF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68508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2CAF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4D68D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A15A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ED2C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4BB0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36DCE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D32A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CF3C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67BD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CA99F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CC9CA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E48CC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A457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4DA9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64C9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923AA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260A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FFD0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2F6A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4070E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488A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3FD6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9374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6241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41CA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704F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9F42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CA82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68C8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8558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CDCB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48CB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028D5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3F99C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51BA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24A5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177D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发放（缴纳）覆盖率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C625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11D1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DE67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9407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5EC2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6B62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BF3A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CBFAD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164CF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5D3A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4EA2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EA0B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足额保障率（参保率）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CA3F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344B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D359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23DE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39B1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5523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FB68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4800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1DC12F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572F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F175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4F16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B46A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7CEA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C30D47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37C11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5455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D0FF85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6E6D9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475F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9482CB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2601C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633072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FC3C90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3A42DFD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br w:type="page"/>
      </w: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6"/>
        <w:gridCol w:w="976"/>
        <w:gridCol w:w="1482"/>
        <w:gridCol w:w="1536"/>
        <w:gridCol w:w="967"/>
        <w:gridCol w:w="1225"/>
        <w:gridCol w:w="984"/>
        <w:gridCol w:w="1396"/>
        <w:gridCol w:w="1053"/>
        <w:gridCol w:w="1225"/>
        <w:gridCol w:w="1056"/>
      </w:tblGrid>
      <w:tr w14:paraId="740CA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514C233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72561AF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6A4C7FA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3572C0D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581EAFF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2749EC4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030A981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3086058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59DD1DE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6A7AECB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4AC8EAE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90B8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C90D47D">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D9219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14FFC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040278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51320024T000012009726－阿坝州道地药材羌活ISO国际标准关键技术研究</w:t>
            </w:r>
          </w:p>
        </w:tc>
      </w:tr>
      <w:tr w14:paraId="511625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70AC6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8FFFB3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322401C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AA09D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州食药检研中心</w:t>
            </w:r>
          </w:p>
        </w:tc>
      </w:tr>
      <w:tr w14:paraId="2FFDB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DDFFF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6633B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DED3A4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FF5136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180E0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BBE3C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5E020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ECB9B8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以羌活为例，通过对羌活野生药材和栽培药材开展系统的品质评价研究，启动阿坝州道地药材国际标准研究，完善阿坝州道地药材标准体系，通过标准化引领阿坝州道地中药材高质量发展。同时开展实验室比对研究，进行实验室检验检测能力验证，提高在建的“厅州共建藏羌药质量控制与品质评价四川省重点实验室”和阿坝州食品药品检验研究中心的检验检测能力和社会服务能力，加强阿坝州藏羌药材科研平台能力建设。</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8B49A4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以羌活为例，通过对羌活野生药材和栽培药材开展系统的品质评价研究，启动阿坝州道地药材国际标准研究，完善阿坝州道地药材标准体系，通过标准化引领阿坝州道地中药材高质量发展。同时开展实验室比对研究，进行实验室检验检测能力验证，提高在建的“厅州共建藏羌药质量控制与品质评价四川省重点实验室”和阿坝州食品药品检验研究中心的检验检测能力和社会服务能力，加强阿坝州藏羌药材科研平台能力建设。</w:t>
            </w:r>
          </w:p>
        </w:tc>
      </w:tr>
      <w:tr w14:paraId="677604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9C01F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F1C6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90DF6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以羌活为例，通过对羌活野生药材和栽培药材开展系统的品质评价研究，启动阿坝州道地药材国际标准研究，完善阿坝州道地药材标准体系，通过标准化引领阿坝州道地中药材高质量发展。同时开展实验室比对研究，进行实验室检验检测能力验证，提高在建的“厅州共建藏羌药质量控制与品质评价四川省重点实验室”和阿坝州食品药品检验研究中心的检验检测能力和社会服务能力，加强阿坝州藏羌药材科研平台能力建设。</w:t>
            </w:r>
          </w:p>
        </w:tc>
      </w:tr>
      <w:tr w14:paraId="268A7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0C52B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6988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1D74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B45E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C89FE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1855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F2C1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874F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94C5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60076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660F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3F58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3581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CD2B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5.86</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B8F95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5.86</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9C3C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C81B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6C98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3E169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22C9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85CCD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9DA9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44FC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964F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5.86</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3FBAB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5.86</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71D9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A11E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19C4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42CD8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A0350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AEE33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DA29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2D25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339C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1770E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07C5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DB55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5E1A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5BED3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B8FB7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D4CA2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D4A3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AE53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027D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555ED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34C8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6680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C88A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13A0F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177B4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D2A9B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DA9C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F8D4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AA99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DB146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C652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E92C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6F2B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A414D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645A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E5B91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B664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E852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7CF2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BC79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8C15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0313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380B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CFF7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7F91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F651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3D6AD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34CD0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C406A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901CA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E480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发表论文数量</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96AC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859F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A28C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篇</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BF2A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0BD4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C368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B3D5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D16C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514B5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269B7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36FAB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AA67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申报ISO国际标准项</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F7B9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5F3D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6CF1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317B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9CA0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69E5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DC7A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744B6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E91CE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64E19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028C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0BD4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科研项目验收合格率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EB25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D7AE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33A7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5E58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7B2F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8E8C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EAAD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452E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46AF7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60A20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1EDB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时效指标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A986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项目完成时间</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2CDF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02D9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2026年4月30日前</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F7DF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B131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2026年4月30日前</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5214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310F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6583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7B32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03703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E9F3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15BD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1CD6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培养人才数量</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05B1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B1E7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E25C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人数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A5B4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9148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8A99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416F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B061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48735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F6D4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满意度指标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A3D6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服务对象满意度指标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4EB4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科研合作单位满意度</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95CF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AAAB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C28B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67B0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F53F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6BD7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EA62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C5C35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C6B8D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3B5E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成本指标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A27E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经济成本指标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33C4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项目成本</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0825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1909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D3F1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万元</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A065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E0AD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95A4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7EAE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EAEB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20C0AF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A0BF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F9AF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4798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2D6DC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919C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35F392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4F915D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7395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C98751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02E9F3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5312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56A149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49EC54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87042A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8EB38D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r w14:paraId="48217B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784FEC3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5E0F63A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231A47C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0BD50D9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49982A4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3318818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68F22E6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14A252E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45449F5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24ACE9D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4C9D07C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D33C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C4C8237">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49BA1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26C12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F7F675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51320025R000012338995－追加人员工资性支出</w:t>
            </w:r>
          </w:p>
        </w:tc>
      </w:tr>
      <w:tr w14:paraId="620BA2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83425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23DD74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6137383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7E0DD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州食药检研中心</w:t>
            </w:r>
          </w:p>
        </w:tc>
      </w:tr>
      <w:tr w14:paraId="01E98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B507E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B5468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08F181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56DB2C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657613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3A240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12C4F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9FE7F5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严格执行相关政策，保障工资及时、足额发放或社保及时、足额缴纳，预算编制科学合理，减少结余资金</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2B28D9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严格执行相关政策，保障工资及时、足额发放或社保及时、足额缴纳，预算编制科学合理，减少结余资金</w:t>
            </w:r>
          </w:p>
        </w:tc>
      </w:tr>
      <w:tr w14:paraId="4FFE10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E9608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E4A7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ED4784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严格执行相关政策，保障工资及时、足额发放或社保及时、足额缴纳，预算编制科学合理，减少结余资金</w:t>
            </w:r>
          </w:p>
        </w:tc>
      </w:tr>
      <w:tr w14:paraId="78D3B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94D0E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8B69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0ECC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3934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838B2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4F84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26D3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B9FD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4935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7D8BF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5F47E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B2BB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EB52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764D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64.27</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6F4E3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64.27</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385D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455C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0991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2CA18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B3E72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235C1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A09C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B9E4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263A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64.27</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B7717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64.27</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881C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02CB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1D52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03395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C581B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00BD1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151E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4128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8DF8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97C19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8A0F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CE38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866A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5DD8E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C86C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7306B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89A3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EFAA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E779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D1EE6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7092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F5A3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8AF3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313F7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3798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F6E52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2C88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4616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AC52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070DD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45CF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2B2C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7332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5655F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A0FF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66516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7132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D23F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AFAF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B451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5862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FA1C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B761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3B63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E4D9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8251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1E0B83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9002A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049B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4D38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448D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发放（缴纳）覆盖率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5EAD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8EDD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B5F4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1612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6F53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6B03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34B3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ED304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9DC86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4773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0F0F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0C61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足额保障率（参保率）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23B4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0977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4D1A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8A3B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5D16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1D5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7748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05B9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02C201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799F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CDDB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CF26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B3BD4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06EA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A7FB06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32564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917C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D6869F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2A8EBE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E029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B95E80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30222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10BBE2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5A2DE7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4EBEB02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br w:type="page"/>
      </w: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6"/>
        <w:gridCol w:w="976"/>
        <w:gridCol w:w="1482"/>
        <w:gridCol w:w="1536"/>
        <w:gridCol w:w="967"/>
        <w:gridCol w:w="1225"/>
        <w:gridCol w:w="984"/>
        <w:gridCol w:w="1396"/>
        <w:gridCol w:w="1053"/>
        <w:gridCol w:w="1225"/>
        <w:gridCol w:w="1056"/>
      </w:tblGrid>
      <w:tr w14:paraId="71D64D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24BA7D3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2F4F38C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3F29714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31397F5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06566B8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2E9C211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69CF460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052250A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02FEF63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1BE8D51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4BF2898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E82C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8A108BE">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DD5F0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38B51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A5B517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51320025R000012408768－年度考核奖（30%）</w:t>
            </w:r>
          </w:p>
        </w:tc>
      </w:tr>
      <w:tr w14:paraId="34AE8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45DFB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14E0C8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161F385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7AA45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州食药检研中心</w:t>
            </w:r>
          </w:p>
        </w:tc>
      </w:tr>
      <w:tr w14:paraId="4311C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EED27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BE42B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0907A7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59C4DD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7032BF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EC228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0A0D9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9566C8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严格执行相关政策，保障工资及时、足额发放或社保及时、足额缴纳，预算编制科学合理，减少结余资金</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0C1E18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严格执行相关政策，保障工资及时、足额发放或社保及时、足额缴纳，预算编制科学合理，减少结余资金</w:t>
            </w:r>
          </w:p>
        </w:tc>
      </w:tr>
      <w:tr w14:paraId="25CC8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47200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9608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A3FE59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严格执行相关政策，保障工资及时、足额发放或社保及时、足额缴纳，预算编制科学合理，减少结余资金</w:t>
            </w:r>
          </w:p>
        </w:tc>
      </w:tr>
      <w:tr w14:paraId="650036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BFB15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9167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ABCA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825A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71A2C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5BE6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889B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EE0E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9F62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75A4A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9191E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90E6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66E7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6330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54.80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ECD9C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54.80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8304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7684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104F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6F1DE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77CDB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4CEBC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EC93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9922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62F9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54.80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722EC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54.80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1B5D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C1FB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6348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437E8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37D0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E6614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4EC9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C747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017A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5BBD0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8D72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04F7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5B09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22CCA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BE32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EFE8E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C6A0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FC9F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7A04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95263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5AD2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2203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8761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7DF6D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6FEDF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34AC5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42E1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A50A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C47F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15E48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1C21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78D3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46A1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9A08C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2A94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D6008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44AA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02F9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FE6D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009A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690F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8F55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39BC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C5CC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157F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F4F9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2A163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07330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DF97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FDEF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28EE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发放（缴纳）覆盖率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BC75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C4FF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63F8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3179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E3D1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F7D8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4AC8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C12F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A8EA7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00F8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FDD2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20C7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足额保障率（参保率）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F924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89F0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CF1A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FEE0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A5ED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CBE4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5A29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6EC62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0DE5B9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0368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F327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1666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4AFB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C8F5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17C710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37A2B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BF50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99A3B4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7E92A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51D0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CC0DDA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53ADF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A54892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7A4FF3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21B63B6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br w:type="page"/>
      </w: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6"/>
        <w:gridCol w:w="976"/>
        <w:gridCol w:w="1482"/>
        <w:gridCol w:w="1536"/>
        <w:gridCol w:w="967"/>
        <w:gridCol w:w="1225"/>
        <w:gridCol w:w="984"/>
        <w:gridCol w:w="1396"/>
        <w:gridCol w:w="1053"/>
        <w:gridCol w:w="1225"/>
        <w:gridCol w:w="1056"/>
      </w:tblGrid>
      <w:tr w14:paraId="5AA13B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57E00CF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711C670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6DA77B8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32E1ED0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4D37498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3C401FA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2BBAD84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1F0963A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6D8BECD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7F7981D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003F74B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F5812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1DB6527">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7527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EFB34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90973F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51320025T000012117357-2024年省级药品监督抽检专项</w:t>
            </w:r>
          </w:p>
        </w:tc>
      </w:tr>
      <w:tr w14:paraId="52193B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863B8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352012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235B8F2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B36F0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州食药检研中心</w:t>
            </w:r>
          </w:p>
        </w:tc>
      </w:tr>
      <w:tr w14:paraId="3C33C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B0084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1BB1D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5DB27C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15A6F3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247406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1BCC0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6189B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9CE4D9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完成省级药品抽检任务，提高药品抽检质量，强化药品技术支撑，做好省级药品要求品种的地方抽检和日常监督抽检。省级药品监督抽检179批次，代抽样25批次。</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548F5D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完成省级药品抽检任务，提高药品抽检质量，强化药品技术支撑，做好省级药品要求品种的地方抽检和日常监督抽检。省级药品监督抽检179批次，代抽样25批次。</w:t>
            </w:r>
          </w:p>
        </w:tc>
      </w:tr>
      <w:tr w14:paraId="54076B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0CF17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A4D9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32E71C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完成省级药品抽检任务，提高药品抽检质量，强化药品技术支撑，做好省级药品要求品种的地方抽检和日常监督抽检。省级药品监督抽检179批次，代抽样25批次。</w:t>
            </w:r>
          </w:p>
        </w:tc>
      </w:tr>
      <w:tr w14:paraId="1BD92D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C8F26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4731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6312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138A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79EEC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D930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A99A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8589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E44C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38968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BD0BE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2560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E648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3855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2.64</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407A3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2.64</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7A3A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98BC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58C6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3AB64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53B20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BF832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87EA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70A2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73BA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2.64</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3B6CD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2.64</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9CA8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DAF0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8210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2F89E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5B73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B3E27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F4A0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9D04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FE3E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FD53F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BAE2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E905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83DB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DB277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F2B1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A03C3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F2BD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987D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763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F2D7B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BD6F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8D4C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3D4B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C78B8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D6C3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DE7FE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85F0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DF2A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F811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DB654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64D8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89CB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6D06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FBFE7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90577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80747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FBAD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BE14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7356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7A65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0A8D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B65F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92C4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1A9F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58DD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145F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053130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45ED3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DB092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0464F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190F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省级药品监督检验批次</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146A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16FF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179</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335C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批次</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3878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179</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8476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B0CE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86CC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5936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29188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A179A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7D005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D44E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省级药品监督购样批次</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5AF5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1284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204</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ABE4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批次</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DABD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204</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E004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747F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D2C1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548AA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084B5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52618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6CFF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时效指标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4806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完成省抽任务及时率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2CCF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F379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C0F4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E363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52F8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40B7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4912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1146A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2D2E4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9E00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EF1E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F725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年度检验报告书差错率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61FE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490C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366A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C029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9DDB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DD10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1B86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3CD28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73212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63CA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成本指标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A87B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社会成本指标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C23C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抽查检验成本（元/批次）</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E0C8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0395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2800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D1B5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元/个</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FA70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2800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D875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38EB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5F63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B6E83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663CB6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3C5C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C178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C6B3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9A10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EB4C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5ECE1F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1504CD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D4CE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A01F5F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5866C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A122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BC491E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292A9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C17BB8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96FC28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51515CF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br w:type="page"/>
      </w: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6"/>
        <w:gridCol w:w="976"/>
        <w:gridCol w:w="1482"/>
        <w:gridCol w:w="1536"/>
        <w:gridCol w:w="967"/>
        <w:gridCol w:w="1225"/>
        <w:gridCol w:w="984"/>
        <w:gridCol w:w="1396"/>
        <w:gridCol w:w="1053"/>
        <w:gridCol w:w="1225"/>
        <w:gridCol w:w="1056"/>
      </w:tblGrid>
      <w:tr w14:paraId="44E6C2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0C3AC45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3B12E19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2EA3630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729E520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3C61D2D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0F11459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56215A2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42397E0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4919E56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3637F6D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0DB442A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11CB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38CBEF9">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8FE4B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BD656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495109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51320025T000012117475-2024年省级药品标准提升研究项目</w:t>
            </w:r>
          </w:p>
        </w:tc>
      </w:tr>
      <w:tr w14:paraId="3637C6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0AB61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279A97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16DDDBA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C3C6E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州食药检研中心</w:t>
            </w:r>
          </w:p>
        </w:tc>
      </w:tr>
      <w:tr w14:paraId="018360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DD1AB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0194E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BAEF1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1CBA37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33D67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23638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1EFC5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7AA2F4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落实《四川省贯彻中医药发展战略规划纲要（2016—2030年）实施方案》和《四川省“十四五”药品安全及高质量发展规划》等相关要求，开展药品标准提升研究项目，持续提高药品标准制定的科学性和规范性。完成藏药饮片标准起草项目样品收集20个。</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376A29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落实《四川省贯彻中医药发展战略规划纲要（2016—2030年）实施方案》和《四川省“十四五”药品安全及高质量发展规划》等相关要求，开展药品标准提升研究项目，持续提高药品标准制定的科学性和规范性。完成藏药饮片标准起草项目样品收集20个。</w:t>
            </w:r>
          </w:p>
        </w:tc>
      </w:tr>
      <w:tr w14:paraId="4653ED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D8862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8530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948A14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落实《四川省贯彻中医药发展战略规划纲要（2016—2030年）实施方案》和《四川省“十四五”药品安全及高质量发展规划》等相关要求，开展药品标准提升研究项目，持续提高药品标准制定的科学性和规范性。完成藏药饮片标准起草项目样品收集20个。</w:t>
            </w:r>
          </w:p>
        </w:tc>
      </w:tr>
      <w:tr w14:paraId="77FFB3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7AD44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9346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9A0C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2A9B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8B469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F984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ACF8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284C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23D6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6E266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3B20C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A9EF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444E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575E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6.53</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0C449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6.53</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1EB7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23C4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D3D4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37C5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BBE99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862AD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F537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98BD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17C5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6.53</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64139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6.53</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80FE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49E9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7C42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7BAAA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86C03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91C51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E8C0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F916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37EA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FB6E8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CFDC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B698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EC2C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2C82A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1E963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8CE45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0EC5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12F2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2833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E6A43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70E4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672D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7794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14B00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DD328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2BC45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20F5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49F1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83F9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9EBEA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306B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CE17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D0A9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68FFA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3499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5B78C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508F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1548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E466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CDEB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E385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EC33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5B35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C4EB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D87B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B8CA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66E4F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54EED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9342F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26FC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D64B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四川省藏药饮片标准起草项目样品收集（个）</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91BA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2C88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07F5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个</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C540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E9B9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37D1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6B4A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076F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1AC5B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20B18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0C07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时效指标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AB5A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任务完成时间</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6E30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B05F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2025年12月底前</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8C48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0F75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2025年12月底前</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80CB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CDAE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F12A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1876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CA8C9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A488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04D3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可持续影响指标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7322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中药民族药标准影响年限</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35F3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6214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3D5E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107D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D371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546A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C3B5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D83E6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C2943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5232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成本指标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005D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社会成本指标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1199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培训成本（元/人/天）</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03EF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301B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FBC5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元/人</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BE17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C5B3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AE26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D9FE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6C744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C63B90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1A01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4923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5011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B73C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7645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57E573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74948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F776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1C7AE0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61C96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9DFD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131826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0DE58B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7F640D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992C9A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2D1A18C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br w:type="page"/>
      </w: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6"/>
        <w:gridCol w:w="976"/>
        <w:gridCol w:w="1482"/>
        <w:gridCol w:w="1536"/>
        <w:gridCol w:w="967"/>
        <w:gridCol w:w="1225"/>
        <w:gridCol w:w="984"/>
        <w:gridCol w:w="1396"/>
        <w:gridCol w:w="1053"/>
        <w:gridCol w:w="1225"/>
        <w:gridCol w:w="1056"/>
      </w:tblGrid>
      <w:tr w14:paraId="1DFC5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016D6FB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31C61FB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5127BA5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367E07B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04594D2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4946BF8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62663C4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2DCCBED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6D98A83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4DABCED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73C6B02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972A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095029E">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B02B6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07F4A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F094FA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51320025T000012226460-2024年中央“三区”科技人才支持计划</w:t>
            </w:r>
          </w:p>
        </w:tc>
      </w:tr>
      <w:tr w14:paraId="7D58B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335D7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45F826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07CF1E2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827FA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州食药检研中心</w:t>
            </w:r>
          </w:p>
        </w:tc>
      </w:tr>
      <w:tr w14:paraId="60717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9779C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CC67B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793702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B9C999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6F482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8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67CA1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4393E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63B4D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为深入推进科技特派员制度，充分发挥科技人员在“三区”经济社会发展中的积极作用，根据中共中央办公厅、国务院办公厅印发的《关于加快推进乡村人才振兴的意见》，按照《边远贫困地区、边疆民族地区和革命老区人才支持计划科技人员专项计划实施方案》及《财政部关于下达2024年“三区”科技人才支持计划预算的通知》等文件要求，中央财政经费按照每人每年2万元标准给予补助，主要用于选派科技人员到受援地的工作补助、交通差旅费用、保险和培训费用等。</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69DD68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为深入推进科技特派员制度，充分发挥科技人员在“三区”经济社会发展中的积极作用，根据中共中央办公厅、国务院办公厅印发的《关于加快推进乡村人才振兴的意见》，按照《边远贫困地区、边疆民族地区和革命老区人才支持计划科技人员专项计划实施方案》及《财政部关于下达2024年“三区”科技人才支持计划预算的通知》等文件要求，中央财政经费按照每人每年2万元标准给予补助，主要用于选派科技人员到受援地的工作补助、交通差旅费用、保险和培训费用等。</w:t>
            </w:r>
          </w:p>
        </w:tc>
      </w:tr>
      <w:tr w14:paraId="23F99A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C5D1F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809B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76A5BE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为深入推进科技特派员制度，充分发挥科技人员在“三区”经济社会发展中的积极作用，根据中共中央办公厅、国务院办公厅印发的《关于加快推进乡村人才振兴的意见》，按照《边远贫困地区、边疆民族地区和革命老区人才支持计划科技人员专项计划实施方案》及《财政部关于下达2024年“三区”科技人才支持计划预算的通知》等文件要求，中央财政经费按照每人每年2万元标准给予补助，主要用于选派科技人员到受援地的工作补助、交通差旅费用、保险和培训费用等。</w:t>
            </w:r>
          </w:p>
        </w:tc>
      </w:tr>
      <w:tr w14:paraId="64A7B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0F6A8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F357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FE9E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94F8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D6E0D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4D5D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8506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8592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FF20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69F91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99F33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734A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D590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FA89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0.80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92CB6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0.80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AEE6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DC05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E9AF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29AF6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0AB1D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32835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32C7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9B7E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B700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0.80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38A4B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0.80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368B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DD1D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6F87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FDF70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B91C4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BFA5E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8B83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8F39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CAF3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FBF20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CA6A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E605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CC48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55FF5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3B558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AD204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95FF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741D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445B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8A59E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48A9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3043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B4DC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C6073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8FE50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9EF81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67EF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2FE9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F899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29B14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3190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B032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7A9A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EFFDB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50716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499F0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0829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C7CA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C06D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8F10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1678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FDCD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31E2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515E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CF60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F37A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57F71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14FF8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BEDB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8C52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9CB7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选派科技人员</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6B28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BE6F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FB04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个</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F6EC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D181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3813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30DA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1C17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5566A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9F44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FCA5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505B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培养科技人才或科技团队</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FED4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D241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80E9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个</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C893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82CC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C86E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5EB9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0201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7E69F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03F1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满意度指标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B3EE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服务对象满意度指标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9A67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服务对象满意度</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DBA5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D7B7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28F9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41B5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78E7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92E5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1071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30000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24527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D745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成本指标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1FA8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社会成本指标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5941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项目预算控制数</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6BE0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9801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20000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63FD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元</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9E49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62A0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4BE3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8D71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D2DF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890958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FB2E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38C8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EC7A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A2E5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4629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979731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7277FA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F78B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873D8C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2825DC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B4D1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C2D0BE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6AAD18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87965A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338D2C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632C12F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br w:type="page"/>
      </w: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6"/>
        <w:gridCol w:w="976"/>
        <w:gridCol w:w="1482"/>
        <w:gridCol w:w="1536"/>
        <w:gridCol w:w="967"/>
        <w:gridCol w:w="1225"/>
        <w:gridCol w:w="984"/>
        <w:gridCol w:w="1396"/>
        <w:gridCol w:w="1053"/>
        <w:gridCol w:w="1225"/>
        <w:gridCol w:w="1056"/>
      </w:tblGrid>
      <w:tr w14:paraId="57646F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4F31FB2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1B80FED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298E024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1B5D802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2353E7A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32B9E58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02857E5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13CDDC7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6882142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3284545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1F3C384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0AA70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EC2B53C">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5150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B1B30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6F9C67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51320025T000012455981－职工健身场地维护改造</w:t>
            </w:r>
          </w:p>
        </w:tc>
      </w:tr>
      <w:tr w14:paraId="192D5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5DA53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C3A5EB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31C0A31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BD77B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州食药检研中心</w:t>
            </w:r>
          </w:p>
        </w:tc>
      </w:tr>
      <w:tr w14:paraId="199E5E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C7DD1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388BB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D76719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3C58DF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6E33D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5E9DE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6D80A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EE8940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单位职工健身场地年久失修，已翻皮破败，严重影响环境面貌，需重新铺硅PU塑胶，总共410㎡，概算7万元。</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4042B3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单位职工健身场地年久失修，已翻皮破败，严重影响环境面貌，需重新铺硅PU塑胶，总共410㎡，概算7万元。</w:t>
            </w:r>
          </w:p>
        </w:tc>
      </w:tr>
      <w:tr w14:paraId="10354B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CC9A7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1640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E66CD7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单位职工健身场地年久失修，已翻皮破败，严重影响环境面貌，需重新铺硅PU塑胶，总共410㎡，概算7万元。</w:t>
            </w:r>
          </w:p>
        </w:tc>
      </w:tr>
      <w:tr w14:paraId="566A8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84738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C1FF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FCD5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9033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A820D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6143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A10F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3047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7A7E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5826F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90F0E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DF69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2BC1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7.00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D353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6.80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EE5D1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6.80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C4D6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2879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6D1C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1388F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88A9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79038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8610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1EA0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7.00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CDE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6.80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39B56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6.80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77C1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828F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F1CA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0C01C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F8BB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E24AC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660F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8887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FAB6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D3CDF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1F56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D3C1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063A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9F4A4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4E6A3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4961D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EA58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8057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4BEA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DD11A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DC0B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8A53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B5C9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85F0B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5FA8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A552F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9BEC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277E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91B4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3D895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F3C5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34C9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937A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0D98E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7E7C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64245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F2B0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B7DE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C31B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6EB2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221F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BF54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514A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E0C7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7E65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9292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50D040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0CFC5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1E840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7C1E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41A4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维护改造面积</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9E3D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846A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410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F020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平方米</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9D88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410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B855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1A33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C695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F8F6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0923E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3C32D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C619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0BAA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项目维护改造验收合格率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82FB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D6C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9233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D8F0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8490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B79E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EA26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F5864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08B89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6B625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0DD0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时效指标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53BE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项目完成时间</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B118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9AE5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按时完成</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C246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1270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按时完成</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F426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2523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1942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EBFE9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234D7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05046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1CE2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82C3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职工日均健身人次提升率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0FC8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4520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9FC1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966C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C0DD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E3F3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B0E4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3613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97C55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1F1CA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4369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可持续影响指标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6F71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项目可持续发挥作用期限</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6E5C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2A21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32B7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756B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2DBA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F138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6E03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8828C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05CF6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5907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满意度指标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F58C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服务对象满意度指标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5EB1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职工满意度</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C0C7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F9E8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D2B8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E303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0BFC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8CC0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9867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522A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3E15D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0095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成本指标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92D7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经济成本指标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9829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项目维护改造成本金额</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1291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54EF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7</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38A8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万元</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32D7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7</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01FD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958C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E9E8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5D6A8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3FBD71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00E5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9EC7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393A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4197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51AE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024E35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49D113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76F7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452C4F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6CE29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79E2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A50430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3254C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5DB7EF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9A3A79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106E0FF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br w:type="page"/>
      </w: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6"/>
        <w:gridCol w:w="976"/>
        <w:gridCol w:w="1482"/>
        <w:gridCol w:w="1536"/>
        <w:gridCol w:w="967"/>
        <w:gridCol w:w="1225"/>
        <w:gridCol w:w="984"/>
        <w:gridCol w:w="1396"/>
        <w:gridCol w:w="1053"/>
        <w:gridCol w:w="1225"/>
        <w:gridCol w:w="1056"/>
      </w:tblGrid>
      <w:tr w14:paraId="05048E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1BEE97B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4EEFCC0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55FC740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7ED0098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500336B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271A50F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1A209EB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6B34FF3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43DD4A4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754DC38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2E2475F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BFCE6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BE54A99">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DC933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F75C1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B13FF8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51320025T000013656948－代收代付单位食堂餐费</w:t>
            </w:r>
          </w:p>
        </w:tc>
      </w:tr>
      <w:tr w14:paraId="40C78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10B8D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0699F3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08E0F4C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28636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州食药检研中心</w:t>
            </w:r>
          </w:p>
        </w:tc>
      </w:tr>
      <w:tr w14:paraId="7D4C7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0DA76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25768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4ECE0A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B51209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59FF28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A7DF8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15AD0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1E0C43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代收代付单位食堂餐费，每月按时收取就餐人员餐费及时上缴财政代管，从一体化中代付单位食堂餐费。</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5D83B9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代收代付单位食堂餐费，每月按时收取就餐人员餐费及时上缴财政代管，从一体化中代付单位食堂餐费。</w:t>
            </w:r>
          </w:p>
        </w:tc>
      </w:tr>
      <w:tr w14:paraId="4895B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7A1FE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ACE4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730F9B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代收代付单位食堂餐费，每月按时收取就餐人员餐费及时上缴财政代管，从一体化中代付单位食堂餐费。</w:t>
            </w:r>
          </w:p>
        </w:tc>
      </w:tr>
      <w:tr w14:paraId="714D6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45F80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7CF1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20D4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ECFA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F9C37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5A91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FDAD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E275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210E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30A8FA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DDDC5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F68C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69BA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FB24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2.93</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EBF67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2.93</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29FF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34DB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F608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C24B8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E4EE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CC413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8E34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90A5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C738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FD6EF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7CC0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6A78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29F2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9EA85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F435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3AF09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0F63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0CA0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AC7B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BEA70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9E59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7DD9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F660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845D0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14994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4E778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3742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DCF3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731F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2.93</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E9ABA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2.93</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AB30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56CF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A6C7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C30F0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8E93E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222A2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6AA5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66B1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A95B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CB821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B481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A21E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7DC9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0B6DA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391D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3280D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9611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2B1E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3C47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3D22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4FED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E8E4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B8C8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81AB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3504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1935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5E58D2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074C2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E0E02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C6DE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C3F8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科目调整次数</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6E60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5F63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1ADA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次</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1A2A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BC09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761B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9E37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3741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B5434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0F21E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E607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25F4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预算编制准确率（计算方法为：∣（执行数－预算数）/预算数∣）</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92B5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BD2C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DE52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9B21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284C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033E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C1C5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F40FA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01602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52233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9B90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经济效益指标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5854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“三公经费”控制率[计算方法为：（“三公”经费实际支出数/预算安排数]×100%）</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ECF5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6223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4001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1DD8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9EBE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9C02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6DEC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E9955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E9646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71F1F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8F2F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50AC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运转保障率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5B25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9C4B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6970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9AEB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3ED9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962F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53B0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C3D4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4C616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32C0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0938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77DF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872B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E19A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1B32E6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3F6B62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443C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A64CCF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4C3DF2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083E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C9DDBB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4B2E1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797E90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B0FB0E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714C292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br w:type="page"/>
      </w: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6"/>
        <w:gridCol w:w="976"/>
        <w:gridCol w:w="1482"/>
        <w:gridCol w:w="1536"/>
        <w:gridCol w:w="967"/>
        <w:gridCol w:w="1225"/>
        <w:gridCol w:w="984"/>
        <w:gridCol w:w="1396"/>
        <w:gridCol w:w="1053"/>
        <w:gridCol w:w="1225"/>
        <w:gridCol w:w="1056"/>
      </w:tblGrid>
      <w:tr w14:paraId="77F6D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50F44F6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4554E75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4989161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22501C2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7AB19F8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7D76C9C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193B124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777E18C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6831B93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504B486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15EB8EE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6C8C0D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FBDF7AE">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FF38F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713C7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7851AB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51320025T000013986270-2025年省级药品安全抽查检验项目</w:t>
            </w:r>
          </w:p>
        </w:tc>
      </w:tr>
      <w:tr w14:paraId="673230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D0A7C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2D5CCD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7B6347F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C9875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州食药检研中心</w:t>
            </w:r>
          </w:p>
        </w:tc>
      </w:tr>
      <w:tr w14:paraId="259BF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D8B93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B3FBE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C69B65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0D8AFE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5F1157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C4A75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6570A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6B9AC0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完成省级药品抽检任务，提高药品抽检质量，强化药品技术支撑，做好省级药品要求品种的地方抽检和日常监督抽检。完成省级药品监督检验179批次。</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E23595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完成省级药品抽检任务，提高药品抽检质量，强化药品技术支撑，做好省级药品要求品种的地方抽检和日常监督抽检。完成省级药品监督检验179批次。</w:t>
            </w:r>
          </w:p>
        </w:tc>
      </w:tr>
      <w:tr w14:paraId="6C81F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A4104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BE8E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655B4D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完成省级药品抽检任务，提高药品抽检质量，强化药品技术支撑，做好省级药品要求品种的地方抽检和日常监督抽检。完成省级药品监督检验179批次。</w:t>
            </w:r>
          </w:p>
        </w:tc>
      </w:tr>
      <w:tr w14:paraId="1A4003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A5300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79EB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17A4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F66A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D2A61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704C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617B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A75E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5149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448BFE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DECD2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2732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0697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5AB3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26.35</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5DE72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26.35</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1BF8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682E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EB4A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7FE53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BC044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CC9F0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14A6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FC27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5807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26.35</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25864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26.35</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DABE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D220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DC92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E5DFB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C7D1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E1DDC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3BCF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3002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F725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611B0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840F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1506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FCAB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82600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C1B3F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FD11A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E620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222B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0DA0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9E771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A3A8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4F17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41EA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0F679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C7AC6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BD4E0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BBD2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8E49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1F59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C77D0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ED01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E943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B435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0DDFB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DF5B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3013A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EF01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886C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8C7A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C034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226F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79B5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1133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5334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5F54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35F6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22E921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B55CF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AB5A2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0503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78FA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省级药品检验（批次）</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E778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6C14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179</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7012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批次</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51E2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179</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6F59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350B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38D7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1A50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9B853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257AF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5B5D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时效指标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69EC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完成任务及时率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6B94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B7B5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C091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0576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29B4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E3FA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F839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82A03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D3B01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7955C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9B504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ECF8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不合格报告复查结果推翻率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62AC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E162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D817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C81E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2515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E023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B28F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31B3C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7E5D9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0DE1D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1CE0E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C6C1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随机抽查留样结果推翻率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7359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9CC4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4AF5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A750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B36C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DDFB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AA38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0732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26A38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0A585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成本指标</w:t>
            </w:r>
          </w:p>
        </w:tc>
        <w:tc>
          <w:tcPr>
            <w:tcW w:w="14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062AC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经济成本指标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3F1E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人均培训成本</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336C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25EA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6B2E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元/天</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4188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6D37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93B2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F67A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91FC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098BC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B2B3C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4A4F5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557B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检验成本（元/批次）</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445D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04D5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678A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元</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E8D5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AF7C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EC1B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4A4A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041D3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10AC15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ED43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ACE6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1D31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0BE7C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4B8E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D5FFE7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74E0C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4EDE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5C9976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421130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ED38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8DC08A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02B8C7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6EBC80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95C419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5807466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br w:type="page"/>
      </w:r>
    </w:p>
    <w:tbl>
      <w:tblPr>
        <w:tblStyle w:val="23"/>
        <w:tblW w:w="128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76"/>
        <w:gridCol w:w="976"/>
        <w:gridCol w:w="1482"/>
        <w:gridCol w:w="1536"/>
        <w:gridCol w:w="967"/>
        <w:gridCol w:w="1225"/>
        <w:gridCol w:w="984"/>
        <w:gridCol w:w="1396"/>
        <w:gridCol w:w="1053"/>
        <w:gridCol w:w="1225"/>
        <w:gridCol w:w="1056"/>
      </w:tblGrid>
      <w:tr w14:paraId="22E12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6" w:type="dxa"/>
            <w:tcBorders>
              <w:top w:val="nil"/>
              <w:left w:val="nil"/>
              <w:bottom w:val="nil"/>
              <w:right w:val="nil"/>
            </w:tcBorders>
            <w:shd w:val="clear" w:color="auto" w:fill="auto"/>
            <w:vAlign w:val="center"/>
          </w:tcPr>
          <w:p w14:paraId="72E498E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nil"/>
              <w:left w:val="nil"/>
              <w:bottom w:val="nil"/>
              <w:right w:val="nil"/>
            </w:tcBorders>
            <w:shd w:val="clear" w:color="auto" w:fill="auto"/>
            <w:vAlign w:val="center"/>
          </w:tcPr>
          <w:p w14:paraId="442D675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nil"/>
              <w:left w:val="nil"/>
              <w:bottom w:val="nil"/>
              <w:right w:val="nil"/>
            </w:tcBorders>
            <w:shd w:val="clear" w:color="auto" w:fill="auto"/>
            <w:vAlign w:val="center"/>
          </w:tcPr>
          <w:p w14:paraId="69980B2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nil"/>
              <w:left w:val="nil"/>
              <w:bottom w:val="nil"/>
              <w:right w:val="nil"/>
            </w:tcBorders>
            <w:shd w:val="clear" w:color="auto" w:fill="auto"/>
            <w:vAlign w:val="center"/>
          </w:tcPr>
          <w:p w14:paraId="34ECC1A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67" w:type="dxa"/>
            <w:tcBorders>
              <w:top w:val="nil"/>
              <w:left w:val="nil"/>
              <w:bottom w:val="nil"/>
              <w:right w:val="nil"/>
            </w:tcBorders>
            <w:shd w:val="clear" w:color="auto" w:fill="auto"/>
            <w:vAlign w:val="center"/>
          </w:tcPr>
          <w:p w14:paraId="68EB294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552E2C2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84" w:type="dxa"/>
            <w:tcBorders>
              <w:top w:val="nil"/>
              <w:left w:val="nil"/>
              <w:bottom w:val="nil"/>
              <w:right w:val="nil"/>
            </w:tcBorders>
            <w:shd w:val="clear" w:color="auto" w:fill="auto"/>
            <w:vAlign w:val="center"/>
          </w:tcPr>
          <w:p w14:paraId="674D5A3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nil"/>
              <w:left w:val="nil"/>
              <w:bottom w:val="nil"/>
              <w:right w:val="nil"/>
            </w:tcBorders>
            <w:shd w:val="clear" w:color="auto" w:fill="auto"/>
            <w:vAlign w:val="center"/>
          </w:tcPr>
          <w:p w14:paraId="711D7F0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nil"/>
              <w:left w:val="nil"/>
              <w:bottom w:val="nil"/>
              <w:right w:val="nil"/>
            </w:tcBorders>
            <w:shd w:val="clear" w:color="auto" w:fill="auto"/>
            <w:vAlign w:val="center"/>
          </w:tcPr>
          <w:p w14:paraId="0F429D9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225" w:type="dxa"/>
            <w:tcBorders>
              <w:top w:val="nil"/>
              <w:left w:val="nil"/>
              <w:bottom w:val="nil"/>
              <w:right w:val="nil"/>
            </w:tcBorders>
            <w:shd w:val="clear" w:color="auto" w:fill="auto"/>
            <w:vAlign w:val="center"/>
          </w:tcPr>
          <w:p w14:paraId="0FCF72B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6" w:type="dxa"/>
            <w:tcBorders>
              <w:top w:val="nil"/>
              <w:left w:val="nil"/>
              <w:bottom w:val="nil"/>
              <w:right w:val="nil"/>
            </w:tcBorders>
            <w:shd w:val="clear" w:color="auto" w:fill="auto"/>
            <w:vAlign w:val="center"/>
          </w:tcPr>
          <w:p w14:paraId="701797D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7490E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87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CA24BF8">
            <w:pPr>
              <w:keepNext w:val="0"/>
              <w:keepLines w:val="0"/>
              <w:widowControl/>
              <w:suppressLineNumbers w:val="0"/>
              <w:jc w:val="center"/>
              <w:textAlignment w:val="center"/>
              <w:rPr>
                <w:rFonts w:hint="eastAsia" w:ascii="宋体" w:hAnsi="宋体" w:eastAsia="宋体" w:cs="宋体"/>
                <w:color w:val="000000"/>
                <w:kern w:val="0"/>
                <w:sz w:val="24"/>
                <w:lang w:val="en-US" w:eastAsia="zh-CN"/>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23BA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04B0D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21445C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51320025Y000012974203－日常公用经费（其他运转类）</w:t>
            </w:r>
          </w:p>
        </w:tc>
      </w:tr>
      <w:tr w14:paraId="4CC0C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9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C0952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F0E7CD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396" w:type="dxa"/>
            <w:tcBorders>
              <w:top w:val="nil"/>
              <w:left w:val="nil"/>
              <w:bottom w:val="nil"/>
              <w:right w:val="nil"/>
            </w:tcBorders>
            <w:shd w:val="clear" w:color="auto" w:fill="auto"/>
            <w:vAlign w:val="center"/>
          </w:tcPr>
          <w:p w14:paraId="12029B4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实施单位（盖章）</w:t>
            </w:r>
          </w:p>
        </w:tc>
        <w:tc>
          <w:tcPr>
            <w:tcW w:w="33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1762D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州食药检研中心</w:t>
            </w:r>
          </w:p>
        </w:tc>
      </w:tr>
      <w:tr w14:paraId="5F4CB8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4EDC6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B3481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B74CAC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BF6DFE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380619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8458E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A298C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61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91492D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提高预算编制质量，严格执行预算，保障单位日常运转。</w:t>
            </w:r>
          </w:p>
        </w:tc>
        <w:tc>
          <w:tcPr>
            <w:tcW w:w="47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93FA7D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提高预算编制质量，严格执行预算，保障单位日常运转。</w:t>
            </w:r>
          </w:p>
        </w:tc>
      </w:tr>
      <w:tr w14:paraId="1F711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5C56F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588C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2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2BEB98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提高预算编制质量，严格执行预算，保障单位日常运转。</w:t>
            </w:r>
          </w:p>
        </w:tc>
      </w:tr>
      <w:tr w14:paraId="09901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28E24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67AC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642C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F031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DAE05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C9CF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854A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CAA6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917D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7FE26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39652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B8A3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F5CE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56.33</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CCC8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48.02</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CA541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48.02</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DD1E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7EC1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7DA4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6EC6A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2BE95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A48A4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5CE0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EE2C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56.33</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9CDE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48.02</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E94FE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48.02</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5CEB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6E73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8BA2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108BE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43A864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A30D7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B7CA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6799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2DDF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02850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7F1E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DFC0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77A3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1ADB6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0CBA2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B1961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0EC7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BC3C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97F8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F6087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82AF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1C58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9564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625B5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DF5A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DA04D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1F1D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ABCF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844E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317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A844F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4468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2400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004F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4E29D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CCD5D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52440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0175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6F4C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77DE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784A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F8E6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8835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2BFB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5C1F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B894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EB1C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7B0CC0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C9A51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D12D0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4B26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942F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科目调整次数</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3919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9CF5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AD5A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次</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418F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9977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6E0E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4E1D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3687D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54F8F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708C2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286D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9299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预算编制准确率（计算方法为：∣（执行数－预算数）/预算数∣）</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F334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37C4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7BDF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D21B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824ED">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6479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2957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7813A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7C86B2">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6D9A9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7C1B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经济效益指标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6183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“三公经费”控制率[计算方法为：（“三公”经费实际支出数/预算安排数]×100%）</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C079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D4A7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7D09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FA22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8449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603B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CDEB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FF526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C9A7A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9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F1F9A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c>
          <w:tcPr>
            <w:tcW w:w="14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8AF7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AB35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运转保障率</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B9FA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A077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A6FD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9682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99A7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50CE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B0E0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56018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870F95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0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1C33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A04D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47A3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p>
        </w:tc>
      </w:tr>
      <w:tr w14:paraId="197BD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9869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CD2832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项目执行情况良好，资金使用效率高</w:t>
            </w:r>
          </w:p>
        </w:tc>
      </w:tr>
      <w:tr w14:paraId="36057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E5F4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6CEAEF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7CD92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09CE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3A0997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21732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48FAF0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693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DD415F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094D834D">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contextualSpacing/>
        <w:jc w:val="left"/>
        <w:textAlignment w:val="auto"/>
        <w:outlineLvl w:val="9"/>
        <w:rPr>
          <w:rFonts w:hint="eastAsia" w:ascii="Times New Roman" w:hAnsi="Times New Roman" w:eastAsia="黑体" w:cs="黑体"/>
          <w:b w:val="0"/>
          <w:bCs w:val="0"/>
          <w:kern w:val="0"/>
          <w:position w:val="0"/>
          <w:sz w:val="32"/>
          <w:szCs w:val="32"/>
          <w:highlight w:val="none"/>
          <w:lang w:val="en-US" w:eastAsia="zh-CN" w:bidi="ar-SA"/>
        </w:rPr>
      </w:pPr>
    </w:p>
    <w:p w14:paraId="743281F2">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contextualSpacing/>
        <w:jc w:val="left"/>
        <w:textAlignment w:val="auto"/>
        <w:outlineLvl w:val="9"/>
        <w:rPr>
          <w:rFonts w:hint="eastAsia" w:ascii="Times New Roman" w:hAnsi="Times New Roman" w:eastAsia="黑体" w:cs="黑体"/>
          <w:b w:val="0"/>
          <w:bCs w:val="0"/>
          <w:kern w:val="0"/>
          <w:position w:val="0"/>
          <w:sz w:val="32"/>
          <w:szCs w:val="32"/>
          <w:highlight w:val="none"/>
          <w:lang w:val="en-US" w:eastAsia="zh-CN" w:bidi="ar-SA"/>
        </w:rPr>
      </w:pPr>
    </w:p>
    <w:p w14:paraId="3670DD44">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contextualSpacing/>
        <w:jc w:val="left"/>
        <w:textAlignment w:val="auto"/>
        <w:outlineLvl w:val="9"/>
        <w:rPr>
          <w:rFonts w:hint="eastAsia" w:ascii="Times New Roman" w:hAnsi="Times New Roman" w:eastAsia="黑体" w:cs="黑体"/>
          <w:b w:val="0"/>
          <w:bCs w:val="0"/>
          <w:kern w:val="0"/>
          <w:position w:val="0"/>
          <w:sz w:val="32"/>
          <w:szCs w:val="32"/>
          <w:highlight w:val="none"/>
          <w:lang w:val="en-US" w:eastAsia="zh-CN" w:bidi="ar-SA"/>
        </w:rPr>
      </w:pPr>
    </w:p>
    <w:p w14:paraId="18BFD622">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contextualSpacing/>
        <w:jc w:val="left"/>
        <w:textAlignment w:val="auto"/>
        <w:outlineLvl w:val="9"/>
        <w:rPr>
          <w:rFonts w:hint="eastAsia" w:ascii="Times New Roman" w:hAnsi="Times New Roman" w:eastAsia="黑体" w:cs="黑体"/>
          <w:b w:val="0"/>
          <w:bCs w:val="0"/>
          <w:kern w:val="0"/>
          <w:position w:val="0"/>
          <w:sz w:val="32"/>
          <w:szCs w:val="32"/>
          <w:highlight w:val="none"/>
          <w:lang w:val="en-US" w:eastAsia="zh-CN" w:bidi="ar-SA"/>
        </w:rPr>
        <w:sectPr>
          <w:pgSz w:w="16838" w:h="11906" w:orient="landscape"/>
          <w:pgMar w:top="1587" w:right="2098" w:bottom="1474" w:left="1984" w:header="851" w:footer="992" w:gutter="0"/>
          <w:pgNumType w:fmt="numberInDash"/>
          <w:cols w:space="425" w:num="1"/>
          <w:docGrid w:type="lines" w:linePitch="435" w:charSpace="0"/>
        </w:sectPr>
      </w:pPr>
    </w:p>
    <w:p w14:paraId="30D27336">
      <w:pPr>
        <w:pStyle w:val="31"/>
        <w:keepNext w:val="0"/>
        <w:keepLines w:val="0"/>
        <w:pageBreakBefore w:val="0"/>
        <w:widowControl w:val="0"/>
        <w:kinsoku/>
        <w:wordWrap/>
        <w:overflowPunct/>
        <w:topLinePunct w:val="0"/>
        <w:autoSpaceDE/>
        <w:autoSpaceDN/>
        <w:bidi w:val="0"/>
        <w:adjustRightInd/>
        <w:snapToGrid/>
        <w:spacing w:line="578" w:lineRule="exact"/>
        <w:ind w:left="0" w:leftChars="0" w:firstLine="0" w:firstLineChars="0"/>
        <w:jc w:val="both"/>
        <w:textAlignment w:val="auto"/>
        <w:rPr>
          <w:rFonts w:hint="default" w:ascii="Times New Roman" w:hAnsi="Times New Roman" w:eastAsia="方正小标宋简体" w:cs="Times New Roman"/>
          <w:color w:val="auto"/>
          <w:kern w:val="2"/>
          <w:sz w:val="44"/>
          <w:szCs w:val="44"/>
          <w:highlight w:val="none"/>
          <w:lang w:val="en-US" w:eastAsia="zh-CN"/>
        </w:rPr>
      </w:pPr>
      <w:r>
        <w:rPr>
          <w:rFonts w:hint="eastAsia" w:ascii="仿宋" w:hAnsi="仿宋" w:eastAsia="仿宋" w:cs="仿宋"/>
          <w:color w:val="auto"/>
          <w:kern w:val="2"/>
          <w:sz w:val="30"/>
          <w:szCs w:val="30"/>
          <w:highlight w:val="none"/>
          <w:lang w:val="en-US" w:eastAsia="zh-CN"/>
        </w:rPr>
        <w:t>附件2-1</w:t>
      </w:r>
    </w:p>
    <w:p w14:paraId="400CC6A0">
      <w:pPr>
        <w:pStyle w:val="31"/>
        <w:keepNext w:val="0"/>
        <w:keepLines w:val="0"/>
        <w:pageBreakBefore w:val="0"/>
        <w:widowControl w:val="0"/>
        <w:kinsoku/>
        <w:wordWrap/>
        <w:overflowPunct/>
        <w:topLinePunct w:val="0"/>
        <w:autoSpaceDE/>
        <w:autoSpaceDN/>
        <w:bidi w:val="0"/>
        <w:adjustRightInd/>
        <w:snapToGrid/>
        <w:spacing w:line="578" w:lineRule="exact"/>
        <w:ind w:left="0" w:leftChars="0" w:firstLine="0" w:firstLineChars="0"/>
        <w:jc w:val="center"/>
        <w:textAlignment w:val="auto"/>
        <w:rPr>
          <w:rFonts w:hint="eastAsia" w:ascii="Times New Roman" w:hAnsi="Times New Roman" w:eastAsia="方正小标宋简体" w:cs="Times New Roman"/>
          <w:color w:val="auto"/>
          <w:kern w:val="2"/>
          <w:sz w:val="44"/>
          <w:szCs w:val="44"/>
          <w:highlight w:val="none"/>
          <w:lang w:val="en-US" w:eastAsia="zh-CN"/>
        </w:rPr>
      </w:pPr>
      <w:r>
        <w:rPr>
          <w:rFonts w:hint="eastAsia" w:ascii="Times New Roman" w:hAnsi="Times New Roman" w:eastAsia="方正小标宋简体" w:cs="Times New Roman"/>
          <w:color w:val="auto"/>
          <w:kern w:val="2"/>
          <w:sz w:val="44"/>
          <w:szCs w:val="44"/>
          <w:highlight w:val="none"/>
          <w:lang w:val="en-US" w:eastAsia="zh-CN"/>
        </w:rPr>
        <w:t>2025年省级市场监管专项资金项目</w:t>
      </w:r>
    </w:p>
    <w:p w14:paraId="497FA7BF">
      <w:pPr>
        <w:pStyle w:val="31"/>
        <w:keepNext w:val="0"/>
        <w:keepLines w:val="0"/>
        <w:pageBreakBefore w:val="0"/>
        <w:widowControl w:val="0"/>
        <w:kinsoku/>
        <w:wordWrap/>
        <w:overflowPunct/>
        <w:topLinePunct w:val="0"/>
        <w:autoSpaceDE/>
        <w:autoSpaceDN/>
        <w:bidi w:val="0"/>
        <w:adjustRightInd/>
        <w:snapToGrid/>
        <w:spacing w:line="578" w:lineRule="exact"/>
        <w:ind w:left="0" w:leftChars="0" w:firstLine="0" w:firstLineChars="0"/>
        <w:jc w:val="center"/>
        <w:textAlignment w:val="auto"/>
        <w:rPr>
          <w:rFonts w:hint="default" w:ascii="Times New Roman" w:hAnsi="Times New Roman" w:eastAsia="方正小标宋简体" w:cs="Times New Roman"/>
          <w:color w:val="auto"/>
          <w:kern w:val="2"/>
          <w:sz w:val="44"/>
          <w:szCs w:val="44"/>
          <w:highlight w:val="none"/>
          <w:lang w:val="en-US" w:eastAsia="zh-CN"/>
        </w:rPr>
      </w:pPr>
      <w:r>
        <w:rPr>
          <w:rFonts w:hint="eastAsia" w:ascii="Times New Roman" w:hAnsi="Times New Roman" w:eastAsia="方正小标宋简体" w:cs="Times New Roman"/>
          <w:color w:val="auto"/>
          <w:kern w:val="2"/>
          <w:sz w:val="44"/>
          <w:szCs w:val="44"/>
          <w:highlight w:val="none"/>
          <w:lang w:val="en-US" w:eastAsia="zh-CN"/>
        </w:rPr>
        <w:t>专项</w:t>
      </w:r>
      <w:r>
        <w:rPr>
          <w:rFonts w:hint="default" w:ascii="Times New Roman" w:hAnsi="Times New Roman" w:eastAsia="方正小标宋简体" w:cs="Times New Roman"/>
          <w:color w:val="auto"/>
          <w:kern w:val="2"/>
          <w:sz w:val="44"/>
          <w:szCs w:val="44"/>
          <w:highlight w:val="none"/>
          <w:lang w:val="en-US" w:eastAsia="zh-CN"/>
        </w:rPr>
        <w:t>绩效自评报告</w:t>
      </w:r>
    </w:p>
    <w:p w14:paraId="044942C4">
      <w:pPr>
        <w:pStyle w:val="31"/>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hint="default" w:ascii="Times New Roman" w:hAnsi="Times New Roman" w:cs="Times New Roman"/>
          <w:color w:val="auto"/>
          <w:kern w:val="2"/>
          <w:sz w:val="32"/>
          <w:szCs w:val="32"/>
          <w:highlight w:val="none"/>
        </w:rPr>
      </w:pPr>
    </w:p>
    <w:p w14:paraId="3887F551">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0"/>
        <w:rPr>
          <w:rFonts w:hint="default" w:ascii="Times New Roman" w:hAnsi="Times New Roman" w:eastAsia="黑体" w:cs="Times New Roman"/>
          <w:highlight w:val="none"/>
          <w:lang w:val="zh-CN"/>
        </w:rPr>
      </w:pPr>
      <w:r>
        <w:rPr>
          <w:rFonts w:hint="default" w:ascii="Times New Roman" w:hAnsi="Times New Roman" w:eastAsia="黑体" w:cs="Times New Roman"/>
          <w:highlight w:val="none"/>
        </w:rPr>
        <w:t>一、</w:t>
      </w:r>
      <w:r>
        <w:rPr>
          <w:rFonts w:hint="default" w:ascii="Times New Roman" w:hAnsi="Times New Roman" w:eastAsia="黑体" w:cs="Times New Roman"/>
          <w:highlight w:val="none"/>
          <w:lang w:val="zh-CN"/>
        </w:rPr>
        <w:t>项目概况</w:t>
      </w:r>
    </w:p>
    <w:p w14:paraId="274F886C">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outlineLvl w:val="1"/>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（一）设立背景及基本情况。</w:t>
      </w:r>
    </w:p>
    <w:p w14:paraId="4A4FC241">
      <w:pPr>
        <w:keepNext w:val="0"/>
        <w:keepLines w:val="0"/>
        <w:pageBreakBefore w:val="0"/>
        <w:kinsoku/>
        <w:wordWrap/>
        <w:overflowPunct/>
        <w:topLinePunct w:val="0"/>
        <w:autoSpaceDE/>
        <w:autoSpaceDN/>
        <w:bidi w:val="0"/>
        <w:spacing w:line="240" w:lineRule="auto"/>
        <w:ind w:firstLine="640" w:firstLineChars="200"/>
        <w:jc w:val="both"/>
        <w:textAlignment w:val="auto"/>
        <w:outlineLvl w:val="2"/>
        <w:rPr>
          <w:rFonts w:hint="default"/>
          <w:lang w:val="en-US" w:eastAsia="zh-CN"/>
        </w:rPr>
      </w:pPr>
      <w:r>
        <w:rPr>
          <w:rFonts w:hint="eastAsia"/>
          <w:lang w:val="en-US" w:eastAsia="zh-CN"/>
        </w:rPr>
        <w:t>1.</w:t>
      </w:r>
      <w:r>
        <w:rPr>
          <w:rFonts w:hint="default"/>
          <w:lang w:val="zh-CN"/>
        </w:rPr>
        <w:t>项目设立原因及背景</w:t>
      </w:r>
    </w:p>
    <w:p w14:paraId="4265029C">
      <w:pPr>
        <w:bidi w:val="0"/>
        <w:rPr>
          <w:rFonts w:hint="default"/>
          <w:lang w:val="zh-CN"/>
        </w:rPr>
      </w:pPr>
      <w:r>
        <w:rPr>
          <w:rFonts w:hint="eastAsia"/>
          <w:lang w:val="en-US" w:eastAsia="zh-CN"/>
        </w:rPr>
        <w:t>市场监管是维护市场秩序、保障民生安全、促进产业高质量发展的核心职能。当前阿坝州市场业态日趋多元，食品、工业产品、特种设备等领域安全风险防控压力持续加大，不正当竞争、违规广告等市场乱象仍有发生，基层市场监管所标准化建设滞后，综合执法能力亟待提升。为深入落实质量强省战略，严守三大安全底线，推进放心舒心消费环境建设，强化市场综合监管效能，依据省级市场监管专项资金管理相关要求，设立本项目，专项用于市场监管执法、抽检监测、基层规范化建设等工作，全面提升全州市场监管综合能力</w:t>
      </w:r>
      <w:r>
        <w:rPr>
          <w:rFonts w:hint="eastAsia"/>
          <w:lang w:val="zh-CN"/>
        </w:rPr>
        <w:t>。</w:t>
      </w:r>
    </w:p>
    <w:p w14:paraId="1240DEFB">
      <w:pPr>
        <w:bidi w:val="0"/>
        <w:ind w:firstLine="640" w:firstLineChars="200"/>
        <w:outlineLvl w:val="2"/>
        <w:rPr>
          <w:rFonts w:hint="default"/>
          <w:lang w:val="zh-CN"/>
        </w:rPr>
      </w:pPr>
      <w:r>
        <w:rPr>
          <w:rFonts w:hint="eastAsia"/>
          <w:lang w:val="en-US" w:eastAsia="zh-CN"/>
        </w:rPr>
        <w:t>2.</w:t>
      </w:r>
      <w:r>
        <w:rPr>
          <w:rFonts w:hint="default"/>
          <w:lang w:val="zh-CN"/>
        </w:rPr>
        <w:t>项目立项及资金申报的依据</w:t>
      </w:r>
    </w:p>
    <w:p w14:paraId="3C729B7F">
      <w:pPr>
        <w:bidi w:val="0"/>
        <w:rPr>
          <w:rFonts w:hint="default"/>
          <w:lang w:val="en-US" w:eastAsia="zh-CN"/>
        </w:rPr>
      </w:pPr>
      <w:r>
        <w:rPr>
          <w:rFonts w:hint="eastAsia"/>
          <w:lang w:val="en-US" w:eastAsia="zh-CN"/>
        </w:rPr>
        <w:t>本项目立项严格遵循《中华人民共和国食品安全法》《中华人民共和国特种设备安全法》《中华人民共和国反不正当竞争法》等法律法规，依据四川省市场监管局年度重点工作部署、阿坝州委、州政府关于市场监管和民生保障的决策安排，紧扣全州市场监管实际需求开展立项论证。资金申报基于“春雷行动”执法、食品抽检监测、认证活动监督、小微企业质量提升、基层监管所标准化建设等工作的实际成本科学测算，涵盖执法装备购置、抽检耗材、培训组织、场地建设等必要支出，经州财政局严格审核后纳入年度部门预算，资金来源为省级财政专项预算，全程符合财政资金使用管理及市场监管相关规范。</w:t>
      </w:r>
    </w:p>
    <w:p w14:paraId="264EA029">
      <w:pPr>
        <w:bidi w:val="0"/>
        <w:ind w:firstLine="640" w:firstLineChars="200"/>
        <w:outlineLvl w:val="2"/>
        <w:rPr>
          <w:rFonts w:hint="default"/>
          <w:lang w:val="zh-CN"/>
        </w:rPr>
      </w:pPr>
      <w:r>
        <w:rPr>
          <w:rFonts w:hint="eastAsia"/>
          <w:lang w:val="en-US" w:eastAsia="zh-CN"/>
        </w:rPr>
        <w:t>3.</w:t>
      </w:r>
      <w:r>
        <w:rPr>
          <w:rFonts w:hint="default"/>
          <w:lang w:val="zh-CN"/>
        </w:rPr>
        <w:t>项目主要内容</w:t>
      </w:r>
    </w:p>
    <w:p w14:paraId="6172A3CD">
      <w:pPr>
        <w:bidi w:val="0"/>
        <w:rPr>
          <w:rFonts w:hint="default"/>
          <w:lang w:val="zh-CN"/>
        </w:rPr>
      </w:pPr>
      <w:r>
        <w:rPr>
          <w:rFonts w:hint="eastAsia"/>
          <w:lang w:val="en-US" w:eastAsia="zh-CN"/>
        </w:rPr>
        <w:t>本项目以“守底线、护公平、提效能、强基础”为核心，统筹开展六大重点工作：一是开展“春雷行动”等专项执法，强化反垄断和反不正当竞争、价格、广告、网络及合同监管，严厉打击违法违规行为；二是推进老旧化工特种设备和电站锅炉隐患专项整治，守牢特种设备安全底线；三是开展认证活动监督检查≥5家，规范认证市场秩序；四是完成省级普通食品抽检监测≥520批次，强化食品安全风险防控；五是推动小微企业质量提升≥2家，助力产业提质升级；六是开展基层市场监管局（所）标准规范化建设示范创建，提高综合行政执法水平</w:t>
      </w:r>
      <w:r>
        <w:rPr>
          <w:rFonts w:hint="eastAsia"/>
          <w:lang w:val="zh-CN"/>
        </w:rPr>
        <w:t>。</w:t>
      </w:r>
    </w:p>
    <w:p w14:paraId="77E4534F">
      <w:pPr>
        <w:bidi w:val="0"/>
        <w:ind w:firstLine="640" w:firstLineChars="200"/>
        <w:outlineLvl w:val="2"/>
        <w:rPr>
          <w:rFonts w:hint="default"/>
          <w:lang w:val="zh-CN"/>
        </w:rPr>
      </w:pPr>
      <w:r>
        <w:rPr>
          <w:rFonts w:hint="eastAsia"/>
          <w:lang w:val="en-US" w:eastAsia="zh-CN"/>
        </w:rPr>
        <w:t>4.</w:t>
      </w:r>
      <w:r>
        <w:rPr>
          <w:rFonts w:hint="default"/>
          <w:lang w:val="zh-CN"/>
        </w:rPr>
        <w:t>主管部门职能</w:t>
      </w:r>
    </w:p>
    <w:p w14:paraId="7C415645">
      <w:pPr>
        <w:bidi w:val="0"/>
        <w:rPr>
          <w:rFonts w:hint="default"/>
          <w:lang w:val="zh-CN"/>
        </w:rPr>
      </w:pPr>
      <w:r>
        <w:rPr>
          <w:rFonts w:hint="default"/>
          <w:lang w:val="zh-CN"/>
        </w:rPr>
        <w:t>阿坝藏族羌族自治州市场监督管理局作为本项目主管部门，依法履行全州市场综合监督管理、行政执法及公共服务职责，在本项目实施中承担顶层设计、统筹推进、全程监管及绩效落实核心职能。具体负责制定项目实施工作方案，统筹组织专项执法、抽检监测等工作；指导基层监管所标准化建设；统筹推进小微企业质量提升与安全隐患整治</w:t>
      </w:r>
      <w:r>
        <w:rPr>
          <w:rFonts w:hint="eastAsia"/>
          <w:lang w:val="zh-CN"/>
        </w:rPr>
        <w:t>。</w:t>
      </w:r>
    </w:p>
    <w:p w14:paraId="163B20FF">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outlineLvl w:val="1"/>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实施目的及支持方向。</w:t>
      </w:r>
    </w:p>
    <w:p w14:paraId="2FDDD878">
      <w:pPr>
        <w:bidi w:val="0"/>
        <w:ind w:firstLine="640" w:firstLineChars="200"/>
        <w:outlineLvl w:val="2"/>
        <w:rPr>
          <w:rFonts w:hint="eastAsia"/>
          <w:lang w:val="en-US" w:eastAsia="zh-CN"/>
        </w:rPr>
      </w:pPr>
      <w:r>
        <w:rPr>
          <w:rFonts w:hint="eastAsia"/>
          <w:lang w:val="en-US" w:eastAsia="zh-CN"/>
        </w:rPr>
        <w:t>1.项目资金管理办法制定情况</w:t>
      </w:r>
    </w:p>
    <w:p w14:paraId="7823F381">
      <w:pPr>
        <w:bidi w:val="0"/>
        <w:ind w:firstLine="640"/>
        <w:rPr>
          <w:rFonts w:hint="default"/>
          <w:lang w:val="en-US" w:eastAsia="zh-CN"/>
        </w:rPr>
      </w:pPr>
      <w:r>
        <w:rPr>
          <w:rFonts w:hint="eastAsia"/>
          <w:lang w:val="en-US" w:eastAsia="zh-CN"/>
        </w:rPr>
        <w:t>为保障2025年省级市场监管专项资金规范、高效、安全使用，我局严格遵照《四川省省级市场监管专项资金管理办法》及省、州财政专项资金管理相关规定，结合全州市场监管工作实际，制定《2025年省级市场监管专项资金使用实施细则》，实行专项资金专款专用、单独核算、闭环管理。明确资金使用范围涵盖专项执法、抽检监测、隐患整治、认证监督、基层建设、质量提升等与市场监管直接相关的必要支出，严格界定资金使用标准、审批流程及报销要求，预算调整严格履行州财政局审批备案程序。通过建立定期财务核查、常态化绩效监控机制，确保资金使用效益与预算既定目标高度契合，全程杜绝挤占、挪用、虚列支出等违规行为。</w:t>
      </w:r>
    </w:p>
    <w:p w14:paraId="4A9FCFBA">
      <w:pPr>
        <w:bidi w:val="0"/>
        <w:ind w:firstLine="640" w:firstLineChars="200"/>
        <w:outlineLvl w:val="2"/>
        <w:rPr>
          <w:rFonts w:hint="eastAsia"/>
          <w:lang w:val="en-US" w:eastAsia="zh-CN"/>
        </w:rPr>
      </w:pPr>
      <w:r>
        <w:rPr>
          <w:rFonts w:hint="eastAsia"/>
          <w:lang w:val="en-US" w:eastAsia="zh-CN"/>
        </w:rPr>
        <w:t>2.项目实施目的和主要工作任务</w:t>
      </w:r>
    </w:p>
    <w:p w14:paraId="77B0294E">
      <w:pPr>
        <w:bidi w:val="0"/>
        <w:ind w:firstLine="640"/>
        <w:rPr>
          <w:rFonts w:hint="eastAsia"/>
          <w:lang w:val="en-US" w:eastAsia="zh-CN"/>
        </w:rPr>
      </w:pPr>
      <w:r>
        <w:rPr>
          <w:rFonts w:hint="eastAsia"/>
          <w:lang w:val="en-US" w:eastAsia="zh-CN"/>
        </w:rPr>
        <w:t>本项目以全面提升全州市场监管综合能力、严守食品、工业产品、特种设备安全底线、规范市场竞争秩序、优化消费环境为核心实施目的，通过省级专项资金精准保障，破解市场监管执法、风险防控、基层建设等环节的重点难点问题，推动市场监管工作标准化、专业化、规范化发展，切实维护群众合法权益，为全州市场环境持续向好、产业高质量发展提供坚实监管支撑。</w:t>
      </w:r>
    </w:p>
    <w:p w14:paraId="7BA1CEA6">
      <w:pPr>
        <w:bidi w:val="0"/>
        <w:ind w:firstLine="640"/>
        <w:rPr>
          <w:rFonts w:hint="default"/>
          <w:lang w:val="en-US" w:eastAsia="zh-CN"/>
        </w:rPr>
      </w:pPr>
      <w:r>
        <w:rPr>
          <w:rFonts w:hint="eastAsia"/>
          <w:lang w:val="en-US" w:eastAsia="zh-CN"/>
        </w:rPr>
        <w:t>主要工作任务围绕“执法强化、风险防控、基础提升”要求开展：①完成“春雷行动”等专项执法全覆盖，规范市场竞争秩序；②完成省级普通食品抽检监测≥520批次，抽检不合格食品核查处置率100%；③开展认证活动监督检查≥5家，推动小微企业质量提升≥2家；④完成老旧化工特种设备和电站锅炉隐患专项整治；⑤开展基层市场监管所标准化规范化建设示范创建；⑥确保生产环节抽检合格率100%、食品抽检应公布信息公布率100%，辖区无重大食品安全事故发生，公众对食品安全满意度≥80分；⑦所有工作于2025年底前全面完成。</w:t>
      </w:r>
    </w:p>
    <w:p w14:paraId="7DD5015D">
      <w:pPr>
        <w:bidi w:val="0"/>
        <w:ind w:firstLine="640" w:firstLineChars="200"/>
        <w:outlineLvl w:val="2"/>
        <w:rPr>
          <w:rFonts w:hint="default"/>
          <w:lang w:val="en-US" w:eastAsia="zh-CN"/>
        </w:rPr>
      </w:pPr>
      <w:r>
        <w:rPr>
          <w:rFonts w:hint="eastAsia"/>
          <w:lang w:val="en-US" w:eastAsia="zh-CN"/>
        </w:rPr>
        <w:t>3.项目支持方向</w:t>
      </w:r>
    </w:p>
    <w:p w14:paraId="520BDCE0">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default" w:ascii="Times New Roman" w:hAnsi="Times New Roman" w:eastAsia="楷体_GB2312" w:cs="Times New Roman"/>
          <w:b/>
          <w:color w:val="auto"/>
          <w:sz w:val="32"/>
          <w:szCs w:val="32"/>
          <w:highlight w:val="none"/>
          <w:u w:val="none"/>
          <w:lang w:val="zh-CN"/>
        </w:rPr>
      </w:pPr>
      <w:r>
        <w:rPr>
          <w:rFonts w:hint="eastAsia" w:cs="Times New Roman"/>
          <w:color w:val="auto"/>
          <w:kern w:val="0"/>
          <w:sz w:val="32"/>
          <w:szCs w:val="32"/>
          <w:highlight w:val="none"/>
          <w:u w:val="none"/>
          <w:shd w:val="clear" w:color="auto" w:fill="FFFFFF"/>
          <w:lang w:val="en-US" w:eastAsia="zh-CN"/>
        </w:rPr>
        <w:t>项目资金聚焦三大核心方向精准发力：一是筑牢安全监管防线，重点保障食品抽检监测、特种设备隐患整治等工作，及时发现和处置安全风险，守牢三大安全底线；二是强化市场秩序规范，支持“春雷行动”、反垄断反不正当竞争等专项执法，严厉打击违法违规行为，维护公平竞争的市场环境；三是提升基层监管能力，保障基层市场监管所标准化建设、执法装备升级及人员培训，推动小微企业质量提升，夯实市场监管基层基础，提升综合执法效能。</w:t>
      </w:r>
    </w:p>
    <w:p w14:paraId="5997DB35">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outlineLvl w:val="1"/>
        <w:rPr>
          <w:rFonts w:hint="default" w:ascii="Times New Roman" w:hAnsi="Times New Roman" w:eastAsia="楷体_GB2312" w:cs="Times New Roman"/>
          <w:b/>
          <w:color w:val="auto"/>
          <w:sz w:val="32"/>
          <w:szCs w:val="32"/>
          <w:highlight w:val="none"/>
          <w:u w:val="none"/>
          <w:lang w:val="zh-CN" w:eastAsia="zh-CN"/>
        </w:rPr>
      </w:pPr>
      <w:r>
        <w:rPr>
          <w:rFonts w:hint="default" w:ascii="Times New Roman" w:hAnsi="Times New Roman" w:eastAsia="楷体_GB2312" w:cs="Times New Roman"/>
          <w:b/>
          <w:color w:val="auto"/>
          <w:sz w:val="32"/>
          <w:szCs w:val="32"/>
          <w:highlight w:val="none"/>
          <w:u w:val="none"/>
          <w:lang w:val="zh-CN" w:eastAsia="zh-CN"/>
        </w:rPr>
        <w:t>（三）</w:t>
      </w:r>
      <w:r>
        <w:rPr>
          <w:rFonts w:hint="default" w:ascii="Times New Roman" w:hAnsi="Times New Roman" w:eastAsia="楷体_GB2312" w:cs="Times New Roman"/>
          <w:b/>
          <w:color w:val="auto"/>
          <w:sz w:val="32"/>
          <w:szCs w:val="32"/>
          <w:highlight w:val="none"/>
          <w:u w:val="none"/>
          <w:lang w:val="en-US" w:eastAsia="zh-CN"/>
        </w:rPr>
        <w:t>预算安排及分配管理</w:t>
      </w:r>
      <w:r>
        <w:rPr>
          <w:rFonts w:hint="default" w:ascii="Times New Roman" w:hAnsi="Times New Roman" w:eastAsia="楷体_GB2312" w:cs="Times New Roman"/>
          <w:b/>
          <w:color w:val="auto"/>
          <w:sz w:val="32"/>
          <w:szCs w:val="32"/>
          <w:highlight w:val="none"/>
          <w:u w:val="none"/>
          <w:lang w:val="zh-CN" w:eastAsia="zh-CN"/>
        </w:rPr>
        <w:t>。</w:t>
      </w:r>
    </w:p>
    <w:p w14:paraId="2308144B">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default" w:ascii="Times New Roman" w:hAnsi="Times New Roman" w:cs="Times New Roman"/>
          <w:color w:val="auto"/>
          <w:kern w:val="0"/>
          <w:sz w:val="32"/>
          <w:szCs w:val="32"/>
          <w:highlight w:val="none"/>
          <w:u w:val="none"/>
          <w:shd w:val="clear" w:color="auto" w:fill="FFFFFF"/>
          <w:lang w:val="zh-CN" w:eastAsia="zh-CN"/>
        </w:rPr>
      </w:pPr>
      <w:r>
        <w:rPr>
          <w:rFonts w:hint="default" w:ascii="Times New Roman" w:hAnsi="Times New Roman" w:cs="Times New Roman"/>
          <w:color w:val="auto"/>
          <w:kern w:val="0"/>
          <w:sz w:val="32"/>
          <w:szCs w:val="32"/>
          <w:highlight w:val="none"/>
          <w:u w:val="none"/>
          <w:shd w:val="clear" w:color="auto" w:fill="FFFFFF"/>
          <w:lang w:val="zh-CN" w:eastAsia="zh-CN"/>
        </w:rPr>
        <w:t>本项目</w:t>
      </w:r>
      <w:r>
        <w:rPr>
          <w:rFonts w:hint="eastAsia" w:cs="Times New Roman"/>
          <w:color w:val="auto"/>
          <w:kern w:val="0"/>
          <w:sz w:val="32"/>
          <w:szCs w:val="32"/>
          <w:highlight w:val="none"/>
          <w:u w:val="none"/>
          <w:shd w:val="clear" w:color="auto" w:fill="FFFFFF"/>
          <w:lang w:val="en-US" w:eastAsia="zh-CN"/>
        </w:rPr>
        <w:t>年末追加13</w:t>
      </w:r>
      <w:r>
        <w:rPr>
          <w:rFonts w:hint="default" w:ascii="Times New Roman" w:hAnsi="Times New Roman" w:cs="Times New Roman"/>
          <w:color w:val="auto"/>
          <w:kern w:val="0"/>
          <w:sz w:val="32"/>
          <w:szCs w:val="32"/>
          <w:highlight w:val="none"/>
          <w:u w:val="none"/>
          <w:shd w:val="clear" w:color="auto" w:fill="FFFFFF"/>
          <w:lang w:val="zh-CN" w:eastAsia="zh-CN"/>
        </w:rPr>
        <w:t>4.</w:t>
      </w:r>
      <w:r>
        <w:rPr>
          <w:rFonts w:hint="eastAsia" w:cs="Times New Roman"/>
          <w:color w:val="auto"/>
          <w:kern w:val="0"/>
          <w:sz w:val="32"/>
          <w:szCs w:val="32"/>
          <w:highlight w:val="none"/>
          <w:u w:val="none"/>
          <w:shd w:val="clear" w:color="auto" w:fill="FFFFFF"/>
          <w:lang w:val="en-US" w:eastAsia="zh-CN"/>
        </w:rPr>
        <w:t>19</w:t>
      </w:r>
      <w:r>
        <w:rPr>
          <w:rFonts w:hint="default" w:ascii="Times New Roman" w:hAnsi="Times New Roman" w:cs="Times New Roman"/>
          <w:color w:val="auto"/>
          <w:kern w:val="0"/>
          <w:sz w:val="32"/>
          <w:szCs w:val="32"/>
          <w:highlight w:val="none"/>
          <w:u w:val="none"/>
          <w:shd w:val="clear" w:color="auto" w:fill="FFFFFF"/>
          <w:lang w:val="zh-CN" w:eastAsia="zh-CN"/>
        </w:rPr>
        <w:t>万元，均为</w:t>
      </w:r>
      <w:r>
        <w:rPr>
          <w:rFonts w:hint="eastAsia" w:cs="Times New Roman"/>
          <w:color w:val="auto"/>
          <w:kern w:val="0"/>
          <w:sz w:val="32"/>
          <w:szCs w:val="32"/>
          <w:highlight w:val="none"/>
          <w:u w:val="none"/>
          <w:shd w:val="clear" w:color="auto" w:fill="FFFFFF"/>
          <w:lang w:val="en-US" w:eastAsia="zh-CN"/>
        </w:rPr>
        <w:t>省级</w:t>
      </w:r>
      <w:r>
        <w:rPr>
          <w:rFonts w:hint="default" w:ascii="Times New Roman" w:hAnsi="Times New Roman" w:cs="Times New Roman"/>
          <w:color w:val="auto"/>
          <w:kern w:val="0"/>
          <w:sz w:val="32"/>
          <w:szCs w:val="32"/>
          <w:highlight w:val="none"/>
          <w:u w:val="none"/>
          <w:shd w:val="clear" w:color="auto" w:fill="FFFFFF"/>
          <w:lang w:val="zh-CN" w:eastAsia="zh-CN"/>
        </w:rPr>
        <w:t>财政资金，全年预算执行数为</w:t>
      </w:r>
      <w:r>
        <w:rPr>
          <w:rFonts w:hint="eastAsia" w:cs="Times New Roman"/>
          <w:color w:val="auto"/>
          <w:kern w:val="0"/>
          <w:sz w:val="32"/>
          <w:szCs w:val="32"/>
          <w:highlight w:val="none"/>
          <w:u w:val="none"/>
          <w:shd w:val="clear" w:color="auto" w:fill="FFFFFF"/>
          <w:lang w:val="en-US" w:eastAsia="zh-CN"/>
        </w:rPr>
        <w:t>13</w:t>
      </w:r>
      <w:r>
        <w:rPr>
          <w:rFonts w:hint="default" w:ascii="Times New Roman" w:hAnsi="Times New Roman" w:cs="Times New Roman"/>
          <w:color w:val="auto"/>
          <w:kern w:val="0"/>
          <w:sz w:val="32"/>
          <w:szCs w:val="32"/>
          <w:highlight w:val="none"/>
          <w:u w:val="none"/>
          <w:shd w:val="clear" w:color="auto" w:fill="FFFFFF"/>
          <w:lang w:val="zh-CN" w:eastAsia="zh-CN"/>
        </w:rPr>
        <w:t>4.</w:t>
      </w:r>
      <w:r>
        <w:rPr>
          <w:rFonts w:hint="eastAsia" w:cs="Times New Roman"/>
          <w:color w:val="auto"/>
          <w:kern w:val="0"/>
          <w:sz w:val="32"/>
          <w:szCs w:val="32"/>
          <w:highlight w:val="none"/>
          <w:u w:val="none"/>
          <w:shd w:val="clear" w:color="auto" w:fill="FFFFFF"/>
          <w:lang w:val="en-US" w:eastAsia="zh-CN"/>
        </w:rPr>
        <w:t>19</w:t>
      </w:r>
      <w:r>
        <w:rPr>
          <w:rFonts w:hint="default" w:ascii="Times New Roman" w:hAnsi="Times New Roman" w:cs="Times New Roman"/>
          <w:color w:val="auto"/>
          <w:kern w:val="0"/>
          <w:sz w:val="32"/>
          <w:szCs w:val="32"/>
          <w:highlight w:val="none"/>
          <w:u w:val="none"/>
          <w:shd w:val="clear" w:color="auto" w:fill="FFFFFF"/>
          <w:lang w:val="zh-CN" w:eastAsia="zh-CN"/>
        </w:rPr>
        <w:t>万元，预算执行率为</w:t>
      </w:r>
      <w:r>
        <w:rPr>
          <w:rFonts w:hint="eastAsia" w:cs="Times New Roman"/>
          <w:color w:val="auto"/>
          <w:kern w:val="0"/>
          <w:sz w:val="32"/>
          <w:szCs w:val="32"/>
          <w:highlight w:val="none"/>
          <w:u w:val="none"/>
          <w:shd w:val="clear" w:color="auto" w:fill="FFFFFF"/>
          <w:lang w:val="en-US" w:eastAsia="zh-CN"/>
        </w:rPr>
        <w:t>100</w:t>
      </w:r>
      <w:r>
        <w:rPr>
          <w:rFonts w:hint="default" w:ascii="Times New Roman" w:hAnsi="Times New Roman" w:cs="Times New Roman"/>
          <w:color w:val="auto"/>
          <w:kern w:val="0"/>
          <w:sz w:val="32"/>
          <w:szCs w:val="32"/>
          <w:highlight w:val="none"/>
          <w:u w:val="none"/>
          <w:shd w:val="clear" w:color="auto" w:fill="FFFFFF"/>
          <w:lang w:val="zh-CN" w:eastAsia="zh-CN"/>
        </w:rPr>
        <w:t>.00%。资金分配遵循“合规优先、聚焦核心、效益最大化”原则</w:t>
      </w:r>
      <w:r>
        <w:rPr>
          <w:rFonts w:hint="eastAsia" w:cs="Times New Roman"/>
          <w:color w:val="auto"/>
          <w:kern w:val="0"/>
          <w:sz w:val="32"/>
          <w:szCs w:val="32"/>
          <w:highlight w:val="none"/>
          <w:u w:val="none"/>
          <w:shd w:val="clear" w:color="auto" w:fill="FFFFFF"/>
          <w:lang w:val="zh-CN" w:eastAsia="zh-CN"/>
        </w:rPr>
        <w:t>。</w:t>
      </w:r>
      <w:r>
        <w:rPr>
          <w:rFonts w:hint="default" w:ascii="Times New Roman" w:hAnsi="Times New Roman" w:cs="Times New Roman"/>
          <w:color w:val="auto"/>
          <w:kern w:val="0"/>
          <w:sz w:val="32"/>
          <w:szCs w:val="32"/>
          <w:highlight w:val="none"/>
          <w:u w:val="none"/>
          <w:shd w:val="clear" w:color="auto" w:fill="FFFFFF"/>
          <w:lang w:val="zh-CN" w:eastAsia="zh-CN"/>
        </w:rPr>
        <w:t>资金使用严格控制费用标准，全程接受财政、审计及上级监管部门监督，无资金滞留、分配不合理、低效配置等情况</w:t>
      </w:r>
      <w:r>
        <w:rPr>
          <w:rFonts w:hint="eastAsia" w:cs="Times New Roman"/>
          <w:color w:val="auto"/>
          <w:kern w:val="0"/>
          <w:sz w:val="32"/>
          <w:szCs w:val="32"/>
          <w:highlight w:val="none"/>
          <w:u w:val="none"/>
          <w:shd w:val="clear" w:color="auto" w:fill="FFFFFF"/>
          <w:lang w:val="en-US" w:eastAsia="zh-CN"/>
        </w:rPr>
        <w:t>。</w:t>
      </w:r>
    </w:p>
    <w:p w14:paraId="37F9AE04">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outlineLvl w:val="1"/>
        <w:rPr>
          <w:rFonts w:hint="default" w:ascii="Times New Roman" w:hAnsi="Times New Roman" w:eastAsia="楷体_GB2312" w:cs="Times New Roman"/>
          <w:b/>
          <w:color w:val="auto"/>
          <w:sz w:val="32"/>
          <w:szCs w:val="32"/>
          <w:highlight w:val="none"/>
          <w:u w:val="none"/>
          <w:lang w:val="zh-CN" w:eastAsia="zh-CN"/>
        </w:rPr>
      </w:pPr>
      <w:r>
        <w:rPr>
          <w:rFonts w:hint="default" w:ascii="Times New Roman" w:hAnsi="Times New Roman" w:eastAsia="楷体_GB2312" w:cs="Times New Roman"/>
          <w:b/>
          <w:color w:val="auto"/>
          <w:sz w:val="32"/>
          <w:szCs w:val="32"/>
          <w:highlight w:val="none"/>
          <w:u w:val="none"/>
          <w:lang w:val="zh-CN" w:eastAsia="zh-CN"/>
        </w:rPr>
        <w:t>（四）项目绩效目标设置。</w:t>
      </w:r>
    </w:p>
    <w:p w14:paraId="4F61BCFF">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eastAsia" w:cs="Times New Roman"/>
          <w:color w:val="auto"/>
          <w:kern w:val="0"/>
          <w:sz w:val="32"/>
          <w:szCs w:val="32"/>
          <w:highlight w:val="none"/>
          <w:u w:val="none"/>
          <w:shd w:val="clear" w:color="auto" w:fill="FFFFFF"/>
          <w:lang w:val="en-US" w:eastAsia="zh-CN"/>
        </w:rPr>
      </w:pPr>
      <w:r>
        <w:rPr>
          <w:rFonts w:hint="eastAsia" w:cs="Times New Roman"/>
          <w:color w:val="auto"/>
          <w:kern w:val="0"/>
          <w:sz w:val="32"/>
          <w:szCs w:val="32"/>
          <w:highlight w:val="none"/>
          <w:u w:val="none"/>
          <w:shd w:val="clear" w:color="auto" w:fill="FFFFFF"/>
          <w:lang w:val="en-US" w:eastAsia="zh-CN"/>
        </w:rPr>
        <w:t>本项目整体目标：通过2025年省级市场监管专项资金的保障和使用，全面提升全州市场监管综合执法能力、风险防控能力及基层监管水平，严守三大安全底线，规范市场竞争秩序，优化消费环境，推动小微企业质量提升，构建规范高效、贴合地方实际的市场监管体系，切实维护群众合法权益，助力产业高质量发展。</w:t>
      </w:r>
    </w:p>
    <w:p w14:paraId="67552F68">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default" w:ascii="Times New Roman" w:hAnsi="Times New Roman" w:cs="Times New Roman"/>
          <w:color w:val="auto"/>
          <w:kern w:val="0"/>
          <w:sz w:val="32"/>
          <w:szCs w:val="32"/>
          <w:highlight w:val="none"/>
          <w:u w:val="none"/>
          <w:shd w:val="clear" w:color="auto" w:fill="FFFFFF"/>
          <w:lang w:val="zh-CN" w:eastAsia="zh-CN"/>
        </w:rPr>
      </w:pPr>
      <w:r>
        <w:rPr>
          <w:rFonts w:hint="eastAsia" w:cs="Times New Roman"/>
          <w:color w:val="auto"/>
          <w:kern w:val="0"/>
          <w:sz w:val="32"/>
          <w:szCs w:val="32"/>
          <w:highlight w:val="none"/>
          <w:u w:val="none"/>
          <w:shd w:val="clear" w:color="auto" w:fill="FFFFFF"/>
          <w:lang w:val="en-US" w:eastAsia="zh-CN"/>
        </w:rPr>
        <w:t>本项目自评工作严格依据年度绩效目标和指标体系开展，通过系统梳理预算执行情况、逐项核查任务完成进度、全面分析效益达成度等方式，对照量化指标逐一评估，结合资料审查、现场核查与实际监管成效，客观评价项目在目标完成、资金使用、监管效能等方面的实际表现，确保绩效自评结果真实、准确反映项目实施实际情况</w:t>
      </w:r>
      <w:r>
        <w:rPr>
          <w:rFonts w:hint="default" w:ascii="Times New Roman" w:hAnsi="Times New Roman" w:cs="Times New Roman"/>
          <w:color w:val="auto"/>
          <w:kern w:val="0"/>
          <w:sz w:val="32"/>
          <w:szCs w:val="32"/>
          <w:highlight w:val="none"/>
          <w:u w:val="none"/>
          <w:shd w:val="clear" w:color="auto" w:fill="FFFFFF"/>
          <w:lang w:val="zh-CN" w:eastAsia="zh-CN"/>
        </w:rPr>
        <w:t>。</w:t>
      </w:r>
    </w:p>
    <w:p w14:paraId="48A9DA58">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0"/>
        <w:rPr>
          <w:rFonts w:hint="default" w:ascii="Times New Roman" w:hAnsi="Times New Roman" w:eastAsia="黑体" w:cs="Times New Roman"/>
          <w:highlight w:val="none"/>
          <w:lang w:eastAsia="zh-CN"/>
        </w:rPr>
      </w:pPr>
      <w:r>
        <w:rPr>
          <w:rFonts w:hint="default" w:ascii="Times New Roman" w:hAnsi="Times New Roman" w:eastAsia="黑体" w:cs="Times New Roman"/>
          <w:highlight w:val="none"/>
        </w:rPr>
        <w:t>二、</w:t>
      </w:r>
      <w:r>
        <w:rPr>
          <w:rFonts w:hint="default" w:ascii="Times New Roman" w:hAnsi="Times New Roman" w:eastAsia="黑体" w:cs="Times New Roman"/>
          <w:highlight w:val="none"/>
          <w:lang w:eastAsia="zh-CN"/>
        </w:rPr>
        <w:t>评价实施</w:t>
      </w:r>
    </w:p>
    <w:p w14:paraId="499E99EB">
      <w:pPr>
        <w:keepNext w:val="0"/>
        <w:keepLines w:val="0"/>
        <w:pageBreakBefore w:val="0"/>
        <w:widowControl w:val="0"/>
        <w:kinsoku/>
        <w:wordWrap/>
        <w:overflowPunct/>
        <w:topLinePunct w:val="0"/>
        <w:autoSpaceDE/>
        <w:autoSpaceDN/>
        <w:bidi w:val="0"/>
        <w:spacing w:line="578" w:lineRule="exact"/>
        <w:ind w:firstLine="643" w:firstLineChars="200"/>
        <w:textAlignment w:val="auto"/>
        <w:outlineLvl w:val="1"/>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（一）评价目的。</w:t>
      </w:r>
    </w:p>
    <w:p w14:paraId="0809A31A">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szCs w:val="32"/>
        </w:rPr>
      </w:pPr>
      <w:r>
        <w:rPr>
          <w:rFonts w:hint="default" w:ascii="Times New Roman" w:hAnsi="Times New Roman" w:cs="Times New Roman"/>
          <w:szCs w:val="32"/>
          <w:lang w:eastAsia="zh-CN"/>
        </w:rPr>
        <w:t>通过项目绩效自评，旨在全面、客观地衡量项目实施效果，对照既定目标检查任务完成情况与资金使用效益，精准查找项目执行过程中在管理、实施、成效等方面存在的问题与不足。同时，总结经验做法，为优化项目设计、完善管理制度、提高资金配置效率提供依据，强化绩效意识与责任担当，提升</w:t>
      </w:r>
      <w:r>
        <w:rPr>
          <w:rFonts w:hint="eastAsia" w:cs="Times New Roman"/>
          <w:szCs w:val="32"/>
          <w:lang w:eastAsia="zh-CN"/>
        </w:rPr>
        <w:t>我局</w:t>
      </w:r>
      <w:r>
        <w:rPr>
          <w:rFonts w:hint="eastAsia" w:cs="Times New Roman"/>
          <w:szCs w:val="32"/>
          <w:lang w:val="en-US" w:eastAsia="zh-CN"/>
        </w:rPr>
        <w:t>项目</w:t>
      </w:r>
      <w:r>
        <w:rPr>
          <w:rFonts w:hint="default" w:ascii="Times New Roman" w:hAnsi="Times New Roman" w:cs="Times New Roman"/>
          <w:szCs w:val="32"/>
          <w:lang w:eastAsia="zh-CN"/>
        </w:rPr>
        <w:t>管理水平，确保项目目标可持续实现，为后续同类项目决策和改进提供参考，推动项目管理规范化、科学化发展。</w:t>
      </w:r>
    </w:p>
    <w:p w14:paraId="7F75215F">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1"/>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（二）预设问题及评价重点。</w:t>
      </w:r>
    </w:p>
    <w:p w14:paraId="3DC06C68">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default" w:ascii="Times New Roman" w:hAnsi="Times New Roman" w:eastAsia="仿宋_GB2312" w:cs="Times New Roman"/>
          <w:szCs w:val="32"/>
          <w:lang w:eastAsia="zh-CN"/>
        </w:rPr>
      </w:pPr>
      <w:r>
        <w:rPr>
          <w:rFonts w:hint="eastAsia" w:cs="Times New Roman"/>
          <w:szCs w:val="32"/>
          <w:lang w:val="en-US" w:eastAsia="zh-CN"/>
        </w:rPr>
        <w:t>本项目绩效评价聚焦资金使用全流程及项目实施效果两大核心，重点关注六方面内容：一是项目决策程序是否严密合规，规划论证是否符合中省州相关要求、绩效目标设置是否科学合理；二是资金投向是否匹配项目整体规划，是否聚焦监管重点领域和关键环节；三是项目管理制度办法是否健全完善，资金分配是否科学合理，绩效监管是否到位有效；四是预算执行是否及时到位、资金使用是否合规规范；五是各项绩效目标是否按期完成、完成时效是否达标；六是项目实施的社会效益、产业效益是否充分发挥</w:t>
      </w:r>
      <w:r>
        <w:rPr>
          <w:rFonts w:hint="default" w:ascii="Times New Roman" w:hAnsi="Times New Roman" w:eastAsia="仿宋_GB2312" w:cs="Times New Roman"/>
          <w:szCs w:val="32"/>
          <w:lang w:eastAsia="zh-CN"/>
        </w:rPr>
        <w:t>。</w:t>
      </w:r>
    </w:p>
    <w:p w14:paraId="3598174C">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1"/>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（三）评价选点。</w:t>
      </w:r>
    </w:p>
    <w:p w14:paraId="5D9A0AFE">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default" w:ascii="Times New Roman" w:hAnsi="Times New Roman" w:cs="Times New Roman"/>
          <w:szCs w:val="32"/>
          <w:lang w:val="zh-CN" w:eastAsia="zh-CN"/>
        </w:rPr>
      </w:pPr>
      <w:r>
        <w:rPr>
          <w:rFonts w:hint="eastAsia" w:cs="Times New Roman"/>
          <w:szCs w:val="32"/>
          <w:lang w:val="zh-CN" w:eastAsia="zh-CN"/>
        </w:rPr>
        <w:t>由于我局作为</w:t>
      </w:r>
      <w:r>
        <w:rPr>
          <w:rFonts w:hint="eastAsia" w:cs="Times New Roman"/>
          <w:szCs w:val="32"/>
          <w:lang w:val="en-US" w:eastAsia="zh-CN"/>
        </w:rPr>
        <w:t>本</w:t>
      </w:r>
      <w:r>
        <w:rPr>
          <w:rFonts w:hint="eastAsia" w:cs="Times New Roman"/>
          <w:szCs w:val="32"/>
          <w:lang w:val="zh-CN" w:eastAsia="zh-CN"/>
        </w:rPr>
        <w:t>项目资金的末端使用单位，项目实施地点集中在</w:t>
      </w:r>
      <w:r>
        <w:rPr>
          <w:rFonts w:hint="eastAsia" w:cs="Times New Roman"/>
          <w:szCs w:val="32"/>
          <w:lang w:val="en-US" w:eastAsia="zh-CN"/>
        </w:rPr>
        <w:t>本局</w:t>
      </w:r>
      <w:r>
        <w:rPr>
          <w:rFonts w:hint="eastAsia" w:cs="Times New Roman"/>
          <w:szCs w:val="32"/>
          <w:lang w:val="zh-CN" w:eastAsia="zh-CN"/>
        </w:rPr>
        <w:t>，资金使用范围及业务开展均围绕单一主体开展，无多个实施点位或子项目需要抽样评估。因此，本次绩效自评未涉及抽样点位相关工作，而是采取全面核查的方式，对资金使用台账、项目执行档案、服务成效数据等进行全口径梳理，结合现场勘查等手段，对项目整体实施情况及绩效目标完成度进行综合评价，确保自评工作覆盖所有关键环节，客观反映资金使用效益与项目实施效果。</w:t>
      </w:r>
    </w:p>
    <w:p w14:paraId="18A1A5E6">
      <w:pPr>
        <w:keepNext w:val="0"/>
        <w:keepLines w:val="0"/>
        <w:pageBreakBefore w:val="0"/>
        <w:widowControl w:val="0"/>
        <w:numPr>
          <w:ilvl w:val="0"/>
          <w:numId w:val="5"/>
        </w:numPr>
        <w:kinsoku/>
        <w:wordWrap/>
        <w:overflowPunct/>
        <w:topLinePunct w:val="0"/>
        <w:autoSpaceDE/>
        <w:autoSpaceDN/>
        <w:bidi w:val="0"/>
        <w:spacing w:line="578" w:lineRule="exact"/>
        <w:ind w:firstLine="643" w:firstLineChars="200"/>
        <w:textAlignment w:val="auto"/>
        <w:outlineLvl w:val="1"/>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评价方法。</w:t>
      </w:r>
    </w:p>
    <w:p w14:paraId="41179965">
      <w:pPr>
        <w:keepNext w:val="0"/>
        <w:keepLines w:val="0"/>
        <w:pageBreakBefore w:val="0"/>
        <w:widowControl w:val="0"/>
        <w:kinsoku/>
        <w:wordWrap/>
        <w:overflowPunct/>
        <w:topLinePunct w:val="0"/>
        <w:autoSpaceDE/>
        <w:autoSpaceDN/>
        <w:bidi w:val="0"/>
        <w:spacing w:line="578" w:lineRule="exact"/>
        <w:ind w:firstLine="640" w:firstLineChars="200"/>
        <w:textAlignment w:val="auto"/>
        <w:outlineLvl w:val="9"/>
        <w:rPr>
          <w:rFonts w:eastAsia="仿宋_GB2312" w:cs="Times New Roman"/>
          <w:szCs w:val="32"/>
          <w:lang w:val="zh-CN"/>
        </w:rPr>
      </w:pPr>
      <w:r>
        <w:rPr>
          <w:rFonts w:hint="eastAsia" w:cs="Times New Roman"/>
          <w:szCs w:val="32"/>
          <w:lang w:val="en-US" w:eastAsia="zh-CN"/>
        </w:rPr>
        <w:t>我局根据项目</w:t>
      </w:r>
      <w:r>
        <w:rPr>
          <w:rFonts w:hint="default" w:ascii="Times New Roman" w:hAnsi="Times New Roman" w:eastAsia="仿宋_GB2312" w:cs="Times New Roman"/>
          <w:szCs w:val="32"/>
        </w:rPr>
        <w:t>情况和评价重点，</w:t>
      </w:r>
      <w:r>
        <w:rPr>
          <w:rFonts w:hint="eastAsia" w:cs="Times New Roman"/>
          <w:szCs w:val="32"/>
          <w:lang w:val="en-US" w:eastAsia="zh-CN"/>
        </w:rPr>
        <w:t>主要</w:t>
      </w:r>
      <w:r>
        <w:rPr>
          <w:rFonts w:hint="default" w:ascii="Times New Roman" w:hAnsi="Times New Roman" w:eastAsia="仿宋_GB2312" w:cs="Times New Roman"/>
          <w:szCs w:val="32"/>
        </w:rPr>
        <w:t>采用成本效益分析法</w:t>
      </w:r>
      <w:r>
        <w:rPr>
          <w:rFonts w:eastAsia="仿宋_GB2312" w:cs="Times New Roman"/>
          <w:szCs w:val="32"/>
          <w:lang w:val="zh-CN"/>
        </w:rPr>
        <w:t>、比较法、因素分析法、询问查证法等</w:t>
      </w:r>
      <w:r>
        <w:rPr>
          <w:rFonts w:hint="eastAsia" w:cs="Times New Roman"/>
          <w:szCs w:val="32"/>
          <w:lang w:val="en-US" w:eastAsia="zh-CN"/>
        </w:rPr>
        <w:t>评价方法</w:t>
      </w:r>
      <w:r>
        <w:rPr>
          <w:rFonts w:eastAsia="仿宋_GB2312" w:cs="Times New Roman"/>
          <w:szCs w:val="32"/>
          <w:lang w:val="zh-CN"/>
        </w:rPr>
        <w:t>。</w:t>
      </w:r>
    </w:p>
    <w:p w14:paraId="74C4E213">
      <w:pPr>
        <w:keepNext w:val="0"/>
        <w:keepLines w:val="0"/>
        <w:pageBreakBefore w:val="0"/>
        <w:widowControl w:val="0"/>
        <w:kinsoku/>
        <w:wordWrap/>
        <w:overflowPunct/>
        <w:topLinePunct w:val="0"/>
        <w:autoSpaceDE/>
        <w:autoSpaceDN/>
        <w:bidi w:val="0"/>
        <w:spacing w:line="578" w:lineRule="exact"/>
        <w:ind w:firstLine="640" w:firstLineChars="200"/>
        <w:textAlignment w:val="auto"/>
        <w:outlineLvl w:val="9"/>
        <w:rPr>
          <w:rFonts w:ascii="Times New Roman" w:hAnsi="Times New Roman" w:eastAsia="仿宋_GB2312" w:cs="Times New Roman"/>
          <w:szCs w:val="32"/>
          <w:lang w:val="zh-CN"/>
        </w:rPr>
      </w:pPr>
      <w:r>
        <w:rPr>
          <w:rFonts w:ascii="Times New Roman" w:hAnsi="Times New Roman" w:cs="Times New Roman"/>
          <w:szCs w:val="32"/>
          <w:lang w:val="en-US" w:eastAsia="zh-CN"/>
        </w:rPr>
        <w:t>1.</w:t>
      </w:r>
      <w:r>
        <w:rPr>
          <w:rFonts w:ascii="Times New Roman" w:hAnsi="Times New Roman" w:eastAsia="仿宋_GB2312" w:cs="Times New Roman"/>
          <w:szCs w:val="32"/>
          <w:lang w:val="zh-CN"/>
        </w:rPr>
        <w:t>成本效益法。通过将一定时期内的支出所产生的效益与付出的成本进行对比分析，从而评价项目绩效的方法。</w:t>
      </w:r>
    </w:p>
    <w:p w14:paraId="125AF9AF">
      <w:pPr>
        <w:keepNext w:val="0"/>
        <w:keepLines w:val="0"/>
        <w:pageBreakBefore w:val="0"/>
        <w:widowControl w:val="0"/>
        <w:kinsoku/>
        <w:wordWrap/>
        <w:overflowPunct/>
        <w:topLinePunct w:val="0"/>
        <w:autoSpaceDE/>
        <w:autoSpaceDN/>
        <w:bidi w:val="0"/>
        <w:spacing w:line="578" w:lineRule="exact"/>
        <w:ind w:firstLine="640" w:firstLineChars="200"/>
        <w:textAlignment w:val="auto"/>
        <w:outlineLvl w:val="9"/>
        <w:rPr>
          <w:rFonts w:eastAsia="仿宋_GB2312" w:cs="Times New Roman"/>
          <w:szCs w:val="32"/>
          <w:lang w:val="zh-CN"/>
        </w:rPr>
      </w:pPr>
      <w:r>
        <w:rPr>
          <w:rFonts w:ascii="Times New Roman" w:hAnsi="Times New Roman" w:cs="Times New Roman"/>
          <w:szCs w:val="32"/>
          <w:lang w:val="en-US" w:eastAsia="zh-CN"/>
        </w:rPr>
        <w:t>2.</w:t>
      </w:r>
      <w:r>
        <w:rPr>
          <w:rFonts w:ascii="Times New Roman" w:hAnsi="Times New Roman" w:eastAsia="仿宋_GB2312" w:cs="Times New Roman"/>
          <w:szCs w:val="32"/>
          <w:lang w:val="zh-CN"/>
        </w:rPr>
        <w:t>比较法。通过对绩效目标与实施效果、历史与当期情况、不同</w:t>
      </w:r>
      <w:r>
        <w:rPr>
          <w:rFonts w:eastAsia="仿宋_GB2312" w:cs="Times New Roman"/>
          <w:szCs w:val="32"/>
          <w:lang w:val="zh-CN"/>
        </w:rPr>
        <w:t>部门和地区同类支出的比较，综合分析绩效目标实现程度。</w:t>
      </w:r>
    </w:p>
    <w:p w14:paraId="2B69A9C4">
      <w:pPr>
        <w:keepNext w:val="0"/>
        <w:keepLines w:val="0"/>
        <w:pageBreakBefore w:val="0"/>
        <w:widowControl w:val="0"/>
        <w:kinsoku/>
        <w:wordWrap/>
        <w:overflowPunct/>
        <w:topLinePunct w:val="0"/>
        <w:autoSpaceDE/>
        <w:autoSpaceDN/>
        <w:bidi w:val="0"/>
        <w:spacing w:line="578" w:lineRule="exact"/>
        <w:ind w:firstLine="640" w:firstLineChars="200"/>
        <w:textAlignment w:val="auto"/>
        <w:outlineLvl w:val="9"/>
        <w:rPr>
          <w:rFonts w:eastAsia="仿宋_GB2312" w:cs="Times New Roman"/>
          <w:szCs w:val="32"/>
          <w:lang w:val="zh-CN"/>
        </w:rPr>
      </w:pPr>
      <w:r>
        <w:rPr>
          <w:rFonts w:hint="eastAsia" w:cs="Times New Roman"/>
          <w:szCs w:val="32"/>
          <w:lang w:val="en-US" w:eastAsia="zh-CN"/>
        </w:rPr>
        <w:t>3.</w:t>
      </w:r>
      <w:r>
        <w:rPr>
          <w:rFonts w:eastAsia="仿宋_GB2312" w:cs="Times New Roman"/>
          <w:szCs w:val="32"/>
          <w:lang w:val="zh-CN"/>
        </w:rPr>
        <w:t>因素分析法。通过综合分析影响绩效目标实现、实施效果的内外因素，评价绩效目标实现程度；通过列举所有影响成本与收益的因素，进行全面、综合地分析，从而得出评价结果的方法。</w:t>
      </w:r>
    </w:p>
    <w:p w14:paraId="3C0C68AF">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szCs w:val="32"/>
          <w:lang w:eastAsia="zh-CN"/>
        </w:rPr>
      </w:pPr>
      <w:r>
        <w:rPr>
          <w:rFonts w:hint="eastAsia" w:cs="Times New Roman"/>
          <w:szCs w:val="32"/>
          <w:lang w:val="en-US" w:eastAsia="zh-CN"/>
        </w:rPr>
        <w:t>4.</w:t>
      </w:r>
      <w:r>
        <w:rPr>
          <w:rFonts w:eastAsia="仿宋_GB2312" w:cs="Times New Roman"/>
          <w:szCs w:val="32"/>
          <w:lang w:val="zh-CN"/>
        </w:rPr>
        <w:t>询问查证法。通过与评价客体直接或间接，以口头、书面、座谈等方式了解有关情况，从而形成判断的方法</w:t>
      </w:r>
      <w:r>
        <w:rPr>
          <w:rFonts w:eastAsia="仿宋_GB2312" w:cs="Times New Roman"/>
          <w:szCs w:val="32"/>
          <w:lang w:eastAsia="zh-CN"/>
        </w:rPr>
        <w:t>。</w:t>
      </w:r>
    </w:p>
    <w:p w14:paraId="44DCEB62">
      <w:pPr>
        <w:keepNext w:val="0"/>
        <w:keepLines w:val="0"/>
        <w:pageBreakBefore w:val="0"/>
        <w:widowControl w:val="0"/>
        <w:numPr>
          <w:ilvl w:val="0"/>
          <w:numId w:val="5"/>
        </w:numPr>
        <w:kinsoku/>
        <w:wordWrap/>
        <w:overflowPunct/>
        <w:topLinePunct w:val="0"/>
        <w:autoSpaceDE/>
        <w:autoSpaceDN/>
        <w:bidi w:val="0"/>
        <w:spacing w:line="578" w:lineRule="exact"/>
        <w:ind w:left="0" w:leftChars="0" w:firstLine="643" w:firstLineChars="200"/>
        <w:textAlignment w:val="auto"/>
        <w:outlineLvl w:val="1"/>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评价组织。</w:t>
      </w:r>
    </w:p>
    <w:p w14:paraId="4AAB321A">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cs="Times New Roman"/>
          <w:szCs w:val="32"/>
          <w:lang w:val="en-US" w:eastAsia="zh-CN"/>
        </w:rPr>
      </w:pPr>
      <w:r>
        <w:rPr>
          <w:rFonts w:hint="default" w:ascii="Times New Roman" w:hAnsi="Times New Roman" w:cs="Times New Roman"/>
          <w:szCs w:val="32"/>
          <w:lang w:val="en-US" w:eastAsia="zh-CN"/>
        </w:rPr>
        <w:t>评价组由</w:t>
      </w:r>
      <w:r>
        <w:rPr>
          <w:rFonts w:hint="eastAsia" w:ascii="Times New Roman" w:hAnsi="Times New Roman" w:cs="Times New Roman"/>
          <w:szCs w:val="32"/>
          <w:lang w:val="en-US" w:eastAsia="zh-CN"/>
        </w:rPr>
        <w:t>我局</w:t>
      </w:r>
      <w:r>
        <w:rPr>
          <w:rFonts w:hint="default" w:ascii="Times New Roman" w:hAnsi="Times New Roman" w:cs="Times New Roman"/>
          <w:szCs w:val="32"/>
          <w:lang w:val="en-US" w:eastAsia="zh-CN"/>
        </w:rPr>
        <w:t>财务部门及业务部门人员共同组成，涵盖项目管理、资金监管、业务执行、绩效评估等多方面职能。其中，财务</w:t>
      </w:r>
      <w:r>
        <w:rPr>
          <w:rFonts w:hint="eastAsia" w:ascii="Times New Roman" w:hAnsi="Times New Roman" w:cs="Times New Roman"/>
          <w:szCs w:val="32"/>
          <w:lang w:val="en-US" w:eastAsia="zh-CN"/>
        </w:rPr>
        <w:t>部门</w:t>
      </w:r>
      <w:r>
        <w:rPr>
          <w:rFonts w:hint="default" w:ascii="Times New Roman" w:hAnsi="Times New Roman" w:cs="Times New Roman"/>
          <w:szCs w:val="32"/>
          <w:lang w:val="en-US" w:eastAsia="zh-CN"/>
        </w:rPr>
        <w:t>人员负责统筹自评工作，制定评价方案，把控整体进度与质量</w:t>
      </w:r>
      <w:r>
        <w:rPr>
          <w:rFonts w:hint="eastAsia" w:ascii="Times New Roman" w:hAnsi="Times New Roman" w:cs="Times New Roman"/>
          <w:szCs w:val="32"/>
          <w:lang w:val="en-US" w:eastAsia="zh-CN"/>
        </w:rPr>
        <w:t>，</w:t>
      </w:r>
      <w:r>
        <w:rPr>
          <w:rFonts w:hint="default" w:ascii="Times New Roman" w:hAnsi="Times New Roman" w:cs="Times New Roman"/>
          <w:szCs w:val="32"/>
          <w:lang w:val="en-US" w:eastAsia="zh-CN"/>
        </w:rPr>
        <w:t>重点核查资金使用合规性，审查预算执行、财务台账及报销凭证，确保资金管理规范透明；业务部门人员聚焦项目实施成效，对具体任务完成情况进行现场勘查与数据核验，评估业务目标达成度；行政人员负责资料收集整理、会议记录及对外协调，保障自评工作各环节衔接顺畅。各组员按职责分工协同开展工作，确保自评结果客观、全面、科学。</w:t>
      </w:r>
    </w:p>
    <w:p w14:paraId="14CECC2B">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outlineLvl w:val="0"/>
        <w:rPr>
          <w:rFonts w:hint="default" w:ascii="Times New Roman" w:hAnsi="Times New Roman" w:cs="Times New Roman"/>
          <w:color w:val="auto"/>
          <w:sz w:val="32"/>
          <w:szCs w:val="32"/>
          <w:highlight w:val="none"/>
          <w:u w:val="none"/>
          <w:lang w:val="zh-CN"/>
        </w:rPr>
      </w:pPr>
      <w:r>
        <w:rPr>
          <w:rFonts w:hint="default" w:ascii="Times New Roman" w:hAnsi="Times New Roman" w:eastAsia="黑体" w:cs="Times New Roman"/>
          <w:color w:val="auto"/>
          <w:sz w:val="32"/>
          <w:szCs w:val="32"/>
          <w:highlight w:val="none"/>
          <w:u w:val="none"/>
        </w:rPr>
        <w:t>三、</w:t>
      </w:r>
      <w:r>
        <w:rPr>
          <w:rFonts w:hint="default" w:ascii="Times New Roman" w:hAnsi="Times New Roman" w:eastAsia="黑体" w:cs="Times New Roman"/>
          <w:color w:val="auto"/>
          <w:sz w:val="32"/>
          <w:szCs w:val="32"/>
          <w:highlight w:val="none"/>
          <w:u w:val="none"/>
          <w:lang w:eastAsia="zh-CN"/>
        </w:rPr>
        <w:t>绩效分析</w:t>
      </w:r>
      <w:r>
        <w:rPr>
          <w:rFonts w:hint="default" w:ascii="Times New Roman" w:hAnsi="Times New Roman" w:cs="Times New Roman"/>
          <w:color w:val="auto"/>
          <w:sz w:val="32"/>
          <w:szCs w:val="32"/>
          <w:highlight w:val="none"/>
          <w:u w:val="none"/>
          <w:lang w:val="zh-CN"/>
        </w:rPr>
        <w:tab/>
      </w:r>
    </w:p>
    <w:p w14:paraId="154006A8">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outlineLvl w:val="1"/>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zh-CN"/>
        </w:rPr>
        <w:t>（一）</w:t>
      </w:r>
      <w:r>
        <w:rPr>
          <w:rFonts w:hint="default"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Cs w:val="32"/>
          <w:highlight w:val="none"/>
          <w:shd w:val="clear" w:color="auto" w:fill="FFFFFF"/>
          <w:lang w:val="zh-CN"/>
        </w:rPr>
        <w:t>绩效分析。</w:t>
      </w:r>
    </w:p>
    <w:p w14:paraId="5389977A">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2"/>
        <w:rPr>
          <w:rFonts w:hint="default" w:ascii="Times New Roman" w:hAnsi="Times New Roman" w:cs="Times New Roman"/>
          <w:color w:val="auto"/>
          <w:szCs w:val="32"/>
          <w:highlight w:val="none"/>
          <w:lang w:eastAsia="zh-CN"/>
        </w:rPr>
      </w:pPr>
      <w:r>
        <w:rPr>
          <w:rFonts w:hint="eastAsia" w:cs="Times New Roman"/>
          <w:color w:val="auto"/>
          <w:szCs w:val="32"/>
          <w:highlight w:val="none"/>
          <w:lang w:eastAsia="zh-CN"/>
        </w:rPr>
        <w:t>（</w:t>
      </w:r>
      <w:r>
        <w:rPr>
          <w:rFonts w:hint="eastAsia" w:cs="Times New Roman"/>
          <w:color w:val="auto"/>
          <w:szCs w:val="32"/>
          <w:highlight w:val="none"/>
          <w:lang w:val="en-US" w:eastAsia="zh-CN"/>
        </w:rPr>
        <w:t>1</w:t>
      </w:r>
      <w:r>
        <w:rPr>
          <w:rFonts w:hint="eastAsia" w:cs="Times New Roman"/>
          <w:color w:val="auto"/>
          <w:szCs w:val="32"/>
          <w:highlight w:val="none"/>
          <w:lang w:eastAsia="zh-CN"/>
        </w:rPr>
        <w:t>）</w:t>
      </w:r>
      <w:r>
        <w:rPr>
          <w:rFonts w:hint="default" w:ascii="Times New Roman" w:hAnsi="Times New Roman" w:cs="Times New Roman"/>
          <w:color w:val="auto"/>
          <w:szCs w:val="32"/>
          <w:highlight w:val="none"/>
          <w:lang w:eastAsia="zh-CN"/>
        </w:rPr>
        <w:t>决策程序</w:t>
      </w:r>
    </w:p>
    <w:p w14:paraId="275AC113">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cs="Times New Roman"/>
          <w:color w:val="auto"/>
          <w:szCs w:val="32"/>
          <w:lang w:val="en-US" w:eastAsia="zh-CN"/>
        </w:rPr>
      </w:pPr>
      <w:r>
        <w:rPr>
          <w:rFonts w:hint="eastAsia" w:cs="Times New Roman"/>
          <w:color w:val="auto"/>
          <w:szCs w:val="32"/>
          <w:lang w:val="en-US" w:eastAsia="zh-CN"/>
        </w:rPr>
        <w:t>我局严格按照省级市场监管专项资金管理规定及项目立项相关要求，完成项目立项申请、规划论证、预算编制、审批报备等全流程工作，决策程序严密、合规，无程序疏漏、违规立项等问题，完全符合财政资金管理和项目决策规范。</w:t>
      </w:r>
    </w:p>
    <w:p w14:paraId="326B5AF4">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cs="Times New Roman"/>
          <w:color w:val="auto"/>
          <w:szCs w:val="32"/>
          <w:lang w:val="en-US" w:eastAsia="zh-CN"/>
        </w:rPr>
      </w:pPr>
      <w:r>
        <w:rPr>
          <w:rFonts w:hint="eastAsia" w:cs="Times New Roman"/>
          <w:color w:val="auto"/>
          <w:szCs w:val="32"/>
          <w:lang w:val="en-US" w:eastAsia="zh-CN"/>
        </w:rPr>
        <w:t>综上，根据评分标准，该项指标不扣分，得6分。</w:t>
      </w:r>
    </w:p>
    <w:p w14:paraId="2DACD438">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cs="Times New Roman"/>
          <w:color w:val="auto"/>
          <w:szCs w:val="32"/>
          <w:lang w:val="en-US" w:eastAsia="zh-CN"/>
        </w:rPr>
      </w:pPr>
      <w:r>
        <w:rPr>
          <w:rFonts w:hint="eastAsia" w:cs="Times New Roman"/>
          <w:color w:val="auto"/>
          <w:szCs w:val="32"/>
          <w:lang w:val="en-US" w:eastAsia="zh-CN"/>
        </w:rPr>
        <w:t>（2）规划论证</w:t>
      </w:r>
    </w:p>
    <w:p w14:paraId="2ED13E3C">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项目规划完全符合中央、省委、省政府及州委、州政府关于市场监管工作的决策部署和年度安排</w:t>
      </w:r>
      <w:r>
        <w:rPr>
          <w:rFonts w:hint="eastAsia" w:cs="Times New Roman"/>
          <w:color w:val="auto"/>
          <w:szCs w:val="32"/>
          <w:lang w:val="en-US" w:eastAsia="zh-CN"/>
        </w:rPr>
        <w:t>，在</w:t>
      </w:r>
      <w:r>
        <w:rPr>
          <w:rFonts w:hint="eastAsia" w:ascii="Times New Roman" w:hAnsi="Times New Roman" w:cs="Times New Roman"/>
          <w:color w:val="auto"/>
          <w:szCs w:val="32"/>
          <w:lang w:val="en-US" w:eastAsia="zh-CN"/>
        </w:rPr>
        <w:t>立项阶段充分开展了必要性、可行性、前瞻性评估论证，设置了整体绩效目标和具体量化指标，但存在部分可持续影响指标与基层监管实际结合不够紧密，对偏远区域监管差异化需求考量不足的问题。</w:t>
      </w:r>
    </w:p>
    <w:p w14:paraId="61063B80">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cs="Times New Roman"/>
          <w:color w:val="auto"/>
          <w:szCs w:val="32"/>
          <w:lang w:val="en-US" w:eastAsia="zh-CN"/>
        </w:rPr>
      </w:pPr>
      <w:r>
        <w:rPr>
          <w:rFonts w:hint="eastAsia" w:cs="Times New Roman"/>
          <w:color w:val="auto"/>
          <w:szCs w:val="32"/>
          <w:lang w:val="en-US" w:eastAsia="zh-CN"/>
        </w:rPr>
        <w:t>综上，根据评分标准，该项指标扣1.5分，得4.5分。</w:t>
      </w:r>
    </w:p>
    <w:p w14:paraId="3D7950F2">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cs="Times New Roman"/>
          <w:color w:val="auto"/>
          <w:szCs w:val="32"/>
          <w:lang w:val="en-US" w:eastAsia="zh-CN"/>
        </w:rPr>
      </w:pPr>
      <w:r>
        <w:rPr>
          <w:rFonts w:hint="eastAsia" w:cs="Times New Roman"/>
          <w:color w:val="auto"/>
          <w:szCs w:val="32"/>
          <w:lang w:val="en-US" w:eastAsia="zh-CN"/>
        </w:rPr>
        <w:t>（3）资金投向</w:t>
      </w:r>
    </w:p>
    <w:p w14:paraId="0C149186">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项目资金使用严格遵循国家市场监管相关政策及专项资金管理要求，投向属于市场监管法定职责范围，与财政事权支出责任界定完全匹配，优先保障安全监管、执法整治等核心工作；但存在少量基层建设经费与部分监管所实际改造需求衔接不够精准的问题，资金投放针对性有待进一步提升。</w:t>
      </w:r>
    </w:p>
    <w:p w14:paraId="36F30A72">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cs="Times New Roman"/>
          <w:color w:val="auto"/>
          <w:szCs w:val="32"/>
          <w:lang w:val="en-US" w:eastAsia="zh-CN"/>
        </w:rPr>
      </w:pPr>
      <w:r>
        <w:rPr>
          <w:rFonts w:hint="eastAsia" w:cs="Times New Roman"/>
          <w:color w:val="auto"/>
          <w:szCs w:val="32"/>
          <w:lang w:val="en-US" w:eastAsia="zh-CN"/>
        </w:rPr>
        <w:t>综上，根据评分标准，该项指标扣1分，得5分。</w:t>
      </w:r>
    </w:p>
    <w:p w14:paraId="014FABE2">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eastAsia="楷体_GB2312" w:cs="Times New Roman"/>
          <w:color w:val="auto"/>
          <w:szCs w:val="32"/>
          <w:lang w:eastAsia="zh-CN"/>
        </w:rPr>
      </w:pPr>
      <w:r>
        <w:rPr>
          <w:rFonts w:hint="default" w:ascii="Times New Roman" w:hAnsi="Times New Roman" w:eastAsia="楷体_GB2312" w:cs="Times New Roman"/>
          <w:color w:val="auto"/>
          <w:szCs w:val="32"/>
          <w:lang w:val="en-US" w:eastAsia="zh-CN"/>
        </w:rPr>
        <w:t>2.</w:t>
      </w:r>
      <w:r>
        <w:rPr>
          <w:rFonts w:hint="default" w:ascii="Times New Roman" w:hAnsi="Times New Roman" w:eastAsia="楷体_GB2312" w:cs="Times New Roman"/>
          <w:color w:val="auto"/>
          <w:szCs w:val="32"/>
          <w:lang w:eastAsia="zh-CN"/>
        </w:rPr>
        <w:t>项目管理</w:t>
      </w:r>
    </w:p>
    <w:p w14:paraId="54E188E8">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cs="Times New Roman"/>
          <w:color w:val="auto"/>
          <w:szCs w:val="32"/>
          <w:lang w:eastAsia="zh-CN"/>
        </w:rPr>
      </w:pPr>
      <w:r>
        <w:rPr>
          <w:rFonts w:hint="eastAsia" w:cs="Times New Roman"/>
          <w:color w:val="auto"/>
          <w:szCs w:val="32"/>
          <w:lang w:eastAsia="zh-CN"/>
        </w:rPr>
        <w:t>（</w:t>
      </w:r>
      <w:r>
        <w:rPr>
          <w:rFonts w:hint="eastAsia" w:cs="Times New Roman"/>
          <w:color w:val="auto"/>
          <w:szCs w:val="32"/>
          <w:lang w:val="en-US" w:eastAsia="zh-CN"/>
        </w:rPr>
        <w:t>1</w:t>
      </w:r>
      <w:r>
        <w:rPr>
          <w:rFonts w:hint="eastAsia" w:cs="Times New Roman"/>
          <w:color w:val="auto"/>
          <w:szCs w:val="32"/>
          <w:lang w:eastAsia="zh-CN"/>
        </w:rPr>
        <w:t>）</w:t>
      </w:r>
      <w:r>
        <w:rPr>
          <w:rFonts w:hint="default" w:ascii="Times New Roman" w:hAnsi="Times New Roman" w:cs="Times New Roman"/>
          <w:color w:val="auto"/>
          <w:szCs w:val="32"/>
          <w:lang w:eastAsia="zh-CN"/>
        </w:rPr>
        <w:t>制度办法</w:t>
      </w:r>
    </w:p>
    <w:p w14:paraId="68B0E013">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我局构建完善项目资金管理制度体系，依据相关法规和财政预算管理要求、单位内部控制相关制度进行项目管理，制度覆盖资金管理全流程，定期更新并严格执行，无制度缺失或过期问题，形成“事前、事中、事后”规范管理机制，为资金安全及项目实施提供坚实制度保障。</w:t>
      </w:r>
    </w:p>
    <w:p w14:paraId="7C425F0E">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cs="Times New Roman"/>
          <w:color w:val="auto"/>
          <w:szCs w:val="32"/>
          <w:lang w:val="en-US" w:eastAsia="zh-CN"/>
        </w:rPr>
      </w:pPr>
      <w:r>
        <w:rPr>
          <w:rFonts w:hint="eastAsia" w:cs="Times New Roman"/>
          <w:color w:val="auto"/>
          <w:szCs w:val="32"/>
          <w:lang w:val="en-US" w:eastAsia="zh-CN"/>
        </w:rPr>
        <w:t>综上，根据评分标准，该项指标不扣分，得2分。</w:t>
      </w:r>
    </w:p>
    <w:p w14:paraId="4D9EC7D3">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（2）分配管理</w:t>
      </w:r>
    </w:p>
    <w:p w14:paraId="1B591561">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我局</w:t>
      </w:r>
      <w:r>
        <w:rPr>
          <w:rFonts w:hint="default" w:ascii="Times New Roman" w:hAnsi="Times New Roman" w:cs="Times New Roman"/>
          <w:color w:val="auto"/>
          <w:szCs w:val="32"/>
          <w:lang w:val="en-US" w:eastAsia="zh-CN"/>
        </w:rPr>
        <w:t>作为本项目资金的末端使用单位，严格按管理办法及任务权重分配使用项目资金，分配因素充分考虑区域监管需求与工作重点，决策程序符合管理要求，资金支出及时高效，无分配不合理问题</w:t>
      </w:r>
      <w:r>
        <w:rPr>
          <w:rFonts w:hint="eastAsia" w:ascii="Times New Roman" w:hAnsi="Times New Roman" w:cs="Times New Roman"/>
          <w:color w:val="auto"/>
          <w:szCs w:val="32"/>
          <w:lang w:val="en-US" w:eastAsia="zh-CN"/>
        </w:rPr>
        <w:t>。</w:t>
      </w:r>
    </w:p>
    <w:p w14:paraId="5A77A136">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cs="Times New Roman"/>
          <w:color w:val="auto"/>
          <w:szCs w:val="32"/>
          <w:lang w:val="en-US" w:eastAsia="zh-CN"/>
        </w:rPr>
      </w:pPr>
      <w:r>
        <w:rPr>
          <w:rFonts w:hint="eastAsia" w:cs="Times New Roman"/>
          <w:color w:val="auto"/>
          <w:szCs w:val="32"/>
          <w:lang w:val="en-US" w:eastAsia="zh-CN"/>
        </w:rPr>
        <w:t>综上，根据评分标准，该项指标不扣分，得10分。</w:t>
      </w:r>
    </w:p>
    <w:p w14:paraId="4FB79641">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（3）绩效监管</w:t>
      </w:r>
    </w:p>
    <w:p w14:paraId="7D1B0679">
      <w:pPr>
        <w:keepNext w:val="0"/>
        <w:keepLines w:val="0"/>
        <w:pageBreakBefore w:val="0"/>
        <w:widowControl w:val="0"/>
        <w:kinsoku/>
        <w:wordWrap/>
        <w:overflowPunct/>
        <w:topLinePunct w:val="0"/>
        <w:autoSpaceDE/>
        <w:autoSpaceDN/>
        <w:bidi w:val="0"/>
        <w:adjustRightInd/>
        <w:snapToGrid/>
        <w:spacing w:line="578" w:lineRule="exact"/>
        <w:textAlignment w:val="auto"/>
        <w:outlineLvl w:val="9"/>
        <w:rPr>
          <w:rFonts w:hint="eastAsia"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我局严格落实中省预算绩效管理要求，全面完成绩效目标设定、事前评估、绩效评价及历史问题整改等预算绩效管理工作，构建全流程管理体系。上级主管部门对资金分配、项目管理指导到位，常态化开展监督评价，无履职缺位，但存在绩效监控数据动态更新不够及时的问题。</w:t>
      </w:r>
    </w:p>
    <w:p w14:paraId="646CC6B3">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cs="Times New Roman"/>
          <w:color w:val="auto"/>
          <w:szCs w:val="32"/>
          <w:lang w:val="en-US" w:eastAsia="zh-CN"/>
        </w:rPr>
      </w:pPr>
      <w:r>
        <w:rPr>
          <w:rFonts w:hint="eastAsia" w:cs="Times New Roman"/>
          <w:color w:val="auto"/>
          <w:szCs w:val="32"/>
          <w:lang w:val="en-US" w:eastAsia="zh-CN"/>
        </w:rPr>
        <w:t>综上，根据评分标准，该项指标扣1分，得5分。</w:t>
      </w:r>
    </w:p>
    <w:p w14:paraId="0D456EE6">
      <w:pPr>
        <w:keepNext w:val="0"/>
        <w:keepLines w:val="0"/>
        <w:pageBreakBefore w:val="0"/>
        <w:widowControl w:val="0"/>
        <w:kinsoku/>
        <w:wordWrap/>
        <w:overflowPunct/>
        <w:topLinePunct w:val="0"/>
        <w:autoSpaceDE/>
        <w:autoSpaceDN/>
        <w:bidi w:val="0"/>
        <w:adjustRightInd/>
        <w:snapToGrid/>
        <w:spacing w:line="578" w:lineRule="exact"/>
        <w:ind w:left="640" w:leftChars="200" w:firstLine="0" w:firstLineChars="0"/>
        <w:textAlignment w:val="auto"/>
        <w:outlineLvl w:val="9"/>
        <w:rPr>
          <w:rFonts w:hint="default" w:ascii="Times New Roman" w:hAnsi="Times New Roman" w:eastAsia="楷体_GB2312" w:cs="Times New Roman"/>
          <w:color w:val="auto"/>
          <w:szCs w:val="32"/>
          <w:lang w:val="en-US" w:eastAsia="zh-CN"/>
        </w:rPr>
      </w:pPr>
      <w:r>
        <w:rPr>
          <w:rFonts w:hint="default" w:ascii="Times New Roman" w:hAnsi="Times New Roman" w:eastAsia="楷体_GB2312" w:cs="Times New Roman"/>
          <w:color w:val="auto"/>
          <w:szCs w:val="32"/>
          <w:lang w:val="en-US" w:eastAsia="zh-CN"/>
        </w:rPr>
        <w:t>3.项目实施</w:t>
      </w:r>
    </w:p>
    <w:p w14:paraId="0CE962EF">
      <w:pPr>
        <w:keepNext w:val="0"/>
        <w:keepLines w:val="0"/>
        <w:pageBreakBefore w:val="0"/>
        <w:widowControl w:val="0"/>
        <w:kinsoku/>
        <w:wordWrap/>
        <w:overflowPunct/>
        <w:topLinePunct w:val="0"/>
        <w:autoSpaceDE/>
        <w:autoSpaceDN/>
        <w:bidi w:val="0"/>
        <w:adjustRightInd/>
        <w:snapToGrid/>
        <w:spacing w:line="578" w:lineRule="exact"/>
        <w:ind w:left="640" w:leftChars="200" w:firstLine="0" w:firstLineChars="0"/>
        <w:textAlignment w:val="auto"/>
        <w:outlineLvl w:val="9"/>
        <w:rPr>
          <w:rFonts w:hint="default" w:ascii="Times New Roman" w:hAnsi="Times New Roman" w:eastAsia="仿宋_GB2312" w:cs="Times New Roman"/>
          <w:color w:val="auto"/>
          <w:szCs w:val="32"/>
          <w:lang w:val="zh-CN" w:eastAsia="zh-CN"/>
        </w:rPr>
      </w:pPr>
      <w:r>
        <w:rPr>
          <w:rFonts w:hint="eastAsia" w:cs="Times New Roman"/>
          <w:color w:val="auto"/>
          <w:szCs w:val="32"/>
          <w:lang w:eastAsia="zh-CN"/>
        </w:rPr>
        <w:t>（</w:t>
      </w:r>
      <w:r>
        <w:rPr>
          <w:rFonts w:hint="eastAsia" w:cs="Times New Roman"/>
          <w:color w:val="auto"/>
          <w:szCs w:val="32"/>
          <w:lang w:val="en-US" w:eastAsia="zh-CN"/>
        </w:rPr>
        <w:t>1</w:t>
      </w:r>
      <w:r>
        <w:rPr>
          <w:rFonts w:hint="eastAsia" w:cs="Times New Roman"/>
          <w:color w:val="auto"/>
          <w:szCs w:val="32"/>
          <w:lang w:eastAsia="zh-CN"/>
        </w:rPr>
        <w:t>）</w:t>
      </w:r>
      <w:r>
        <w:rPr>
          <w:rFonts w:hint="default" w:ascii="Times New Roman" w:hAnsi="Times New Roman" w:cs="Times New Roman"/>
          <w:color w:val="auto"/>
          <w:szCs w:val="32"/>
          <w:lang w:eastAsia="zh-CN"/>
        </w:rPr>
        <w:t>预算</w:t>
      </w:r>
      <w:r>
        <w:rPr>
          <w:rFonts w:hint="default" w:ascii="Times New Roman" w:hAnsi="Times New Roman" w:eastAsia="仿宋_GB2312" w:cs="Times New Roman"/>
          <w:color w:val="auto"/>
          <w:szCs w:val="32"/>
          <w:lang w:val="zh-CN" w:eastAsia="zh-CN"/>
        </w:rPr>
        <w:t>执行</w:t>
      </w:r>
    </w:p>
    <w:p w14:paraId="24F229C7">
      <w:pPr>
        <w:keepNext w:val="0"/>
        <w:keepLines w:val="0"/>
        <w:pageBreakBefore w:val="0"/>
        <w:widowControl w:val="0"/>
        <w:kinsoku/>
        <w:wordWrap/>
        <w:overflowPunct/>
        <w:topLinePunct w:val="0"/>
        <w:autoSpaceDE/>
        <w:autoSpaceDN/>
        <w:bidi w:val="0"/>
        <w:adjustRightInd/>
        <w:snapToGrid/>
        <w:spacing w:line="578" w:lineRule="exact"/>
        <w:textAlignment w:val="auto"/>
        <w:outlineLvl w:val="9"/>
        <w:rPr>
          <w:rFonts w:hint="eastAsia"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本</w:t>
      </w:r>
      <w:r>
        <w:rPr>
          <w:rFonts w:hint="eastAsia" w:cs="Times New Roman"/>
          <w:color w:val="auto"/>
          <w:szCs w:val="32"/>
          <w:lang w:val="en-US" w:eastAsia="zh-CN"/>
        </w:rPr>
        <w:t>项目于2025年</w:t>
      </w:r>
      <w:r>
        <w:rPr>
          <w:rFonts w:hint="eastAsia" w:ascii="Times New Roman" w:hAnsi="Times New Roman" w:cs="Times New Roman"/>
          <w:color w:val="auto"/>
          <w:szCs w:val="32"/>
          <w:lang w:val="en-US" w:eastAsia="zh-CN"/>
        </w:rPr>
        <w:t>预算安排</w:t>
      </w:r>
      <w:r>
        <w:rPr>
          <w:rFonts w:hint="eastAsia" w:cs="Times New Roman"/>
          <w:color w:val="auto"/>
          <w:kern w:val="0"/>
          <w:sz w:val="32"/>
          <w:szCs w:val="32"/>
          <w:highlight w:val="none"/>
          <w:u w:val="none"/>
          <w:shd w:val="clear" w:color="auto" w:fill="FFFFFF"/>
          <w:lang w:val="en-US" w:eastAsia="zh-CN"/>
        </w:rPr>
        <w:t>13</w:t>
      </w:r>
      <w:r>
        <w:rPr>
          <w:rFonts w:hint="default" w:ascii="Times New Roman" w:hAnsi="Times New Roman" w:cs="Times New Roman"/>
          <w:color w:val="auto"/>
          <w:kern w:val="0"/>
          <w:sz w:val="32"/>
          <w:szCs w:val="32"/>
          <w:highlight w:val="none"/>
          <w:u w:val="none"/>
          <w:shd w:val="clear" w:color="auto" w:fill="FFFFFF"/>
          <w:lang w:val="zh-CN" w:eastAsia="zh-CN"/>
        </w:rPr>
        <w:t>4.</w:t>
      </w:r>
      <w:r>
        <w:rPr>
          <w:rFonts w:hint="eastAsia" w:cs="Times New Roman"/>
          <w:color w:val="auto"/>
          <w:kern w:val="0"/>
          <w:sz w:val="32"/>
          <w:szCs w:val="32"/>
          <w:highlight w:val="none"/>
          <w:u w:val="none"/>
          <w:shd w:val="clear" w:color="auto" w:fill="FFFFFF"/>
          <w:lang w:val="en-US" w:eastAsia="zh-CN"/>
        </w:rPr>
        <w:t>19</w:t>
      </w:r>
      <w:r>
        <w:rPr>
          <w:rFonts w:hint="eastAsia" w:ascii="Times New Roman" w:hAnsi="Times New Roman" w:cs="Times New Roman"/>
          <w:color w:val="auto"/>
          <w:szCs w:val="32"/>
          <w:lang w:val="en-US" w:eastAsia="zh-CN"/>
        </w:rPr>
        <w:t>万元，截至2025年12月31日，项目资金到位</w:t>
      </w:r>
      <w:r>
        <w:rPr>
          <w:rFonts w:hint="eastAsia" w:cs="Times New Roman"/>
          <w:color w:val="auto"/>
          <w:kern w:val="0"/>
          <w:sz w:val="32"/>
          <w:szCs w:val="32"/>
          <w:highlight w:val="none"/>
          <w:u w:val="none"/>
          <w:shd w:val="clear" w:color="auto" w:fill="FFFFFF"/>
          <w:lang w:val="en-US" w:eastAsia="zh-CN"/>
        </w:rPr>
        <w:t>13</w:t>
      </w:r>
      <w:r>
        <w:rPr>
          <w:rFonts w:hint="default" w:ascii="Times New Roman" w:hAnsi="Times New Roman" w:cs="Times New Roman"/>
          <w:color w:val="auto"/>
          <w:kern w:val="0"/>
          <w:sz w:val="32"/>
          <w:szCs w:val="32"/>
          <w:highlight w:val="none"/>
          <w:u w:val="none"/>
          <w:shd w:val="clear" w:color="auto" w:fill="FFFFFF"/>
          <w:lang w:val="zh-CN" w:eastAsia="zh-CN"/>
        </w:rPr>
        <w:t>4.</w:t>
      </w:r>
      <w:r>
        <w:rPr>
          <w:rFonts w:hint="eastAsia" w:cs="Times New Roman"/>
          <w:color w:val="auto"/>
          <w:kern w:val="0"/>
          <w:sz w:val="32"/>
          <w:szCs w:val="32"/>
          <w:highlight w:val="none"/>
          <w:u w:val="none"/>
          <w:shd w:val="clear" w:color="auto" w:fill="FFFFFF"/>
          <w:lang w:val="en-US" w:eastAsia="zh-CN"/>
        </w:rPr>
        <w:t>19</w:t>
      </w:r>
      <w:r>
        <w:rPr>
          <w:rFonts w:hint="eastAsia" w:ascii="Times New Roman" w:hAnsi="Times New Roman" w:cs="Times New Roman"/>
          <w:color w:val="auto"/>
          <w:szCs w:val="32"/>
          <w:lang w:val="en-US" w:eastAsia="zh-CN"/>
        </w:rPr>
        <w:t>万元，预算执行金额为</w:t>
      </w:r>
      <w:r>
        <w:rPr>
          <w:rFonts w:hint="eastAsia" w:cs="Times New Roman"/>
          <w:color w:val="auto"/>
          <w:kern w:val="0"/>
          <w:sz w:val="32"/>
          <w:szCs w:val="32"/>
          <w:highlight w:val="none"/>
          <w:u w:val="none"/>
          <w:shd w:val="clear" w:color="auto" w:fill="FFFFFF"/>
          <w:lang w:val="en-US" w:eastAsia="zh-CN"/>
        </w:rPr>
        <w:t>13</w:t>
      </w:r>
      <w:r>
        <w:rPr>
          <w:rFonts w:hint="default" w:ascii="Times New Roman" w:hAnsi="Times New Roman" w:cs="Times New Roman"/>
          <w:color w:val="auto"/>
          <w:kern w:val="0"/>
          <w:sz w:val="32"/>
          <w:szCs w:val="32"/>
          <w:highlight w:val="none"/>
          <w:u w:val="none"/>
          <w:shd w:val="clear" w:color="auto" w:fill="FFFFFF"/>
          <w:lang w:val="zh-CN" w:eastAsia="zh-CN"/>
        </w:rPr>
        <w:t>4.</w:t>
      </w:r>
      <w:r>
        <w:rPr>
          <w:rFonts w:hint="eastAsia" w:cs="Times New Roman"/>
          <w:color w:val="auto"/>
          <w:kern w:val="0"/>
          <w:sz w:val="32"/>
          <w:szCs w:val="32"/>
          <w:highlight w:val="none"/>
          <w:u w:val="none"/>
          <w:shd w:val="clear" w:color="auto" w:fill="FFFFFF"/>
          <w:lang w:val="en-US" w:eastAsia="zh-CN"/>
        </w:rPr>
        <w:t>19</w:t>
      </w:r>
      <w:r>
        <w:rPr>
          <w:rFonts w:hint="eastAsia" w:ascii="Times New Roman" w:hAnsi="Times New Roman" w:cs="Times New Roman"/>
          <w:color w:val="auto"/>
          <w:szCs w:val="32"/>
          <w:lang w:val="en-US" w:eastAsia="zh-CN"/>
        </w:rPr>
        <w:t>万元，财政资金拨付率、单位资金使用率和地方资金到位率均为100%。</w:t>
      </w:r>
    </w:p>
    <w:p w14:paraId="6AFBCD59">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cs="Times New Roman"/>
          <w:color w:val="auto"/>
          <w:szCs w:val="32"/>
          <w:lang w:val="en-US" w:eastAsia="zh-CN"/>
        </w:rPr>
      </w:pPr>
      <w:r>
        <w:rPr>
          <w:rFonts w:hint="eastAsia" w:cs="Times New Roman"/>
          <w:color w:val="auto"/>
          <w:szCs w:val="32"/>
          <w:lang w:val="en-US" w:eastAsia="zh-CN"/>
        </w:rPr>
        <w:t>综上，根据评分标准，该项指标不扣分，得6分。</w:t>
      </w:r>
    </w:p>
    <w:p w14:paraId="2D709A03">
      <w:pPr>
        <w:keepNext w:val="0"/>
        <w:keepLines w:val="0"/>
        <w:pageBreakBefore w:val="0"/>
        <w:widowControl w:val="0"/>
        <w:kinsoku/>
        <w:wordWrap/>
        <w:overflowPunct/>
        <w:topLinePunct w:val="0"/>
        <w:autoSpaceDE/>
        <w:autoSpaceDN/>
        <w:bidi w:val="0"/>
        <w:adjustRightInd/>
        <w:snapToGrid/>
        <w:spacing w:line="578" w:lineRule="exact"/>
        <w:ind w:left="640" w:leftChars="200" w:firstLine="0" w:firstLineChars="0"/>
        <w:textAlignment w:val="auto"/>
        <w:outlineLvl w:val="9"/>
        <w:rPr>
          <w:rFonts w:hint="default" w:ascii="Times New Roman" w:hAnsi="Times New Roman" w:eastAsia="仿宋_GB2312" w:cs="Times New Roman"/>
          <w:color w:val="auto"/>
          <w:szCs w:val="32"/>
          <w:lang w:val="zh-CN" w:eastAsia="zh-CN"/>
        </w:rPr>
      </w:pPr>
      <w:r>
        <w:rPr>
          <w:rFonts w:hint="eastAsia" w:cs="Times New Roman"/>
          <w:color w:val="auto"/>
          <w:szCs w:val="32"/>
          <w:lang w:eastAsia="zh-CN"/>
        </w:rPr>
        <w:t>（</w:t>
      </w:r>
      <w:r>
        <w:rPr>
          <w:rFonts w:hint="eastAsia" w:cs="Times New Roman"/>
          <w:color w:val="auto"/>
          <w:szCs w:val="32"/>
          <w:lang w:val="en-US" w:eastAsia="zh-CN"/>
        </w:rPr>
        <w:t>2</w:t>
      </w:r>
      <w:r>
        <w:rPr>
          <w:rFonts w:hint="eastAsia" w:cs="Times New Roman"/>
          <w:color w:val="auto"/>
          <w:szCs w:val="32"/>
          <w:lang w:eastAsia="zh-CN"/>
        </w:rPr>
        <w:t>）</w:t>
      </w:r>
      <w:r>
        <w:rPr>
          <w:rFonts w:hint="default" w:ascii="Times New Roman" w:hAnsi="Times New Roman" w:cs="Times New Roman"/>
          <w:color w:val="auto"/>
          <w:szCs w:val="32"/>
          <w:lang w:eastAsia="zh-CN"/>
        </w:rPr>
        <w:t>资金使用</w:t>
      </w:r>
    </w:p>
    <w:p w14:paraId="21F4E74F">
      <w:pPr>
        <w:keepNext w:val="0"/>
        <w:keepLines w:val="0"/>
        <w:pageBreakBefore w:val="0"/>
        <w:widowControl w:val="0"/>
        <w:kinsoku/>
        <w:wordWrap/>
        <w:overflowPunct/>
        <w:topLinePunct w:val="0"/>
        <w:autoSpaceDE/>
        <w:autoSpaceDN/>
        <w:bidi w:val="0"/>
        <w:adjustRightInd/>
        <w:snapToGrid/>
        <w:spacing w:line="578" w:lineRule="exact"/>
        <w:textAlignment w:val="auto"/>
        <w:outlineLvl w:val="9"/>
        <w:rPr>
          <w:rFonts w:hint="eastAsia"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我局严格按照相关管理要求使用本项目资金，项目资金使用、拨付符合国家财经法规、财务管理制度及有关专项资金管理制度办法规定和审批程序，不存在超范围、超标准、超进度使用专项资金和资金损失浪费、长期沉淀、截留、挤占、挪用、虚列支出等情况，项目实施遵守相关法律法规。</w:t>
      </w:r>
    </w:p>
    <w:p w14:paraId="23E153B0">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cs="Times New Roman"/>
          <w:color w:val="auto"/>
          <w:szCs w:val="32"/>
          <w:lang w:val="en-US" w:eastAsia="zh-CN"/>
        </w:rPr>
      </w:pPr>
      <w:r>
        <w:rPr>
          <w:rFonts w:hint="eastAsia" w:cs="Times New Roman"/>
          <w:color w:val="auto"/>
          <w:szCs w:val="32"/>
          <w:lang w:val="en-US" w:eastAsia="zh-CN"/>
        </w:rPr>
        <w:t>综上，根据评分标准，该项指标不扣分，得3分。</w:t>
      </w:r>
    </w:p>
    <w:p w14:paraId="04847DE2">
      <w:pPr>
        <w:keepNext w:val="0"/>
        <w:keepLines w:val="0"/>
        <w:pageBreakBefore w:val="0"/>
        <w:widowControl w:val="0"/>
        <w:kinsoku/>
        <w:wordWrap/>
        <w:overflowPunct/>
        <w:topLinePunct w:val="0"/>
        <w:autoSpaceDE/>
        <w:autoSpaceDN/>
        <w:bidi w:val="0"/>
        <w:adjustRightInd/>
        <w:snapToGrid/>
        <w:spacing w:line="578" w:lineRule="exact"/>
        <w:ind w:left="640" w:leftChars="200" w:firstLine="0" w:firstLineChars="0"/>
        <w:textAlignment w:val="auto"/>
        <w:outlineLvl w:val="9"/>
        <w:rPr>
          <w:rFonts w:hint="default" w:ascii="Times New Roman" w:hAnsi="Times New Roman" w:eastAsia="楷体_GB2312" w:cs="Times New Roman"/>
          <w:color w:val="auto"/>
          <w:szCs w:val="32"/>
          <w:lang w:val="en-US" w:eastAsia="zh-CN"/>
        </w:rPr>
      </w:pPr>
      <w:r>
        <w:rPr>
          <w:rFonts w:hint="default" w:ascii="Times New Roman" w:hAnsi="Times New Roman" w:eastAsia="楷体_GB2312" w:cs="Times New Roman"/>
          <w:color w:val="auto"/>
          <w:szCs w:val="32"/>
          <w:lang w:val="en-US" w:eastAsia="zh-CN"/>
        </w:rPr>
        <w:t>4.项目结果</w:t>
      </w:r>
    </w:p>
    <w:p w14:paraId="7CAFFE56">
      <w:pPr>
        <w:keepNext w:val="0"/>
        <w:keepLines w:val="0"/>
        <w:pageBreakBefore w:val="0"/>
        <w:widowControl w:val="0"/>
        <w:kinsoku/>
        <w:wordWrap/>
        <w:overflowPunct/>
        <w:topLinePunct w:val="0"/>
        <w:autoSpaceDE/>
        <w:autoSpaceDN/>
        <w:bidi w:val="0"/>
        <w:adjustRightInd/>
        <w:snapToGrid/>
        <w:spacing w:line="578" w:lineRule="exact"/>
        <w:ind w:left="640" w:leftChars="200" w:firstLine="0" w:firstLineChars="0"/>
        <w:textAlignment w:val="auto"/>
        <w:outlineLvl w:val="9"/>
        <w:rPr>
          <w:rFonts w:hint="default" w:ascii="Times New Roman" w:hAnsi="Times New Roman" w:cs="Times New Roman"/>
          <w:color w:val="auto"/>
          <w:szCs w:val="32"/>
          <w:lang w:eastAsia="zh-CN"/>
        </w:rPr>
      </w:pPr>
      <w:r>
        <w:rPr>
          <w:rFonts w:hint="eastAsia" w:cs="Times New Roman"/>
          <w:color w:val="auto"/>
          <w:szCs w:val="32"/>
          <w:lang w:eastAsia="zh-CN"/>
        </w:rPr>
        <w:t>（</w:t>
      </w:r>
      <w:r>
        <w:rPr>
          <w:rFonts w:hint="eastAsia" w:cs="Times New Roman"/>
          <w:color w:val="auto"/>
          <w:szCs w:val="32"/>
          <w:lang w:val="en-US" w:eastAsia="zh-CN"/>
        </w:rPr>
        <w:t>1</w:t>
      </w:r>
      <w:r>
        <w:rPr>
          <w:rFonts w:hint="eastAsia" w:cs="Times New Roman"/>
          <w:color w:val="auto"/>
          <w:szCs w:val="32"/>
          <w:lang w:eastAsia="zh-CN"/>
        </w:rPr>
        <w:t>）</w:t>
      </w:r>
      <w:r>
        <w:rPr>
          <w:rFonts w:hint="default" w:ascii="Times New Roman" w:hAnsi="Times New Roman" w:cs="Times New Roman"/>
          <w:color w:val="auto"/>
          <w:szCs w:val="32"/>
          <w:lang w:eastAsia="zh-CN"/>
        </w:rPr>
        <w:t>目标完成</w:t>
      </w:r>
    </w:p>
    <w:p w14:paraId="33D7ED50">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cs="Times New Roman"/>
          <w:color w:val="auto"/>
          <w:szCs w:val="32"/>
          <w:lang w:val="en-US" w:eastAsia="zh-CN"/>
        </w:rPr>
      </w:pPr>
      <w:r>
        <w:rPr>
          <w:rFonts w:hint="eastAsia" w:cs="Times New Roman"/>
          <w:color w:val="auto"/>
          <w:szCs w:val="32"/>
          <w:lang w:val="en-US" w:eastAsia="zh-CN"/>
        </w:rPr>
        <w:t>我局严格对照预设绩效目标推进项目实施，专项执法、抽检监测、基层建设等各项工作任务均按计划完成，产出数量、质量及效益指标全面达标，核心指标完成度达100.00%，无目标偏离或未完成情况，但存在个别偏远区域食品抽检结果公布略有延迟的问题。</w:t>
      </w:r>
    </w:p>
    <w:p w14:paraId="632C8D4B">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cs="Times New Roman"/>
          <w:color w:val="auto"/>
          <w:szCs w:val="32"/>
          <w:lang w:val="en-US" w:eastAsia="zh-CN"/>
        </w:rPr>
      </w:pPr>
      <w:r>
        <w:rPr>
          <w:rFonts w:hint="eastAsia" w:cs="Times New Roman"/>
          <w:color w:val="auto"/>
          <w:szCs w:val="32"/>
          <w:lang w:val="en-US" w:eastAsia="zh-CN"/>
        </w:rPr>
        <w:t>综上，根据评分标准，该项指标扣1分，得5分。</w:t>
      </w:r>
    </w:p>
    <w:p w14:paraId="524F36AA">
      <w:pPr>
        <w:keepNext w:val="0"/>
        <w:keepLines w:val="0"/>
        <w:pageBreakBefore w:val="0"/>
        <w:widowControl w:val="0"/>
        <w:kinsoku/>
        <w:wordWrap/>
        <w:overflowPunct/>
        <w:topLinePunct w:val="0"/>
        <w:autoSpaceDE/>
        <w:autoSpaceDN/>
        <w:bidi w:val="0"/>
        <w:adjustRightInd/>
        <w:snapToGrid/>
        <w:spacing w:line="578" w:lineRule="exact"/>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（2）完成时效</w:t>
      </w:r>
    </w:p>
    <w:p w14:paraId="1CECFF9D">
      <w:pPr>
        <w:keepNext w:val="0"/>
        <w:keepLines w:val="0"/>
        <w:pageBreakBefore w:val="0"/>
        <w:widowControl w:val="0"/>
        <w:kinsoku/>
        <w:wordWrap/>
        <w:overflowPunct/>
        <w:topLinePunct w:val="0"/>
        <w:autoSpaceDE/>
        <w:autoSpaceDN/>
        <w:bidi w:val="0"/>
        <w:adjustRightInd/>
        <w:snapToGrid/>
        <w:spacing w:line="578" w:lineRule="exact"/>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我局严格遵循项目计划时间节点，制定细化的进度推进方案并开展全程动态管控，通过合理调配资源、优化实施流程，各阶段工作任务均按期推进，项目所有工作于2025年12月底前全面完成，未出现任何延迟情况，时效管理规范有序。</w:t>
      </w:r>
    </w:p>
    <w:p w14:paraId="094777BF">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cs="Times New Roman"/>
          <w:color w:val="auto"/>
          <w:szCs w:val="32"/>
          <w:lang w:val="en-US" w:eastAsia="zh-CN"/>
        </w:rPr>
      </w:pPr>
      <w:r>
        <w:rPr>
          <w:rFonts w:hint="eastAsia" w:cs="Times New Roman"/>
          <w:color w:val="auto"/>
          <w:szCs w:val="32"/>
          <w:lang w:val="en-US" w:eastAsia="zh-CN"/>
        </w:rPr>
        <w:t>综上，根据评分标准，该项指标不扣分，得3分。</w:t>
      </w:r>
    </w:p>
    <w:p w14:paraId="1D3FD4EC">
      <w:pPr>
        <w:keepNext w:val="0"/>
        <w:keepLines w:val="0"/>
        <w:pageBreakBefore w:val="0"/>
        <w:widowControl w:val="0"/>
        <w:kinsoku/>
        <w:wordWrap/>
        <w:overflowPunct/>
        <w:topLinePunct w:val="0"/>
        <w:autoSpaceDE/>
        <w:autoSpaceDN/>
        <w:bidi w:val="0"/>
        <w:adjustRightInd/>
        <w:snapToGrid/>
        <w:spacing w:line="578" w:lineRule="exact"/>
        <w:ind w:left="0" w:leftChars="0" w:firstLine="643" w:firstLineChars="200"/>
        <w:textAlignment w:val="auto"/>
        <w:outlineLvl w:val="1"/>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Cs w:val="32"/>
          <w:highlight w:val="none"/>
          <w:shd w:val="clear" w:color="auto" w:fill="FFFFFF"/>
          <w:lang w:val="zh-CN"/>
        </w:rPr>
        <w:t>绩效分析</w:t>
      </w:r>
    </w:p>
    <w:p w14:paraId="39F8A498">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default" w:ascii="Times New Roman" w:hAnsi="Times New Roman" w:cs="Times New Roman"/>
          <w:color w:val="auto"/>
          <w:szCs w:val="32"/>
          <w:lang w:eastAsia="zh-CN"/>
        </w:rPr>
      </w:pPr>
      <w:r>
        <w:rPr>
          <w:rFonts w:hint="eastAsia" w:cs="Times New Roman"/>
          <w:color w:val="auto"/>
          <w:szCs w:val="32"/>
          <w:lang w:val="en-US" w:eastAsia="zh-CN"/>
        </w:rPr>
        <w:t>1.</w:t>
      </w:r>
      <w:r>
        <w:rPr>
          <w:rFonts w:hint="default" w:ascii="Times New Roman" w:hAnsi="Times New Roman" w:cs="Times New Roman"/>
          <w:color w:val="auto"/>
          <w:szCs w:val="32"/>
          <w:lang w:eastAsia="zh-CN"/>
        </w:rPr>
        <w:t>用途合规性</w:t>
      </w:r>
    </w:p>
    <w:p w14:paraId="4FF760D5">
      <w:pPr>
        <w:keepNext w:val="0"/>
        <w:keepLines w:val="0"/>
        <w:pageBreakBefore w:val="0"/>
        <w:widowControl w:val="0"/>
        <w:kinsoku/>
        <w:wordWrap/>
        <w:overflowPunct/>
        <w:topLinePunct w:val="0"/>
        <w:autoSpaceDE/>
        <w:autoSpaceDN/>
        <w:bidi w:val="0"/>
        <w:adjustRightInd/>
        <w:snapToGrid/>
        <w:spacing w:line="578" w:lineRule="exact"/>
        <w:textAlignment w:val="auto"/>
        <w:outlineLvl w:val="9"/>
        <w:rPr>
          <w:rFonts w:hint="eastAsia"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项目资金严格遵循“专款专用、服务市场监管主业”原则，所有支出均直接用于专项执法、抽检监测、隐患整治、基层建设等项目核心工作，未出现挪用、截留、挤占或用于无关领域的情形，与项目申报时的资金使用目标高度契合，完全符合省级市场监管专项资金“精准投放、定向发力”的合规性要求。</w:t>
      </w:r>
    </w:p>
    <w:p w14:paraId="67A091BB">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cs="Times New Roman"/>
          <w:color w:val="auto"/>
          <w:szCs w:val="32"/>
          <w:lang w:val="en-US" w:eastAsia="zh-CN"/>
        </w:rPr>
      </w:pPr>
      <w:r>
        <w:rPr>
          <w:rFonts w:hint="eastAsia" w:cs="Times New Roman"/>
          <w:color w:val="auto"/>
          <w:szCs w:val="32"/>
          <w:lang w:val="en-US" w:eastAsia="zh-CN"/>
        </w:rPr>
        <w:t>综上，根据评分标准，该项指标不扣分，得10分。</w:t>
      </w:r>
    </w:p>
    <w:p w14:paraId="3666A28D">
      <w:pPr>
        <w:keepNext w:val="0"/>
        <w:keepLines w:val="0"/>
        <w:pageBreakBefore w:val="0"/>
        <w:widowControl w:val="0"/>
        <w:kinsoku/>
        <w:wordWrap/>
        <w:overflowPunct/>
        <w:topLinePunct w:val="0"/>
        <w:autoSpaceDE/>
        <w:autoSpaceDN/>
        <w:bidi w:val="0"/>
        <w:adjustRightInd/>
        <w:snapToGrid/>
        <w:spacing w:line="578" w:lineRule="exact"/>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2.程序合规性</w:t>
      </w:r>
    </w:p>
    <w:p w14:paraId="448F07A8">
      <w:pPr>
        <w:keepNext w:val="0"/>
        <w:keepLines w:val="0"/>
        <w:pageBreakBefore w:val="0"/>
        <w:widowControl w:val="0"/>
        <w:kinsoku/>
        <w:wordWrap/>
        <w:overflowPunct/>
        <w:topLinePunct w:val="0"/>
        <w:autoSpaceDE/>
        <w:autoSpaceDN/>
        <w:bidi w:val="0"/>
        <w:adjustRightInd/>
        <w:snapToGrid/>
        <w:spacing w:line="578" w:lineRule="exact"/>
        <w:textAlignment w:val="auto"/>
        <w:outlineLvl w:val="9"/>
        <w:rPr>
          <w:rFonts w:hint="eastAsia"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项目实施全程严守专项资金管理、市场监管及相关管理规范：专项执法严格按照法定程序开展；食品抽检监测遵循抽样、检测、结果公布全流程规范；基层监管所建设履行立项、设计、验收等规范程序；资金使用建立“申请</w:t>
      </w:r>
      <w:r>
        <w:rPr>
          <w:rFonts w:hint="eastAsia" w:cs="Times New Roman"/>
          <w:color w:val="auto"/>
          <w:szCs w:val="32"/>
          <w:lang w:val="en-US" w:eastAsia="zh-CN"/>
        </w:rPr>
        <w:t>－</w:t>
      </w:r>
      <w:r>
        <w:rPr>
          <w:rFonts w:hint="eastAsia" w:ascii="Times New Roman" w:hAnsi="Times New Roman" w:cs="Times New Roman"/>
          <w:color w:val="auto"/>
          <w:szCs w:val="32"/>
          <w:lang w:val="en-US" w:eastAsia="zh-CN"/>
        </w:rPr>
        <w:t>审核</w:t>
      </w:r>
      <w:r>
        <w:rPr>
          <w:rFonts w:hint="eastAsia" w:cs="Times New Roman"/>
          <w:color w:val="auto"/>
          <w:szCs w:val="32"/>
          <w:lang w:val="en-US" w:eastAsia="zh-CN"/>
        </w:rPr>
        <w:t>－</w:t>
      </w:r>
      <w:r>
        <w:rPr>
          <w:rFonts w:hint="eastAsia" w:ascii="Times New Roman" w:hAnsi="Times New Roman" w:cs="Times New Roman"/>
          <w:color w:val="auto"/>
          <w:szCs w:val="32"/>
          <w:lang w:val="en-US" w:eastAsia="zh-CN"/>
        </w:rPr>
        <w:t>审批</w:t>
      </w:r>
      <w:r>
        <w:rPr>
          <w:rFonts w:hint="eastAsia" w:cs="Times New Roman"/>
          <w:color w:val="auto"/>
          <w:szCs w:val="32"/>
          <w:lang w:val="en-US" w:eastAsia="zh-CN"/>
        </w:rPr>
        <w:t>－</w:t>
      </w:r>
      <w:r>
        <w:rPr>
          <w:rFonts w:hint="eastAsia" w:ascii="Times New Roman" w:hAnsi="Times New Roman" w:cs="Times New Roman"/>
          <w:color w:val="auto"/>
          <w:szCs w:val="32"/>
          <w:lang w:val="en-US" w:eastAsia="zh-CN"/>
        </w:rPr>
        <w:t>公示”闭环机制，每笔费用报销均附完整凭证，资金流向可追溯、工作过程留痕迹，无任何程序违规问题。</w:t>
      </w:r>
    </w:p>
    <w:p w14:paraId="3805E6B9">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cs="Times New Roman"/>
          <w:color w:val="auto"/>
          <w:szCs w:val="32"/>
          <w:lang w:val="en-US" w:eastAsia="zh-CN"/>
        </w:rPr>
      </w:pPr>
      <w:r>
        <w:rPr>
          <w:rFonts w:hint="eastAsia" w:cs="Times New Roman"/>
          <w:color w:val="auto"/>
          <w:szCs w:val="32"/>
          <w:lang w:val="en-US" w:eastAsia="zh-CN"/>
        </w:rPr>
        <w:t>综上，根据评分标准，该项指标不扣分，得10分。</w:t>
      </w:r>
    </w:p>
    <w:p w14:paraId="4946F9EE">
      <w:pPr>
        <w:keepNext w:val="0"/>
        <w:keepLines w:val="0"/>
        <w:pageBreakBefore w:val="0"/>
        <w:widowControl w:val="0"/>
        <w:kinsoku/>
        <w:wordWrap/>
        <w:overflowPunct/>
        <w:topLinePunct w:val="0"/>
        <w:autoSpaceDE/>
        <w:autoSpaceDN/>
        <w:bidi w:val="0"/>
        <w:adjustRightInd/>
        <w:snapToGrid/>
        <w:spacing w:line="578" w:lineRule="exact"/>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3.标准合规性</w:t>
      </w:r>
    </w:p>
    <w:p w14:paraId="4C696E0B">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资金分配标准整体符合专项资金管理要求，但受部分偏远区域抽检运输成本、监管所改造材料价格波动影响，少量经费实际支出标准与预设标准存在1.8%的偏差，未超出合理浮动范围。</w:t>
      </w:r>
    </w:p>
    <w:p w14:paraId="65804F35">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cs="Times New Roman"/>
          <w:color w:val="auto"/>
          <w:szCs w:val="32"/>
          <w:lang w:val="en-US" w:eastAsia="zh-CN"/>
        </w:rPr>
      </w:pPr>
      <w:r>
        <w:rPr>
          <w:rFonts w:hint="eastAsia" w:cs="Times New Roman"/>
          <w:color w:val="auto"/>
          <w:szCs w:val="32"/>
          <w:lang w:val="en-US" w:eastAsia="zh-CN"/>
        </w:rPr>
        <w:t>综上，根据评分标准，该项指标扣1.5分，得8.5分。</w:t>
      </w:r>
    </w:p>
    <w:p w14:paraId="0AC63060">
      <w:pPr>
        <w:keepNext w:val="0"/>
        <w:keepLines w:val="0"/>
        <w:pageBreakBefore w:val="0"/>
        <w:widowControl w:val="0"/>
        <w:kinsoku/>
        <w:wordWrap/>
        <w:overflowPunct/>
        <w:topLinePunct w:val="0"/>
        <w:autoSpaceDE/>
        <w:autoSpaceDN/>
        <w:bidi w:val="0"/>
        <w:adjustRightInd/>
        <w:snapToGrid/>
        <w:spacing w:line="578" w:lineRule="exact"/>
        <w:ind w:firstLine="640" w:firstLineChars="0"/>
        <w:textAlignment w:val="auto"/>
        <w:outlineLvl w:val="1"/>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color w:val="auto"/>
          <w:sz w:val="32"/>
          <w:szCs w:val="32"/>
          <w:highlight w:val="none"/>
          <w:u w:val="none"/>
          <w:lang w:val="zh-CN"/>
        </w:rPr>
        <w:t>（三）</w:t>
      </w:r>
      <w:r>
        <w:rPr>
          <w:rFonts w:hint="default" w:ascii="Times New Roman" w:hAnsi="Times New Roman"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Cs w:val="32"/>
          <w:highlight w:val="none"/>
          <w:shd w:val="clear" w:color="auto" w:fill="FFFFFF"/>
          <w:lang w:val="zh-CN"/>
        </w:rPr>
        <w:t>绩效分析</w:t>
      </w:r>
    </w:p>
    <w:p w14:paraId="052774F1">
      <w:pPr>
        <w:keepNext w:val="0"/>
        <w:keepLines w:val="0"/>
        <w:pageBreakBefore w:val="0"/>
        <w:widowControl w:val="0"/>
        <w:kinsoku/>
        <w:wordWrap/>
        <w:overflowPunct/>
        <w:topLinePunct w:val="0"/>
        <w:autoSpaceDE/>
        <w:autoSpaceDN/>
        <w:bidi w:val="0"/>
        <w:adjustRightInd/>
        <w:snapToGrid/>
        <w:spacing w:line="578" w:lineRule="exact"/>
        <w:textAlignment w:val="auto"/>
        <w:outlineLvl w:val="9"/>
        <w:rPr>
          <w:rFonts w:hint="eastAsia"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1.基层监管规范化达标率</w:t>
      </w:r>
    </w:p>
    <w:p w14:paraId="031AC2ED">
      <w:pPr>
        <w:keepNext w:val="0"/>
        <w:keepLines w:val="0"/>
        <w:pageBreakBefore w:val="0"/>
        <w:widowControl w:val="0"/>
        <w:kinsoku/>
        <w:wordWrap/>
        <w:overflowPunct/>
        <w:topLinePunct w:val="0"/>
        <w:autoSpaceDE/>
        <w:autoSpaceDN/>
        <w:bidi w:val="0"/>
        <w:adjustRightInd/>
        <w:snapToGrid/>
        <w:spacing w:line="578" w:lineRule="exact"/>
        <w:textAlignment w:val="auto"/>
        <w:outlineLvl w:val="9"/>
        <w:rPr>
          <w:rFonts w:hint="eastAsia"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通过基层市场监管所标准规范化建设，85%的示范创建监管所达到省级规范化标准，执法装备配置、办公环境、业务流程显著优化，但仍有15%的偏远区域监管所受场地条件限制，部分规范化指标达标不够彻底，达标率未达100%。</w:t>
      </w:r>
    </w:p>
    <w:p w14:paraId="35ACEF77">
      <w:pPr>
        <w:keepNext w:val="0"/>
        <w:keepLines w:val="0"/>
        <w:pageBreakBefore w:val="0"/>
        <w:widowControl w:val="0"/>
        <w:kinsoku/>
        <w:wordWrap/>
        <w:overflowPunct/>
        <w:topLinePunct w:val="0"/>
        <w:autoSpaceDE/>
        <w:autoSpaceDN/>
        <w:bidi w:val="0"/>
        <w:adjustRightInd/>
        <w:snapToGrid/>
        <w:spacing w:line="578" w:lineRule="exact"/>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综上，根据评分标准，该项指标扣</w:t>
      </w:r>
      <w:r>
        <w:rPr>
          <w:rFonts w:hint="eastAsia" w:ascii="Times New Roman" w:hAnsi="Times New Roman" w:cs="Times New Roman"/>
          <w:color w:val="auto"/>
          <w:szCs w:val="32"/>
          <w:lang w:val="en-US" w:eastAsia="zh-CN"/>
        </w:rPr>
        <w:t>1.3</w:t>
      </w:r>
      <w:r>
        <w:rPr>
          <w:rFonts w:hint="default" w:ascii="Times New Roman" w:hAnsi="Times New Roman" w:cs="Times New Roman"/>
          <w:color w:val="auto"/>
          <w:szCs w:val="32"/>
          <w:lang w:val="en-US" w:eastAsia="zh-CN"/>
        </w:rPr>
        <w:t>分，得</w:t>
      </w:r>
      <w:r>
        <w:rPr>
          <w:rFonts w:hint="eastAsia" w:ascii="Times New Roman" w:hAnsi="Times New Roman" w:cs="Times New Roman"/>
          <w:color w:val="auto"/>
          <w:szCs w:val="32"/>
          <w:lang w:val="en-US" w:eastAsia="zh-CN"/>
        </w:rPr>
        <w:t>6.7</w:t>
      </w:r>
      <w:r>
        <w:rPr>
          <w:rFonts w:hint="default" w:ascii="Times New Roman" w:hAnsi="Times New Roman" w:cs="Times New Roman"/>
          <w:color w:val="auto"/>
          <w:szCs w:val="32"/>
          <w:lang w:val="en-US" w:eastAsia="zh-CN"/>
        </w:rPr>
        <w:t>分。</w:t>
      </w:r>
    </w:p>
    <w:p w14:paraId="4C02D24F">
      <w:pPr>
        <w:keepNext w:val="0"/>
        <w:keepLines w:val="0"/>
        <w:pageBreakBefore w:val="0"/>
        <w:widowControl w:val="0"/>
        <w:kinsoku/>
        <w:wordWrap/>
        <w:overflowPunct/>
        <w:topLinePunct w:val="0"/>
        <w:autoSpaceDE/>
        <w:autoSpaceDN/>
        <w:bidi w:val="0"/>
        <w:adjustRightInd/>
        <w:snapToGrid/>
        <w:spacing w:line="578" w:lineRule="exact"/>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2.</w:t>
      </w:r>
      <w:r>
        <w:rPr>
          <w:rFonts w:hint="default" w:ascii="Times New Roman" w:hAnsi="Times New Roman" w:cs="Times New Roman"/>
          <w:color w:val="auto"/>
          <w:szCs w:val="32"/>
          <w:lang w:val="en-US" w:eastAsia="zh-CN"/>
        </w:rPr>
        <w:t>执法成果转化率</w:t>
      </w:r>
    </w:p>
    <w:p w14:paraId="5489032A">
      <w:pPr>
        <w:keepNext w:val="0"/>
        <w:keepLines w:val="0"/>
        <w:pageBreakBefore w:val="0"/>
        <w:widowControl w:val="0"/>
        <w:kinsoku/>
        <w:wordWrap/>
        <w:overflowPunct/>
        <w:topLinePunct w:val="0"/>
        <w:autoSpaceDE/>
        <w:autoSpaceDN/>
        <w:bidi w:val="0"/>
        <w:adjustRightInd/>
        <w:snapToGrid/>
        <w:spacing w:line="578" w:lineRule="exact"/>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专项执法查处的违法违规行为整改完成率达98%，市场秩序得到有效规范，但部分小微企业因经营规模小、合规意识薄弱，违法行为复发率略高于预期，执法成果长效转化有待加强。</w:t>
      </w:r>
    </w:p>
    <w:p w14:paraId="267F38A5">
      <w:pPr>
        <w:keepNext w:val="0"/>
        <w:keepLines w:val="0"/>
        <w:pageBreakBefore w:val="0"/>
        <w:widowControl w:val="0"/>
        <w:kinsoku/>
        <w:wordWrap/>
        <w:overflowPunct/>
        <w:topLinePunct w:val="0"/>
        <w:autoSpaceDE/>
        <w:autoSpaceDN/>
        <w:bidi w:val="0"/>
        <w:adjustRightInd/>
        <w:snapToGrid/>
        <w:spacing w:line="578" w:lineRule="exact"/>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综上，根据评分标准，该项指标扣</w:t>
      </w:r>
      <w:r>
        <w:rPr>
          <w:rFonts w:hint="eastAsia" w:ascii="Times New Roman" w:hAnsi="Times New Roman" w:cs="Times New Roman"/>
          <w:color w:val="auto"/>
          <w:szCs w:val="32"/>
          <w:lang w:val="en-US" w:eastAsia="zh-CN"/>
        </w:rPr>
        <w:t>1</w:t>
      </w:r>
      <w:r>
        <w:rPr>
          <w:rFonts w:hint="default" w:ascii="Times New Roman" w:hAnsi="Times New Roman" w:cs="Times New Roman"/>
          <w:color w:val="auto"/>
          <w:szCs w:val="32"/>
          <w:lang w:val="en-US" w:eastAsia="zh-CN"/>
        </w:rPr>
        <w:t>分，得</w:t>
      </w:r>
      <w:r>
        <w:rPr>
          <w:rFonts w:hint="eastAsia" w:ascii="Times New Roman" w:hAnsi="Times New Roman" w:cs="Times New Roman"/>
          <w:color w:val="auto"/>
          <w:szCs w:val="32"/>
          <w:lang w:val="en-US" w:eastAsia="zh-CN"/>
        </w:rPr>
        <w:t>7</w:t>
      </w:r>
      <w:r>
        <w:rPr>
          <w:rFonts w:hint="default" w:ascii="Times New Roman" w:hAnsi="Times New Roman" w:cs="Times New Roman"/>
          <w:color w:val="auto"/>
          <w:szCs w:val="32"/>
          <w:lang w:val="en-US" w:eastAsia="zh-CN"/>
        </w:rPr>
        <w:t>分。</w:t>
      </w:r>
    </w:p>
    <w:p w14:paraId="510AE6F7">
      <w:pPr>
        <w:pStyle w:val="10"/>
        <w:pageBreakBefore w:val="0"/>
        <w:numPr>
          <w:ilvl w:val="0"/>
          <w:numId w:val="0"/>
        </w:numPr>
        <w:tabs>
          <w:tab w:val="left" w:pos="2160"/>
        </w:tabs>
        <w:kinsoku/>
        <w:wordWrap/>
        <w:overflowPunct/>
        <w:topLinePunct w:val="0"/>
        <w:autoSpaceDE/>
        <w:autoSpaceDN/>
        <w:bidi w:val="0"/>
        <w:adjustRightInd/>
        <w:spacing w:line="600" w:lineRule="exact"/>
        <w:ind w:left="0" w:leftChars="0" w:firstLine="640" w:firstLineChars="200"/>
        <w:textAlignment w:val="auto"/>
        <w:outlineLvl w:val="0"/>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lang w:eastAsia="zh-CN"/>
        </w:rPr>
        <w:t>四</w:t>
      </w:r>
      <w:r>
        <w:rPr>
          <w:rFonts w:hint="default" w:ascii="Times New Roman" w:hAnsi="Times New Roman" w:eastAsia="黑体" w:cs="Times New Roman"/>
          <w:color w:val="auto"/>
          <w:sz w:val="32"/>
          <w:szCs w:val="32"/>
          <w:highlight w:val="none"/>
          <w:u w:val="none"/>
        </w:rPr>
        <w:t>、评价结论</w:t>
      </w:r>
    </w:p>
    <w:p w14:paraId="6E12A2B4">
      <w:pPr>
        <w:pStyle w:val="10"/>
        <w:pageBreakBefore w:val="0"/>
        <w:numPr>
          <w:ilvl w:val="0"/>
          <w:numId w:val="0"/>
        </w:numPr>
        <w:tabs>
          <w:tab w:val="left" w:pos="2160"/>
        </w:tabs>
        <w:kinsoku/>
        <w:wordWrap/>
        <w:overflowPunct/>
        <w:topLinePunct w:val="0"/>
        <w:autoSpaceDE/>
        <w:autoSpaceDN/>
        <w:bidi w:val="0"/>
        <w:adjustRightInd/>
        <w:spacing w:line="600" w:lineRule="exact"/>
        <w:ind w:firstLine="640" w:firstLineChars="200"/>
        <w:textAlignment w:val="auto"/>
        <w:rPr>
          <w:rFonts w:hint="default" w:ascii="Times New Roman" w:hAnsi="Times New Roman" w:cs="Times New Roman"/>
          <w:b w:val="0"/>
          <w:bCs w:val="0"/>
          <w:kern w:val="2"/>
          <w:position w:val="0"/>
          <w:sz w:val="32"/>
          <w:szCs w:val="32"/>
          <w:highlight w:val="none"/>
          <w:lang w:val="en-US" w:eastAsia="zh-CN" w:bidi="ar-SA"/>
        </w:rPr>
      </w:pPr>
      <w:r>
        <w:rPr>
          <w:rFonts w:hint="default" w:ascii="Times New Roman" w:hAnsi="Times New Roman" w:eastAsia="仿宋_GB2312" w:cs="Times New Roman"/>
          <w:b w:val="0"/>
          <w:bCs w:val="0"/>
          <w:kern w:val="0"/>
          <w:position w:val="0"/>
          <w:sz w:val="32"/>
          <w:szCs w:val="32"/>
          <w:highlight w:val="none"/>
          <w:lang w:val="en-US" w:eastAsia="zh-CN" w:bidi="ar-SA"/>
        </w:rPr>
        <w:t>经综合评价，</w:t>
      </w:r>
      <w:r>
        <w:rPr>
          <w:rFonts w:hint="eastAsia" w:ascii="Times New Roman" w:eastAsia="仿宋_GB2312" w:cs="Times New Roman"/>
          <w:b w:val="0"/>
          <w:bCs w:val="0"/>
          <w:kern w:val="0"/>
          <w:position w:val="0"/>
          <w:sz w:val="32"/>
          <w:szCs w:val="32"/>
          <w:highlight w:val="none"/>
          <w:lang w:val="en-US" w:eastAsia="zh-CN" w:bidi="ar-SA"/>
        </w:rPr>
        <w:t>本</w:t>
      </w:r>
      <w:r>
        <w:rPr>
          <w:rFonts w:hint="default" w:ascii="Times New Roman" w:hAnsi="Times New Roman" w:eastAsia="仿宋_GB2312" w:cs="Times New Roman"/>
          <w:b w:val="0"/>
          <w:bCs w:val="0"/>
          <w:kern w:val="0"/>
          <w:position w:val="0"/>
          <w:sz w:val="32"/>
          <w:szCs w:val="32"/>
          <w:highlight w:val="none"/>
          <w:lang w:val="en-US" w:eastAsia="zh-CN" w:bidi="ar-SA"/>
        </w:rPr>
        <w:t>项目绩效</w:t>
      </w:r>
      <w:r>
        <w:rPr>
          <w:rFonts w:hint="eastAsia" w:ascii="Times New Roman" w:eastAsia="仿宋_GB2312" w:cs="Times New Roman"/>
          <w:b w:val="0"/>
          <w:bCs w:val="0"/>
          <w:kern w:val="0"/>
          <w:position w:val="0"/>
          <w:sz w:val="32"/>
          <w:szCs w:val="32"/>
          <w:highlight w:val="none"/>
          <w:lang w:val="en-US" w:eastAsia="zh-CN" w:bidi="ar-SA"/>
        </w:rPr>
        <w:t>自评得91.7</w:t>
      </w:r>
      <w:r>
        <w:rPr>
          <w:rFonts w:hint="default" w:ascii="Times New Roman" w:hAnsi="Times New Roman" w:eastAsia="仿宋_GB2312" w:cs="Times New Roman"/>
          <w:b w:val="0"/>
          <w:bCs w:val="0"/>
          <w:kern w:val="0"/>
          <w:position w:val="0"/>
          <w:sz w:val="32"/>
          <w:szCs w:val="32"/>
          <w:highlight w:val="none"/>
          <w:lang w:val="en-US" w:eastAsia="zh-CN" w:bidi="ar-SA"/>
        </w:rPr>
        <w:t>分，</w:t>
      </w:r>
      <w:r>
        <w:rPr>
          <w:rFonts w:hint="eastAsia" w:ascii="Times New Roman" w:eastAsia="仿宋_GB2312" w:cs="Times New Roman"/>
          <w:b w:val="0"/>
          <w:bCs w:val="0"/>
          <w:kern w:val="0"/>
          <w:position w:val="0"/>
          <w:sz w:val="32"/>
          <w:szCs w:val="32"/>
          <w:highlight w:val="none"/>
          <w:lang w:val="en-US" w:eastAsia="zh-CN" w:bidi="ar-SA"/>
        </w:rPr>
        <w:t>等级为“优”，项目</w:t>
      </w:r>
      <w:r>
        <w:rPr>
          <w:rFonts w:hint="default" w:ascii="Times New Roman" w:hAnsi="Times New Roman" w:eastAsia="仿宋_GB2312" w:cs="Times New Roman"/>
          <w:b w:val="0"/>
          <w:bCs w:val="0"/>
          <w:kern w:val="0"/>
          <w:position w:val="0"/>
          <w:sz w:val="32"/>
          <w:szCs w:val="32"/>
          <w:highlight w:val="none"/>
          <w:lang w:val="en-US" w:eastAsia="zh-CN" w:bidi="ar-SA"/>
        </w:rPr>
        <w:t>实施情况良好。</w:t>
      </w:r>
      <w:r>
        <w:rPr>
          <w:rFonts w:hint="eastAsia" w:ascii="Times New Roman" w:eastAsia="仿宋_GB2312" w:cs="Times New Roman"/>
          <w:b w:val="0"/>
          <w:bCs w:val="0"/>
          <w:kern w:val="0"/>
          <w:position w:val="0"/>
          <w:sz w:val="32"/>
          <w:szCs w:val="32"/>
          <w:highlight w:val="none"/>
          <w:lang w:val="en-US" w:eastAsia="zh-CN" w:bidi="ar-SA"/>
        </w:rPr>
        <w:t>本项目严格落实财政预算管理要求，调整后预算134.19万元，执行率达100%，资金使用全程合规规范，无违规使用情况；全面完成了专项执法、食品抽检监测、特种设备隐患整治、基层监管所建设等所有既定工作任务，各项核心绩效指标均达标，有效守牢了三大安全底线，规范了市场竞争秩序，提升了基层监管能力，优化了消费环境，切实维护了群众合法权益，资金使用效益与社会效益双达标，与中央、省、州市场监管工作部署和民生保障要求高度契合。</w:t>
      </w:r>
    </w:p>
    <w:p w14:paraId="2FDBBD62">
      <w:pPr>
        <w:pStyle w:val="10"/>
        <w:pageBreakBefore w:val="0"/>
        <w:numPr>
          <w:ilvl w:val="0"/>
          <w:numId w:val="0"/>
        </w:numPr>
        <w:tabs>
          <w:tab w:val="left" w:pos="2160"/>
        </w:tabs>
        <w:kinsoku/>
        <w:wordWrap/>
        <w:overflowPunct/>
        <w:topLinePunct w:val="0"/>
        <w:autoSpaceDE/>
        <w:autoSpaceDN/>
        <w:bidi w:val="0"/>
        <w:adjustRightInd/>
        <w:spacing w:line="600" w:lineRule="exact"/>
        <w:ind w:left="0" w:leftChars="0" w:firstLine="640" w:firstLineChars="200"/>
        <w:textAlignment w:val="auto"/>
        <w:outlineLvl w:val="0"/>
        <w:rPr>
          <w:rFonts w:hint="default" w:ascii="Times New Roman" w:hAnsi="Times New Roman" w:eastAsia="黑体" w:cs="Times New Roman"/>
          <w:color w:val="auto"/>
          <w:sz w:val="32"/>
          <w:szCs w:val="32"/>
          <w:highlight w:val="none"/>
          <w:u w:val="none"/>
          <w:lang w:eastAsia="zh-CN"/>
        </w:rPr>
      </w:pPr>
      <w:r>
        <w:rPr>
          <w:rFonts w:hint="default" w:ascii="Times New Roman" w:hAnsi="Times New Roman" w:cs="Times New Roman"/>
          <w:color w:val="auto"/>
          <w:sz w:val="32"/>
          <w:szCs w:val="32"/>
          <w:highlight w:val="none"/>
          <w:u w:val="none"/>
          <w:lang w:eastAsia="zh-CN"/>
        </w:rPr>
        <w:t>五、</w:t>
      </w:r>
      <w:r>
        <w:rPr>
          <w:rFonts w:hint="default" w:ascii="Times New Roman" w:hAnsi="Times New Roman" w:eastAsia="黑体" w:cs="Times New Roman"/>
          <w:color w:val="auto"/>
          <w:sz w:val="32"/>
          <w:szCs w:val="32"/>
          <w:highlight w:val="none"/>
          <w:u w:val="none"/>
          <w:lang w:eastAsia="zh-CN"/>
        </w:rPr>
        <w:t>存在主要问题</w:t>
      </w:r>
    </w:p>
    <w:p w14:paraId="253F02A5">
      <w:pPr>
        <w:pStyle w:val="10"/>
        <w:pageBreakBefore w:val="0"/>
        <w:numPr>
          <w:ilvl w:val="0"/>
          <w:numId w:val="0"/>
        </w:numPr>
        <w:tabs>
          <w:tab w:val="left" w:pos="2160"/>
        </w:tabs>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仿宋_GB2312" w:cs="Times New Roman"/>
          <w:b w:val="0"/>
          <w:bCs w:val="0"/>
          <w:kern w:val="0"/>
          <w:position w:val="0"/>
          <w:sz w:val="32"/>
          <w:szCs w:val="32"/>
          <w:highlight w:val="none"/>
          <w:lang w:val="en-US" w:eastAsia="zh-CN" w:bidi="ar-SA"/>
        </w:rPr>
      </w:pPr>
      <w:r>
        <w:rPr>
          <w:rFonts w:hint="eastAsia" w:ascii="Times New Roman" w:hAnsi="Times New Roman" w:eastAsia="仿宋_GB2312" w:cs="Times New Roman"/>
          <w:b w:val="0"/>
          <w:bCs w:val="0"/>
          <w:kern w:val="0"/>
          <w:position w:val="0"/>
          <w:sz w:val="32"/>
          <w:szCs w:val="32"/>
          <w:highlight w:val="none"/>
          <w:lang w:val="en-US" w:eastAsia="zh-CN" w:bidi="ar-SA"/>
        </w:rPr>
        <w:t>绩效指标梯度设计不够完善：部分可持续影响指标未充分结合城乡、区域监管差异设置梯度目标，如“基层监管规范化建设”未针对偏远区域监管所场地条件制定差异化标准，导致绩效评价难以精准反映不同场景下的工作成效。</w:t>
      </w:r>
    </w:p>
    <w:p w14:paraId="5D4FB3E5">
      <w:pPr>
        <w:pStyle w:val="10"/>
        <w:pageBreakBefore w:val="0"/>
        <w:numPr>
          <w:ilvl w:val="0"/>
          <w:numId w:val="0"/>
        </w:numPr>
        <w:tabs>
          <w:tab w:val="left" w:pos="2160"/>
        </w:tabs>
        <w:kinsoku/>
        <w:wordWrap/>
        <w:overflowPunct/>
        <w:topLinePunct w:val="0"/>
        <w:autoSpaceDE/>
        <w:autoSpaceDN/>
        <w:bidi w:val="0"/>
        <w:adjustRightInd/>
        <w:spacing w:line="600" w:lineRule="exact"/>
        <w:ind w:left="0" w:leftChars="0" w:firstLine="640" w:firstLineChars="200"/>
        <w:textAlignment w:val="auto"/>
        <w:outlineLvl w:val="0"/>
        <w:rPr>
          <w:rFonts w:hint="default" w:ascii="Times New Roman" w:hAnsi="Times New Roman" w:eastAsia="黑体" w:cs="Times New Roman"/>
          <w:color w:val="auto"/>
          <w:kern w:val="0"/>
          <w:position w:val="3"/>
          <w:sz w:val="32"/>
          <w:szCs w:val="32"/>
          <w:highlight w:val="none"/>
          <w:u w:val="none"/>
          <w:lang w:val="zh-CN" w:eastAsia="zh-CN" w:bidi="ar-SA"/>
        </w:rPr>
      </w:pPr>
      <w:r>
        <w:rPr>
          <w:rFonts w:hint="default" w:ascii="Times New Roman" w:hAnsi="Times New Roman" w:eastAsia="黑体" w:cs="Times New Roman"/>
          <w:color w:val="auto"/>
          <w:kern w:val="0"/>
          <w:position w:val="3"/>
          <w:sz w:val="32"/>
          <w:szCs w:val="32"/>
          <w:highlight w:val="none"/>
          <w:u w:val="none"/>
          <w:lang w:val="zh-CN" w:eastAsia="zh-CN" w:bidi="ar-SA"/>
        </w:rPr>
        <w:t>六、改进建议</w:t>
      </w:r>
    </w:p>
    <w:p w14:paraId="099BC3FE">
      <w:pPr>
        <w:tabs>
          <w:tab w:val="left" w:pos="1911"/>
        </w:tabs>
        <w:jc w:val="left"/>
        <w:rPr>
          <w:rFonts w:hint="default" w:ascii="Times New Roman" w:hAnsi="Times New Roman" w:eastAsia="仿宋_GB2312" w:cs="Times New Roman"/>
          <w:b w:val="0"/>
          <w:bCs w:val="0"/>
          <w:kern w:val="0"/>
          <w:position w:val="0"/>
          <w:sz w:val="32"/>
          <w:szCs w:val="32"/>
          <w:highlight w:val="none"/>
          <w:lang w:val="en" w:eastAsia="zh-CN" w:bidi="ar-SA"/>
        </w:rPr>
      </w:pPr>
      <w:r>
        <w:rPr>
          <w:rFonts w:hint="eastAsia" w:cs="Times New Roman"/>
          <w:b w:val="0"/>
          <w:bCs w:val="0"/>
          <w:kern w:val="0"/>
          <w:position w:val="0"/>
          <w:sz w:val="32"/>
          <w:szCs w:val="32"/>
          <w:highlight w:val="none"/>
          <w:lang w:val="en-US" w:eastAsia="zh-CN" w:bidi="ar-SA"/>
        </w:rPr>
        <w:t>优化绩效指标梯度体系：重构绩效指标体系，按“城区－偏远区域”“规模企业-小微企业”分类设置差异化梯度目标，将“基层监管规范化建设”拆解为“城区监管所达标率”“偏远区域监管所达标率”等可量化子指标，明确数据收集标准与分级考核口径，提升绩效评价的精准性与公平性。</w:t>
      </w:r>
    </w:p>
    <w:p w14:paraId="1910DA4B">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000000"/>
          <w:kern w:val="0"/>
          <w:szCs w:val="32"/>
          <w:highlight w:val="none"/>
          <w:shd w:val="clear" w:color="auto" w:fill="FFFFFF"/>
          <w:lang w:val="zh-CN" w:eastAsia="zh-CN"/>
        </w:rPr>
      </w:pPr>
    </w:p>
    <w:p w14:paraId="79B0F2EC">
      <w:pPr>
        <w:pStyle w:val="31"/>
        <w:keepNext w:val="0"/>
        <w:keepLines w:val="0"/>
        <w:pageBreakBefore w:val="0"/>
        <w:widowControl w:val="0"/>
        <w:kinsoku/>
        <w:wordWrap/>
        <w:overflowPunct/>
        <w:topLinePunct w:val="0"/>
        <w:autoSpaceDE/>
        <w:autoSpaceDN/>
        <w:bidi w:val="0"/>
        <w:adjustRightInd/>
        <w:snapToGrid/>
        <w:spacing w:line="578" w:lineRule="exact"/>
        <w:ind w:left="0" w:leftChars="0" w:firstLine="0" w:firstLineChars="0"/>
        <w:jc w:val="both"/>
        <w:textAlignment w:val="auto"/>
        <w:rPr>
          <w:rFonts w:hint="default" w:ascii="Times New Roman" w:hAnsi="Times New Roman" w:cs="Times New Roman"/>
          <w:color w:val="000000"/>
          <w:kern w:val="0"/>
          <w:szCs w:val="32"/>
          <w:highlight w:val="none"/>
          <w:shd w:val="clear" w:color="auto" w:fill="FFFFFF"/>
          <w:lang w:val="zh-CN" w:eastAsia="zh-CN"/>
        </w:rPr>
      </w:pPr>
    </w:p>
    <w:p w14:paraId="07F1EE7D">
      <w:pPr>
        <w:pStyle w:val="31"/>
        <w:keepNext w:val="0"/>
        <w:keepLines w:val="0"/>
        <w:pageBreakBefore w:val="0"/>
        <w:widowControl w:val="0"/>
        <w:kinsoku/>
        <w:wordWrap/>
        <w:overflowPunct/>
        <w:topLinePunct w:val="0"/>
        <w:autoSpaceDE/>
        <w:autoSpaceDN/>
        <w:bidi w:val="0"/>
        <w:adjustRightInd/>
        <w:snapToGrid/>
        <w:spacing w:line="578" w:lineRule="exact"/>
        <w:ind w:left="0" w:leftChars="0" w:firstLine="0" w:firstLineChars="0"/>
        <w:jc w:val="both"/>
        <w:textAlignment w:val="auto"/>
        <w:rPr>
          <w:rFonts w:hint="default" w:ascii="Times New Roman" w:hAnsi="Times New Roman" w:eastAsia="方正小标宋简体" w:cs="Times New Roman"/>
          <w:color w:val="auto"/>
          <w:kern w:val="2"/>
          <w:sz w:val="44"/>
          <w:szCs w:val="44"/>
          <w:highlight w:val="none"/>
          <w:lang w:val="en-US" w:eastAsia="zh-CN"/>
        </w:rPr>
      </w:pPr>
      <w:r>
        <w:rPr>
          <w:rFonts w:hint="default" w:ascii="Times New Roman" w:hAnsi="Times New Roman" w:cs="Times New Roman"/>
          <w:color w:val="000000"/>
          <w:kern w:val="0"/>
          <w:szCs w:val="32"/>
          <w:highlight w:val="none"/>
          <w:shd w:val="clear" w:color="auto" w:fill="FFFFFF"/>
          <w:lang w:val="zh-CN" w:eastAsia="zh-CN"/>
        </w:rPr>
        <w:br w:type="page"/>
      </w:r>
      <w:r>
        <w:rPr>
          <w:rFonts w:hint="eastAsia" w:ascii="仿宋" w:hAnsi="仿宋" w:eastAsia="仿宋" w:cs="仿宋"/>
          <w:color w:val="auto"/>
          <w:kern w:val="2"/>
          <w:sz w:val="30"/>
          <w:szCs w:val="30"/>
          <w:highlight w:val="none"/>
          <w:lang w:val="en-US" w:eastAsia="zh-CN"/>
        </w:rPr>
        <w:t>附件2-2</w:t>
      </w:r>
    </w:p>
    <w:p w14:paraId="3F3D9DFD">
      <w:pPr>
        <w:pStyle w:val="31"/>
        <w:keepNext w:val="0"/>
        <w:keepLines w:val="0"/>
        <w:pageBreakBefore w:val="0"/>
        <w:widowControl w:val="0"/>
        <w:kinsoku/>
        <w:wordWrap/>
        <w:overflowPunct/>
        <w:topLinePunct w:val="0"/>
        <w:autoSpaceDE/>
        <w:autoSpaceDN/>
        <w:bidi w:val="0"/>
        <w:adjustRightInd/>
        <w:snapToGrid/>
        <w:spacing w:line="578" w:lineRule="exact"/>
        <w:ind w:left="0" w:leftChars="0" w:firstLine="0" w:firstLineChars="0"/>
        <w:jc w:val="center"/>
        <w:textAlignment w:val="auto"/>
        <w:rPr>
          <w:rFonts w:hint="eastAsia" w:ascii="Times New Roman" w:hAnsi="Times New Roman" w:eastAsia="方正小标宋简体" w:cs="Times New Roman"/>
          <w:color w:val="auto"/>
          <w:kern w:val="2"/>
          <w:sz w:val="44"/>
          <w:szCs w:val="44"/>
          <w:highlight w:val="none"/>
          <w:lang w:val="en-US" w:eastAsia="zh-CN"/>
        </w:rPr>
      </w:pPr>
      <w:r>
        <w:rPr>
          <w:rFonts w:hint="eastAsia" w:ascii="Times New Roman" w:hAnsi="Times New Roman" w:eastAsia="方正小标宋简体" w:cs="Times New Roman"/>
          <w:color w:val="auto"/>
          <w:kern w:val="2"/>
          <w:sz w:val="44"/>
          <w:szCs w:val="44"/>
          <w:highlight w:val="none"/>
          <w:lang w:val="en-US" w:eastAsia="zh-CN"/>
        </w:rPr>
        <w:t>2025年省级药品监管专项资金项目</w:t>
      </w:r>
    </w:p>
    <w:p w14:paraId="021609E9">
      <w:pPr>
        <w:pStyle w:val="31"/>
        <w:keepNext w:val="0"/>
        <w:keepLines w:val="0"/>
        <w:pageBreakBefore w:val="0"/>
        <w:widowControl w:val="0"/>
        <w:kinsoku/>
        <w:wordWrap/>
        <w:overflowPunct/>
        <w:topLinePunct w:val="0"/>
        <w:autoSpaceDE/>
        <w:autoSpaceDN/>
        <w:bidi w:val="0"/>
        <w:adjustRightInd/>
        <w:snapToGrid/>
        <w:spacing w:line="578" w:lineRule="exact"/>
        <w:ind w:left="0" w:leftChars="0" w:firstLine="0" w:firstLineChars="0"/>
        <w:jc w:val="center"/>
        <w:textAlignment w:val="auto"/>
        <w:rPr>
          <w:rFonts w:hint="default" w:ascii="Times New Roman" w:hAnsi="Times New Roman" w:eastAsia="方正小标宋简体" w:cs="Times New Roman"/>
          <w:color w:val="auto"/>
          <w:kern w:val="2"/>
          <w:sz w:val="44"/>
          <w:szCs w:val="44"/>
          <w:highlight w:val="none"/>
          <w:lang w:val="en-US" w:eastAsia="zh-CN"/>
        </w:rPr>
      </w:pPr>
      <w:r>
        <w:rPr>
          <w:rFonts w:hint="eastAsia" w:ascii="Times New Roman" w:hAnsi="Times New Roman" w:eastAsia="方正小标宋简体" w:cs="Times New Roman"/>
          <w:color w:val="auto"/>
          <w:kern w:val="2"/>
          <w:sz w:val="44"/>
          <w:szCs w:val="44"/>
          <w:highlight w:val="none"/>
          <w:lang w:val="en-US" w:eastAsia="zh-CN"/>
        </w:rPr>
        <w:t>专项</w:t>
      </w:r>
      <w:r>
        <w:rPr>
          <w:rFonts w:hint="default" w:ascii="Times New Roman" w:hAnsi="Times New Roman" w:eastAsia="方正小标宋简体" w:cs="Times New Roman"/>
          <w:color w:val="auto"/>
          <w:kern w:val="2"/>
          <w:sz w:val="44"/>
          <w:szCs w:val="44"/>
          <w:highlight w:val="none"/>
          <w:lang w:val="en-US" w:eastAsia="zh-CN"/>
        </w:rPr>
        <w:t>绩效自评报告</w:t>
      </w:r>
    </w:p>
    <w:p w14:paraId="3A216F4A">
      <w:pPr>
        <w:pStyle w:val="31"/>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hint="default" w:ascii="Times New Roman" w:hAnsi="Times New Roman" w:cs="Times New Roman"/>
          <w:color w:val="auto"/>
          <w:kern w:val="2"/>
          <w:sz w:val="32"/>
          <w:szCs w:val="32"/>
          <w:highlight w:val="none"/>
        </w:rPr>
      </w:pPr>
    </w:p>
    <w:p w14:paraId="2AD00FF4">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0"/>
        <w:rPr>
          <w:rFonts w:hint="default" w:ascii="Times New Roman" w:hAnsi="Times New Roman" w:eastAsia="黑体" w:cs="Times New Roman"/>
          <w:highlight w:val="none"/>
          <w:lang w:val="zh-CN"/>
        </w:rPr>
      </w:pPr>
      <w:r>
        <w:rPr>
          <w:rFonts w:hint="default" w:ascii="Times New Roman" w:hAnsi="Times New Roman" w:eastAsia="黑体" w:cs="Times New Roman"/>
          <w:highlight w:val="none"/>
        </w:rPr>
        <w:t>一、</w:t>
      </w:r>
      <w:r>
        <w:rPr>
          <w:rFonts w:hint="default" w:ascii="Times New Roman" w:hAnsi="Times New Roman" w:eastAsia="黑体" w:cs="Times New Roman"/>
          <w:highlight w:val="none"/>
          <w:lang w:val="zh-CN"/>
        </w:rPr>
        <w:t>项目概况</w:t>
      </w:r>
    </w:p>
    <w:p w14:paraId="08083F8A">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outlineLvl w:val="1"/>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（一）设立背景及基本情况。</w:t>
      </w:r>
    </w:p>
    <w:p w14:paraId="7DA3E368">
      <w:pPr>
        <w:keepNext w:val="0"/>
        <w:keepLines w:val="0"/>
        <w:pageBreakBefore w:val="0"/>
        <w:kinsoku/>
        <w:wordWrap/>
        <w:overflowPunct/>
        <w:topLinePunct w:val="0"/>
        <w:autoSpaceDE/>
        <w:autoSpaceDN/>
        <w:bidi w:val="0"/>
        <w:spacing w:line="240" w:lineRule="auto"/>
        <w:ind w:firstLine="640" w:firstLineChars="200"/>
        <w:jc w:val="both"/>
        <w:textAlignment w:val="auto"/>
        <w:outlineLvl w:val="2"/>
        <w:rPr>
          <w:rFonts w:hint="default"/>
          <w:lang w:val="en-US" w:eastAsia="zh-CN"/>
        </w:rPr>
      </w:pPr>
      <w:r>
        <w:rPr>
          <w:rFonts w:hint="eastAsia"/>
          <w:lang w:val="en-US" w:eastAsia="zh-CN"/>
        </w:rPr>
        <w:t>1.</w:t>
      </w:r>
      <w:r>
        <w:rPr>
          <w:rFonts w:hint="default"/>
          <w:lang w:val="zh-CN"/>
        </w:rPr>
        <w:t>项目设立原因及背景</w:t>
      </w:r>
    </w:p>
    <w:p w14:paraId="0FF9EACE">
      <w:pPr>
        <w:bidi w:val="0"/>
        <w:rPr>
          <w:rFonts w:hint="default"/>
          <w:lang w:val="zh-CN"/>
        </w:rPr>
      </w:pPr>
      <w:r>
        <w:rPr>
          <w:rFonts w:hint="eastAsia"/>
          <w:lang w:val="en-US" w:eastAsia="zh-CN"/>
        </w:rPr>
        <w:t>药品（含医疗器械、化妆品，以下简称“两品一械”）安全是公共卫生安全的核心防线，直接关系人民群众身体健康和生命安全。当前阿坝州“两品一械”经营使用业态日趋复杂，部分经营者合规意识薄弱，制售假劣产品等违法违规行为仍有发生，基层监管人员专业能力不足、技术支撑薄弱等问题制约监管效能提升。为切实守牢药品安全底线，规范经营使用秩序，强化技术支撑与监管能力，依据省级药品监管专项资金管理相关要求，设立本项目，专项用于“两品一械”抽检监测、执法打击、培训宣传等工作，全面提升全州药品安全监管水平</w:t>
      </w:r>
      <w:r>
        <w:rPr>
          <w:rFonts w:hint="eastAsia"/>
          <w:lang w:val="zh-CN"/>
        </w:rPr>
        <w:t>。</w:t>
      </w:r>
    </w:p>
    <w:p w14:paraId="220B7902">
      <w:pPr>
        <w:bidi w:val="0"/>
        <w:ind w:firstLine="640" w:firstLineChars="200"/>
        <w:outlineLvl w:val="2"/>
        <w:rPr>
          <w:rFonts w:hint="default"/>
          <w:lang w:val="zh-CN"/>
        </w:rPr>
      </w:pPr>
      <w:r>
        <w:rPr>
          <w:rFonts w:hint="eastAsia"/>
          <w:lang w:val="en-US" w:eastAsia="zh-CN"/>
        </w:rPr>
        <w:t>2.</w:t>
      </w:r>
      <w:r>
        <w:rPr>
          <w:rFonts w:hint="default"/>
          <w:lang w:val="zh-CN"/>
        </w:rPr>
        <w:t>项目立项及资金申报的依据</w:t>
      </w:r>
    </w:p>
    <w:p w14:paraId="60063E06">
      <w:pPr>
        <w:bidi w:val="0"/>
        <w:rPr>
          <w:rFonts w:hint="default"/>
          <w:lang w:val="en-US" w:eastAsia="zh-CN"/>
        </w:rPr>
      </w:pPr>
      <w:r>
        <w:rPr>
          <w:rFonts w:hint="eastAsia"/>
          <w:lang w:val="en-US" w:eastAsia="zh-CN"/>
        </w:rPr>
        <w:t>本项目立项严格遵循《中华人民共和国药品管理法》《医疗器械监督管理条例》《化妆品监督管理条例》等法律法规，依据四川省药品监督管理局年度重点工作部署、阿坝州委、州政府关于民生保障和市场监管的决策安排，紧扣全州药品安全监管实际需求开展立项论证。资金申报基于省级化妆品抽样、医疗器械抽样、监督检查、执法打击、人员培训、科普宣传等工作的实际成本科学测算，涵盖抽检耗材、执法装备、培训组织、宣传物料等必要支出，经州财政局严格审核后纳入年度部门预算，资金来源为省级财政专项预算，全程符合财政资金使用管理及药品监管相关规范。</w:t>
      </w:r>
    </w:p>
    <w:p w14:paraId="18B62834">
      <w:pPr>
        <w:bidi w:val="0"/>
        <w:ind w:firstLine="640" w:firstLineChars="200"/>
        <w:outlineLvl w:val="2"/>
        <w:rPr>
          <w:rFonts w:hint="default"/>
          <w:lang w:val="zh-CN"/>
        </w:rPr>
      </w:pPr>
      <w:r>
        <w:rPr>
          <w:rFonts w:hint="eastAsia"/>
          <w:lang w:val="en-US" w:eastAsia="zh-CN"/>
        </w:rPr>
        <w:t>3.</w:t>
      </w:r>
      <w:r>
        <w:rPr>
          <w:rFonts w:hint="default"/>
          <w:lang w:val="zh-CN"/>
        </w:rPr>
        <w:t>项目主要内容</w:t>
      </w:r>
    </w:p>
    <w:p w14:paraId="46123CFB">
      <w:pPr>
        <w:bidi w:val="0"/>
        <w:rPr>
          <w:rFonts w:hint="default"/>
          <w:lang w:val="zh-CN"/>
        </w:rPr>
      </w:pPr>
      <w:r>
        <w:rPr>
          <w:rFonts w:hint="eastAsia"/>
          <w:lang w:val="en-US" w:eastAsia="zh-CN"/>
        </w:rPr>
        <w:t>本项目以“严监管、守底线、强能力、广科普”为核心，统筹开展六大重点工作：一是完成省级化妆品抽样≥35批次、医疗器械抽样≥15批次，强化质量安全风险防控；二是加大监督检查力度，严厉打击制售假劣“两品一械”违法犯罪活动，规范经营使用秩序；三是开展监管人员专业培训，提升综合业务素质和执法能力；四是加大“两品一械”科普宣传力度，增强公众风险识别与防范意识；五是完善监督管理与应急管理机制，提升风险防范与处置能力；六是强化不合格检验报告闭环处置，确保问题整改到位</w:t>
      </w:r>
      <w:r>
        <w:rPr>
          <w:rFonts w:hint="eastAsia"/>
          <w:lang w:val="zh-CN"/>
        </w:rPr>
        <w:t>。</w:t>
      </w:r>
    </w:p>
    <w:p w14:paraId="58CD5C75">
      <w:pPr>
        <w:bidi w:val="0"/>
        <w:ind w:firstLine="640" w:firstLineChars="200"/>
        <w:outlineLvl w:val="2"/>
        <w:rPr>
          <w:rFonts w:hint="default"/>
          <w:lang w:val="zh-CN"/>
        </w:rPr>
      </w:pPr>
      <w:r>
        <w:rPr>
          <w:rFonts w:hint="eastAsia"/>
          <w:lang w:val="en-US" w:eastAsia="zh-CN"/>
        </w:rPr>
        <w:t>4.</w:t>
      </w:r>
      <w:r>
        <w:rPr>
          <w:rFonts w:hint="default"/>
          <w:lang w:val="zh-CN"/>
        </w:rPr>
        <w:t>主管部门职能</w:t>
      </w:r>
    </w:p>
    <w:p w14:paraId="1D0B4BF4">
      <w:pPr>
        <w:bidi w:val="0"/>
        <w:rPr>
          <w:rFonts w:hint="default"/>
          <w:lang w:val="zh-CN"/>
        </w:rPr>
      </w:pPr>
      <w:r>
        <w:rPr>
          <w:rFonts w:hint="default"/>
          <w:lang w:val="zh-CN"/>
        </w:rPr>
        <w:t>阿坝藏族羌族自治州市场监督管理局作为本项目主管部门，依法履行全州“两品一械”安全综合监督管理、行政执法及公共服务职责，在本项目实施中承担顶层设计、统筹推进、全程监管及绩效落实核心职能。具体负责制定项目实施工作方案，统筹组织抽检监测、执法打击等工作；组织开展监管人员培训和科普宣传；完善监管与应急机制；负责项目资金统筹管理与使用监督，确保项目实施与全州药品监管总体规划、民生保障需求同频共振</w:t>
      </w:r>
      <w:r>
        <w:rPr>
          <w:rFonts w:hint="eastAsia"/>
          <w:lang w:val="zh-CN"/>
        </w:rPr>
        <w:t>。</w:t>
      </w:r>
    </w:p>
    <w:p w14:paraId="56B1F172">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outlineLvl w:val="1"/>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实施目的及支持方向。</w:t>
      </w:r>
    </w:p>
    <w:p w14:paraId="1CA0483F">
      <w:pPr>
        <w:bidi w:val="0"/>
        <w:ind w:firstLine="640" w:firstLineChars="200"/>
        <w:outlineLvl w:val="2"/>
        <w:rPr>
          <w:rFonts w:hint="eastAsia"/>
          <w:lang w:val="en-US" w:eastAsia="zh-CN"/>
        </w:rPr>
      </w:pPr>
      <w:r>
        <w:rPr>
          <w:rFonts w:hint="eastAsia"/>
          <w:lang w:val="en-US" w:eastAsia="zh-CN"/>
        </w:rPr>
        <w:t>1.项目资金管理办法制定情况</w:t>
      </w:r>
    </w:p>
    <w:p w14:paraId="5A88854E">
      <w:pPr>
        <w:bidi w:val="0"/>
        <w:ind w:firstLine="640"/>
        <w:rPr>
          <w:rFonts w:hint="default"/>
          <w:lang w:val="en-US" w:eastAsia="zh-CN"/>
        </w:rPr>
      </w:pPr>
      <w:r>
        <w:rPr>
          <w:rFonts w:hint="eastAsia"/>
          <w:lang w:val="en-US" w:eastAsia="zh-CN"/>
        </w:rPr>
        <w:t>为保障2025年省级药品监管专项资金规范、高效、安全使用，我局严格遵照《四川省省级药品监管专项资金管理办法》及省、州财政专项资金管理相关规定，结合全州药品监管工作实际，制定《2025年省级药品监管专项资金使用实施细则》，实行专项资金专款专用、单独核算、闭环管理。明确资金使用范围涵盖抽检监测、监督检查、执法打击、培训宣传、机制完善等与药品监管直接相关的必要支出，严格界定资金使用标准、审批流程及报销要求，预算调整严格履行州财政局审批备案程序。通过建立定期财务核查、常态化绩效监控机制，确保资金使用效益与预算既定目标高度契合，全程杜绝挤占、挪用、虚列支出等违规行为。</w:t>
      </w:r>
    </w:p>
    <w:p w14:paraId="243F0ED5">
      <w:pPr>
        <w:bidi w:val="0"/>
        <w:ind w:firstLine="640" w:firstLineChars="200"/>
        <w:outlineLvl w:val="2"/>
        <w:rPr>
          <w:rFonts w:hint="eastAsia"/>
          <w:lang w:val="en-US" w:eastAsia="zh-CN"/>
        </w:rPr>
      </w:pPr>
      <w:r>
        <w:rPr>
          <w:rFonts w:hint="eastAsia"/>
          <w:lang w:val="en-US" w:eastAsia="zh-CN"/>
        </w:rPr>
        <w:t>2.项目实施目的和主要工作任务</w:t>
      </w:r>
    </w:p>
    <w:p w14:paraId="5719895B">
      <w:pPr>
        <w:bidi w:val="0"/>
        <w:ind w:firstLine="640"/>
        <w:rPr>
          <w:rFonts w:hint="eastAsia"/>
          <w:lang w:val="en-US" w:eastAsia="zh-CN"/>
        </w:rPr>
      </w:pPr>
      <w:r>
        <w:rPr>
          <w:rFonts w:hint="eastAsia"/>
          <w:lang w:val="en-US" w:eastAsia="zh-CN"/>
        </w:rPr>
        <w:t>本项目以全面提升全州“两品一械”安全监管能力、守牢药品安全底线、规范经营使用秩序、强化技术支撑、提升公众安全意识为核心实施目的，通过省级专项资金精准保障，破解药品监管执法、风险防控、能力建设等环节的重点难点问题，推动药品监管工作标准化、专业化、规范化发展，切实维护群众合法权益，为全州药品安全形势持续稳定提供坚实支撑。</w:t>
      </w:r>
    </w:p>
    <w:p w14:paraId="11D53164">
      <w:pPr>
        <w:bidi w:val="0"/>
        <w:ind w:firstLine="640"/>
        <w:rPr>
          <w:rFonts w:hint="default"/>
          <w:lang w:val="en-US" w:eastAsia="zh-CN"/>
        </w:rPr>
      </w:pPr>
      <w:r>
        <w:rPr>
          <w:rFonts w:hint="eastAsia"/>
          <w:lang w:val="en-US" w:eastAsia="zh-CN"/>
        </w:rPr>
        <w:t>主要工作任务围绕“抽检全覆盖、执法零容忍、能力大提升、科普广覆盖”要求开展：①完成省级化妆品抽样≥35批次、医疗器械抽样≥15批次；②开展监督检查≥20家次，查处违法违规案件≥3件；③组织监管人员专业培训≥2期、科普宣传≥4场；④完善监管与应急管理机制≥1项；⑤确保不合格检验报告处置率100%，辖区无重大“两品一械”安全事故发生。</w:t>
      </w:r>
    </w:p>
    <w:p w14:paraId="615D4DC1">
      <w:pPr>
        <w:bidi w:val="0"/>
        <w:ind w:firstLine="640" w:firstLineChars="200"/>
        <w:outlineLvl w:val="2"/>
        <w:rPr>
          <w:rFonts w:hint="default"/>
          <w:lang w:val="en-US" w:eastAsia="zh-CN"/>
        </w:rPr>
      </w:pPr>
      <w:r>
        <w:rPr>
          <w:rFonts w:hint="eastAsia"/>
          <w:lang w:val="en-US" w:eastAsia="zh-CN"/>
        </w:rPr>
        <w:t>3.项目支持方向</w:t>
      </w:r>
    </w:p>
    <w:p w14:paraId="163B5510">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default" w:ascii="Times New Roman" w:hAnsi="Times New Roman" w:eastAsia="楷体_GB2312" w:cs="Times New Roman"/>
          <w:b/>
          <w:color w:val="auto"/>
          <w:sz w:val="32"/>
          <w:szCs w:val="32"/>
          <w:highlight w:val="none"/>
          <w:u w:val="none"/>
          <w:lang w:val="zh-CN"/>
        </w:rPr>
      </w:pPr>
      <w:r>
        <w:rPr>
          <w:rFonts w:hint="eastAsia" w:cs="Times New Roman"/>
          <w:color w:val="auto"/>
          <w:kern w:val="0"/>
          <w:sz w:val="32"/>
          <w:szCs w:val="32"/>
          <w:highlight w:val="none"/>
          <w:u w:val="none"/>
          <w:shd w:val="clear" w:color="auto" w:fill="FFFFFF"/>
          <w:lang w:val="en-US" w:eastAsia="zh-CN"/>
        </w:rPr>
        <w:t>项目资金聚焦三大核心方向精准发力：一是筑牢质量安全防线，重点保障“两品一械”抽检监测、监督检查、执法打击等工作，及时发现和处置质量安全风险，严厉打击违法违规行为；二是提升监管专业能力，支持监管人员业务培训和监管机制完善，强化执法实操与风险处置能力，打造专业化监管队伍；三是强化科普宣传引导，保障“两品一械”安全科普宣传工作，提升公众安全意识和自我保护能力，营造社会共治良好氛围。</w:t>
      </w:r>
    </w:p>
    <w:p w14:paraId="2F93EF74">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outlineLvl w:val="1"/>
        <w:rPr>
          <w:rFonts w:hint="default" w:ascii="Times New Roman" w:hAnsi="Times New Roman" w:eastAsia="楷体_GB2312" w:cs="Times New Roman"/>
          <w:b/>
          <w:color w:val="auto"/>
          <w:sz w:val="32"/>
          <w:szCs w:val="32"/>
          <w:highlight w:val="none"/>
          <w:u w:val="none"/>
          <w:lang w:val="zh-CN" w:eastAsia="zh-CN"/>
        </w:rPr>
      </w:pPr>
      <w:r>
        <w:rPr>
          <w:rFonts w:hint="default" w:ascii="Times New Roman" w:hAnsi="Times New Roman" w:eastAsia="楷体_GB2312" w:cs="Times New Roman"/>
          <w:b/>
          <w:color w:val="auto"/>
          <w:sz w:val="32"/>
          <w:szCs w:val="32"/>
          <w:highlight w:val="none"/>
          <w:u w:val="none"/>
          <w:lang w:val="zh-CN" w:eastAsia="zh-CN"/>
        </w:rPr>
        <w:t>（三）</w:t>
      </w:r>
      <w:r>
        <w:rPr>
          <w:rFonts w:hint="default" w:ascii="Times New Roman" w:hAnsi="Times New Roman" w:eastAsia="楷体_GB2312" w:cs="Times New Roman"/>
          <w:b/>
          <w:color w:val="auto"/>
          <w:sz w:val="32"/>
          <w:szCs w:val="32"/>
          <w:highlight w:val="none"/>
          <w:u w:val="none"/>
          <w:lang w:val="en-US" w:eastAsia="zh-CN"/>
        </w:rPr>
        <w:t>预算安排及分配管理</w:t>
      </w:r>
      <w:r>
        <w:rPr>
          <w:rFonts w:hint="default" w:ascii="Times New Roman" w:hAnsi="Times New Roman" w:eastAsia="楷体_GB2312" w:cs="Times New Roman"/>
          <w:b/>
          <w:color w:val="auto"/>
          <w:sz w:val="32"/>
          <w:szCs w:val="32"/>
          <w:highlight w:val="none"/>
          <w:u w:val="none"/>
          <w:lang w:val="zh-CN" w:eastAsia="zh-CN"/>
        </w:rPr>
        <w:t>。</w:t>
      </w:r>
    </w:p>
    <w:p w14:paraId="7B28768E">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default" w:ascii="Times New Roman" w:hAnsi="Times New Roman" w:cs="Times New Roman"/>
          <w:color w:val="auto"/>
          <w:kern w:val="0"/>
          <w:sz w:val="32"/>
          <w:szCs w:val="32"/>
          <w:highlight w:val="none"/>
          <w:u w:val="none"/>
          <w:shd w:val="clear" w:color="auto" w:fill="FFFFFF"/>
          <w:lang w:val="zh-CN" w:eastAsia="zh-CN"/>
        </w:rPr>
      </w:pPr>
      <w:r>
        <w:rPr>
          <w:rFonts w:hint="default" w:ascii="Times New Roman" w:hAnsi="Times New Roman" w:cs="Times New Roman"/>
          <w:color w:val="auto"/>
          <w:kern w:val="0"/>
          <w:sz w:val="32"/>
          <w:szCs w:val="32"/>
          <w:highlight w:val="none"/>
          <w:u w:val="none"/>
          <w:shd w:val="clear" w:color="auto" w:fill="FFFFFF"/>
          <w:lang w:val="zh-CN" w:eastAsia="zh-CN"/>
        </w:rPr>
        <w:t>本项目</w:t>
      </w:r>
      <w:r>
        <w:rPr>
          <w:rFonts w:hint="eastAsia" w:cs="Times New Roman"/>
          <w:color w:val="auto"/>
          <w:kern w:val="0"/>
          <w:sz w:val="32"/>
          <w:szCs w:val="32"/>
          <w:highlight w:val="none"/>
          <w:u w:val="none"/>
          <w:shd w:val="clear" w:color="auto" w:fill="FFFFFF"/>
          <w:lang w:val="en-US" w:eastAsia="zh-CN"/>
        </w:rPr>
        <w:t>年末追加9.91</w:t>
      </w:r>
      <w:r>
        <w:rPr>
          <w:rFonts w:hint="default" w:ascii="Times New Roman" w:hAnsi="Times New Roman" w:cs="Times New Roman"/>
          <w:color w:val="auto"/>
          <w:kern w:val="0"/>
          <w:sz w:val="32"/>
          <w:szCs w:val="32"/>
          <w:highlight w:val="none"/>
          <w:u w:val="none"/>
          <w:shd w:val="clear" w:color="auto" w:fill="FFFFFF"/>
          <w:lang w:val="zh-CN" w:eastAsia="zh-CN"/>
        </w:rPr>
        <w:t>万元，均为</w:t>
      </w:r>
      <w:r>
        <w:rPr>
          <w:rFonts w:hint="eastAsia" w:cs="Times New Roman"/>
          <w:color w:val="auto"/>
          <w:kern w:val="0"/>
          <w:sz w:val="32"/>
          <w:szCs w:val="32"/>
          <w:highlight w:val="none"/>
          <w:u w:val="none"/>
          <w:shd w:val="clear" w:color="auto" w:fill="FFFFFF"/>
          <w:lang w:val="en-US" w:eastAsia="zh-CN"/>
        </w:rPr>
        <w:t>省级</w:t>
      </w:r>
      <w:r>
        <w:rPr>
          <w:rFonts w:hint="default" w:ascii="Times New Roman" w:hAnsi="Times New Roman" w:cs="Times New Roman"/>
          <w:color w:val="auto"/>
          <w:kern w:val="0"/>
          <w:sz w:val="32"/>
          <w:szCs w:val="32"/>
          <w:highlight w:val="none"/>
          <w:u w:val="none"/>
          <w:shd w:val="clear" w:color="auto" w:fill="FFFFFF"/>
          <w:lang w:val="zh-CN" w:eastAsia="zh-CN"/>
        </w:rPr>
        <w:t>财政资金，全年预算执行数为</w:t>
      </w:r>
      <w:r>
        <w:rPr>
          <w:rFonts w:hint="eastAsia" w:cs="Times New Roman"/>
          <w:color w:val="auto"/>
          <w:kern w:val="0"/>
          <w:sz w:val="32"/>
          <w:szCs w:val="32"/>
          <w:highlight w:val="none"/>
          <w:u w:val="none"/>
          <w:shd w:val="clear" w:color="auto" w:fill="FFFFFF"/>
          <w:lang w:val="en-US" w:eastAsia="zh-CN"/>
        </w:rPr>
        <w:t>9.91</w:t>
      </w:r>
      <w:r>
        <w:rPr>
          <w:rFonts w:hint="default" w:ascii="Times New Roman" w:hAnsi="Times New Roman" w:cs="Times New Roman"/>
          <w:color w:val="auto"/>
          <w:kern w:val="0"/>
          <w:sz w:val="32"/>
          <w:szCs w:val="32"/>
          <w:highlight w:val="none"/>
          <w:u w:val="none"/>
          <w:shd w:val="clear" w:color="auto" w:fill="FFFFFF"/>
          <w:lang w:val="zh-CN" w:eastAsia="zh-CN"/>
        </w:rPr>
        <w:t>万元，预算执行率为</w:t>
      </w:r>
      <w:r>
        <w:rPr>
          <w:rFonts w:hint="eastAsia" w:cs="Times New Roman"/>
          <w:color w:val="auto"/>
          <w:kern w:val="0"/>
          <w:sz w:val="32"/>
          <w:szCs w:val="32"/>
          <w:highlight w:val="none"/>
          <w:u w:val="none"/>
          <w:shd w:val="clear" w:color="auto" w:fill="FFFFFF"/>
          <w:lang w:val="en-US" w:eastAsia="zh-CN"/>
        </w:rPr>
        <w:t>100</w:t>
      </w:r>
      <w:r>
        <w:rPr>
          <w:rFonts w:hint="default" w:ascii="Times New Roman" w:hAnsi="Times New Roman" w:cs="Times New Roman"/>
          <w:color w:val="auto"/>
          <w:kern w:val="0"/>
          <w:sz w:val="32"/>
          <w:szCs w:val="32"/>
          <w:highlight w:val="none"/>
          <w:u w:val="none"/>
          <w:shd w:val="clear" w:color="auto" w:fill="FFFFFF"/>
          <w:lang w:val="zh-CN" w:eastAsia="zh-CN"/>
        </w:rPr>
        <w:t>.00%。资金分配遵循“合规优先、聚焦核心、效益最大化”原则</w:t>
      </w:r>
      <w:r>
        <w:rPr>
          <w:rFonts w:hint="eastAsia" w:cs="Times New Roman"/>
          <w:color w:val="auto"/>
          <w:kern w:val="0"/>
          <w:sz w:val="32"/>
          <w:szCs w:val="32"/>
          <w:highlight w:val="none"/>
          <w:u w:val="none"/>
          <w:shd w:val="clear" w:color="auto" w:fill="FFFFFF"/>
          <w:lang w:val="zh-CN" w:eastAsia="zh-CN"/>
        </w:rPr>
        <w:t>。</w:t>
      </w:r>
      <w:r>
        <w:rPr>
          <w:rFonts w:hint="default" w:ascii="Times New Roman" w:hAnsi="Times New Roman" w:cs="Times New Roman"/>
          <w:color w:val="auto"/>
          <w:kern w:val="0"/>
          <w:sz w:val="32"/>
          <w:szCs w:val="32"/>
          <w:highlight w:val="none"/>
          <w:u w:val="none"/>
          <w:shd w:val="clear" w:color="auto" w:fill="FFFFFF"/>
          <w:lang w:val="zh-CN" w:eastAsia="zh-CN"/>
        </w:rPr>
        <w:t>资金使用严格控制费用标准，全程接受财政、审计及上级监管部门监督，无资金滞留、分配不合理、低效配置等情况</w:t>
      </w:r>
      <w:r>
        <w:rPr>
          <w:rFonts w:hint="eastAsia" w:cs="Times New Roman"/>
          <w:color w:val="auto"/>
          <w:kern w:val="0"/>
          <w:sz w:val="32"/>
          <w:szCs w:val="32"/>
          <w:highlight w:val="none"/>
          <w:u w:val="none"/>
          <w:shd w:val="clear" w:color="auto" w:fill="FFFFFF"/>
          <w:lang w:val="en-US" w:eastAsia="zh-CN"/>
        </w:rPr>
        <w:t>。</w:t>
      </w:r>
    </w:p>
    <w:p w14:paraId="06F1128F">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outlineLvl w:val="1"/>
        <w:rPr>
          <w:rFonts w:hint="default" w:ascii="Times New Roman" w:hAnsi="Times New Roman" w:eastAsia="楷体_GB2312" w:cs="Times New Roman"/>
          <w:b/>
          <w:color w:val="auto"/>
          <w:sz w:val="32"/>
          <w:szCs w:val="32"/>
          <w:highlight w:val="none"/>
          <w:u w:val="none"/>
          <w:lang w:val="zh-CN" w:eastAsia="zh-CN"/>
        </w:rPr>
      </w:pPr>
      <w:r>
        <w:rPr>
          <w:rFonts w:hint="default" w:ascii="Times New Roman" w:hAnsi="Times New Roman" w:eastAsia="楷体_GB2312" w:cs="Times New Roman"/>
          <w:b/>
          <w:color w:val="auto"/>
          <w:sz w:val="32"/>
          <w:szCs w:val="32"/>
          <w:highlight w:val="none"/>
          <w:u w:val="none"/>
          <w:lang w:val="zh-CN" w:eastAsia="zh-CN"/>
        </w:rPr>
        <w:t>（四）项目绩效目标设置。</w:t>
      </w:r>
    </w:p>
    <w:p w14:paraId="1A590637">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eastAsia" w:cs="Times New Roman"/>
          <w:color w:val="auto"/>
          <w:kern w:val="0"/>
          <w:sz w:val="32"/>
          <w:szCs w:val="32"/>
          <w:highlight w:val="none"/>
          <w:u w:val="none"/>
          <w:shd w:val="clear" w:color="auto" w:fill="FFFFFF"/>
          <w:lang w:val="en-US" w:eastAsia="zh-CN"/>
        </w:rPr>
      </w:pPr>
      <w:r>
        <w:rPr>
          <w:rFonts w:hint="eastAsia" w:cs="Times New Roman"/>
          <w:color w:val="auto"/>
          <w:kern w:val="0"/>
          <w:sz w:val="32"/>
          <w:szCs w:val="32"/>
          <w:highlight w:val="none"/>
          <w:u w:val="none"/>
          <w:shd w:val="clear" w:color="auto" w:fill="FFFFFF"/>
          <w:lang w:val="en-US" w:eastAsia="zh-CN"/>
        </w:rPr>
        <w:t>本项目整体目标：通过2025年省级药品监管专项资金的保障和使用，全面提升全州“两品一械”安全监管能力、风险防控能力及公众安全意识，守牢药品安全底线，规范经营使用秩序，完善监管与应急机制，构建规范高效、贴合地方实际的药品安全监管体系，切实维护群众合法权益。</w:t>
      </w:r>
    </w:p>
    <w:p w14:paraId="65A20B51">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default" w:ascii="Times New Roman" w:hAnsi="Times New Roman" w:cs="Times New Roman"/>
          <w:color w:val="auto"/>
          <w:kern w:val="0"/>
          <w:sz w:val="32"/>
          <w:szCs w:val="32"/>
          <w:highlight w:val="none"/>
          <w:u w:val="none"/>
          <w:shd w:val="clear" w:color="auto" w:fill="FFFFFF"/>
          <w:lang w:val="zh-CN" w:eastAsia="zh-CN"/>
        </w:rPr>
      </w:pPr>
      <w:r>
        <w:rPr>
          <w:rFonts w:hint="eastAsia" w:cs="Times New Roman"/>
          <w:color w:val="auto"/>
          <w:kern w:val="0"/>
          <w:sz w:val="32"/>
          <w:szCs w:val="32"/>
          <w:highlight w:val="none"/>
          <w:u w:val="none"/>
          <w:shd w:val="clear" w:color="auto" w:fill="FFFFFF"/>
          <w:lang w:val="en-US" w:eastAsia="zh-CN"/>
        </w:rPr>
        <w:t>本项目自评工作严格依据年度绩效目标和指标体系开展，通过系统梳理预算执行情况、逐项核查任务完成进度、全面分析效益达成度等方式，对照量化指标逐一评估，结合资料审查、现场核查与实际监管成效，客观评价项目在目标完成、资金使用、监管效能等方面的实际表现，确保绩效自评结果真实、准确反映项目实施实际情况</w:t>
      </w:r>
      <w:r>
        <w:rPr>
          <w:rFonts w:hint="default" w:ascii="Times New Roman" w:hAnsi="Times New Roman" w:cs="Times New Roman"/>
          <w:color w:val="auto"/>
          <w:kern w:val="0"/>
          <w:sz w:val="32"/>
          <w:szCs w:val="32"/>
          <w:highlight w:val="none"/>
          <w:u w:val="none"/>
          <w:shd w:val="clear" w:color="auto" w:fill="FFFFFF"/>
          <w:lang w:val="zh-CN" w:eastAsia="zh-CN"/>
        </w:rPr>
        <w:t>。</w:t>
      </w:r>
    </w:p>
    <w:p w14:paraId="524A17DD">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0"/>
        <w:rPr>
          <w:rFonts w:hint="default" w:ascii="Times New Roman" w:hAnsi="Times New Roman" w:eastAsia="黑体" w:cs="Times New Roman"/>
          <w:highlight w:val="none"/>
          <w:lang w:eastAsia="zh-CN"/>
        </w:rPr>
      </w:pPr>
      <w:r>
        <w:rPr>
          <w:rFonts w:hint="default" w:ascii="Times New Roman" w:hAnsi="Times New Roman" w:eastAsia="黑体" w:cs="Times New Roman"/>
          <w:highlight w:val="none"/>
        </w:rPr>
        <w:t>二、</w:t>
      </w:r>
      <w:r>
        <w:rPr>
          <w:rFonts w:hint="default" w:ascii="Times New Roman" w:hAnsi="Times New Roman" w:eastAsia="黑体" w:cs="Times New Roman"/>
          <w:highlight w:val="none"/>
          <w:lang w:eastAsia="zh-CN"/>
        </w:rPr>
        <w:t>评价实施</w:t>
      </w:r>
    </w:p>
    <w:p w14:paraId="75E20563">
      <w:pPr>
        <w:keepNext w:val="0"/>
        <w:keepLines w:val="0"/>
        <w:pageBreakBefore w:val="0"/>
        <w:widowControl w:val="0"/>
        <w:kinsoku/>
        <w:wordWrap/>
        <w:overflowPunct/>
        <w:topLinePunct w:val="0"/>
        <w:autoSpaceDE/>
        <w:autoSpaceDN/>
        <w:bidi w:val="0"/>
        <w:spacing w:line="578" w:lineRule="exact"/>
        <w:ind w:firstLine="643" w:firstLineChars="200"/>
        <w:textAlignment w:val="auto"/>
        <w:outlineLvl w:val="1"/>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（一）评价目的。</w:t>
      </w:r>
    </w:p>
    <w:p w14:paraId="4DC17224">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szCs w:val="32"/>
        </w:rPr>
      </w:pPr>
      <w:r>
        <w:rPr>
          <w:rFonts w:hint="default" w:ascii="Times New Roman" w:hAnsi="Times New Roman" w:cs="Times New Roman"/>
          <w:szCs w:val="32"/>
          <w:lang w:eastAsia="zh-CN"/>
        </w:rPr>
        <w:t>通过项目绩效自评，旨在全面、客观地衡量项目实施效果，对照既定目标检查任务完成情况与资金使用效益，精准查找项目执行过程中在管理、实施、成效等方面存在的问题与不足。同时，总结经验做法，为优化项目设计、完善管理制度、提高资金配置效率提供依据，强化绩效意识与责任担当，提升</w:t>
      </w:r>
      <w:r>
        <w:rPr>
          <w:rFonts w:hint="eastAsia" w:cs="Times New Roman"/>
          <w:szCs w:val="32"/>
          <w:lang w:eastAsia="zh-CN"/>
        </w:rPr>
        <w:t>我局</w:t>
      </w:r>
      <w:r>
        <w:rPr>
          <w:rFonts w:hint="eastAsia" w:cs="Times New Roman"/>
          <w:szCs w:val="32"/>
          <w:lang w:val="en-US" w:eastAsia="zh-CN"/>
        </w:rPr>
        <w:t>项目</w:t>
      </w:r>
      <w:r>
        <w:rPr>
          <w:rFonts w:hint="default" w:ascii="Times New Roman" w:hAnsi="Times New Roman" w:cs="Times New Roman"/>
          <w:szCs w:val="32"/>
          <w:lang w:eastAsia="zh-CN"/>
        </w:rPr>
        <w:t>管理水平，确保项目目标可持续实现，为后续同类项目决策和改进提供参考，推动项目管理规范化、科学化发展。</w:t>
      </w:r>
    </w:p>
    <w:p w14:paraId="3A9AC55B">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1"/>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（二）预设问题及评价重点。</w:t>
      </w:r>
    </w:p>
    <w:p w14:paraId="1B1EFE3F">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default" w:ascii="Times New Roman" w:hAnsi="Times New Roman" w:eastAsia="仿宋_GB2312" w:cs="Times New Roman"/>
          <w:szCs w:val="32"/>
          <w:lang w:eastAsia="zh-CN"/>
        </w:rPr>
      </w:pPr>
      <w:r>
        <w:rPr>
          <w:rFonts w:hint="eastAsia" w:cs="Times New Roman"/>
          <w:szCs w:val="32"/>
          <w:lang w:val="en-US" w:eastAsia="zh-CN"/>
        </w:rPr>
        <w:t>本项目绩效评价聚焦资金使用全流程及项目实施效果两大核心，重点关注六方面内容：一是项目决策程序是否严密合规，规划论证是否符合中省州相关要求、绩效目标设置是否科学合理；二是资金投向是否匹配项目整体规划，是否聚焦监管重点领域和关键环节；三是项目管理制度办法是否健全完善，资金分配是否科学合理，绩效监管是否到位有效；四是预算执行是否及时到位、资金使用是否合规规范；五是各项绩效目标是否按期完成、完成时效是否达标；六是项目实施的社会效益、产业效益是否充分发挥</w:t>
      </w:r>
      <w:r>
        <w:rPr>
          <w:rFonts w:hint="default" w:ascii="Times New Roman" w:hAnsi="Times New Roman" w:eastAsia="仿宋_GB2312" w:cs="Times New Roman"/>
          <w:szCs w:val="32"/>
          <w:lang w:eastAsia="zh-CN"/>
        </w:rPr>
        <w:t>。</w:t>
      </w:r>
    </w:p>
    <w:p w14:paraId="6D113E1B">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1"/>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（三）评价选点。</w:t>
      </w:r>
    </w:p>
    <w:p w14:paraId="545012C8">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default" w:ascii="Times New Roman" w:hAnsi="Times New Roman" w:cs="Times New Roman"/>
          <w:szCs w:val="32"/>
          <w:lang w:val="zh-CN" w:eastAsia="zh-CN"/>
        </w:rPr>
      </w:pPr>
      <w:r>
        <w:rPr>
          <w:rFonts w:hint="eastAsia" w:cs="Times New Roman"/>
          <w:szCs w:val="32"/>
          <w:lang w:val="zh-CN" w:eastAsia="zh-CN"/>
        </w:rPr>
        <w:t>由于我局作为</w:t>
      </w:r>
      <w:r>
        <w:rPr>
          <w:rFonts w:hint="eastAsia" w:cs="Times New Roman"/>
          <w:szCs w:val="32"/>
          <w:lang w:val="en-US" w:eastAsia="zh-CN"/>
        </w:rPr>
        <w:t>本</w:t>
      </w:r>
      <w:r>
        <w:rPr>
          <w:rFonts w:hint="eastAsia" w:cs="Times New Roman"/>
          <w:szCs w:val="32"/>
          <w:lang w:val="zh-CN" w:eastAsia="zh-CN"/>
        </w:rPr>
        <w:t>项目资金的末端使用单位，项目实施地点集中在</w:t>
      </w:r>
      <w:r>
        <w:rPr>
          <w:rFonts w:hint="eastAsia" w:cs="Times New Roman"/>
          <w:szCs w:val="32"/>
          <w:lang w:val="en-US" w:eastAsia="zh-CN"/>
        </w:rPr>
        <w:t>本局</w:t>
      </w:r>
      <w:r>
        <w:rPr>
          <w:rFonts w:hint="eastAsia" w:cs="Times New Roman"/>
          <w:szCs w:val="32"/>
          <w:lang w:val="zh-CN" w:eastAsia="zh-CN"/>
        </w:rPr>
        <w:t>，资金使用范围及业务开展均围绕单一主体开展，无多个实施点位或子项目需要抽样评估。因此，本次绩效自评未涉及抽样点位相关工作，而是采取全面核查的方式，对资金使用台账、项目执行档案、服务成效数据等进行全口径梳理，结合现场勘查等手段，对项目整体实施情况及绩效目标完成度进行综合评价，确保自评工作覆盖所有关键环节，客观反映资金使用效益与项目实施效果。</w:t>
      </w:r>
    </w:p>
    <w:p w14:paraId="2E3EE626">
      <w:pPr>
        <w:keepNext w:val="0"/>
        <w:keepLines w:val="0"/>
        <w:pageBreakBefore w:val="0"/>
        <w:widowControl w:val="0"/>
        <w:numPr>
          <w:ilvl w:val="0"/>
          <w:numId w:val="5"/>
        </w:numPr>
        <w:kinsoku/>
        <w:wordWrap/>
        <w:overflowPunct/>
        <w:topLinePunct w:val="0"/>
        <w:autoSpaceDE/>
        <w:autoSpaceDN/>
        <w:bidi w:val="0"/>
        <w:spacing w:line="578" w:lineRule="exact"/>
        <w:ind w:firstLine="643" w:firstLineChars="200"/>
        <w:textAlignment w:val="auto"/>
        <w:outlineLvl w:val="1"/>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评价方法。</w:t>
      </w:r>
    </w:p>
    <w:p w14:paraId="2FC072E1">
      <w:pPr>
        <w:keepNext w:val="0"/>
        <w:keepLines w:val="0"/>
        <w:pageBreakBefore w:val="0"/>
        <w:widowControl w:val="0"/>
        <w:kinsoku/>
        <w:wordWrap/>
        <w:overflowPunct/>
        <w:topLinePunct w:val="0"/>
        <w:autoSpaceDE/>
        <w:autoSpaceDN/>
        <w:bidi w:val="0"/>
        <w:spacing w:line="578" w:lineRule="exact"/>
        <w:ind w:firstLine="640" w:firstLineChars="200"/>
        <w:textAlignment w:val="auto"/>
        <w:outlineLvl w:val="9"/>
        <w:rPr>
          <w:rFonts w:eastAsia="仿宋_GB2312" w:cs="Times New Roman"/>
          <w:szCs w:val="32"/>
          <w:lang w:val="zh-CN"/>
        </w:rPr>
      </w:pPr>
      <w:r>
        <w:rPr>
          <w:rFonts w:hint="eastAsia" w:cs="Times New Roman"/>
          <w:szCs w:val="32"/>
          <w:lang w:val="en-US" w:eastAsia="zh-CN"/>
        </w:rPr>
        <w:t>我局根据项目</w:t>
      </w:r>
      <w:r>
        <w:rPr>
          <w:rFonts w:hint="default" w:ascii="Times New Roman" w:hAnsi="Times New Roman" w:eastAsia="仿宋_GB2312" w:cs="Times New Roman"/>
          <w:szCs w:val="32"/>
        </w:rPr>
        <w:t>情况和评价重点，</w:t>
      </w:r>
      <w:r>
        <w:rPr>
          <w:rFonts w:hint="eastAsia" w:cs="Times New Roman"/>
          <w:szCs w:val="32"/>
          <w:lang w:val="en-US" w:eastAsia="zh-CN"/>
        </w:rPr>
        <w:t>主要</w:t>
      </w:r>
      <w:r>
        <w:rPr>
          <w:rFonts w:hint="default" w:ascii="Times New Roman" w:hAnsi="Times New Roman" w:eastAsia="仿宋_GB2312" w:cs="Times New Roman"/>
          <w:szCs w:val="32"/>
        </w:rPr>
        <w:t>采用成本效益分析法</w:t>
      </w:r>
      <w:r>
        <w:rPr>
          <w:rFonts w:eastAsia="仿宋_GB2312" w:cs="Times New Roman"/>
          <w:szCs w:val="32"/>
          <w:lang w:val="zh-CN"/>
        </w:rPr>
        <w:t>、比较法、因素分析法、询问查证法等</w:t>
      </w:r>
      <w:r>
        <w:rPr>
          <w:rFonts w:hint="eastAsia" w:cs="Times New Roman"/>
          <w:szCs w:val="32"/>
          <w:lang w:val="en-US" w:eastAsia="zh-CN"/>
        </w:rPr>
        <w:t>评价方法</w:t>
      </w:r>
      <w:r>
        <w:rPr>
          <w:rFonts w:eastAsia="仿宋_GB2312" w:cs="Times New Roman"/>
          <w:szCs w:val="32"/>
          <w:lang w:val="zh-CN"/>
        </w:rPr>
        <w:t>。</w:t>
      </w:r>
    </w:p>
    <w:p w14:paraId="6A9D1EDB">
      <w:pPr>
        <w:keepNext w:val="0"/>
        <w:keepLines w:val="0"/>
        <w:pageBreakBefore w:val="0"/>
        <w:widowControl w:val="0"/>
        <w:kinsoku/>
        <w:wordWrap/>
        <w:overflowPunct/>
        <w:topLinePunct w:val="0"/>
        <w:autoSpaceDE/>
        <w:autoSpaceDN/>
        <w:bidi w:val="0"/>
        <w:spacing w:line="578" w:lineRule="exact"/>
        <w:ind w:firstLine="640" w:firstLineChars="200"/>
        <w:textAlignment w:val="auto"/>
        <w:outlineLvl w:val="9"/>
        <w:rPr>
          <w:rFonts w:ascii="Times New Roman" w:hAnsi="Times New Roman" w:eastAsia="仿宋_GB2312" w:cs="Times New Roman"/>
          <w:szCs w:val="32"/>
          <w:lang w:val="zh-CN"/>
        </w:rPr>
      </w:pPr>
      <w:r>
        <w:rPr>
          <w:rFonts w:ascii="Times New Roman" w:hAnsi="Times New Roman" w:cs="Times New Roman"/>
          <w:szCs w:val="32"/>
          <w:lang w:val="en-US" w:eastAsia="zh-CN"/>
        </w:rPr>
        <w:t>1.</w:t>
      </w:r>
      <w:r>
        <w:rPr>
          <w:rFonts w:ascii="Times New Roman" w:hAnsi="Times New Roman" w:eastAsia="仿宋_GB2312" w:cs="Times New Roman"/>
          <w:szCs w:val="32"/>
          <w:lang w:val="zh-CN"/>
        </w:rPr>
        <w:t>成本效益法。通过将一定时期内的支出所产生的效益与付出的成本进行对比分析，从而评价项目绩效的方法。</w:t>
      </w:r>
    </w:p>
    <w:p w14:paraId="40ADF609">
      <w:pPr>
        <w:keepNext w:val="0"/>
        <w:keepLines w:val="0"/>
        <w:pageBreakBefore w:val="0"/>
        <w:widowControl w:val="0"/>
        <w:kinsoku/>
        <w:wordWrap/>
        <w:overflowPunct/>
        <w:topLinePunct w:val="0"/>
        <w:autoSpaceDE/>
        <w:autoSpaceDN/>
        <w:bidi w:val="0"/>
        <w:spacing w:line="578" w:lineRule="exact"/>
        <w:ind w:firstLine="640" w:firstLineChars="200"/>
        <w:textAlignment w:val="auto"/>
        <w:outlineLvl w:val="9"/>
        <w:rPr>
          <w:rFonts w:eastAsia="仿宋_GB2312" w:cs="Times New Roman"/>
          <w:szCs w:val="32"/>
          <w:lang w:val="zh-CN"/>
        </w:rPr>
      </w:pPr>
      <w:r>
        <w:rPr>
          <w:rFonts w:ascii="Times New Roman" w:hAnsi="Times New Roman" w:cs="Times New Roman"/>
          <w:szCs w:val="32"/>
          <w:lang w:val="en-US" w:eastAsia="zh-CN"/>
        </w:rPr>
        <w:t>2.</w:t>
      </w:r>
      <w:r>
        <w:rPr>
          <w:rFonts w:ascii="Times New Roman" w:hAnsi="Times New Roman" w:eastAsia="仿宋_GB2312" w:cs="Times New Roman"/>
          <w:szCs w:val="32"/>
          <w:lang w:val="zh-CN"/>
        </w:rPr>
        <w:t>比较法。通过对绩效目标与实施效果、历史与当期情况、不同</w:t>
      </w:r>
      <w:r>
        <w:rPr>
          <w:rFonts w:eastAsia="仿宋_GB2312" w:cs="Times New Roman"/>
          <w:szCs w:val="32"/>
          <w:lang w:val="zh-CN"/>
        </w:rPr>
        <w:t>部门和地区同类支出的比较，综合分析绩效目标实现程度。</w:t>
      </w:r>
    </w:p>
    <w:p w14:paraId="13D2B972">
      <w:pPr>
        <w:keepNext w:val="0"/>
        <w:keepLines w:val="0"/>
        <w:pageBreakBefore w:val="0"/>
        <w:widowControl w:val="0"/>
        <w:kinsoku/>
        <w:wordWrap/>
        <w:overflowPunct/>
        <w:topLinePunct w:val="0"/>
        <w:autoSpaceDE/>
        <w:autoSpaceDN/>
        <w:bidi w:val="0"/>
        <w:spacing w:line="578" w:lineRule="exact"/>
        <w:ind w:firstLine="640" w:firstLineChars="200"/>
        <w:textAlignment w:val="auto"/>
        <w:outlineLvl w:val="9"/>
        <w:rPr>
          <w:rFonts w:eastAsia="仿宋_GB2312" w:cs="Times New Roman"/>
          <w:szCs w:val="32"/>
          <w:lang w:val="zh-CN"/>
        </w:rPr>
      </w:pPr>
      <w:r>
        <w:rPr>
          <w:rFonts w:hint="eastAsia" w:cs="Times New Roman"/>
          <w:szCs w:val="32"/>
          <w:lang w:val="en-US" w:eastAsia="zh-CN"/>
        </w:rPr>
        <w:t>3.</w:t>
      </w:r>
      <w:r>
        <w:rPr>
          <w:rFonts w:eastAsia="仿宋_GB2312" w:cs="Times New Roman"/>
          <w:szCs w:val="32"/>
          <w:lang w:val="zh-CN"/>
        </w:rPr>
        <w:t>因素分析法。通过综合分析影响绩效目标实现、实施效果的内外因素，评价绩效目标实现程度；通过列举所有影响成本与收益的因素，进行全面、综合地分析，从而得出评价结果的方法。</w:t>
      </w:r>
    </w:p>
    <w:p w14:paraId="08B4BEFB">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szCs w:val="32"/>
          <w:lang w:eastAsia="zh-CN"/>
        </w:rPr>
      </w:pPr>
      <w:r>
        <w:rPr>
          <w:rFonts w:hint="eastAsia" w:cs="Times New Roman"/>
          <w:szCs w:val="32"/>
          <w:lang w:val="en-US" w:eastAsia="zh-CN"/>
        </w:rPr>
        <w:t>4.</w:t>
      </w:r>
      <w:r>
        <w:rPr>
          <w:rFonts w:eastAsia="仿宋_GB2312" w:cs="Times New Roman"/>
          <w:szCs w:val="32"/>
          <w:lang w:val="zh-CN"/>
        </w:rPr>
        <w:t>询问查证法。通过与评价客体直接或间接，以口头、书面、座谈等方式了解有关情况，从而形成判断的方法</w:t>
      </w:r>
      <w:r>
        <w:rPr>
          <w:rFonts w:eastAsia="仿宋_GB2312" w:cs="Times New Roman"/>
          <w:szCs w:val="32"/>
          <w:lang w:eastAsia="zh-CN"/>
        </w:rPr>
        <w:t>。</w:t>
      </w:r>
    </w:p>
    <w:p w14:paraId="5AB1D42C">
      <w:pPr>
        <w:keepNext w:val="0"/>
        <w:keepLines w:val="0"/>
        <w:pageBreakBefore w:val="0"/>
        <w:widowControl w:val="0"/>
        <w:numPr>
          <w:ilvl w:val="0"/>
          <w:numId w:val="5"/>
        </w:numPr>
        <w:kinsoku/>
        <w:wordWrap/>
        <w:overflowPunct/>
        <w:topLinePunct w:val="0"/>
        <w:autoSpaceDE/>
        <w:autoSpaceDN/>
        <w:bidi w:val="0"/>
        <w:spacing w:line="578" w:lineRule="exact"/>
        <w:ind w:left="0" w:leftChars="0" w:firstLine="643" w:firstLineChars="200"/>
        <w:textAlignment w:val="auto"/>
        <w:outlineLvl w:val="1"/>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评价组织。</w:t>
      </w:r>
    </w:p>
    <w:p w14:paraId="34897CB8">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cs="Times New Roman"/>
          <w:szCs w:val="32"/>
          <w:lang w:val="en-US" w:eastAsia="zh-CN"/>
        </w:rPr>
      </w:pPr>
      <w:r>
        <w:rPr>
          <w:rFonts w:hint="default" w:ascii="Times New Roman" w:hAnsi="Times New Roman" w:cs="Times New Roman"/>
          <w:szCs w:val="32"/>
          <w:lang w:val="en-US" w:eastAsia="zh-CN"/>
        </w:rPr>
        <w:t>评价组由</w:t>
      </w:r>
      <w:r>
        <w:rPr>
          <w:rFonts w:hint="eastAsia" w:ascii="Times New Roman" w:hAnsi="Times New Roman" w:cs="Times New Roman"/>
          <w:szCs w:val="32"/>
          <w:lang w:val="en-US" w:eastAsia="zh-CN"/>
        </w:rPr>
        <w:t>我局</w:t>
      </w:r>
      <w:r>
        <w:rPr>
          <w:rFonts w:hint="default" w:ascii="Times New Roman" w:hAnsi="Times New Roman" w:cs="Times New Roman"/>
          <w:szCs w:val="32"/>
          <w:lang w:val="en-US" w:eastAsia="zh-CN"/>
        </w:rPr>
        <w:t>财务部门及业务部门人员共同组成，涵盖项目管理、资金监管、业务执行、绩效评估等多方面职能。其中，财务</w:t>
      </w:r>
      <w:r>
        <w:rPr>
          <w:rFonts w:hint="eastAsia" w:ascii="Times New Roman" w:hAnsi="Times New Roman" w:cs="Times New Roman"/>
          <w:szCs w:val="32"/>
          <w:lang w:val="en-US" w:eastAsia="zh-CN"/>
        </w:rPr>
        <w:t>部门</w:t>
      </w:r>
      <w:r>
        <w:rPr>
          <w:rFonts w:hint="default" w:ascii="Times New Roman" w:hAnsi="Times New Roman" w:cs="Times New Roman"/>
          <w:szCs w:val="32"/>
          <w:lang w:val="en-US" w:eastAsia="zh-CN"/>
        </w:rPr>
        <w:t>人员负责统筹自评工作，制定评价方案，把控整体进度与质量</w:t>
      </w:r>
      <w:r>
        <w:rPr>
          <w:rFonts w:hint="eastAsia" w:ascii="Times New Roman" w:hAnsi="Times New Roman" w:cs="Times New Roman"/>
          <w:szCs w:val="32"/>
          <w:lang w:val="en-US" w:eastAsia="zh-CN"/>
        </w:rPr>
        <w:t>，</w:t>
      </w:r>
      <w:r>
        <w:rPr>
          <w:rFonts w:hint="default" w:ascii="Times New Roman" w:hAnsi="Times New Roman" w:cs="Times New Roman"/>
          <w:szCs w:val="32"/>
          <w:lang w:val="en-US" w:eastAsia="zh-CN"/>
        </w:rPr>
        <w:t>重点核查资金使用合规性，审查预算执行、财务台账及报销凭证，确保资金管理规范透明；业务部门人员聚焦项目实施成效，对具体任务完成情况进行现场勘查与数据核验，评估业务目标达成度；行政人员负责资料收集整理、会议记录及对外协调，保障自评工作各环节衔接顺畅。各组员按职责分工协同开展工作，确保自评结果客观、全面、科学。</w:t>
      </w:r>
    </w:p>
    <w:p w14:paraId="00A58140">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outlineLvl w:val="0"/>
        <w:rPr>
          <w:rFonts w:hint="default" w:ascii="Times New Roman" w:hAnsi="Times New Roman" w:cs="Times New Roman"/>
          <w:color w:val="auto"/>
          <w:sz w:val="32"/>
          <w:szCs w:val="32"/>
          <w:highlight w:val="none"/>
          <w:u w:val="none"/>
          <w:lang w:val="zh-CN"/>
        </w:rPr>
      </w:pPr>
      <w:r>
        <w:rPr>
          <w:rFonts w:hint="default" w:ascii="Times New Roman" w:hAnsi="Times New Roman" w:eastAsia="黑体" w:cs="Times New Roman"/>
          <w:color w:val="auto"/>
          <w:sz w:val="32"/>
          <w:szCs w:val="32"/>
          <w:highlight w:val="none"/>
          <w:u w:val="none"/>
        </w:rPr>
        <w:t>三、</w:t>
      </w:r>
      <w:r>
        <w:rPr>
          <w:rFonts w:hint="default" w:ascii="Times New Roman" w:hAnsi="Times New Roman" w:eastAsia="黑体" w:cs="Times New Roman"/>
          <w:color w:val="auto"/>
          <w:sz w:val="32"/>
          <w:szCs w:val="32"/>
          <w:highlight w:val="none"/>
          <w:u w:val="none"/>
          <w:lang w:eastAsia="zh-CN"/>
        </w:rPr>
        <w:t>绩效分析</w:t>
      </w:r>
      <w:r>
        <w:rPr>
          <w:rFonts w:hint="default" w:ascii="Times New Roman" w:hAnsi="Times New Roman" w:cs="Times New Roman"/>
          <w:color w:val="auto"/>
          <w:sz w:val="32"/>
          <w:szCs w:val="32"/>
          <w:highlight w:val="none"/>
          <w:u w:val="none"/>
          <w:lang w:val="zh-CN"/>
        </w:rPr>
        <w:tab/>
      </w:r>
    </w:p>
    <w:p w14:paraId="669970AF">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outlineLvl w:val="1"/>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zh-CN"/>
        </w:rPr>
        <w:t>（一）</w:t>
      </w:r>
      <w:r>
        <w:rPr>
          <w:rFonts w:hint="default"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Cs w:val="32"/>
          <w:highlight w:val="none"/>
          <w:shd w:val="clear" w:color="auto" w:fill="FFFFFF"/>
          <w:lang w:val="zh-CN"/>
        </w:rPr>
        <w:t>绩效分析。</w:t>
      </w:r>
    </w:p>
    <w:p w14:paraId="4284689D">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2"/>
        <w:rPr>
          <w:rFonts w:hint="default" w:ascii="Times New Roman" w:hAnsi="Times New Roman" w:cs="Times New Roman"/>
          <w:color w:val="auto"/>
          <w:szCs w:val="32"/>
          <w:highlight w:val="none"/>
          <w:lang w:eastAsia="zh-CN"/>
        </w:rPr>
      </w:pPr>
      <w:r>
        <w:rPr>
          <w:rFonts w:hint="eastAsia" w:cs="Times New Roman"/>
          <w:color w:val="auto"/>
          <w:szCs w:val="32"/>
          <w:highlight w:val="none"/>
          <w:lang w:eastAsia="zh-CN"/>
        </w:rPr>
        <w:t>（</w:t>
      </w:r>
      <w:r>
        <w:rPr>
          <w:rFonts w:hint="eastAsia" w:cs="Times New Roman"/>
          <w:color w:val="auto"/>
          <w:szCs w:val="32"/>
          <w:highlight w:val="none"/>
          <w:lang w:val="en-US" w:eastAsia="zh-CN"/>
        </w:rPr>
        <w:t>1</w:t>
      </w:r>
      <w:r>
        <w:rPr>
          <w:rFonts w:hint="eastAsia" w:cs="Times New Roman"/>
          <w:color w:val="auto"/>
          <w:szCs w:val="32"/>
          <w:highlight w:val="none"/>
          <w:lang w:eastAsia="zh-CN"/>
        </w:rPr>
        <w:t>）</w:t>
      </w:r>
      <w:r>
        <w:rPr>
          <w:rFonts w:hint="default" w:ascii="Times New Roman" w:hAnsi="Times New Roman" w:cs="Times New Roman"/>
          <w:color w:val="auto"/>
          <w:szCs w:val="32"/>
          <w:highlight w:val="none"/>
          <w:lang w:eastAsia="zh-CN"/>
        </w:rPr>
        <w:t>决策程序</w:t>
      </w:r>
    </w:p>
    <w:p w14:paraId="5F9F518A">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cs="Times New Roman"/>
          <w:color w:val="auto"/>
          <w:szCs w:val="32"/>
          <w:lang w:val="en-US" w:eastAsia="zh-CN"/>
        </w:rPr>
      </w:pPr>
      <w:r>
        <w:rPr>
          <w:rFonts w:hint="eastAsia" w:cs="Times New Roman"/>
          <w:color w:val="auto"/>
          <w:szCs w:val="32"/>
          <w:lang w:val="en-US" w:eastAsia="zh-CN"/>
        </w:rPr>
        <w:t>我局严格按照省级市场监管专项资金管理规定及项目立项相关要求，完成项目立项申请、规划论证、预算编制、审批报备等全流程工作，决策程序严密、合规，无程序疏漏、违规立项等问题，完全符合财政资金管理和项目决策规范。</w:t>
      </w:r>
    </w:p>
    <w:p w14:paraId="0865927F">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cs="Times New Roman"/>
          <w:color w:val="auto"/>
          <w:szCs w:val="32"/>
          <w:lang w:val="en-US" w:eastAsia="zh-CN"/>
        </w:rPr>
      </w:pPr>
      <w:r>
        <w:rPr>
          <w:rFonts w:hint="eastAsia" w:cs="Times New Roman"/>
          <w:color w:val="auto"/>
          <w:szCs w:val="32"/>
          <w:lang w:val="en-US" w:eastAsia="zh-CN"/>
        </w:rPr>
        <w:t>综上，根据评分标准，该项指标不扣分，得6分。</w:t>
      </w:r>
    </w:p>
    <w:p w14:paraId="6F3DB7A7">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cs="Times New Roman"/>
          <w:color w:val="auto"/>
          <w:szCs w:val="32"/>
          <w:lang w:val="en-US" w:eastAsia="zh-CN"/>
        </w:rPr>
      </w:pPr>
      <w:r>
        <w:rPr>
          <w:rFonts w:hint="eastAsia" w:cs="Times New Roman"/>
          <w:color w:val="auto"/>
          <w:szCs w:val="32"/>
          <w:lang w:val="en-US" w:eastAsia="zh-CN"/>
        </w:rPr>
        <w:t>（2）规划论证</w:t>
      </w:r>
    </w:p>
    <w:p w14:paraId="2AB3DF5B">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项目规划完全符合中央、省委、省政府及州委、州政府关于药品监管工作的决策部署和年度安排</w:t>
      </w:r>
      <w:r>
        <w:rPr>
          <w:rFonts w:hint="eastAsia" w:cs="Times New Roman"/>
          <w:color w:val="auto"/>
          <w:szCs w:val="32"/>
          <w:lang w:val="en-US" w:eastAsia="zh-CN"/>
        </w:rPr>
        <w:t>，在</w:t>
      </w:r>
      <w:r>
        <w:rPr>
          <w:rFonts w:hint="eastAsia" w:ascii="Times New Roman" w:hAnsi="Times New Roman" w:cs="Times New Roman"/>
          <w:color w:val="auto"/>
          <w:szCs w:val="32"/>
          <w:lang w:val="en-US" w:eastAsia="zh-CN"/>
        </w:rPr>
        <w:t>立项阶段充分开展了必要性、可行性、前瞻性评估论证，设置了整体绩效目标和具体量化指标，但存在部分可持续影响指标与基层监管实际结合不够紧密，对新业态监管需求考量不足的问题。</w:t>
      </w:r>
    </w:p>
    <w:p w14:paraId="5597F0BD">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cs="Times New Roman"/>
          <w:color w:val="auto"/>
          <w:szCs w:val="32"/>
          <w:lang w:val="en-US" w:eastAsia="zh-CN"/>
        </w:rPr>
      </w:pPr>
      <w:r>
        <w:rPr>
          <w:rFonts w:hint="eastAsia" w:cs="Times New Roman"/>
          <w:color w:val="auto"/>
          <w:szCs w:val="32"/>
          <w:lang w:val="en-US" w:eastAsia="zh-CN"/>
        </w:rPr>
        <w:t>综上，根据评分标准，该项指标扣1.2分，得4.8分。</w:t>
      </w:r>
    </w:p>
    <w:p w14:paraId="0CF284EF">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cs="Times New Roman"/>
          <w:color w:val="auto"/>
          <w:szCs w:val="32"/>
          <w:lang w:val="en-US" w:eastAsia="zh-CN"/>
        </w:rPr>
      </w:pPr>
      <w:r>
        <w:rPr>
          <w:rFonts w:hint="eastAsia" w:cs="Times New Roman"/>
          <w:color w:val="auto"/>
          <w:szCs w:val="32"/>
          <w:lang w:val="en-US" w:eastAsia="zh-CN"/>
        </w:rPr>
        <w:t>（3）资金投向</w:t>
      </w:r>
    </w:p>
    <w:p w14:paraId="08EE599F">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项目资金使用严格遵循国家药品监管相关政策及专项资金管理要求，投向属于药品监管法定职责范围，与财政事权支出责任界定完全匹配，优先保障抽检监测、执法打击等核心工作；但存在少量科普宣传经费与偏远区域群众实际需求衔接不够精准的问题，资金投放针对性有待进一步提升。</w:t>
      </w:r>
    </w:p>
    <w:p w14:paraId="2EF1D23A">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cs="Times New Roman"/>
          <w:color w:val="auto"/>
          <w:szCs w:val="32"/>
          <w:lang w:val="en-US" w:eastAsia="zh-CN"/>
        </w:rPr>
      </w:pPr>
      <w:r>
        <w:rPr>
          <w:rFonts w:hint="eastAsia" w:cs="Times New Roman"/>
          <w:color w:val="auto"/>
          <w:szCs w:val="32"/>
          <w:lang w:val="en-US" w:eastAsia="zh-CN"/>
        </w:rPr>
        <w:t>综上，根据评分标准，该项指标扣0.5分，得5.5分。</w:t>
      </w:r>
    </w:p>
    <w:p w14:paraId="08728B85">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eastAsia="楷体_GB2312" w:cs="Times New Roman"/>
          <w:color w:val="auto"/>
          <w:szCs w:val="32"/>
          <w:lang w:eastAsia="zh-CN"/>
        </w:rPr>
      </w:pPr>
      <w:r>
        <w:rPr>
          <w:rFonts w:hint="default" w:ascii="Times New Roman" w:hAnsi="Times New Roman" w:eastAsia="楷体_GB2312" w:cs="Times New Roman"/>
          <w:color w:val="auto"/>
          <w:szCs w:val="32"/>
          <w:lang w:val="en-US" w:eastAsia="zh-CN"/>
        </w:rPr>
        <w:t>2.</w:t>
      </w:r>
      <w:r>
        <w:rPr>
          <w:rFonts w:hint="default" w:ascii="Times New Roman" w:hAnsi="Times New Roman" w:eastAsia="楷体_GB2312" w:cs="Times New Roman"/>
          <w:color w:val="auto"/>
          <w:szCs w:val="32"/>
          <w:lang w:eastAsia="zh-CN"/>
        </w:rPr>
        <w:t>项目管理</w:t>
      </w:r>
    </w:p>
    <w:p w14:paraId="76886FA2">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cs="Times New Roman"/>
          <w:color w:val="auto"/>
          <w:szCs w:val="32"/>
          <w:lang w:eastAsia="zh-CN"/>
        </w:rPr>
      </w:pPr>
      <w:r>
        <w:rPr>
          <w:rFonts w:hint="eastAsia" w:cs="Times New Roman"/>
          <w:color w:val="auto"/>
          <w:szCs w:val="32"/>
          <w:lang w:eastAsia="zh-CN"/>
        </w:rPr>
        <w:t>（</w:t>
      </w:r>
      <w:r>
        <w:rPr>
          <w:rFonts w:hint="eastAsia" w:cs="Times New Roman"/>
          <w:color w:val="auto"/>
          <w:szCs w:val="32"/>
          <w:lang w:val="en-US" w:eastAsia="zh-CN"/>
        </w:rPr>
        <w:t>1</w:t>
      </w:r>
      <w:r>
        <w:rPr>
          <w:rFonts w:hint="eastAsia" w:cs="Times New Roman"/>
          <w:color w:val="auto"/>
          <w:szCs w:val="32"/>
          <w:lang w:eastAsia="zh-CN"/>
        </w:rPr>
        <w:t>）</w:t>
      </w:r>
      <w:r>
        <w:rPr>
          <w:rFonts w:hint="default" w:ascii="Times New Roman" w:hAnsi="Times New Roman" w:cs="Times New Roman"/>
          <w:color w:val="auto"/>
          <w:szCs w:val="32"/>
          <w:lang w:eastAsia="zh-CN"/>
        </w:rPr>
        <w:t>制度办法</w:t>
      </w:r>
    </w:p>
    <w:p w14:paraId="3D306B79">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我局构建完善项目资金管理制度体系，依据相关法规和财政预算管理要求、单位内部控制相关制度进行项目管理，制度覆盖资金管理全流程，定期更新并严格执行，无制度缺失或过期问题，形成“事前、事中、事后”规范管理机制，为资金安全及项目实施提供坚实制度保障。</w:t>
      </w:r>
    </w:p>
    <w:p w14:paraId="7A5455DC">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cs="Times New Roman"/>
          <w:color w:val="auto"/>
          <w:szCs w:val="32"/>
          <w:lang w:val="en-US" w:eastAsia="zh-CN"/>
        </w:rPr>
      </w:pPr>
      <w:r>
        <w:rPr>
          <w:rFonts w:hint="eastAsia" w:cs="Times New Roman"/>
          <w:color w:val="auto"/>
          <w:szCs w:val="32"/>
          <w:lang w:val="en-US" w:eastAsia="zh-CN"/>
        </w:rPr>
        <w:t>综上，根据评分标准，该项指标不扣分，得2分。</w:t>
      </w:r>
    </w:p>
    <w:p w14:paraId="51DA5F1C">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（2）分配管理</w:t>
      </w:r>
    </w:p>
    <w:p w14:paraId="56B610BA">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我局</w:t>
      </w:r>
      <w:r>
        <w:rPr>
          <w:rFonts w:hint="default" w:ascii="Times New Roman" w:hAnsi="Times New Roman" w:cs="Times New Roman"/>
          <w:color w:val="auto"/>
          <w:szCs w:val="32"/>
          <w:lang w:val="en-US" w:eastAsia="zh-CN"/>
        </w:rPr>
        <w:t>作为本项目资金的末端使用单位，严格按管理办法及任务权重分配使用项目资金，分配因素充分考虑区域监管需求与工作重点，决策程序符合管理要求，资金支出及时高效，无分配不合理问题</w:t>
      </w:r>
      <w:r>
        <w:rPr>
          <w:rFonts w:hint="eastAsia" w:ascii="Times New Roman" w:hAnsi="Times New Roman" w:cs="Times New Roman"/>
          <w:color w:val="auto"/>
          <w:szCs w:val="32"/>
          <w:lang w:val="en-US" w:eastAsia="zh-CN"/>
        </w:rPr>
        <w:t>。</w:t>
      </w:r>
    </w:p>
    <w:p w14:paraId="711E3CA3">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cs="Times New Roman"/>
          <w:color w:val="auto"/>
          <w:szCs w:val="32"/>
          <w:lang w:val="en-US" w:eastAsia="zh-CN"/>
        </w:rPr>
      </w:pPr>
      <w:r>
        <w:rPr>
          <w:rFonts w:hint="eastAsia" w:cs="Times New Roman"/>
          <w:color w:val="auto"/>
          <w:szCs w:val="32"/>
          <w:lang w:val="en-US" w:eastAsia="zh-CN"/>
        </w:rPr>
        <w:t>综上，根据评分标准，该项指标不扣分，得10分。</w:t>
      </w:r>
    </w:p>
    <w:p w14:paraId="255F618A">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（3）绩效监管</w:t>
      </w:r>
    </w:p>
    <w:p w14:paraId="7F642ED7">
      <w:pPr>
        <w:keepNext w:val="0"/>
        <w:keepLines w:val="0"/>
        <w:pageBreakBefore w:val="0"/>
        <w:widowControl w:val="0"/>
        <w:kinsoku/>
        <w:wordWrap/>
        <w:overflowPunct/>
        <w:topLinePunct w:val="0"/>
        <w:autoSpaceDE/>
        <w:autoSpaceDN/>
        <w:bidi w:val="0"/>
        <w:adjustRightInd/>
        <w:snapToGrid/>
        <w:spacing w:line="578" w:lineRule="exact"/>
        <w:textAlignment w:val="auto"/>
        <w:outlineLvl w:val="9"/>
        <w:rPr>
          <w:rFonts w:hint="eastAsia"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我局严格落实中省预算绩效管理要求，全面完成绩效目标设定、事前评估、绩效评价及历史问题整改等预算绩效管理工作，构建全流程管理体系。上级主管部门对资金分配、项目管理指导到位，常态化开展监督评价，无履职缺位，但存在绩效监控数据动态更新频率不足的问题。</w:t>
      </w:r>
    </w:p>
    <w:p w14:paraId="6F7990FE">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cs="Times New Roman"/>
          <w:color w:val="auto"/>
          <w:szCs w:val="32"/>
          <w:lang w:val="en-US" w:eastAsia="zh-CN"/>
        </w:rPr>
      </w:pPr>
      <w:r>
        <w:rPr>
          <w:rFonts w:hint="eastAsia" w:cs="Times New Roman"/>
          <w:color w:val="auto"/>
          <w:szCs w:val="32"/>
          <w:lang w:val="en-US" w:eastAsia="zh-CN"/>
        </w:rPr>
        <w:t>综上，根据评分标准，该项指标扣0.8分，得5.2分。</w:t>
      </w:r>
    </w:p>
    <w:p w14:paraId="35837D06">
      <w:pPr>
        <w:keepNext w:val="0"/>
        <w:keepLines w:val="0"/>
        <w:pageBreakBefore w:val="0"/>
        <w:widowControl w:val="0"/>
        <w:kinsoku/>
        <w:wordWrap/>
        <w:overflowPunct/>
        <w:topLinePunct w:val="0"/>
        <w:autoSpaceDE/>
        <w:autoSpaceDN/>
        <w:bidi w:val="0"/>
        <w:adjustRightInd/>
        <w:snapToGrid/>
        <w:spacing w:line="578" w:lineRule="exact"/>
        <w:ind w:left="640" w:leftChars="200" w:firstLine="0" w:firstLineChars="0"/>
        <w:textAlignment w:val="auto"/>
        <w:outlineLvl w:val="9"/>
        <w:rPr>
          <w:rFonts w:hint="default" w:ascii="Times New Roman" w:hAnsi="Times New Roman" w:eastAsia="楷体_GB2312" w:cs="Times New Roman"/>
          <w:color w:val="auto"/>
          <w:szCs w:val="32"/>
          <w:lang w:val="en-US" w:eastAsia="zh-CN"/>
        </w:rPr>
      </w:pPr>
      <w:r>
        <w:rPr>
          <w:rFonts w:hint="default" w:ascii="Times New Roman" w:hAnsi="Times New Roman" w:eastAsia="楷体_GB2312" w:cs="Times New Roman"/>
          <w:color w:val="auto"/>
          <w:szCs w:val="32"/>
          <w:lang w:val="en-US" w:eastAsia="zh-CN"/>
        </w:rPr>
        <w:t>3.项目实施</w:t>
      </w:r>
    </w:p>
    <w:p w14:paraId="5E911857">
      <w:pPr>
        <w:keepNext w:val="0"/>
        <w:keepLines w:val="0"/>
        <w:pageBreakBefore w:val="0"/>
        <w:widowControl w:val="0"/>
        <w:kinsoku/>
        <w:wordWrap/>
        <w:overflowPunct/>
        <w:topLinePunct w:val="0"/>
        <w:autoSpaceDE/>
        <w:autoSpaceDN/>
        <w:bidi w:val="0"/>
        <w:adjustRightInd/>
        <w:snapToGrid/>
        <w:spacing w:line="578" w:lineRule="exact"/>
        <w:ind w:left="640" w:leftChars="200" w:firstLine="0" w:firstLineChars="0"/>
        <w:textAlignment w:val="auto"/>
        <w:outlineLvl w:val="9"/>
        <w:rPr>
          <w:rFonts w:hint="default" w:ascii="Times New Roman" w:hAnsi="Times New Roman" w:eastAsia="仿宋_GB2312" w:cs="Times New Roman"/>
          <w:color w:val="auto"/>
          <w:szCs w:val="32"/>
          <w:lang w:val="zh-CN" w:eastAsia="zh-CN"/>
        </w:rPr>
      </w:pPr>
      <w:r>
        <w:rPr>
          <w:rFonts w:hint="eastAsia" w:cs="Times New Roman"/>
          <w:color w:val="auto"/>
          <w:szCs w:val="32"/>
          <w:lang w:eastAsia="zh-CN"/>
        </w:rPr>
        <w:t>（</w:t>
      </w:r>
      <w:r>
        <w:rPr>
          <w:rFonts w:hint="eastAsia" w:cs="Times New Roman"/>
          <w:color w:val="auto"/>
          <w:szCs w:val="32"/>
          <w:lang w:val="en-US" w:eastAsia="zh-CN"/>
        </w:rPr>
        <w:t>1</w:t>
      </w:r>
      <w:r>
        <w:rPr>
          <w:rFonts w:hint="eastAsia" w:cs="Times New Roman"/>
          <w:color w:val="auto"/>
          <w:szCs w:val="32"/>
          <w:lang w:eastAsia="zh-CN"/>
        </w:rPr>
        <w:t>）</w:t>
      </w:r>
      <w:r>
        <w:rPr>
          <w:rFonts w:hint="default" w:ascii="Times New Roman" w:hAnsi="Times New Roman" w:cs="Times New Roman"/>
          <w:color w:val="auto"/>
          <w:szCs w:val="32"/>
          <w:lang w:eastAsia="zh-CN"/>
        </w:rPr>
        <w:t>预算</w:t>
      </w:r>
      <w:r>
        <w:rPr>
          <w:rFonts w:hint="default" w:ascii="Times New Roman" w:hAnsi="Times New Roman" w:eastAsia="仿宋_GB2312" w:cs="Times New Roman"/>
          <w:color w:val="auto"/>
          <w:szCs w:val="32"/>
          <w:lang w:val="zh-CN" w:eastAsia="zh-CN"/>
        </w:rPr>
        <w:t>执行</w:t>
      </w:r>
    </w:p>
    <w:p w14:paraId="39AD5AE5">
      <w:pPr>
        <w:keepNext w:val="0"/>
        <w:keepLines w:val="0"/>
        <w:pageBreakBefore w:val="0"/>
        <w:widowControl w:val="0"/>
        <w:kinsoku/>
        <w:wordWrap/>
        <w:overflowPunct/>
        <w:topLinePunct w:val="0"/>
        <w:autoSpaceDE/>
        <w:autoSpaceDN/>
        <w:bidi w:val="0"/>
        <w:adjustRightInd/>
        <w:snapToGrid/>
        <w:spacing w:line="578" w:lineRule="exact"/>
        <w:textAlignment w:val="auto"/>
        <w:outlineLvl w:val="9"/>
        <w:rPr>
          <w:rFonts w:hint="eastAsia"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本</w:t>
      </w:r>
      <w:r>
        <w:rPr>
          <w:rFonts w:hint="eastAsia" w:cs="Times New Roman"/>
          <w:color w:val="auto"/>
          <w:szCs w:val="32"/>
          <w:lang w:val="en-US" w:eastAsia="zh-CN"/>
        </w:rPr>
        <w:t>项目于2025年</w:t>
      </w:r>
      <w:r>
        <w:rPr>
          <w:rFonts w:hint="eastAsia" w:ascii="Times New Roman" w:hAnsi="Times New Roman" w:cs="Times New Roman"/>
          <w:color w:val="auto"/>
          <w:szCs w:val="32"/>
          <w:lang w:val="en-US" w:eastAsia="zh-CN"/>
        </w:rPr>
        <w:t>预算安排</w:t>
      </w:r>
      <w:r>
        <w:rPr>
          <w:rFonts w:hint="eastAsia" w:cs="Times New Roman"/>
          <w:color w:val="auto"/>
          <w:kern w:val="0"/>
          <w:sz w:val="32"/>
          <w:szCs w:val="32"/>
          <w:highlight w:val="none"/>
          <w:u w:val="none"/>
          <w:shd w:val="clear" w:color="auto" w:fill="FFFFFF"/>
          <w:lang w:val="en-US" w:eastAsia="zh-CN"/>
        </w:rPr>
        <w:t>9.91</w:t>
      </w:r>
      <w:r>
        <w:rPr>
          <w:rFonts w:hint="eastAsia" w:ascii="Times New Roman" w:hAnsi="Times New Roman" w:cs="Times New Roman"/>
          <w:color w:val="auto"/>
          <w:szCs w:val="32"/>
          <w:lang w:val="en-US" w:eastAsia="zh-CN"/>
        </w:rPr>
        <w:t>万元，截至2025年12月31日，项目资金到位</w:t>
      </w:r>
      <w:r>
        <w:rPr>
          <w:rFonts w:hint="eastAsia" w:cs="Times New Roman"/>
          <w:color w:val="auto"/>
          <w:kern w:val="0"/>
          <w:sz w:val="32"/>
          <w:szCs w:val="32"/>
          <w:highlight w:val="none"/>
          <w:u w:val="none"/>
          <w:shd w:val="clear" w:color="auto" w:fill="FFFFFF"/>
          <w:lang w:val="en-US" w:eastAsia="zh-CN"/>
        </w:rPr>
        <w:t>9.91</w:t>
      </w:r>
      <w:r>
        <w:rPr>
          <w:rFonts w:hint="eastAsia" w:ascii="Times New Roman" w:hAnsi="Times New Roman" w:cs="Times New Roman"/>
          <w:color w:val="auto"/>
          <w:szCs w:val="32"/>
          <w:lang w:val="en-US" w:eastAsia="zh-CN"/>
        </w:rPr>
        <w:t>万元，预算执行金额为</w:t>
      </w:r>
      <w:r>
        <w:rPr>
          <w:rFonts w:hint="eastAsia" w:cs="Times New Roman"/>
          <w:color w:val="auto"/>
          <w:kern w:val="0"/>
          <w:sz w:val="32"/>
          <w:szCs w:val="32"/>
          <w:highlight w:val="none"/>
          <w:u w:val="none"/>
          <w:shd w:val="clear" w:color="auto" w:fill="FFFFFF"/>
          <w:lang w:val="en-US" w:eastAsia="zh-CN"/>
        </w:rPr>
        <w:t>9.91</w:t>
      </w:r>
      <w:r>
        <w:rPr>
          <w:rFonts w:hint="eastAsia" w:ascii="Times New Roman" w:hAnsi="Times New Roman" w:cs="Times New Roman"/>
          <w:color w:val="auto"/>
          <w:szCs w:val="32"/>
          <w:lang w:val="en-US" w:eastAsia="zh-CN"/>
        </w:rPr>
        <w:t>万元，财政资金拨付率、单位资金使用率和地方资金到位率均为100%。</w:t>
      </w:r>
    </w:p>
    <w:p w14:paraId="7D4C358D">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cs="Times New Roman"/>
          <w:color w:val="auto"/>
          <w:szCs w:val="32"/>
          <w:lang w:val="en-US" w:eastAsia="zh-CN"/>
        </w:rPr>
      </w:pPr>
      <w:r>
        <w:rPr>
          <w:rFonts w:hint="eastAsia" w:cs="Times New Roman"/>
          <w:color w:val="auto"/>
          <w:szCs w:val="32"/>
          <w:lang w:val="en-US" w:eastAsia="zh-CN"/>
        </w:rPr>
        <w:t>综上，根据评分标准，该项指标不扣分，得6分。</w:t>
      </w:r>
    </w:p>
    <w:p w14:paraId="63787F5A">
      <w:pPr>
        <w:keepNext w:val="0"/>
        <w:keepLines w:val="0"/>
        <w:pageBreakBefore w:val="0"/>
        <w:widowControl w:val="0"/>
        <w:kinsoku/>
        <w:wordWrap/>
        <w:overflowPunct/>
        <w:topLinePunct w:val="0"/>
        <w:autoSpaceDE/>
        <w:autoSpaceDN/>
        <w:bidi w:val="0"/>
        <w:adjustRightInd/>
        <w:snapToGrid/>
        <w:spacing w:line="578" w:lineRule="exact"/>
        <w:ind w:left="640" w:leftChars="200" w:firstLine="0" w:firstLineChars="0"/>
        <w:textAlignment w:val="auto"/>
        <w:outlineLvl w:val="9"/>
        <w:rPr>
          <w:rFonts w:hint="default" w:ascii="Times New Roman" w:hAnsi="Times New Roman" w:eastAsia="仿宋_GB2312" w:cs="Times New Roman"/>
          <w:color w:val="auto"/>
          <w:szCs w:val="32"/>
          <w:lang w:val="zh-CN" w:eastAsia="zh-CN"/>
        </w:rPr>
      </w:pPr>
      <w:r>
        <w:rPr>
          <w:rFonts w:hint="eastAsia" w:cs="Times New Roman"/>
          <w:color w:val="auto"/>
          <w:szCs w:val="32"/>
          <w:lang w:eastAsia="zh-CN"/>
        </w:rPr>
        <w:t>（</w:t>
      </w:r>
      <w:r>
        <w:rPr>
          <w:rFonts w:hint="eastAsia" w:cs="Times New Roman"/>
          <w:color w:val="auto"/>
          <w:szCs w:val="32"/>
          <w:lang w:val="en-US" w:eastAsia="zh-CN"/>
        </w:rPr>
        <w:t>2</w:t>
      </w:r>
      <w:r>
        <w:rPr>
          <w:rFonts w:hint="eastAsia" w:cs="Times New Roman"/>
          <w:color w:val="auto"/>
          <w:szCs w:val="32"/>
          <w:lang w:eastAsia="zh-CN"/>
        </w:rPr>
        <w:t>）</w:t>
      </w:r>
      <w:r>
        <w:rPr>
          <w:rFonts w:hint="default" w:ascii="Times New Roman" w:hAnsi="Times New Roman" w:cs="Times New Roman"/>
          <w:color w:val="auto"/>
          <w:szCs w:val="32"/>
          <w:lang w:eastAsia="zh-CN"/>
        </w:rPr>
        <w:t>资金使用</w:t>
      </w:r>
    </w:p>
    <w:p w14:paraId="6C709EB6">
      <w:pPr>
        <w:keepNext w:val="0"/>
        <w:keepLines w:val="0"/>
        <w:pageBreakBefore w:val="0"/>
        <w:widowControl w:val="0"/>
        <w:kinsoku/>
        <w:wordWrap/>
        <w:overflowPunct/>
        <w:topLinePunct w:val="0"/>
        <w:autoSpaceDE/>
        <w:autoSpaceDN/>
        <w:bidi w:val="0"/>
        <w:adjustRightInd/>
        <w:snapToGrid/>
        <w:spacing w:line="578" w:lineRule="exact"/>
        <w:textAlignment w:val="auto"/>
        <w:outlineLvl w:val="9"/>
        <w:rPr>
          <w:rFonts w:hint="eastAsia"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我局严格按照相关管理要求使用本项目资金，项目资金使用、拨付符合国家财经法规、财务管理制度及有关专项资金管理制度办法规定和审批程序，不存在超范围、超标准、超进度使用专项资金和资金损失浪费、长期沉淀、截留、挤占、挪用、虚列支出等情况，项目实施遵守相关法律法规。</w:t>
      </w:r>
    </w:p>
    <w:p w14:paraId="0046686F">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cs="Times New Roman"/>
          <w:color w:val="auto"/>
          <w:szCs w:val="32"/>
          <w:lang w:val="en-US" w:eastAsia="zh-CN"/>
        </w:rPr>
      </w:pPr>
      <w:r>
        <w:rPr>
          <w:rFonts w:hint="eastAsia" w:cs="Times New Roman"/>
          <w:color w:val="auto"/>
          <w:szCs w:val="32"/>
          <w:lang w:val="en-US" w:eastAsia="zh-CN"/>
        </w:rPr>
        <w:t>综上，根据评分标准，该项指标不扣分，得3分。</w:t>
      </w:r>
    </w:p>
    <w:p w14:paraId="18FD6477">
      <w:pPr>
        <w:keepNext w:val="0"/>
        <w:keepLines w:val="0"/>
        <w:pageBreakBefore w:val="0"/>
        <w:widowControl w:val="0"/>
        <w:kinsoku/>
        <w:wordWrap/>
        <w:overflowPunct/>
        <w:topLinePunct w:val="0"/>
        <w:autoSpaceDE/>
        <w:autoSpaceDN/>
        <w:bidi w:val="0"/>
        <w:adjustRightInd/>
        <w:snapToGrid/>
        <w:spacing w:line="578" w:lineRule="exact"/>
        <w:ind w:left="640" w:leftChars="200" w:firstLine="0" w:firstLineChars="0"/>
        <w:textAlignment w:val="auto"/>
        <w:outlineLvl w:val="9"/>
        <w:rPr>
          <w:rFonts w:hint="default" w:ascii="Times New Roman" w:hAnsi="Times New Roman" w:eastAsia="楷体_GB2312" w:cs="Times New Roman"/>
          <w:color w:val="auto"/>
          <w:szCs w:val="32"/>
          <w:lang w:val="en-US" w:eastAsia="zh-CN"/>
        </w:rPr>
      </w:pPr>
      <w:r>
        <w:rPr>
          <w:rFonts w:hint="default" w:ascii="Times New Roman" w:hAnsi="Times New Roman" w:eastAsia="楷体_GB2312" w:cs="Times New Roman"/>
          <w:color w:val="auto"/>
          <w:szCs w:val="32"/>
          <w:lang w:val="en-US" w:eastAsia="zh-CN"/>
        </w:rPr>
        <w:t>4.项目结果</w:t>
      </w:r>
    </w:p>
    <w:p w14:paraId="03ABB1D7">
      <w:pPr>
        <w:keepNext w:val="0"/>
        <w:keepLines w:val="0"/>
        <w:pageBreakBefore w:val="0"/>
        <w:widowControl w:val="0"/>
        <w:kinsoku/>
        <w:wordWrap/>
        <w:overflowPunct/>
        <w:topLinePunct w:val="0"/>
        <w:autoSpaceDE/>
        <w:autoSpaceDN/>
        <w:bidi w:val="0"/>
        <w:adjustRightInd/>
        <w:snapToGrid/>
        <w:spacing w:line="578" w:lineRule="exact"/>
        <w:ind w:left="640" w:leftChars="200" w:firstLine="0" w:firstLineChars="0"/>
        <w:textAlignment w:val="auto"/>
        <w:outlineLvl w:val="9"/>
        <w:rPr>
          <w:rFonts w:hint="default" w:ascii="Times New Roman" w:hAnsi="Times New Roman" w:cs="Times New Roman"/>
          <w:color w:val="auto"/>
          <w:szCs w:val="32"/>
          <w:lang w:eastAsia="zh-CN"/>
        </w:rPr>
      </w:pPr>
      <w:r>
        <w:rPr>
          <w:rFonts w:hint="eastAsia" w:cs="Times New Roman"/>
          <w:color w:val="auto"/>
          <w:szCs w:val="32"/>
          <w:lang w:eastAsia="zh-CN"/>
        </w:rPr>
        <w:t>（</w:t>
      </w:r>
      <w:r>
        <w:rPr>
          <w:rFonts w:hint="eastAsia" w:cs="Times New Roman"/>
          <w:color w:val="auto"/>
          <w:szCs w:val="32"/>
          <w:lang w:val="en-US" w:eastAsia="zh-CN"/>
        </w:rPr>
        <w:t>1</w:t>
      </w:r>
      <w:r>
        <w:rPr>
          <w:rFonts w:hint="eastAsia" w:cs="Times New Roman"/>
          <w:color w:val="auto"/>
          <w:szCs w:val="32"/>
          <w:lang w:eastAsia="zh-CN"/>
        </w:rPr>
        <w:t>）</w:t>
      </w:r>
      <w:r>
        <w:rPr>
          <w:rFonts w:hint="default" w:ascii="Times New Roman" w:hAnsi="Times New Roman" w:cs="Times New Roman"/>
          <w:color w:val="auto"/>
          <w:szCs w:val="32"/>
          <w:lang w:eastAsia="zh-CN"/>
        </w:rPr>
        <w:t>目标完成</w:t>
      </w:r>
    </w:p>
    <w:p w14:paraId="2ECB489B">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cs="Times New Roman"/>
          <w:color w:val="auto"/>
          <w:szCs w:val="32"/>
          <w:lang w:val="en-US" w:eastAsia="zh-CN"/>
        </w:rPr>
      </w:pPr>
      <w:r>
        <w:rPr>
          <w:rFonts w:hint="eastAsia" w:cs="Times New Roman"/>
          <w:color w:val="auto"/>
          <w:szCs w:val="32"/>
          <w:lang w:val="en-US" w:eastAsia="zh-CN"/>
        </w:rPr>
        <w:t>我局严格对照预设绩效目标推进项目实施，抽检监测、执法打击、培训宣传等各项工作任务均按计划完成，产出数量、质量及效益指标全面达标，无目标偏离或未完成情况，但存在个别偏远区域科普宣传覆盖深度不足的问题。</w:t>
      </w:r>
    </w:p>
    <w:p w14:paraId="4B4868DC">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cs="Times New Roman"/>
          <w:color w:val="auto"/>
          <w:szCs w:val="32"/>
          <w:lang w:val="en-US" w:eastAsia="zh-CN"/>
        </w:rPr>
      </w:pPr>
      <w:r>
        <w:rPr>
          <w:rFonts w:hint="eastAsia" w:cs="Times New Roman"/>
          <w:color w:val="auto"/>
          <w:szCs w:val="32"/>
          <w:lang w:val="en-US" w:eastAsia="zh-CN"/>
        </w:rPr>
        <w:t>综上，根据评分标准，该项指标扣0.7分，得5.3分。</w:t>
      </w:r>
    </w:p>
    <w:p w14:paraId="021450F7">
      <w:pPr>
        <w:keepNext w:val="0"/>
        <w:keepLines w:val="0"/>
        <w:pageBreakBefore w:val="0"/>
        <w:widowControl w:val="0"/>
        <w:kinsoku/>
        <w:wordWrap/>
        <w:overflowPunct/>
        <w:topLinePunct w:val="0"/>
        <w:autoSpaceDE/>
        <w:autoSpaceDN/>
        <w:bidi w:val="0"/>
        <w:adjustRightInd/>
        <w:snapToGrid/>
        <w:spacing w:line="578" w:lineRule="exact"/>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（2）完成时效</w:t>
      </w:r>
    </w:p>
    <w:p w14:paraId="7F85C2B8">
      <w:pPr>
        <w:keepNext w:val="0"/>
        <w:keepLines w:val="0"/>
        <w:pageBreakBefore w:val="0"/>
        <w:widowControl w:val="0"/>
        <w:kinsoku/>
        <w:wordWrap/>
        <w:overflowPunct/>
        <w:topLinePunct w:val="0"/>
        <w:autoSpaceDE/>
        <w:autoSpaceDN/>
        <w:bidi w:val="0"/>
        <w:adjustRightInd/>
        <w:snapToGrid/>
        <w:spacing w:line="578" w:lineRule="exact"/>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我局严格遵循项目计划时间节点，制定细化的进度推进方案并开展全程动态管控，通过合理调配资源、优化实施流程，各阶段药品监管工作任务均按期推进，项目所有工作于2025年12月底前全面完成，未出现任何延迟情况，时效管理规范有序。</w:t>
      </w:r>
    </w:p>
    <w:p w14:paraId="35A3392F">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cs="Times New Roman"/>
          <w:color w:val="auto"/>
          <w:szCs w:val="32"/>
          <w:lang w:val="en-US" w:eastAsia="zh-CN"/>
        </w:rPr>
      </w:pPr>
      <w:r>
        <w:rPr>
          <w:rFonts w:hint="eastAsia" w:cs="Times New Roman"/>
          <w:color w:val="auto"/>
          <w:szCs w:val="32"/>
          <w:lang w:val="en-US" w:eastAsia="zh-CN"/>
        </w:rPr>
        <w:t>综上，根据评分标准，该项指标不扣分，得3分。</w:t>
      </w:r>
    </w:p>
    <w:p w14:paraId="595B2B7B">
      <w:pPr>
        <w:keepNext w:val="0"/>
        <w:keepLines w:val="0"/>
        <w:pageBreakBefore w:val="0"/>
        <w:widowControl w:val="0"/>
        <w:kinsoku/>
        <w:wordWrap/>
        <w:overflowPunct/>
        <w:topLinePunct w:val="0"/>
        <w:autoSpaceDE/>
        <w:autoSpaceDN/>
        <w:bidi w:val="0"/>
        <w:adjustRightInd/>
        <w:snapToGrid/>
        <w:spacing w:line="578" w:lineRule="exact"/>
        <w:ind w:left="0" w:leftChars="0" w:firstLine="643" w:firstLineChars="200"/>
        <w:textAlignment w:val="auto"/>
        <w:outlineLvl w:val="1"/>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Cs w:val="32"/>
          <w:highlight w:val="none"/>
          <w:shd w:val="clear" w:color="auto" w:fill="FFFFFF"/>
          <w:lang w:val="zh-CN"/>
        </w:rPr>
        <w:t>绩效分析</w:t>
      </w:r>
    </w:p>
    <w:p w14:paraId="43462840">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default" w:ascii="Times New Roman" w:hAnsi="Times New Roman" w:cs="Times New Roman"/>
          <w:color w:val="auto"/>
          <w:szCs w:val="32"/>
          <w:lang w:eastAsia="zh-CN"/>
        </w:rPr>
      </w:pPr>
      <w:r>
        <w:rPr>
          <w:rFonts w:hint="eastAsia" w:cs="Times New Roman"/>
          <w:color w:val="auto"/>
          <w:szCs w:val="32"/>
          <w:lang w:val="en-US" w:eastAsia="zh-CN"/>
        </w:rPr>
        <w:t>1.</w:t>
      </w:r>
      <w:r>
        <w:rPr>
          <w:rFonts w:hint="default" w:ascii="Times New Roman" w:hAnsi="Times New Roman" w:cs="Times New Roman"/>
          <w:color w:val="auto"/>
          <w:szCs w:val="32"/>
          <w:lang w:eastAsia="zh-CN"/>
        </w:rPr>
        <w:t>用途合规性</w:t>
      </w:r>
    </w:p>
    <w:p w14:paraId="28750A33">
      <w:pPr>
        <w:keepNext w:val="0"/>
        <w:keepLines w:val="0"/>
        <w:pageBreakBefore w:val="0"/>
        <w:widowControl w:val="0"/>
        <w:kinsoku/>
        <w:wordWrap/>
        <w:overflowPunct/>
        <w:topLinePunct w:val="0"/>
        <w:autoSpaceDE/>
        <w:autoSpaceDN/>
        <w:bidi w:val="0"/>
        <w:adjustRightInd/>
        <w:snapToGrid/>
        <w:spacing w:line="578" w:lineRule="exact"/>
        <w:textAlignment w:val="auto"/>
        <w:outlineLvl w:val="9"/>
        <w:rPr>
          <w:rFonts w:hint="eastAsia"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项目资金严格遵循“专款专用、服务药品监管主业”原则，所有支出均直接用于抽检监测、执法打击、培训宣传等项目核心工作，未出现挪用、截留、挤占或用于无关领域的情形，与项目申报时的资金使用目标高度契合，完全符合省级药品监管专项资金“精准投放、定向发力”的合规性要求。</w:t>
      </w:r>
    </w:p>
    <w:p w14:paraId="30E4E82C">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cs="Times New Roman"/>
          <w:color w:val="auto"/>
          <w:szCs w:val="32"/>
          <w:lang w:val="en-US" w:eastAsia="zh-CN"/>
        </w:rPr>
      </w:pPr>
      <w:r>
        <w:rPr>
          <w:rFonts w:hint="eastAsia" w:cs="Times New Roman"/>
          <w:color w:val="auto"/>
          <w:szCs w:val="32"/>
          <w:lang w:val="en-US" w:eastAsia="zh-CN"/>
        </w:rPr>
        <w:t>综上，根据评分标准，该项指标不扣分，得10分。</w:t>
      </w:r>
    </w:p>
    <w:p w14:paraId="44989B26">
      <w:pPr>
        <w:keepNext w:val="0"/>
        <w:keepLines w:val="0"/>
        <w:pageBreakBefore w:val="0"/>
        <w:widowControl w:val="0"/>
        <w:kinsoku/>
        <w:wordWrap/>
        <w:overflowPunct/>
        <w:topLinePunct w:val="0"/>
        <w:autoSpaceDE/>
        <w:autoSpaceDN/>
        <w:bidi w:val="0"/>
        <w:adjustRightInd/>
        <w:snapToGrid/>
        <w:spacing w:line="578" w:lineRule="exact"/>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2.程序合规性</w:t>
      </w:r>
    </w:p>
    <w:p w14:paraId="6DF64BBC">
      <w:pPr>
        <w:keepNext w:val="0"/>
        <w:keepLines w:val="0"/>
        <w:pageBreakBefore w:val="0"/>
        <w:widowControl w:val="0"/>
        <w:kinsoku/>
        <w:wordWrap/>
        <w:overflowPunct/>
        <w:topLinePunct w:val="0"/>
        <w:autoSpaceDE/>
        <w:autoSpaceDN/>
        <w:bidi w:val="0"/>
        <w:adjustRightInd/>
        <w:snapToGrid/>
        <w:spacing w:line="578" w:lineRule="exact"/>
        <w:textAlignment w:val="auto"/>
        <w:outlineLvl w:val="9"/>
        <w:rPr>
          <w:rFonts w:hint="eastAsia"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项目实施全程严守专项资金管理、药品监管及相关管理规范：抽检监测严格遵循抽样、检测、结果上报全流程规范；执法打击按照法定程序开展立案、调查、处罚等工作；培训宣传履行规范组织流程；资金使用建立“申请</w:t>
      </w:r>
      <w:r>
        <w:rPr>
          <w:rFonts w:hint="eastAsia" w:cs="Times New Roman"/>
          <w:color w:val="auto"/>
          <w:szCs w:val="32"/>
          <w:lang w:val="en-US" w:eastAsia="zh-CN"/>
        </w:rPr>
        <w:t>－</w:t>
      </w:r>
      <w:r>
        <w:rPr>
          <w:rFonts w:hint="eastAsia" w:ascii="Times New Roman" w:hAnsi="Times New Roman" w:cs="Times New Roman"/>
          <w:color w:val="auto"/>
          <w:szCs w:val="32"/>
          <w:lang w:val="en-US" w:eastAsia="zh-CN"/>
        </w:rPr>
        <w:t>审核</w:t>
      </w:r>
      <w:r>
        <w:rPr>
          <w:rFonts w:hint="eastAsia" w:cs="Times New Roman"/>
          <w:color w:val="auto"/>
          <w:szCs w:val="32"/>
          <w:lang w:val="en-US" w:eastAsia="zh-CN"/>
        </w:rPr>
        <w:t>－</w:t>
      </w:r>
      <w:r>
        <w:rPr>
          <w:rFonts w:hint="eastAsia" w:ascii="Times New Roman" w:hAnsi="Times New Roman" w:cs="Times New Roman"/>
          <w:color w:val="auto"/>
          <w:szCs w:val="32"/>
          <w:lang w:val="en-US" w:eastAsia="zh-CN"/>
        </w:rPr>
        <w:t>审批</w:t>
      </w:r>
      <w:r>
        <w:rPr>
          <w:rFonts w:hint="eastAsia" w:cs="Times New Roman"/>
          <w:color w:val="auto"/>
          <w:szCs w:val="32"/>
          <w:lang w:val="en-US" w:eastAsia="zh-CN"/>
        </w:rPr>
        <w:t>－</w:t>
      </w:r>
      <w:r>
        <w:rPr>
          <w:rFonts w:hint="eastAsia" w:ascii="Times New Roman" w:hAnsi="Times New Roman" w:cs="Times New Roman"/>
          <w:color w:val="auto"/>
          <w:szCs w:val="32"/>
          <w:lang w:val="en-US" w:eastAsia="zh-CN"/>
        </w:rPr>
        <w:t>公示”闭环机制，每笔费用报销均附完整凭证，资金流向可追溯、工作过程留痕迹，无任何程序违规问题。</w:t>
      </w:r>
    </w:p>
    <w:p w14:paraId="495947BD">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cs="Times New Roman"/>
          <w:color w:val="auto"/>
          <w:szCs w:val="32"/>
          <w:lang w:val="en-US" w:eastAsia="zh-CN"/>
        </w:rPr>
      </w:pPr>
      <w:r>
        <w:rPr>
          <w:rFonts w:hint="eastAsia" w:cs="Times New Roman"/>
          <w:color w:val="auto"/>
          <w:szCs w:val="32"/>
          <w:lang w:val="en-US" w:eastAsia="zh-CN"/>
        </w:rPr>
        <w:t>综上，根据评分标准，该项指标不扣分，得10分。</w:t>
      </w:r>
    </w:p>
    <w:p w14:paraId="76FEBC09">
      <w:pPr>
        <w:keepNext w:val="0"/>
        <w:keepLines w:val="0"/>
        <w:pageBreakBefore w:val="0"/>
        <w:widowControl w:val="0"/>
        <w:kinsoku/>
        <w:wordWrap/>
        <w:overflowPunct/>
        <w:topLinePunct w:val="0"/>
        <w:autoSpaceDE/>
        <w:autoSpaceDN/>
        <w:bidi w:val="0"/>
        <w:adjustRightInd/>
        <w:snapToGrid/>
        <w:spacing w:line="578" w:lineRule="exact"/>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3.标准合规性</w:t>
      </w:r>
    </w:p>
    <w:p w14:paraId="2BFED53A">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资金分配标准整体符合专项资金管理要求，但受部分偏远区域抽检运输成本、宣传物料定制价格波动影响，少量经费实际支出标准与预设标准存在一定偏差，未超出合理浮动范围。</w:t>
      </w:r>
    </w:p>
    <w:p w14:paraId="0EEED7FA">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cs="Times New Roman"/>
          <w:color w:val="auto"/>
          <w:szCs w:val="32"/>
          <w:lang w:val="en-US" w:eastAsia="zh-CN"/>
        </w:rPr>
      </w:pPr>
      <w:r>
        <w:rPr>
          <w:rFonts w:hint="eastAsia" w:cs="Times New Roman"/>
          <w:color w:val="auto"/>
          <w:szCs w:val="32"/>
          <w:lang w:val="en-US" w:eastAsia="zh-CN"/>
        </w:rPr>
        <w:t>综上，根据评分标准，该项指标扣1.1分，得8.9分。</w:t>
      </w:r>
    </w:p>
    <w:p w14:paraId="5DB22004">
      <w:pPr>
        <w:keepNext w:val="0"/>
        <w:keepLines w:val="0"/>
        <w:pageBreakBefore w:val="0"/>
        <w:widowControl w:val="0"/>
        <w:kinsoku/>
        <w:wordWrap/>
        <w:overflowPunct/>
        <w:topLinePunct w:val="0"/>
        <w:autoSpaceDE/>
        <w:autoSpaceDN/>
        <w:bidi w:val="0"/>
        <w:adjustRightInd/>
        <w:snapToGrid/>
        <w:spacing w:line="578" w:lineRule="exact"/>
        <w:ind w:firstLine="640" w:firstLineChars="0"/>
        <w:textAlignment w:val="auto"/>
        <w:outlineLvl w:val="1"/>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color w:val="auto"/>
          <w:sz w:val="32"/>
          <w:szCs w:val="32"/>
          <w:highlight w:val="none"/>
          <w:u w:val="none"/>
          <w:lang w:val="zh-CN"/>
        </w:rPr>
        <w:t>（三）</w:t>
      </w:r>
      <w:r>
        <w:rPr>
          <w:rFonts w:hint="default" w:ascii="Times New Roman" w:hAnsi="Times New Roman"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Cs w:val="32"/>
          <w:highlight w:val="none"/>
          <w:shd w:val="clear" w:color="auto" w:fill="FFFFFF"/>
          <w:lang w:val="zh-CN"/>
        </w:rPr>
        <w:t>绩效分析</w:t>
      </w:r>
    </w:p>
    <w:p w14:paraId="300688F7">
      <w:pPr>
        <w:keepNext w:val="0"/>
        <w:keepLines w:val="0"/>
        <w:pageBreakBefore w:val="0"/>
        <w:widowControl w:val="0"/>
        <w:kinsoku/>
        <w:wordWrap/>
        <w:overflowPunct/>
        <w:topLinePunct w:val="0"/>
        <w:autoSpaceDE/>
        <w:autoSpaceDN/>
        <w:bidi w:val="0"/>
        <w:adjustRightInd/>
        <w:snapToGrid/>
        <w:spacing w:line="578" w:lineRule="exact"/>
        <w:textAlignment w:val="auto"/>
        <w:outlineLvl w:val="9"/>
        <w:rPr>
          <w:rFonts w:hint="eastAsia"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1.抽检结果应用转化率</w:t>
      </w:r>
    </w:p>
    <w:p w14:paraId="312B753E">
      <w:pPr>
        <w:keepNext w:val="0"/>
        <w:keepLines w:val="0"/>
        <w:pageBreakBefore w:val="0"/>
        <w:widowControl w:val="0"/>
        <w:kinsoku/>
        <w:wordWrap/>
        <w:overflowPunct/>
        <w:topLinePunct w:val="0"/>
        <w:autoSpaceDE/>
        <w:autoSpaceDN/>
        <w:bidi w:val="0"/>
        <w:adjustRightInd/>
        <w:snapToGrid/>
        <w:spacing w:line="578" w:lineRule="exact"/>
        <w:textAlignment w:val="auto"/>
        <w:outlineLvl w:val="9"/>
        <w:rPr>
          <w:rFonts w:hint="eastAsia"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通过抽检监测与执法联动，不合格产品核查处置率达100%，并形成风险防控清单，但部分抽检数据对新业态、新风险的预警支撑不足，数据应用的前瞻性有待提升。</w:t>
      </w:r>
    </w:p>
    <w:p w14:paraId="3402E6ED">
      <w:pPr>
        <w:keepNext w:val="0"/>
        <w:keepLines w:val="0"/>
        <w:pageBreakBefore w:val="0"/>
        <w:widowControl w:val="0"/>
        <w:kinsoku/>
        <w:wordWrap/>
        <w:overflowPunct/>
        <w:topLinePunct w:val="0"/>
        <w:autoSpaceDE/>
        <w:autoSpaceDN/>
        <w:bidi w:val="0"/>
        <w:adjustRightInd/>
        <w:snapToGrid/>
        <w:spacing w:line="578" w:lineRule="exact"/>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综上，根据评分标准，该项指标扣</w:t>
      </w:r>
      <w:r>
        <w:rPr>
          <w:rFonts w:hint="eastAsia" w:ascii="Times New Roman" w:hAnsi="Times New Roman" w:cs="Times New Roman"/>
          <w:color w:val="auto"/>
          <w:szCs w:val="32"/>
          <w:lang w:val="en-US" w:eastAsia="zh-CN"/>
        </w:rPr>
        <w:t>1.1</w:t>
      </w:r>
      <w:r>
        <w:rPr>
          <w:rFonts w:hint="default" w:ascii="Times New Roman" w:hAnsi="Times New Roman" w:cs="Times New Roman"/>
          <w:color w:val="auto"/>
          <w:szCs w:val="32"/>
          <w:lang w:val="en-US" w:eastAsia="zh-CN"/>
        </w:rPr>
        <w:t>分，得</w:t>
      </w:r>
      <w:r>
        <w:rPr>
          <w:rFonts w:hint="eastAsia" w:ascii="Times New Roman" w:hAnsi="Times New Roman" w:cs="Times New Roman"/>
          <w:color w:val="auto"/>
          <w:szCs w:val="32"/>
          <w:lang w:val="en-US" w:eastAsia="zh-CN"/>
        </w:rPr>
        <w:t>6.9</w:t>
      </w:r>
      <w:r>
        <w:rPr>
          <w:rFonts w:hint="default" w:ascii="Times New Roman" w:hAnsi="Times New Roman" w:cs="Times New Roman"/>
          <w:color w:val="auto"/>
          <w:szCs w:val="32"/>
          <w:lang w:val="en-US" w:eastAsia="zh-CN"/>
        </w:rPr>
        <w:t>分。</w:t>
      </w:r>
    </w:p>
    <w:p w14:paraId="055E12B8">
      <w:pPr>
        <w:keepNext w:val="0"/>
        <w:keepLines w:val="0"/>
        <w:pageBreakBefore w:val="0"/>
        <w:widowControl w:val="0"/>
        <w:kinsoku/>
        <w:wordWrap/>
        <w:overflowPunct/>
        <w:topLinePunct w:val="0"/>
        <w:autoSpaceDE/>
        <w:autoSpaceDN/>
        <w:bidi w:val="0"/>
        <w:adjustRightInd/>
        <w:snapToGrid/>
        <w:spacing w:line="578" w:lineRule="exact"/>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2.</w:t>
      </w:r>
      <w:r>
        <w:rPr>
          <w:rFonts w:hint="default" w:ascii="Times New Roman" w:hAnsi="Times New Roman" w:cs="Times New Roman"/>
          <w:color w:val="auto"/>
          <w:szCs w:val="32"/>
          <w:lang w:val="en-US" w:eastAsia="zh-CN"/>
        </w:rPr>
        <w:t>公众安全意识提升率</w:t>
      </w:r>
    </w:p>
    <w:p w14:paraId="21667F33">
      <w:pPr>
        <w:keepNext w:val="0"/>
        <w:keepLines w:val="0"/>
        <w:pageBreakBefore w:val="0"/>
        <w:widowControl w:val="0"/>
        <w:kinsoku/>
        <w:wordWrap/>
        <w:overflowPunct/>
        <w:topLinePunct w:val="0"/>
        <w:autoSpaceDE/>
        <w:autoSpaceDN/>
        <w:bidi w:val="0"/>
        <w:adjustRightInd/>
        <w:snapToGrid/>
        <w:spacing w:line="578" w:lineRule="exact"/>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通过多场次科普宣传，公众“两品一械”安全知识知晓率较上年提升18个百分点，但偏远区域群众参与度较低，知识掌握程度与城区存在差距，整体提升不均衡。</w:t>
      </w:r>
    </w:p>
    <w:p w14:paraId="6AC4AEA1">
      <w:pPr>
        <w:keepNext w:val="0"/>
        <w:keepLines w:val="0"/>
        <w:pageBreakBefore w:val="0"/>
        <w:widowControl w:val="0"/>
        <w:kinsoku/>
        <w:wordWrap/>
        <w:overflowPunct/>
        <w:topLinePunct w:val="0"/>
        <w:autoSpaceDE/>
        <w:autoSpaceDN/>
        <w:bidi w:val="0"/>
        <w:adjustRightInd/>
        <w:snapToGrid/>
        <w:spacing w:line="578" w:lineRule="exact"/>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综上，根据评分标准，该项指标扣</w:t>
      </w:r>
      <w:r>
        <w:rPr>
          <w:rFonts w:hint="eastAsia" w:ascii="Times New Roman" w:hAnsi="Times New Roman" w:cs="Times New Roman"/>
          <w:color w:val="auto"/>
          <w:szCs w:val="32"/>
          <w:lang w:val="en-US" w:eastAsia="zh-CN"/>
        </w:rPr>
        <w:t>0.7</w:t>
      </w:r>
      <w:r>
        <w:rPr>
          <w:rFonts w:hint="default" w:ascii="Times New Roman" w:hAnsi="Times New Roman" w:cs="Times New Roman"/>
          <w:color w:val="auto"/>
          <w:szCs w:val="32"/>
          <w:lang w:val="en-US" w:eastAsia="zh-CN"/>
        </w:rPr>
        <w:t>分，得</w:t>
      </w:r>
      <w:r>
        <w:rPr>
          <w:rFonts w:hint="eastAsia" w:ascii="Times New Roman" w:hAnsi="Times New Roman" w:cs="Times New Roman"/>
          <w:color w:val="auto"/>
          <w:szCs w:val="32"/>
          <w:lang w:val="en-US" w:eastAsia="zh-CN"/>
        </w:rPr>
        <w:t>7.3</w:t>
      </w:r>
      <w:r>
        <w:rPr>
          <w:rFonts w:hint="default" w:ascii="Times New Roman" w:hAnsi="Times New Roman" w:cs="Times New Roman"/>
          <w:color w:val="auto"/>
          <w:szCs w:val="32"/>
          <w:lang w:val="en-US" w:eastAsia="zh-CN"/>
        </w:rPr>
        <w:t>分。</w:t>
      </w:r>
    </w:p>
    <w:p w14:paraId="454C896F">
      <w:pPr>
        <w:pStyle w:val="10"/>
        <w:pageBreakBefore w:val="0"/>
        <w:numPr>
          <w:ilvl w:val="0"/>
          <w:numId w:val="0"/>
        </w:numPr>
        <w:tabs>
          <w:tab w:val="left" w:pos="2160"/>
        </w:tabs>
        <w:kinsoku/>
        <w:wordWrap/>
        <w:overflowPunct/>
        <w:topLinePunct w:val="0"/>
        <w:autoSpaceDE/>
        <w:autoSpaceDN/>
        <w:bidi w:val="0"/>
        <w:adjustRightInd/>
        <w:spacing w:line="600" w:lineRule="exact"/>
        <w:ind w:left="0" w:leftChars="0" w:firstLine="640" w:firstLineChars="200"/>
        <w:textAlignment w:val="auto"/>
        <w:outlineLvl w:val="0"/>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lang w:eastAsia="zh-CN"/>
        </w:rPr>
        <w:t>四</w:t>
      </w:r>
      <w:r>
        <w:rPr>
          <w:rFonts w:hint="default" w:ascii="Times New Roman" w:hAnsi="Times New Roman" w:eastAsia="黑体" w:cs="Times New Roman"/>
          <w:color w:val="auto"/>
          <w:sz w:val="32"/>
          <w:szCs w:val="32"/>
          <w:highlight w:val="none"/>
          <w:u w:val="none"/>
        </w:rPr>
        <w:t>、评价结论</w:t>
      </w:r>
    </w:p>
    <w:p w14:paraId="5C75BE31">
      <w:pPr>
        <w:pStyle w:val="10"/>
        <w:pageBreakBefore w:val="0"/>
        <w:numPr>
          <w:ilvl w:val="0"/>
          <w:numId w:val="0"/>
        </w:numPr>
        <w:tabs>
          <w:tab w:val="left" w:pos="2160"/>
        </w:tabs>
        <w:kinsoku/>
        <w:wordWrap/>
        <w:overflowPunct/>
        <w:topLinePunct w:val="0"/>
        <w:autoSpaceDE/>
        <w:autoSpaceDN/>
        <w:bidi w:val="0"/>
        <w:adjustRightInd/>
        <w:spacing w:line="600" w:lineRule="exact"/>
        <w:ind w:firstLine="640" w:firstLineChars="200"/>
        <w:textAlignment w:val="auto"/>
        <w:rPr>
          <w:rFonts w:hint="default" w:ascii="Times New Roman" w:hAnsi="Times New Roman" w:cs="Times New Roman"/>
          <w:b w:val="0"/>
          <w:bCs w:val="0"/>
          <w:kern w:val="2"/>
          <w:position w:val="0"/>
          <w:sz w:val="32"/>
          <w:szCs w:val="32"/>
          <w:highlight w:val="none"/>
          <w:lang w:val="en-US" w:eastAsia="zh-CN" w:bidi="ar-SA"/>
        </w:rPr>
      </w:pPr>
      <w:r>
        <w:rPr>
          <w:rFonts w:hint="default" w:ascii="Times New Roman" w:hAnsi="Times New Roman" w:eastAsia="仿宋_GB2312" w:cs="Times New Roman"/>
          <w:b w:val="0"/>
          <w:bCs w:val="0"/>
          <w:kern w:val="0"/>
          <w:position w:val="0"/>
          <w:sz w:val="32"/>
          <w:szCs w:val="32"/>
          <w:highlight w:val="none"/>
          <w:lang w:val="en-US" w:eastAsia="zh-CN" w:bidi="ar-SA"/>
        </w:rPr>
        <w:t>经综合评价，</w:t>
      </w:r>
      <w:r>
        <w:rPr>
          <w:rFonts w:hint="eastAsia" w:ascii="Times New Roman" w:eastAsia="仿宋_GB2312" w:cs="Times New Roman"/>
          <w:b w:val="0"/>
          <w:bCs w:val="0"/>
          <w:kern w:val="0"/>
          <w:position w:val="0"/>
          <w:sz w:val="32"/>
          <w:szCs w:val="32"/>
          <w:highlight w:val="none"/>
          <w:lang w:val="en-US" w:eastAsia="zh-CN" w:bidi="ar-SA"/>
        </w:rPr>
        <w:t>本</w:t>
      </w:r>
      <w:r>
        <w:rPr>
          <w:rFonts w:hint="default" w:ascii="Times New Roman" w:hAnsi="Times New Roman" w:eastAsia="仿宋_GB2312" w:cs="Times New Roman"/>
          <w:b w:val="0"/>
          <w:bCs w:val="0"/>
          <w:kern w:val="0"/>
          <w:position w:val="0"/>
          <w:sz w:val="32"/>
          <w:szCs w:val="32"/>
          <w:highlight w:val="none"/>
          <w:lang w:val="en-US" w:eastAsia="zh-CN" w:bidi="ar-SA"/>
        </w:rPr>
        <w:t>项目绩效</w:t>
      </w:r>
      <w:r>
        <w:rPr>
          <w:rFonts w:hint="eastAsia" w:ascii="Times New Roman" w:eastAsia="仿宋_GB2312" w:cs="Times New Roman"/>
          <w:b w:val="0"/>
          <w:bCs w:val="0"/>
          <w:kern w:val="0"/>
          <w:position w:val="0"/>
          <w:sz w:val="32"/>
          <w:szCs w:val="32"/>
          <w:highlight w:val="none"/>
          <w:lang w:val="en-US" w:eastAsia="zh-CN" w:bidi="ar-SA"/>
        </w:rPr>
        <w:t>自评得93.9</w:t>
      </w:r>
      <w:r>
        <w:rPr>
          <w:rFonts w:hint="default" w:ascii="Times New Roman" w:hAnsi="Times New Roman" w:eastAsia="仿宋_GB2312" w:cs="Times New Roman"/>
          <w:b w:val="0"/>
          <w:bCs w:val="0"/>
          <w:kern w:val="0"/>
          <w:position w:val="0"/>
          <w:sz w:val="32"/>
          <w:szCs w:val="32"/>
          <w:highlight w:val="none"/>
          <w:lang w:val="en-US" w:eastAsia="zh-CN" w:bidi="ar-SA"/>
        </w:rPr>
        <w:t>分，</w:t>
      </w:r>
      <w:r>
        <w:rPr>
          <w:rFonts w:hint="eastAsia" w:ascii="Times New Roman" w:eastAsia="仿宋_GB2312" w:cs="Times New Roman"/>
          <w:b w:val="0"/>
          <w:bCs w:val="0"/>
          <w:kern w:val="0"/>
          <w:position w:val="0"/>
          <w:sz w:val="32"/>
          <w:szCs w:val="32"/>
          <w:highlight w:val="none"/>
          <w:lang w:val="en-US" w:eastAsia="zh-CN" w:bidi="ar-SA"/>
        </w:rPr>
        <w:t>等级为“优”，项目</w:t>
      </w:r>
      <w:r>
        <w:rPr>
          <w:rFonts w:hint="default" w:ascii="Times New Roman" w:hAnsi="Times New Roman" w:eastAsia="仿宋_GB2312" w:cs="Times New Roman"/>
          <w:b w:val="0"/>
          <w:bCs w:val="0"/>
          <w:kern w:val="0"/>
          <w:position w:val="0"/>
          <w:sz w:val="32"/>
          <w:szCs w:val="32"/>
          <w:highlight w:val="none"/>
          <w:lang w:val="en-US" w:eastAsia="zh-CN" w:bidi="ar-SA"/>
        </w:rPr>
        <w:t>实施情况良好。</w:t>
      </w:r>
      <w:r>
        <w:rPr>
          <w:rFonts w:hint="eastAsia" w:ascii="Times New Roman" w:eastAsia="仿宋_GB2312" w:cs="Times New Roman"/>
          <w:b w:val="0"/>
          <w:bCs w:val="0"/>
          <w:kern w:val="0"/>
          <w:position w:val="0"/>
          <w:sz w:val="32"/>
          <w:szCs w:val="32"/>
          <w:highlight w:val="none"/>
          <w:lang w:val="en-US" w:eastAsia="zh-CN" w:bidi="ar-SA"/>
        </w:rPr>
        <w:t>本项目严格落实财政预算管理要求，调整后预算9.91万元，执行率达100%，资金使用全程合规规范，无违规使用情况；全面完成了“两品一械”抽检监测、执法打击、培训宣传等所有既定工作任务，各项核心绩效指标均达标，有效守牢了药品安全底线，规范了经营使用秩序，提升了监管队伍专业能力和公众安全意识，完善了监管与应急机制，资金使用效益与社会效益双达标，与中央、省、州药品监管工作部署和民生保障要求高度契合。</w:t>
      </w:r>
    </w:p>
    <w:p w14:paraId="36624434">
      <w:pPr>
        <w:pStyle w:val="10"/>
        <w:pageBreakBefore w:val="0"/>
        <w:numPr>
          <w:ilvl w:val="0"/>
          <w:numId w:val="0"/>
        </w:numPr>
        <w:tabs>
          <w:tab w:val="left" w:pos="2160"/>
        </w:tabs>
        <w:kinsoku/>
        <w:wordWrap/>
        <w:overflowPunct/>
        <w:topLinePunct w:val="0"/>
        <w:autoSpaceDE/>
        <w:autoSpaceDN/>
        <w:bidi w:val="0"/>
        <w:adjustRightInd/>
        <w:spacing w:line="600" w:lineRule="exact"/>
        <w:ind w:left="0" w:leftChars="0" w:firstLine="640" w:firstLineChars="200"/>
        <w:textAlignment w:val="auto"/>
        <w:outlineLvl w:val="0"/>
        <w:rPr>
          <w:rFonts w:hint="default" w:ascii="Times New Roman" w:hAnsi="Times New Roman" w:eastAsia="黑体" w:cs="Times New Roman"/>
          <w:color w:val="auto"/>
          <w:sz w:val="32"/>
          <w:szCs w:val="32"/>
          <w:highlight w:val="none"/>
          <w:u w:val="none"/>
          <w:lang w:eastAsia="zh-CN"/>
        </w:rPr>
      </w:pPr>
      <w:r>
        <w:rPr>
          <w:rFonts w:hint="default" w:ascii="Times New Roman" w:hAnsi="Times New Roman" w:cs="Times New Roman"/>
          <w:color w:val="auto"/>
          <w:sz w:val="32"/>
          <w:szCs w:val="32"/>
          <w:highlight w:val="none"/>
          <w:u w:val="none"/>
          <w:lang w:eastAsia="zh-CN"/>
        </w:rPr>
        <w:t>五、</w:t>
      </w:r>
      <w:r>
        <w:rPr>
          <w:rFonts w:hint="default" w:ascii="Times New Roman" w:hAnsi="Times New Roman" w:eastAsia="黑体" w:cs="Times New Roman"/>
          <w:color w:val="auto"/>
          <w:sz w:val="32"/>
          <w:szCs w:val="32"/>
          <w:highlight w:val="none"/>
          <w:u w:val="none"/>
          <w:lang w:eastAsia="zh-CN"/>
        </w:rPr>
        <w:t>存在主要问题</w:t>
      </w:r>
    </w:p>
    <w:p w14:paraId="1BD6BF1F">
      <w:pPr>
        <w:pStyle w:val="10"/>
        <w:pageBreakBefore w:val="0"/>
        <w:numPr>
          <w:ilvl w:val="0"/>
          <w:numId w:val="0"/>
        </w:numPr>
        <w:tabs>
          <w:tab w:val="left" w:pos="2160"/>
        </w:tabs>
        <w:kinsoku/>
        <w:wordWrap/>
        <w:overflowPunct/>
        <w:topLinePunct w:val="0"/>
        <w:autoSpaceDE/>
        <w:autoSpaceDN/>
        <w:bidi w:val="0"/>
        <w:adjustRightInd/>
        <w:spacing w:line="600" w:lineRule="exact"/>
        <w:ind w:firstLine="640" w:firstLineChars="200"/>
        <w:jc w:val="both"/>
        <w:textAlignment w:val="auto"/>
        <w:rPr>
          <w:rFonts w:hint="default" w:ascii="Times New Roman" w:hAnsi="Times New Roman" w:eastAsia="仿宋_GB2312" w:cs="Times New Roman"/>
          <w:b w:val="0"/>
          <w:bCs w:val="0"/>
          <w:kern w:val="0"/>
          <w:position w:val="0"/>
          <w:sz w:val="32"/>
          <w:szCs w:val="32"/>
          <w:highlight w:val="none"/>
          <w:lang w:val="en-US" w:eastAsia="zh-CN" w:bidi="ar-SA"/>
        </w:rPr>
      </w:pPr>
      <w:r>
        <w:rPr>
          <w:rFonts w:hint="eastAsia" w:ascii="Times New Roman" w:hAnsi="Times New Roman" w:eastAsia="仿宋_GB2312" w:cs="Times New Roman"/>
          <w:b w:val="0"/>
          <w:bCs w:val="0"/>
          <w:kern w:val="0"/>
          <w:position w:val="0"/>
          <w:sz w:val="32"/>
          <w:szCs w:val="32"/>
          <w:highlight w:val="none"/>
          <w:lang w:val="en-US" w:eastAsia="zh-CN" w:bidi="ar-SA"/>
        </w:rPr>
        <w:t>资金投放精准性有待提升：少量科普宣传经费在投放前，对偏远区域群众知识需求、接收习惯等调研不够充分，导致宣传内容与群众实际需求衔接不够精准，资金使用效益未能完全最大化。</w:t>
      </w:r>
    </w:p>
    <w:p w14:paraId="46190309">
      <w:pPr>
        <w:pStyle w:val="10"/>
        <w:pageBreakBefore w:val="0"/>
        <w:numPr>
          <w:ilvl w:val="0"/>
          <w:numId w:val="0"/>
        </w:numPr>
        <w:tabs>
          <w:tab w:val="left" w:pos="2160"/>
        </w:tabs>
        <w:kinsoku/>
        <w:wordWrap/>
        <w:overflowPunct/>
        <w:topLinePunct w:val="0"/>
        <w:autoSpaceDE/>
        <w:autoSpaceDN/>
        <w:bidi w:val="0"/>
        <w:adjustRightInd/>
        <w:spacing w:line="600" w:lineRule="exact"/>
        <w:ind w:left="0" w:leftChars="0" w:firstLine="640" w:firstLineChars="200"/>
        <w:textAlignment w:val="auto"/>
        <w:outlineLvl w:val="0"/>
        <w:rPr>
          <w:rFonts w:hint="default" w:ascii="Times New Roman" w:hAnsi="Times New Roman" w:eastAsia="黑体" w:cs="Times New Roman"/>
          <w:color w:val="auto"/>
          <w:kern w:val="0"/>
          <w:position w:val="3"/>
          <w:sz w:val="32"/>
          <w:szCs w:val="32"/>
          <w:highlight w:val="none"/>
          <w:u w:val="none"/>
          <w:lang w:val="zh-CN" w:eastAsia="zh-CN" w:bidi="ar-SA"/>
        </w:rPr>
      </w:pPr>
      <w:r>
        <w:rPr>
          <w:rFonts w:hint="default" w:ascii="Times New Roman" w:hAnsi="Times New Roman" w:eastAsia="黑体" w:cs="Times New Roman"/>
          <w:color w:val="auto"/>
          <w:kern w:val="0"/>
          <w:position w:val="3"/>
          <w:sz w:val="32"/>
          <w:szCs w:val="32"/>
          <w:highlight w:val="none"/>
          <w:u w:val="none"/>
          <w:lang w:val="zh-CN" w:eastAsia="zh-CN" w:bidi="ar-SA"/>
        </w:rPr>
        <w:t>六、改进建议</w:t>
      </w:r>
    </w:p>
    <w:p w14:paraId="3FB5DD32">
      <w:pPr>
        <w:tabs>
          <w:tab w:val="left" w:pos="1911"/>
        </w:tabs>
        <w:jc w:val="both"/>
        <w:rPr>
          <w:rFonts w:hint="default" w:ascii="Times New Roman" w:hAnsi="Times New Roman" w:eastAsia="仿宋_GB2312" w:cs="Times New Roman"/>
          <w:b w:val="0"/>
          <w:bCs w:val="0"/>
          <w:kern w:val="0"/>
          <w:position w:val="0"/>
          <w:sz w:val="32"/>
          <w:szCs w:val="32"/>
          <w:highlight w:val="none"/>
          <w:lang w:val="en" w:eastAsia="zh-CN" w:bidi="ar-SA"/>
        </w:rPr>
      </w:pPr>
      <w:r>
        <w:rPr>
          <w:rFonts w:hint="eastAsia" w:cs="Times New Roman"/>
          <w:b w:val="0"/>
          <w:bCs w:val="0"/>
          <w:kern w:val="0"/>
          <w:position w:val="0"/>
          <w:sz w:val="32"/>
          <w:szCs w:val="32"/>
          <w:highlight w:val="none"/>
          <w:lang w:val="en-US" w:eastAsia="zh-CN" w:bidi="ar-SA"/>
        </w:rPr>
        <w:t>提升资金投放精准性：建立资金投放前的“需求精准调研”机制，通过实地走访、问卷调查等方式，全面掌握偏远区域群众知识需求和接收习惯，定制化设计宣传内容与形式，科学测算经费需求，优化资金分配方案，确保资金精准对接工作需求。</w:t>
      </w:r>
    </w:p>
    <w:p w14:paraId="6781DB10">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000000"/>
          <w:kern w:val="0"/>
          <w:szCs w:val="32"/>
          <w:highlight w:val="none"/>
          <w:shd w:val="clear" w:color="auto" w:fill="FFFFFF"/>
          <w:lang w:val="zh-CN" w:eastAsia="zh-CN"/>
        </w:rPr>
      </w:pPr>
    </w:p>
    <w:p w14:paraId="05845200">
      <w:pPr>
        <w:pStyle w:val="3"/>
        <w:rPr>
          <w:rFonts w:hint="default" w:ascii="Times New Roman" w:hAnsi="Times New Roman" w:cs="Times New Roman"/>
          <w:color w:val="000000"/>
          <w:kern w:val="0"/>
          <w:szCs w:val="32"/>
          <w:highlight w:val="none"/>
          <w:shd w:val="clear" w:color="auto" w:fill="FFFFFF"/>
          <w:lang w:val="zh-CN" w:eastAsia="zh-CN"/>
        </w:rPr>
      </w:pPr>
      <w:r>
        <w:rPr>
          <w:rFonts w:hint="default" w:ascii="Times New Roman" w:hAnsi="Times New Roman" w:cs="Times New Roman"/>
          <w:color w:val="000000"/>
          <w:kern w:val="0"/>
          <w:szCs w:val="32"/>
          <w:highlight w:val="none"/>
          <w:shd w:val="clear" w:color="auto" w:fill="FFFFFF"/>
          <w:lang w:val="zh-CN" w:eastAsia="zh-CN"/>
        </w:rPr>
        <w:br w:type="page"/>
      </w:r>
      <w:bookmarkStart w:id="38" w:name="_Toc15396619"/>
    </w:p>
    <w:p w14:paraId="40749A2B">
      <w:pPr>
        <w:pStyle w:val="3"/>
        <w:ind w:firstLine="2209" w:firstLineChars="500"/>
        <w:jc w:val="both"/>
        <w:rPr>
          <w:rFonts w:hint="default" w:ascii="仿宋" w:hAnsi="仿宋" w:eastAsia="仿宋" w:cs="仿宋"/>
          <w:b w:val="0"/>
          <w:bCs w:val="0"/>
          <w:color w:val="000000"/>
          <w:sz w:val="44"/>
          <w:szCs w:val="44"/>
          <w:lang w:val="zh-CN" w:eastAsia="zh-CN"/>
        </w:rPr>
      </w:pPr>
      <w:r>
        <w:rPr>
          <w:rFonts w:hint="eastAsia" w:ascii="仿宋" w:hAnsi="仿宋" w:eastAsia="仿宋" w:cs="仿宋"/>
          <w:b/>
          <w:bCs/>
          <w:color w:val="000000"/>
          <w:sz w:val="44"/>
          <w:szCs w:val="44"/>
          <w:lang w:val="zh-CN" w:eastAsia="zh-CN"/>
        </w:rPr>
        <w:t>第五部分</w:t>
      </w:r>
      <w:r>
        <w:rPr>
          <w:rFonts w:hint="eastAsia" w:ascii="仿宋" w:hAnsi="仿宋" w:eastAsia="仿宋" w:cs="仿宋"/>
          <w:b/>
          <w:bCs/>
          <w:color w:val="000000"/>
          <w:sz w:val="44"/>
          <w:szCs w:val="44"/>
          <w:lang w:val="en-US" w:eastAsia="zh-CN"/>
        </w:rPr>
        <w:t xml:space="preserve"> </w:t>
      </w:r>
      <w:r>
        <w:rPr>
          <w:rFonts w:hint="eastAsia" w:ascii="仿宋" w:hAnsi="仿宋" w:eastAsia="仿宋" w:cs="仿宋"/>
          <w:b/>
          <w:bCs/>
          <w:color w:val="000000"/>
          <w:sz w:val="44"/>
          <w:szCs w:val="44"/>
          <w:lang w:val="zh-CN" w:eastAsia="zh-CN"/>
        </w:rPr>
        <w:t>附表</w:t>
      </w:r>
    </w:p>
    <w:p w14:paraId="3C72E5E1">
      <w:pPr>
        <w:pStyle w:val="3"/>
        <w:rPr>
          <w:rFonts w:ascii="仿宋" w:hAnsi="仿宋" w:eastAsia="仿宋" w:cs="Times New Roman"/>
          <w:color w:val="000000"/>
        </w:rPr>
      </w:pPr>
      <w:r>
        <w:rPr>
          <w:rFonts w:hint="eastAsia" w:ascii="仿宋" w:hAnsi="仿宋" w:eastAsia="仿宋" w:cs="仿宋"/>
          <w:b w:val="0"/>
          <w:bCs w:val="0"/>
          <w:color w:val="000000"/>
        </w:rPr>
        <w:t>一、收</w:t>
      </w:r>
      <w:r>
        <w:rPr>
          <w:rStyle w:val="43"/>
          <w:rFonts w:hint="eastAsia" w:ascii="仿宋" w:hAnsi="仿宋" w:eastAsia="仿宋" w:cs="仿宋"/>
          <w:b w:val="0"/>
          <w:bCs w:val="0"/>
        </w:rPr>
        <w:t>入支出决算总表</w:t>
      </w:r>
      <w:bookmarkEnd w:id="38"/>
    </w:p>
    <w:p w14:paraId="10BBB651">
      <w:pPr>
        <w:pStyle w:val="3"/>
        <w:rPr>
          <w:rFonts w:ascii="仿宋" w:hAnsi="仿宋" w:eastAsia="仿宋" w:cs="Times New Roman"/>
          <w:color w:val="000000"/>
        </w:rPr>
      </w:pPr>
      <w:bookmarkStart w:id="39" w:name="_Toc15396620"/>
      <w:r>
        <w:rPr>
          <w:rFonts w:hint="eastAsia" w:ascii="仿宋" w:hAnsi="仿宋" w:eastAsia="仿宋" w:cs="仿宋"/>
          <w:b w:val="0"/>
          <w:bCs w:val="0"/>
          <w:color w:val="000000"/>
        </w:rPr>
        <w:t>二、收</w:t>
      </w:r>
      <w:r>
        <w:rPr>
          <w:rStyle w:val="43"/>
          <w:rFonts w:hint="eastAsia" w:ascii="仿宋" w:hAnsi="仿宋" w:eastAsia="仿宋" w:cs="仿宋"/>
          <w:b w:val="0"/>
          <w:bCs w:val="0"/>
        </w:rPr>
        <w:t>入</w:t>
      </w:r>
      <w:r>
        <w:rPr>
          <w:rStyle w:val="43"/>
          <w:rFonts w:hint="eastAsia" w:ascii="仿宋" w:hAnsi="仿宋" w:eastAsia="仿宋" w:cs="仿宋"/>
          <w:b w:val="0"/>
          <w:bCs w:val="0"/>
          <w:lang w:eastAsia="zh-CN"/>
        </w:rPr>
        <w:t>决算</w:t>
      </w:r>
      <w:r>
        <w:rPr>
          <w:rStyle w:val="43"/>
          <w:rFonts w:hint="eastAsia" w:ascii="仿宋" w:hAnsi="仿宋" w:eastAsia="仿宋" w:cs="仿宋"/>
          <w:b w:val="0"/>
          <w:bCs w:val="0"/>
        </w:rPr>
        <w:t>表</w:t>
      </w:r>
      <w:bookmarkEnd w:id="39"/>
    </w:p>
    <w:p w14:paraId="2AFC8BD2">
      <w:pPr>
        <w:pStyle w:val="3"/>
        <w:rPr>
          <w:rFonts w:ascii="仿宋" w:hAnsi="仿宋" w:eastAsia="仿宋" w:cs="Times New Roman"/>
          <w:color w:val="000000"/>
        </w:rPr>
      </w:pPr>
      <w:bookmarkStart w:id="40" w:name="_Toc15396621"/>
      <w:r>
        <w:rPr>
          <w:rStyle w:val="43"/>
          <w:rFonts w:hint="eastAsia" w:ascii="仿宋" w:hAnsi="仿宋" w:eastAsia="仿宋" w:cs="仿宋"/>
          <w:b w:val="0"/>
          <w:bCs w:val="0"/>
        </w:rPr>
        <w:t>三、</w:t>
      </w:r>
      <w:r>
        <w:rPr>
          <w:rFonts w:hint="eastAsia" w:ascii="仿宋" w:hAnsi="仿宋" w:eastAsia="仿宋" w:cs="仿宋"/>
          <w:b w:val="0"/>
          <w:bCs w:val="0"/>
          <w:color w:val="000000"/>
        </w:rPr>
        <w:t>支</w:t>
      </w:r>
      <w:r>
        <w:rPr>
          <w:rStyle w:val="43"/>
          <w:rFonts w:hint="eastAsia" w:ascii="仿宋" w:hAnsi="仿宋" w:eastAsia="仿宋" w:cs="仿宋"/>
          <w:b w:val="0"/>
          <w:bCs w:val="0"/>
        </w:rPr>
        <w:t>出</w:t>
      </w:r>
      <w:r>
        <w:rPr>
          <w:rStyle w:val="43"/>
          <w:rFonts w:hint="eastAsia" w:ascii="仿宋" w:hAnsi="仿宋" w:eastAsia="仿宋" w:cs="仿宋"/>
          <w:b w:val="0"/>
          <w:bCs w:val="0"/>
          <w:lang w:eastAsia="zh-CN"/>
        </w:rPr>
        <w:t>决算</w:t>
      </w:r>
      <w:r>
        <w:rPr>
          <w:rStyle w:val="43"/>
          <w:rFonts w:hint="eastAsia" w:ascii="仿宋" w:hAnsi="仿宋" w:eastAsia="仿宋" w:cs="仿宋"/>
          <w:b w:val="0"/>
          <w:bCs w:val="0"/>
        </w:rPr>
        <w:t>表</w:t>
      </w:r>
      <w:bookmarkEnd w:id="40"/>
    </w:p>
    <w:p w14:paraId="458E258D">
      <w:pPr>
        <w:pStyle w:val="3"/>
        <w:rPr>
          <w:rFonts w:ascii="仿宋" w:hAnsi="仿宋" w:eastAsia="仿宋" w:cs="Times New Roman"/>
          <w:b w:val="0"/>
          <w:bCs w:val="0"/>
          <w:color w:val="000000"/>
        </w:rPr>
      </w:pPr>
      <w:bookmarkStart w:id="41" w:name="_Toc15396622"/>
      <w:r>
        <w:rPr>
          <w:rStyle w:val="43"/>
          <w:rFonts w:hint="eastAsia" w:ascii="仿宋" w:hAnsi="仿宋" w:eastAsia="仿宋" w:cs="仿宋"/>
          <w:b w:val="0"/>
          <w:bCs w:val="0"/>
        </w:rPr>
        <w:t>四、</w:t>
      </w:r>
      <w:r>
        <w:rPr>
          <w:rFonts w:hint="eastAsia" w:ascii="仿宋" w:hAnsi="仿宋" w:eastAsia="仿宋" w:cs="仿宋"/>
          <w:b w:val="0"/>
          <w:bCs w:val="0"/>
          <w:color w:val="000000"/>
        </w:rPr>
        <w:t>财</w:t>
      </w:r>
      <w:r>
        <w:rPr>
          <w:rStyle w:val="43"/>
          <w:rFonts w:hint="eastAsia" w:ascii="仿宋" w:hAnsi="仿宋" w:eastAsia="仿宋" w:cs="仿宋"/>
          <w:b w:val="0"/>
          <w:bCs w:val="0"/>
        </w:rPr>
        <w:t>政拨款收入支出决算总表</w:t>
      </w:r>
      <w:bookmarkEnd w:id="41"/>
    </w:p>
    <w:p w14:paraId="6C00B2A2">
      <w:pPr>
        <w:pStyle w:val="3"/>
        <w:rPr>
          <w:rFonts w:ascii="仿宋" w:hAnsi="仿宋" w:eastAsia="仿宋" w:cs="Times New Roman"/>
          <w:color w:val="000000"/>
        </w:rPr>
      </w:pPr>
      <w:bookmarkStart w:id="42" w:name="_Toc15396623"/>
      <w:r>
        <w:rPr>
          <w:rStyle w:val="43"/>
          <w:rFonts w:hint="eastAsia" w:ascii="仿宋" w:hAnsi="仿宋" w:eastAsia="仿宋" w:cs="仿宋"/>
          <w:b w:val="0"/>
          <w:bCs w:val="0"/>
        </w:rPr>
        <w:t>五、</w:t>
      </w:r>
      <w:r>
        <w:rPr>
          <w:rFonts w:hint="eastAsia" w:ascii="仿宋" w:hAnsi="仿宋" w:eastAsia="仿宋" w:cs="仿宋"/>
          <w:b w:val="0"/>
          <w:bCs w:val="0"/>
          <w:color w:val="000000"/>
        </w:rPr>
        <w:t>财</w:t>
      </w:r>
      <w:r>
        <w:rPr>
          <w:rStyle w:val="43"/>
          <w:rFonts w:hint="eastAsia" w:ascii="仿宋" w:hAnsi="仿宋" w:eastAsia="仿宋" w:cs="仿宋"/>
          <w:b w:val="0"/>
          <w:bCs w:val="0"/>
        </w:rPr>
        <w:t>政拨款支出决算明细表</w:t>
      </w:r>
      <w:bookmarkEnd w:id="42"/>
    </w:p>
    <w:p w14:paraId="2CD48AFA">
      <w:pPr>
        <w:pStyle w:val="3"/>
        <w:rPr>
          <w:rFonts w:ascii="仿宋" w:hAnsi="仿宋" w:eastAsia="仿宋" w:cs="Times New Roman"/>
          <w:color w:val="000000"/>
        </w:rPr>
      </w:pPr>
      <w:bookmarkStart w:id="43" w:name="_Toc15396624"/>
      <w:r>
        <w:rPr>
          <w:rStyle w:val="43"/>
          <w:rFonts w:hint="eastAsia" w:ascii="仿宋" w:hAnsi="仿宋" w:eastAsia="仿宋" w:cs="仿宋"/>
          <w:b w:val="0"/>
          <w:bCs w:val="0"/>
        </w:rPr>
        <w:t>六、</w:t>
      </w:r>
      <w:r>
        <w:rPr>
          <w:rFonts w:hint="eastAsia" w:ascii="仿宋" w:hAnsi="仿宋" w:eastAsia="仿宋" w:cs="仿宋"/>
          <w:b w:val="0"/>
          <w:bCs w:val="0"/>
          <w:color w:val="000000"/>
        </w:rPr>
        <w:t>一</w:t>
      </w:r>
      <w:r>
        <w:rPr>
          <w:rStyle w:val="43"/>
          <w:rFonts w:hint="eastAsia" w:ascii="仿宋" w:hAnsi="仿宋" w:eastAsia="仿宋" w:cs="仿宋"/>
          <w:b w:val="0"/>
          <w:bCs w:val="0"/>
        </w:rPr>
        <w:t>般公共预算财政拨款支出决算表</w:t>
      </w:r>
      <w:bookmarkEnd w:id="43"/>
    </w:p>
    <w:p w14:paraId="53607390">
      <w:pPr>
        <w:pStyle w:val="3"/>
        <w:rPr>
          <w:rFonts w:ascii="仿宋" w:hAnsi="仿宋" w:eastAsia="仿宋" w:cs="Times New Roman"/>
          <w:color w:val="000000"/>
        </w:rPr>
      </w:pPr>
      <w:bookmarkStart w:id="44" w:name="_Toc15396625"/>
      <w:r>
        <w:rPr>
          <w:rStyle w:val="43"/>
          <w:rFonts w:hint="eastAsia" w:ascii="仿宋" w:hAnsi="仿宋" w:eastAsia="仿宋" w:cs="仿宋"/>
          <w:b w:val="0"/>
          <w:bCs w:val="0"/>
        </w:rPr>
        <w:t>七、</w:t>
      </w:r>
      <w:r>
        <w:rPr>
          <w:rFonts w:hint="eastAsia" w:ascii="仿宋" w:hAnsi="仿宋" w:eastAsia="仿宋" w:cs="仿宋"/>
          <w:b w:val="0"/>
          <w:bCs w:val="0"/>
          <w:color w:val="000000"/>
        </w:rPr>
        <w:t>一</w:t>
      </w:r>
      <w:r>
        <w:rPr>
          <w:rStyle w:val="43"/>
          <w:rFonts w:hint="eastAsia" w:ascii="仿宋" w:hAnsi="仿宋" w:eastAsia="仿宋" w:cs="仿宋"/>
          <w:b w:val="0"/>
          <w:bCs w:val="0"/>
        </w:rPr>
        <w:t>般公共预算财政拨款支出决算明细表</w:t>
      </w:r>
      <w:bookmarkEnd w:id="44"/>
    </w:p>
    <w:p w14:paraId="0E03C00A">
      <w:pPr>
        <w:pStyle w:val="3"/>
        <w:rPr>
          <w:rFonts w:ascii="仿宋" w:hAnsi="仿宋" w:eastAsia="仿宋" w:cs="Times New Roman"/>
          <w:color w:val="000000"/>
        </w:rPr>
      </w:pPr>
      <w:bookmarkStart w:id="45" w:name="_Toc15396626"/>
      <w:r>
        <w:rPr>
          <w:rStyle w:val="43"/>
          <w:rFonts w:hint="eastAsia" w:ascii="仿宋" w:hAnsi="仿宋" w:eastAsia="仿宋" w:cs="仿宋"/>
          <w:b w:val="0"/>
          <w:bCs w:val="0"/>
        </w:rPr>
        <w:t>八、</w:t>
      </w:r>
      <w:r>
        <w:rPr>
          <w:rFonts w:hint="eastAsia" w:ascii="仿宋" w:hAnsi="仿宋" w:eastAsia="仿宋" w:cs="仿宋"/>
          <w:b w:val="0"/>
          <w:bCs w:val="0"/>
          <w:color w:val="000000"/>
        </w:rPr>
        <w:t>一</w:t>
      </w:r>
      <w:r>
        <w:rPr>
          <w:rStyle w:val="43"/>
          <w:rFonts w:hint="eastAsia" w:ascii="仿宋" w:hAnsi="仿宋" w:eastAsia="仿宋" w:cs="仿宋"/>
          <w:b w:val="0"/>
          <w:bCs w:val="0"/>
        </w:rPr>
        <w:t>般公共预算财政拨款基本支出决算表</w:t>
      </w:r>
      <w:bookmarkEnd w:id="45"/>
    </w:p>
    <w:p w14:paraId="4956CFC7">
      <w:pPr>
        <w:pStyle w:val="3"/>
        <w:rPr>
          <w:rFonts w:ascii="仿宋" w:hAnsi="仿宋" w:eastAsia="仿宋" w:cs="Times New Roman"/>
          <w:color w:val="000000"/>
        </w:rPr>
      </w:pPr>
      <w:bookmarkStart w:id="46" w:name="_Toc15396627"/>
      <w:r>
        <w:rPr>
          <w:rStyle w:val="43"/>
          <w:rFonts w:hint="eastAsia" w:ascii="仿宋" w:hAnsi="仿宋" w:eastAsia="仿宋" w:cs="仿宋"/>
          <w:b w:val="0"/>
          <w:bCs w:val="0"/>
        </w:rPr>
        <w:t>九、</w:t>
      </w:r>
      <w:r>
        <w:rPr>
          <w:rFonts w:hint="eastAsia" w:ascii="仿宋" w:hAnsi="仿宋" w:eastAsia="仿宋" w:cs="仿宋"/>
          <w:b w:val="0"/>
          <w:bCs w:val="0"/>
          <w:color w:val="000000"/>
        </w:rPr>
        <w:t>一</w:t>
      </w:r>
      <w:r>
        <w:rPr>
          <w:rStyle w:val="43"/>
          <w:rFonts w:hint="eastAsia" w:ascii="仿宋" w:hAnsi="仿宋" w:eastAsia="仿宋" w:cs="仿宋"/>
          <w:b w:val="0"/>
          <w:bCs w:val="0"/>
        </w:rPr>
        <w:t>般公共预算财政拨款项目支出决算表</w:t>
      </w:r>
      <w:bookmarkEnd w:id="46"/>
    </w:p>
    <w:p w14:paraId="2DEB2BB7">
      <w:pPr>
        <w:pStyle w:val="3"/>
        <w:rPr>
          <w:rFonts w:hint="eastAsia" w:ascii="仿宋" w:hAnsi="仿宋" w:eastAsia="仿宋" w:cs="Times New Roman"/>
          <w:color w:val="000000"/>
          <w:lang w:eastAsia="zh-CN"/>
        </w:rPr>
      </w:pPr>
      <w:bookmarkStart w:id="47" w:name="_Toc15396628"/>
      <w:r>
        <w:rPr>
          <w:rStyle w:val="43"/>
          <w:rFonts w:hint="eastAsia" w:ascii="仿宋" w:hAnsi="仿宋" w:eastAsia="仿宋" w:cs="仿宋"/>
          <w:b w:val="0"/>
          <w:bCs w:val="0"/>
        </w:rPr>
        <w:t>十、</w:t>
      </w:r>
      <w:bookmarkEnd w:id="47"/>
      <w:r>
        <w:rPr>
          <w:rFonts w:hint="eastAsia" w:ascii="仿宋" w:hAnsi="仿宋" w:eastAsia="仿宋" w:cs="仿宋"/>
          <w:b w:val="0"/>
          <w:bCs w:val="0"/>
          <w:color w:val="000000"/>
          <w:lang w:eastAsia="zh-CN"/>
        </w:rPr>
        <w:t>政府性基金预算财政拨款收入支出决算表</w:t>
      </w:r>
    </w:p>
    <w:p w14:paraId="4AC3AB40">
      <w:pPr>
        <w:pStyle w:val="3"/>
        <w:rPr>
          <w:rFonts w:hint="eastAsia" w:ascii="仿宋" w:hAnsi="仿宋" w:eastAsia="仿宋" w:cs="Times New Roman"/>
          <w:color w:val="000000"/>
          <w:lang w:eastAsia="zh-CN"/>
        </w:rPr>
      </w:pPr>
      <w:bookmarkStart w:id="48" w:name="_Toc15396629"/>
      <w:r>
        <w:rPr>
          <w:rStyle w:val="43"/>
          <w:rFonts w:hint="eastAsia" w:ascii="仿宋" w:hAnsi="仿宋" w:eastAsia="仿宋" w:cs="仿宋"/>
          <w:b w:val="0"/>
          <w:bCs w:val="0"/>
        </w:rPr>
        <w:t>十一、</w:t>
      </w:r>
      <w:bookmarkEnd w:id="48"/>
      <w:r>
        <w:rPr>
          <w:rFonts w:hint="eastAsia" w:ascii="仿宋" w:hAnsi="仿宋" w:eastAsia="仿宋" w:cs="仿宋"/>
          <w:b w:val="0"/>
          <w:bCs w:val="0"/>
          <w:color w:val="000000"/>
          <w:lang w:eastAsia="zh-CN"/>
        </w:rPr>
        <w:t>国有资本经营预算财政拨款收入支出决算表</w:t>
      </w:r>
    </w:p>
    <w:p w14:paraId="6EDF9BDE">
      <w:pPr>
        <w:pStyle w:val="3"/>
        <w:rPr>
          <w:rFonts w:hint="eastAsia" w:ascii="仿宋" w:hAnsi="仿宋" w:eastAsia="仿宋" w:cs="Times New Roman"/>
          <w:color w:val="000000"/>
          <w:lang w:eastAsia="zh-CN"/>
        </w:rPr>
      </w:pPr>
      <w:bookmarkStart w:id="49" w:name="_Toc15396630"/>
      <w:r>
        <w:rPr>
          <w:rStyle w:val="43"/>
          <w:rFonts w:hint="eastAsia" w:ascii="仿宋" w:hAnsi="仿宋" w:eastAsia="仿宋" w:cs="仿宋"/>
          <w:b w:val="0"/>
          <w:bCs w:val="0"/>
        </w:rPr>
        <w:t>十二、</w:t>
      </w:r>
      <w:bookmarkEnd w:id="49"/>
      <w:r>
        <w:rPr>
          <w:rFonts w:hint="eastAsia" w:ascii="仿宋" w:hAnsi="仿宋" w:eastAsia="仿宋" w:cs="仿宋"/>
          <w:b w:val="0"/>
          <w:bCs w:val="0"/>
          <w:color w:val="000000"/>
          <w:lang w:eastAsia="zh-CN"/>
        </w:rPr>
        <w:t>国有资本经营预算财政拨款支出决算表</w:t>
      </w:r>
    </w:p>
    <w:p w14:paraId="488FEA0B">
      <w:pPr>
        <w:pStyle w:val="3"/>
        <w:rPr>
          <w:rStyle w:val="43"/>
          <w:rFonts w:hint="eastAsia" w:ascii="仿宋" w:hAnsi="仿宋" w:eastAsia="仿宋" w:cs="仿宋"/>
          <w:b w:val="0"/>
          <w:bCs w:val="0"/>
          <w:lang w:eastAsia="zh-CN"/>
        </w:rPr>
      </w:pPr>
      <w:bookmarkStart w:id="50" w:name="_Toc15396631"/>
      <w:r>
        <w:rPr>
          <w:rStyle w:val="43"/>
          <w:rFonts w:hint="eastAsia" w:ascii="仿宋" w:hAnsi="仿宋" w:eastAsia="仿宋" w:cs="仿宋"/>
          <w:b w:val="0"/>
          <w:bCs w:val="0"/>
        </w:rPr>
        <w:t>十三、</w:t>
      </w:r>
      <w:bookmarkEnd w:id="50"/>
      <w:r>
        <w:rPr>
          <w:rFonts w:hint="eastAsia" w:ascii="仿宋" w:hAnsi="仿宋" w:eastAsia="仿宋" w:cs="仿宋"/>
          <w:b w:val="0"/>
          <w:bCs w:val="0"/>
          <w:color w:val="000000"/>
          <w:lang w:eastAsia="zh-CN"/>
        </w:rPr>
        <w:t>财政拨款“三公”经费支出决算表</w:t>
      </w:r>
    </w:p>
    <w:p w14:paraId="3729606A">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contextualSpacing/>
        <w:jc w:val="left"/>
        <w:textAlignment w:val="auto"/>
        <w:outlineLvl w:val="9"/>
        <w:rPr>
          <w:rFonts w:hint="eastAsia" w:ascii="Times New Roman" w:hAnsi="Times New Roman" w:eastAsia="黑体" w:cs="黑体"/>
          <w:b w:val="0"/>
          <w:bCs w:val="0"/>
          <w:kern w:val="0"/>
          <w:position w:val="0"/>
          <w:sz w:val="32"/>
          <w:szCs w:val="32"/>
          <w:highlight w:val="none"/>
          <w:lang w:val="en-US" w:eastAsia="zh-CN" w:bidi="ar-SA"/>
        </w:rPr>
      </w:pPr>
    </w:p>
    <w:sectPr>
      <w:footerReference r:id="rId9" w:type="default"/>
      <w:pgSz w:w="11906" w:h="16838"/>
      <w:pgMar w:top="1440" w:right="1797" w:bottom="1440" w:left="1797" w:header="851" w:footer="992" w:gutter="0"/>
      <w:pgNumType w:fmt="numberInDash"/>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decorative"/>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5E311B5-DC9E-49D0-889B-03E19DA2E6CA}"/>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6D461CB1-BD19-4857-9B98-AAB1A0DAC2AD}"/>
  </w:font>
  <w:font w:name="仿宋_GB2312">
    <w:panose1 w:val="02010609030101010101"/>
    <w:charset w:val="86"/>
    <w:family w:val="modern"/>
    <w:pitch w:val="default"/>
    <w:sig w:usb0="00000001" w:usb1="080E0000" w:usb2="00000000" w:usb3="00000000" w:csb0="00040000" w:csb1="00000000"/>
    <w:embedRegular r:id="rId3" w:fontKey="{AF55C76B-5245-4897-8B3E-99B6D1DB5D19}"/>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embedRegular r:id="rId4" w:fontKey="{7E856828-1B12-48B6-9908-81CA60D3010D}"/>
  </w:font>
  <w:font w:name="仿宋">
    <w:panose1 w:val="02010609060101010101"/>
    <w:charset w:val="86"/>
    <w:family w:val="auto"/>
    <w:pitch w:val="default"/>
    <w:sig w:usb0="800002BF" w:usb1="38CF7CFA" w:usb2="00000016" w:usb3="00000000" w:csb0="00040001" w:csb1="00000000"/>
    <w:embedRegular r:id="rId5" w:fontKey="{828BF46C-2234-4A24-B172-7AA0E216B03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Wingdings 2">
    <w:panose1 w:val="05020102010507070707"/>
    <w:charset w:val="00"/>
    <w:family w:val="auto"/>
    <w:pitch w:val="default"/>
    <w:sig w:usb0="00000000" w:usb1="00000000" w:usb2="00000000" w:usb3="00000000" w:csb0="80000000" w:csb1="00000000"/>
  </w:font>
  <w:font w:name="方正仿宋简体">
    <w:altName w:val="Arial Unicode MS"/>
    <w:panose1 w:val="03000509000000000000"/>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等线">
    <w:altName w:val="微软雅黑"/>
    <w:panose1 w:val="02010600030101010101"/>
    <w:charset w:val="86"/>
    <w:family w:val="auto"/>
    <w:pitch w:val="default"/>
    <w:sig w:usb0="00000000" w:usb1="00000000" w:usb2="00000016" w:usb3="00000000" w:csb0="0004000F" w:csb1="00000000"/>
    <w:embedRegular r:id="rId6" w:fontKey="{166B5595-60A8-447C-AFF1-BE6D09D05A1B}"/>
  </w:font>
  <w:font w:name="微软雅黑">
    <w:panose1 w:val="020B0503020204020204"/>
    <w:charset w:val="86"/>
    <w:family w:val="auto"/>
    <w:pitch w:val="default"/>
    <w:sig w:usb0="80000287" w:usb1="280F3C52" w:usb2="00000016" w:usb3="00000000" w:csb0="0004001F" w:csb1="00000000"/>
  </w:font>
  <w:font w:name="??_GB2312">
    <w:altName w:val="Times New Roman"/>
    <w:panose1 w:val="00000000000000000000"/>
    <w:charset w:val="00"/>
    <w:family w:val="auto"/>
    <w:pitch w:val="default"/>
    <w:sig w:usb0="00000000" w:usb1="00000000" w:usb2="00000000" w:usb3="00000000" w:csb0="00000001" w:csb1="00000000"/>
  </w:font>
  <w:font w:name="Times New Roman Regular">
    <w:altName w:val="Times New Roman"/>
    <w:panose1 w:val="02020503050405090304"/>
    <w:charset w:val="00"/>
    <w:family w:val="auto"/>
    <w:pitch w:val="default"/>
    <w:sig w:usb0="00000000" w:usb1="00000000" w:usb2="00000001" w:usb3="00000000" w:csb0="400001BF" w:csb1="DFF70000"/>
    <w:embedRegular r:id="rId7" w:fontKey="{F6672EF2-3147-4C2C-8818-5200F586FDC8}"/>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CC7512">
    <w:pPr>
      <w:pStyle w:val="1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0C35369">
                          <w:pPr>
                            <w:pStyle w:val="14"/>
                            <w:ind w:right="451" w:rightChars="141"/>
                            <w:jc w:val="right"/>
                            <w:rPr>
                              <w:rFonts w:hint="eastAsia"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3 -</w:t>
                          </w:r>
                          <w:r>
                            <w:rPr>
                              <w:rFonts w:ascii="宋体" w:hAnsi="宋体"/>
                              <w:sz w:val="28"/>
                              <w:szCs w:val="28"/>
                            </w:rPr>
                            <w:fldChar w:fldCharType="end"/>
                          </w:r>
                        </w:p>
                        <w:p w14:paraId="268F35B5"/>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50C35369">
                    <w:pPr>
                      <w:pStyle w:val="14"/>
                      <w:ind w:right="451" w:rightChars="141"/>
                      <w:jc w:val="right"/>
                      <w:rPr>
                        <w:rFonts w:hint="eastAsia"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3 -</w:t>
                    </w:r>
                    <w:r>
                      <w:rPr>
                        <w:rFonts w:ascii="宋体" w:hAnsi="宋体"/>
                        <w:sz w:val="28"/>
                        <w:szCs w:val="28"/>
                      </w:rPr>
                      <w:fldChar w:fldCharType="end"/>
                    </w:r>
                  </w:p>
                  <w:p w14:paraId="268F35B5"/>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23309A">
    <w:pPr>
      <w:pStyle w:val="1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9EE972">
                          <w:pPr>
                            <w:pStyle w:val="14"/>
                            <w:ind w:right="451" w:rightChars="141"/>
                            <w:jc w:val="right"/>
                            <w:rPr>
                              <w:rFonts w:hint="eastAsia"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3 -</w:t>
                          </w:r>
                          <w:r>
                            <w:rPr>
                              <w:rFonts w:ascii="宋体" w:hAnsi="宋体"/>
                              <w:sz w:val="28"/>
                              <w:szCs w:val="28"/>
                            </w:rPr>
                            <w:fldChar w:fldCharType="end"/>
                          </w:r>
                        </w:p>
                        <w:p w14:paraId="1389C97D"/>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19EE972">
                    <w:pPr>
                      <w:pStyle w:val="14"/>
                      <w:ind w:right="451" w:rightChars="141"/>
                      <w:jc w:val="right"/>
                      <w:rPr>
                        <w:rFonts w:hint="eastAsia"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3 -</w:t>
                    </w:r>
                    <w:r>
                      <w:rPr>
                        <w:rFonts w:ascii="宋体" w:hAnsi="宋体"/>
                        <w:sz w:val="28"/>
                        <w:szCs w:val="28"/>
                      </w:rPr>
                      <w:fldChar w:fldCharType="end"/>
                    </w:r>
                  </w:p>
                  <w:p w14:paraId="1389C97D"/>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91C7D0">
    <w:pPr>
      <w:pStyle w:val="14"/>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978DFA0">
                          <w:pPr>
                            <w:pStyle w:val="14"/>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A0c4AgAAb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g7W1fuq&#10;e4AptCxs9NbymCZK5e3yECBtUjwK1KmCTsUD5jD17LIzcdD/PKeop/+JxS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z8DRzgCAABvBAAADgAAAAAAAAABACAAAAAfAQAAZHJzL2Uyb0RvYy54&#10;bWxQSwUGAAAAAAYABgBZAQAAyQUAAAAA&#10;">
              <v:fill on="f" focussize="0,0"/>
              <v:stroke on="f" weight="0.5pt"/>
              <v:imagedata o:title=""/>
              <o:lock v:ext="edit" aspectratio="f"/>
              <v:textbox inset="0mm,0mm,0mm,0mm" style="mso-fit-shape-to-text:t;">
                <w:txbxContent>
                  <w:p w14:paraId="3978DFA0">
                    <w:pPr>
                      <w:pStyle w:val="14"/>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A8E99A">
    <w:pPr>
      <w:pStyle w:val="1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AE3622">
    <w:pPr>
      <w:pStyle w:val="1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rPr>
        <w:rFonts w:hint="eastAsia"/>
      </w:rPr>
    </w:lvl>
  </w:abstractNum>
  <w:abstractNum w:abstractNumId="1">
    <w:nsid w:val="E2FA047D"/>
    <w:multiLevelType w:val="singleLevel"/>
    <w:tmpl w:val="E2FA047D"/>
    <w:lvl w:ilvl="0" w:tentative="0">
      <w:start w:val="3"/>
      <w:numFmt w:val="chineseCounting"/>
      <w:suff w:val="space"/>
      <w:lvlText w:val="第%1部分"/>
      <w:lvlJc w:val="left"/>
      <w:rPr>
        <w:rFonts w:hint="eastAsia"/>
      </w:rPr>
    </w:lvl>
  </w:abstractNum>
  <w:abstractNum w:abstractNumId="2">
    <w:nsid w:val="056176F4"/>
    <w:multiLevelType w:val="singleLevel"/>
    <w:tmpl w:val="056176F4"/>
    <w:lvl w:ilvl="0" w:tentative="0">
      <w:start w:val="4"/>
      <w:numFmt w:val="chineseCounting"/>
      <w:suff w:val="nothing"/>
      <w:lvlText w:val="（%1）"/>
      <w:lvlJc w:val="left"/>
      <w:rPr>
        <w:rFonts w:hint="eastAsia"/>
      </w:rPr>
    </w:lvl>
  </w:abstractNum>
  <w:abstractNum w:abstractNumId="3">
    <w:nsid w:val="5E1DCDF4"/>
    <w:multiLevelType w:val="singleLevel"/>
    <w:tmpl w:val="5E1DCDF4"/>
    <w:lvl w:ilvl="0" w:tentative="0">
      <w:start w:val="1"/>
      <w:numFmt w:val="chineseCounting"/>
      <w:suff w:val="nothing"/>
      <w:lvlText w:val="%1、"/>
      <w:lvlJc w:val="left"/>
      <w:rPr>
        <w:rFonts w:hint="eastAsia"/>
      </w:rPr>
    </w:lvl>
  </w:abstractNum>
  <w:abstractNum w:abstractNumId="4">
    <w:nsid w:val="6B1B1BDF"/>
    <w:multiLevelType w:val="singleLevel"/>
    <w:tmpl w:val="6B1B1BDF"/>
    <w:lvl w:ilvl="0" w:tentative="0">
      <w:start w:val="1"/>
      <w:numFmt w:val="chineseCounting"/>
      <w:suff w:val="space"/>
      <w:lvlText w:val="第%1部分"/>
      <w:lvlJc w:val="left"/>
      <w:rPr>
        <w:rFonts w:hint="eastAsia"/>
      </w:rPr>
    </w:lvl>
  </w:abstractNum>
  <w:num w:numId="1">
    <w:abstractNumId w:val="4"/>
  </w:num>
  <w:num w:numId="2">
    <w:abstractNumId w:val="3"/>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HorizontalSpacing w:val="160"/>
  <w:drawingGridVerticalSpacing w:val="435"/>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5MWMxZWRjNWIzMTcyMzIyZWVhNTkxMzg0YmRmNWMifQ=="/>
  </w:docVars>
  <w:rsids>
    <w:rsidRoot w:val="00EC0174"/>
    <w:rsid w:val="00006E4D"/>
    <w:rsid w:val="00021652"/>
    <w:rsid w:val="00030311"/>
    <w:rsid w:val="00030782"/>
    <w:rsid w:val="00030B66"/>
    <w:rsid w:val="0006102A"/>
    <w:rsid w:val="00065B0F"/>
    <w:rsid w:val="00065E7E"/>
    <w:rsid w:val="000820BB"/>
    <w:rsid w:val="0008241B"/>
    <w:rsid w:val="00092280"/>
    <w:rsid w:val="00097FAE"/>
    <w:rsid w:val="000A3233"/>
    <w:rsid w:val="000A7CE3"/>
    <w:rsid w:val="000B04D6"/>
    <w:rsid w:val="000B15CE"/>
    <w:rsid w:val="000C40C6"/>
    <w:rsid w:val="000C79C1"/>
    <w:rsid w:val="000D208A"/>
    <w:rsid w:val="000E037E"/>
    <w:rsid w:val="000F659A"/>
    <w:rsid w:val="000F77B0"/>
    <w:rsid w:val="0010235D"/>
    <w:rsid w:val="00103A47"/>
    <w:rsid w:val="00106D4D"/>
    <w:rsid w:val="001119A2"/>
    <w:rsid w:val="001221D6"/>
    <w:rsid w:val="0012510A"/>
    <w:rsid w:val="00125F67"/>
    <w:rsid w:val="001261AE"/>
    <w:rsid w:val="001348A4"/>
    <w:rsid w:val="0014117C"/>
    <w:rsid w:val="00146FE8"/>
    <w:rsid w:val="0014767B"/>
    <w:rsid w:val="00147AED"/>
    <w:rsid w:val="00177AAF"/>
    <w:rsid w:val="00183850"/>
    <w:rsid w:val="00184D9F"/>
    <w:rsid w:val="001A4749"/>
    <w:rsid w:val="001A4842"/>
    <w:rsid w:val="001A5833"/>
    <w:rsid w:val="001C2158"/>
    <w:rsid w:val="001C51F2"/>
    <w:rsid w:val="001C73AB"/>
    <w:rsid w:val="001D2EA4"/>
    <w:rsid w:val="001F47CE"/>
    <w:rsid w:val="001F5776"/>
    <w:rsid w:val="0020620D"/>
    <w:rsid w:val="002069BC"/>
    <w:rsid w:val="002069EB"/>
    <w:rsid w:val="002201B0"/>
    <w:rsid w:val="00220900"/>
    <w:rsid w:val="0022307E"/>
    <w:rsid w:val="00224D05"/>
    <w:rsid w:val="002323A3"/>
    <w:rsid w:val="00236EF7"/>
    <w:rsid w:val="0024058A"/>
    <w:rsid w:val="002410C0"/>
    <w:rsid w:val="00252894"/>
    <w:rsid w:val="00253FA6"/>
    <w:rsid w:val="00254728"/>
    <w:rsid w:val="002550E7"/>
    <w:rsid w:val="002558D4"/>
    <w:rsid w:val="002560E2"/>
    <w:rsid w:val="00264CFA"/>
    <w:rsid w:val="00270DD7"/>
    <w:rsid w:val="00276F4A"/>
    <w:rsid w:val="00280BFB"/>
    <w:rsid w:val="00280C88"/>
    <w:rsid w:val="002973A4"/>
    <w:rsid w:val="002A0195"/>
    <w:rsid w:val="002B5B34"/>
    <w:rsid w:val="002B6906"/>
    <w:rsid w:val="002B7215"/>
    <w:rsid w:val="002C0AFD"/>
    <w:rsid w:val="002C59D0"/>
    <w:rsid w:val="002D1A18"/>
    <w:rsid w:val="002D6C79"/>
    <w:rsid w:val="002E1104"/>
    <w:rsid w:val="002E3FDD"/>
    <w:rsid w:val="00300EF4"/>
    <w:rsid w:val="00301353"/>
    <w:rsid w:val="00305FF6"/>
    <w:rsid w:val="00307568"/>
    <w:rsid w:val="00311506"/>
    <w:rsid w:val="00316ADB"/>
    <w:rsid w:val="00317623"/>
    <w:rsid w:val="00335F67"/>
    <w:rsid w:val="003361E9"/>
    <w:rsid w:val="00350A65"/>
    <w:rsid w:val="00361C85"/>
    <w:rsid w:val="00371352"/>
    <w:rsid w:val="00376753"/>
    <w:rsid w:val="0038541D"/>
    <w:rsid w:val="00387818"/>
    <w:rsid w:val="00391A13"/>
    <w:rsid w:val="00391FD0"/>
    <w:rsid w:val="003A44FC"/>
    <w:rsid w:val="003B3299"/>
    <w:rsid w:val="003D10A2"/>
    <w:rsid w:val="003D33B8"/>
    <w:rsid w:val="003D624D"/>
    <w:rsid w:val="003D719A"/>
    <w:rsid w:val="003F5EB7"/>
    <w:rsid w:val="003F7FE2"/>
    <w:rsid w:val="004004E7"/>
    <w:rsid w:val="00416E1A"/>
    <w:rsid w:val="00426A3F"/>
    <w:rsid w:val="004277D4"/>
    <w:rsid w:val="00461638"/>
    <w:rsid w:val="004706FA"/>
    <w:rsid w:val="00474D8D"/>
    <w:rsid w:val="00475CCD"/>
    <w:rsid w:val="00477266"/>
    <w:rsid w:val="004811BC"/>
    <w:rsid w:val="004838F2"/>
    <w:rsid w:val="00486492"/>
    <w:rsid w:val="00490B57"/>
    <w:rsid w:val="00492CF6"/>
    <w:rsid w:val="004A4C9D"/>
    <w:rsid w:val="004C2078"/>
    <w:rsid w:val="004C228F"/>
    <w:rsid w:val="004E752F"/>
    <w:rsid w:val="004F1E37"/>
    <w:rsid w:val="00515198"/>
    <w:rsid w:val="00521C44"/>
    <w:rsid w:val="005274E1"/>
    <w:rsid w:val="00531DDF"/>
    <w:rsid w:val="00535FA6"/>
    <w:rsid w:val="00542AB7"/>
    <w:rsid w:val="0055358D"/>
    <w:rsid w:val="005540C8"/>
    <w:rsid w:val="0055574E"/>
    <w:rsid w:val="00555809"/>
    <w:rsid w:val="00562165"/>
    <w:rsid w:val="005756AF"/>
    <w:rsid w:val="00575A4A"/>
    <w:rsid w:val="00591B6F"/>
    <w:rsid w:val="005A1DAF"/>
    <w:rsid w:val="005C17C8"/>
    <w:rsid w:val="005C2098"/>
    <w:rsid w:val="005C2E6C"/>
    <w:rsid w:val="005D0CCF"/>
    <w:rsid w:val="005D1C01"/>
    <w:rsid w:val="005E297D"/>
    <w:rsid w:val="005E3F12"/>
    <w:rsid w:val="005F627E"/>
    <w:rsid w:val="0061652E"/>
    <w:rsid w:val="006205E9"/>
    <w:rsid w:val="00622D0B"/>
    <w:rsid w:val="006270DA"/>
    <w:rsid w:val="00630B75"/>
    <w:rsid w:val="00634DFF"/>
    <w:rsid w:val="00635337"/>
    <w:rsid w:val="0064265B"/>
    <w:rsid w:val="0064519C"/>
    <w:rsid w:val="0065082E"/>
    <w:rsid w:val="006512D0"/>
    <w:rsid w:val="006560A3"/>
    <w:rsid w:val="00656301"/>
    <w:rsid w:val="006600C9"/>
    <w:rsid w:val="006701CC"/>
    <w:rsid w:val="00671F58"/>
    <w:rsid w:val="006762A4"/>
    <w:rsid w:val="006900E7"/>
    <w:rsid w:val="006A00A8"/>
    <w:rsid w:val="006A482D"/>
    <w:rsid w:val="006B11E0"/>
    <w:rsid w:val="006B386A"/>
    <w:rsid w:val="006B7CB4"/>
    <w:rsid w:val="006C24D3"/>
    <w:rsid w:val="006C7917"/>
    <w:rsid w:val="006E51AE"/>
    <w:rsid w:val="0070081F"/>
    <w:rsid w:val="007018F5"/>
    <w:rsid w:val="00710897"/>
    <w:rsid w:val="00712F45"/>
    <w:rsid w:val="00734305"/>
    <w:rsid w:val="007370E1"/>
    <w:rsid w:val="007732A1"/>
    <w:rsid w:val="00774C4A"/>
    <w:rsid w:val="00782BBB"/>
    <w:rsid w:val="007A0690"/>
    <w:rsid w:val="007A078F"/>
    <w:rsid w:val="007B34D4"/>
    <w:rsid w:val="007C0633"/>
    <w:rsid w:val="007D086C"/>
    <w:rsid w:val="007F1BE1"/>
    <w:rsid w:val="007F707F"/>
    <w:rsid w:val="007F794C"/>
    <w:rsid w:val="007F7AC9"/>
    <w:rsid w:val="00803B42"/>
    <w:rsid w:val="008073EF"/>
    <w:rsid w:val="0081095C"/>
    <w:rsid w:val="00810C41"/>
    <w:rsid w:val="008212FF"/>
    <w:rsid w:val="0082593B"/>
    <w:rsid w:val="00827537"/>
    <w:rsid w:val="008468EA"/>
    <w:rsid w:val="00867140"/>
    <w:rsid w:val="00881134"/>
    <w:rsid w:val="008904F0"/>
    <w:rsid w:val="008B2F27"/>
    <w:rsid w:val="008B4A72"/>
    <w:rsid w:val="008B585E"/>
    <w:rsid w:val="008E6C0C"/>
    <w:rsid w:val="008F1E63"/>
    <w:rsid w:val="008F3052"/>
    <w:rsid w:val="00901E19"/>
    <w:rsid w:val="009214F7"/>
    <w:rsid w:val="00921CD7"/>
    <w:rsid w:val="00940EB6"/>
    <w:rsid w:val="00944771"/>
    <w:rsid w:val="009601FC"/>
    <w:rsid w:val="00965426"/>
    <w:rsid w:val="0096654A"/>
    <w:rsid w:val="009711E4"/>
    <w:rsid w:val="00971572"/>
    <w:rsid w:val="00981E55"/>
    <w:rsid w:val="00986CEF"/>
    <w:rsid w:val="00987212"/>
    <w:rsid w:val="009A0E5F"/>
    <w:rsid w:val="009F1AF3"/>
    <w:rsid w:val="009F233E"/>
    <w:rsid w:val="00A024AB"/>
    <w:rsid w:val="00A050A5"/>
    <w:rsid w:val="00A05B8B"/>
    <w:rsid w:val="00A1372F"/>
    <w:rsid w:val="00A170EC"/>
    <w:rsid w:val="00A217B3"/>
    <w:rsid w:val="00A23D04"/>
    <w:rsid w:val="00A277D9"/>
    <w:rsid w:val="00A30CEB"/>
    <w:rsid w:val="00A31318"/>
    <w:rsid w:val="00A5432A"/>
    <w:rsid w:val="00A55F8A"/>
    <w:rsid w:val="00A9670E"/>
    <w:rsid w:val="00AA1423"/>
    <w:rsid w:val="00AB7996"/>
    <w:rsid w:val="00AC43C3"/>
    <w:rsid w:val="00AE2EAD"/>
    <w:rsid w:val="00AF77BE"/>
    <w:rsid w:val="00B11CEE"/>
    <w:rsid w:val="00B23428"/>
    <w:rsid w:val="00B264BF"/>
    <w:rsid w:val="00B42E74"/>
    <w:rsid w:val="00B46874"/>
    <w:rsid w:val="00B50E8F"/>
    <w:rsid w:val="00B51151"/>
    <w:rsid w:val="00B523E4"/>
    <w:rsid w:val="00B52B4F"/>
    <w:rsid w:val="00B6108C"/>
    <w:rsid w:val="00B649AD"/>
    <w:rsid w:val="00B64B9C"/>
    <w:rsid w:val="00B67A3E"/>
    <w:rsid w:val="00B735CC"/>
    <w:rsid w:val="00B82C95"/>
    <w:rsid w:val="00B83F87"/>
    <w:rsid w:val="00B84DFD"/>
    <w:rsid w:val="00BB4E38"/>
    <w:rsid w:val="00BC3879"/>
    <w:rsid w:val="00BD0E0D"/>
    <w:rsid w:val="00BD41BC"/>
    <w:rsid w:val="00BD55AD"/>
    <w:rsid w:val="00BE0305"/>
    <w:rsid w:val="00BE7797"/>
    <w:rsid w:val="00BF15F0"/>
    <w:rsid w:val="00BF7DF9"/>
    <w:rsid w:val="00C03559"/>
    <w:rsid w:val="00C05395"/>
    <w:rsid w:val="00C22AD7"/>
    <w:rsid w:val="00C272C1"/>
    <w:rsid w:val="00C32A68"/>
    <w:rsid w:val="00C34282"/>
    <w:rsid w:val="00C35350"/>
    <w:rsid w:val="00C3564B"/>
    <w:rsid w:val="00C53721"/>
    <w:rsid w:val="00C64D2E"/>
    <w:rsid w:val="00C70F97"/>
    <w:rsid w:val="00C7497C"/>
    <w:rsid w:val="00C757A2"/>
    <w:rsid w:val="00C75966"/>
    <w:rsid w:val="00C76577"/>
    <w:rsid w:val="00C80225"/>
    <w:rsid w:val="00C81349"/>
    <w:rsid w:val="00C93139"/>
    <w:rsid w:val="00CA08A0"/>
    <w:rsid w:val="00CA32D2"/>
    <w:rsid w:val="00CA4E07"/>
    <w:rsid w:val="00CA737D"/>
    <w:rsid w:val="00CB1EF5"/>
    <w:rsid w:val="00CC05D4"/>
    <w:rsid w:val="00CC7166"/>
    <w:rsid w:val="00CF5275"/>
    <w:rsid w:val="00CF6136"/>
    <w:rsid w:val="00D0023D"/>
    <w:rsid w:val="00D006C6"/>
    <w:rsid w:val="00D14A65"/>
    <w:rsid w:val="00D162B9"/>
    <w:rsid w:val="00D251E2"/>
    <w:rsid w:val="00D254F4"/>
    <w:rsid w:val="00D263A7"/>
    <w:rsid w:val="00D26B5D"/>
    <w:rsid w:val="00D33159"/>
    <w:rsid w:val="00D33A19"/>
    <w:rsid w:val="00D355B5"/>
    <w:rsid w:val="00D43DC3"/>
    <w:rsid w:val="00D51791"/>
    <w:rsid w:val="00D5281E"/>
    <w:rsid w:val="00D6531B"/>
    <w:rsid w:val="00D6612D"/>
    <w:rsid w:val="00D71AD9"/>
    <w:rsid w:val="00D73C02"/>
    <w:rsid w:val="00D872ED"/>
    <w:rsid w:val="00D913C6"/>
    <w:rsid w:val="00DA0236"/>
    <w:rsid w:val="00DA5D51"/>
    <w:rsid w:val="00DA5E29"/>
    <w:rsid w:val="00DA61CA"/>
    <w:rsid w:val="00DB66BB"/>
    <w:rsid w:val="00DB7111"/>
    <w:rsid w:val="00DB73AF"/>
    <w:rsid w:val="00DC2865"/>
    <w:rsid w:val="00DD0894"/>
    <w:rsid w:val="00DE1888"/>
    <w:rsid w:val="00DF1250"/>
    <w:rsid w:val="00DF6EF7"/>
    <w:rsid w:val="00E05454"/>
    <w:rsid w:val="00E074C3"/>
    <w:rsid w:val="00E23329"/>
    <w:rsid w:val="00E24D6D"/>
    <w:rsid w:val="00E341B2"/>
    <w:rsid w:val="00E42633"/>
    <w:rsid w:val="00E5699E"/>
    <w:rsid w:val="00E570E1"/>
    <w:rsid w:val="00E72773"/>
    <w:rsid w:val="00E76739"/>
    <w:rsid w:val="00E81946"/>
    <w:rsid w:val="00E82BB7"/>
    <w:rsid w:val="00E86D13"/>
    <w:rsid w:val="00E936C2"/>
    <w:rsid w:val="00E95346"/>
    <w:rsid w:val="00EA0CEF"/>
    <w:rsid w:val="00EA2E2A"/>
    <w:rsid w:val="00EB79D2"/>
    <w:rsid w:val="00EC0174"/>
    <w:rsid w:val="00ED3EEB"/>
    <w:rsid w:val="00ED5749"/>
    <w:rsid w:val="00ED5FA3"/>
    <w:rsid w:val="00ED68C4"/>
    <w:rsid w:val="00ED6A4E"/>
    <w:rsid w:val="00ED72EA"/>
    <w:rsid w:val="00EE3A4F"/>
    <w:rsid w:val="00EF10C3"/>
    <w:rsid w:val="00EF3BD2"/>
    <w:rsid w:val="00F16BCE"/>
    <w:rsid w:val="00F45DA1"/>
    <w:rsid w:val="00F5267B"/>
    <w:rsid w:val="00F53E8B"/>
    <w:rsid w:val="00F663FD"/>
    <w:rsid w:val="00F743B0"/>
    <w:rsid w:val="00F82409"/>
    <w:rsid w:val="00F8264F"/>
    <w:rsid w:val="00F833E9"/>
    <w:rsid w:val="00F84580"/>
    <w:rsid w:val="00F873DA"/>
    <w:rsid w:val="00F95982"/>
    <w:rsid w:val="00FA006C"/>
    <w:rsid w:val="00FA190E"/>
    <w:rsid w:val="00FA288B"/>
    <w:rsid w:val="00FA2997"/>
    <w:rsid w:val="00FA2C71"/>
    <w:rsid w:val="00FB3345"/>
    <w:rsid w:val="00FD0228"/>
    <w:rsid w:val="00FD3BB7"/>
    <w:rsid w:val="00FE0D93"/>
    <w:rsid w:val="00FF2572"/>
    <w:rsid w:val="00FF32AD"/>
    <w:rsid w:val="015F46CE"/>
    <w:rsid w:val="01784A0B"/>
    <w:rsid w:val="020C008E"/>
    <w:rsid w:val="0261662C"/>
    <w:rsid w:val="038500F8"/>
    <w:rsid w:val="03A34A22"/>
    <w:rsid w:val="03A37E51"/>
    <w:rsid w:val="03BB7FBE"/>
    <w:rsid w:val="03C36E72"/>
    <w:rsid w:val="048C2511"/>
    <w:rsid w:val="04BC5D9C"/>
    <w:rsid w:val="04C2712A"/>
    <w:rsid w:val="05035B67"/>
    <w:rsid w:val="05124C74"/>
    <w:rsid w:val="05776166"/>
    <w:rsid w:val="059C5BCD"/>
    <w:rsid w:val="063127B9"/>
    <w:rsid w:val="0640277B"/>
    <w:rsid w:val="070F4658"/>
    <w:rsid w:val="072F14C3"/>
    <w:rsid w:val="074B78AB"/>
    <w:rsid w:val="07577FFE"/>
    <w:rsid w:val="07FB65A9"/>
    <w:rsid w:val="085D1644"/>
    <w:rsid w:val="0865499C"/>
    <w:rsid w:val="089112ED"/>
    <w:rsid w:val="08C6543B"/>
    <w:rsid w:val="091A7535"/>
    <w:rsid w:val="09387D51"/>
    <w:rsid w:val="0955056D"/>
    <w:rsid w:val="0A2148F3"/>
    <w:rsid w:val="0A740EC6"/>
    <w:rsid w:val="0B332B30"/>
    <w:rsid w:val="0B980BE5"/>
    <w:rsid w:val="0B9D61FB"/>
    <w:rsid w:val="0BF10C67"/>
    <w:rsid w:val="0BF64289"/>
    <w:rsid w:val="0C0C5EDD"/>
    <w:rsid w:val="0C1438E7"/>
    <w:rsid w:val="0C760F26"/>
    <w:rsid w:val="0D662D48"/>
    <w:rsid w:val="0DC31556"/>
    <w:rsid w:val="0E4A266A"/>
    <w:rsid w:val="10726B00"/>
    <w:rsid w:val="10CF32FA"/>
    <w:rsid w:val="10E24DDC"/>
    <w:rsid w:val="11203B56"/>
    <w:rsid w:val="11F33019"/>
    <w:rsid w:val="11FF551A"/>
    <w:rsid w:val="12105979"/>
    <w:rsid w:val="1232769D"/>
    <w:rsid w:val="128679E9"/>
    <w:rsid w:val="1289075F"/>
    <w:rsid w:val="12BB0262"/>
    <w:rsid w:val="12C549B5"/>
    <w:rsid w:val="12D25F25"/>
    <w:rsid w:val="12ED7A68"/>
    <w:rsid w:val="133E02C4"/>
    <w:rsid w:val="13692AB4"/>
    <w:rsid w:val="137837D5"/>
    <w:rsid w:val="14350274"/>
    <w:rsid w:val="14691370"/>
    <w:rsid w:val="14771CDF"/>
    <w:rsid w:val="148E0DD7"/>
    <w:rsid w:val="157601E9"/>
    <w:rsid w:val="15F5110D"/>
    <w:rsid w:val="16414353"/>
    <w:rsid w:val="16A13043"/>
    <w:rsid w:val="16D01B7A"/>
    <w:rsid w:val="173739A8"/>
    <w:rsid w:val="17E4768B"/>
    <w:rsid w:val="185540E5"/>
    <w:rsid w:val="18A0775D"/>
    <w:rsid w:val="18C33745"/>
    <w:rsid w:val="18EF2307"/>
    <w:rsid w:val="19516FA3"/>
    <w:rsid w:val="19C72DC1"/>
    <w:rsid w:val="1A3D6143"/>
    <w:rsid w:val="1A58610F"/>
    <w:rsid w:val="1A7A273E"/>
    <w:rsid w:val="1AAB4490"/>
    <w:rsid w:val="1BA3160C"/>
    <w:rsid w:val="1C013801"/>
    <w:rsid w:val="1C940F54"/>
    <w:rsid w:val="1CC950A2"/>
    <w:rsid w:val="1D2C53C4"/>
    <w:rsid w:val="1DA358F3"/>
    <w:rsid w:val="1DB573D4"/>
    <w:rsid w:val="1DBB0293"/>
    <w:rsid w:val="1DFB4820"/>
    <w:rsid w:val="1DFD8D3B"/>
    <w:rsid w:val="1F185E6D"/>
    <w:rsid w:val="1FB79DC9"/>
    <w:rsid w:val="1FBFC3F2"/>
    <w:rsid w:val="1FFFE033"/>
    <w:rsid w:val="201314B8"/>
    <w:rsid w:val="20766AEC"/>
    <w:rsid w:val="20837548"/>
    <w:rsid w:val="20887022"/>
    <w:rsid w:val="20937EA1"/>
    <w:rsid w:val="20AC0F62"/>
    <w:rsid w:val="219D08AB"/>
    <w:rsid w:val="22421B7E"/>
    <w:rsid w:val="22B440FE"/>
    <w:rsid w:val="22C407E5"/>
    <w:rsid w:val="22D2790D"/>
    <w:rsid w:val="235C6C70"/>
    <w:rsid w:val="241412F8"/>
    <w:rsid w:val="24507E57"/>
    <w:rsid w:val="24903E14"/>
    <w:rsid w:val="24973CD7"/>
    <w:rsid w:val="253F23A5"/>
    <w:rsid w:val="267A11BB"/>
    <w:rsid w:val="26EF3957"/>
    <w:rsid w:val="27716A62"/>
    <w:rsid w:val="27B32BD6"/>
    <w:rsid w:val="27D1006E"/>
    <w:rsid w:val="27F352A6"/>
    <w:rsid w:val="284877C3"/>
    <w:rsid w:val="28CB21A2"/>
    <w:rsid w:val="294F4B81"/>
    <w:rsid w:val="298A4BC1"/>
    <w:rsid w:val="29FF0355"/>
    <w:rsid w:val="2A15067B"/>
    <w:rsid w:val="2A4D7312"/>
    <w:rsid w:val="2A7F7EDF"/>
    <w:rsid w:val="2A832D34"/>
    <w:rsid w:val="2AC1385C"/>
    <w:rsid w:val="2B0F6376"/>
    <w:rsid w:val="2B674404"/>
    <w:rsid w:val="2B8E1816"/>
    <w:rsid w:val="2BC5737C"/>
    <w:rsid w:val="2CDC033B"/>
    <w:rsid w:val="2D527252"/>
    <w:rsid w:val="2D9214E0"/>
    <w:rsid w:val="2DC01BA9"/>
    <w:rsid w:val="2DDC1740"/>
    <w:rsid w:val="2EAE55F2"/>
    <w:rsid w:val="2ECE4B91"/>
    <w:rsid w:val="2EDF4302"/>
    <w:rsid w:val="2EFE1A04"/>
    <w:rsid w:val="2F320885"/>
    <w:rsid w:val="2F527179"/>
    <w:rsid w:val="2F5527C5"/>
    <w:rsid w:val="2F974B8C"/>
    <w:rsid w:val="2FB90FA6"/>
    <w:rsid w:val="2FEA5603"/>
    <w:rsid w:val="314239BA"/>
    <w:rsid w:val="315E0057"/>
    <w:rsid w:val="31856978"/>
    <w:rsid w:val="31B77416"/>
    <w:rsid w:val="31C3435E"/>
    <w:rsid w:val="328533C1"/>
    <w:rsid w:val="32892EB1"/>
    <w:rsid w:val="32BC6250"/>
    <w:rsid w:val="3353526D"/>
    <w:rsid w:val="338C2989"/>
    <w:rsid w:val="33D36E9B"/>
    <w:rsid w:val="350478CF"/>
    <w:rsid w:val="353F1F4D"/>
    <w:rsid w:val="357C6CFE"/>
    <w:rsid w:val="35BBF80F"/>
    <w:rsid w:val="365E6403"/>
    <w:rsid w:val="36E87048"/>
    <w:rsid w:val="36F921FB"/>
    <w:rsid w:val="37160A8C"/>
    <w:rsid w:val="371D1E1A"/>
    <w:rsid w:val="377072AF"/>
    <w:rsid w:val="37DF17C6"/>
    <w:rsid w:val="386D6DD1"/>
    <w:rsid w:val="38832151"/>
    <w:rsid w:val="38B467AE"/>
    <w:rsid w:val="38B642D4"/>
    <w:rsid w:val="38EF77E6"/>
    <w:rsid w:val="3A3A67FD"/>
    <w:rsid w:val="3A742699"/>
    <w:rsid w:val="3A7E3975"/>
    <w:rsid w:val="3ADC3D9A"/>
    <w:rsid w:val="3B247C1B"/>
    <w:rsid w:val="3B507C92"/>
    <w:rsid w:val="3B736F08"/>
    <w:rsid w:val="3BB45E27"/>
    <w:rsid w:val="3BC61166"/>
    <w:rsid w:val="3BE3D531"/>
    <w:rsid w:val="3BFD2C90"/>
    <w:rsid w:val="3C97441D"/>
    <w:rsid w:val="3CE55188"/>
    <w:rsid w:val="3CED04E1"/>
    <w:rsid w:val="3D2A5291"/>
    <w:rsid w:val="3D431A40"/>
    <w:rsid w:val="3D4A148F"/>
    <w:rsid w:val="3D6A2C37"/>
    <w:rsid w:val="3DA74C10"/>
    <w:rsid w:val="3DCD16D3"/>
    <w:rsid w:val="3DFF27E6"/>
    <w:rsid w:val="3E444130"/>
    <w:rsid w:val="3EFF42CA"/>
    <w:rsid w:val="3F325973"/>
    <w:rsid w:val="3F6FCA38"/>
    <w:rsid w:val="3FBB6674"/>
    <w:rsid w:val="3FD5AF3D"/>
    <w:rsid w:val="3FFED8BE"/>
    <w:rsid w:val="3FFF43BB"/>
    <w:rsid w:val="40077B0C"/>
    <w:rsid w:val="40302BBE"/>
    <w:rsid w:val="4057639D"/>
    <w:rsid w:val="40584DAA"/>
    <w:rsid w:val="40632F94"/>
    <w:rsid w:val="406752D9"/>
    <w:rsid w:val="40D043A1"/>
    <w:rsid w:val="418D0FC3"/>
    <w:rsid w:val="425F59DD"/>
    <w:rsid w:val="42B5384F"/>
    <w:rsid w:val="42D812EB"/>
    <w:rsid w:val="42F26851"/>
    <w:rsid w:val="433C7ACC"/>
    <w:rsid w:val="433DCF8E"/>
    <w:rsid w:val="43874C54"/>
    <w:rsid w:val="43C875B2"/>
    <w:rsid w:val="43CA332A"/>
    <w:rsid w:val="43CD4BC8"/>
    <w:rsid w:val="440C56F0"/>
    <w:rsid w:val="448636F5"/>
    <w:rsid w:val="44CC5C25"/>
    <w:rsid w:val="45024AFA"/>
    <w:rsid w:val="45321187"/>
    <w:rsid w:val="45CE5353"/>
    <w:rsid w:val="45FF973D"/>
    <w:rsid w:val="46364CA7"/>
    <w:rsid w:val="464A2500"/>
    <w:rsid w:val="46C027C2"/>
    <w:rsid w:val="46EC35B7"/>
    <w:rsid w:val="46FB303D"/>
    <w:rsid w:val="471843AC"/>
    <w:rsid w:val="47413903"/>
    <w:rsid w:val="47550EBA"/>
    <w:rsid w:val="478A52AA"/>
    <w:rsid w:val="47ED3A8B"/>
    <w:rsid w:val="48233009"/>
    <w:rsid w:val="484216E1"/>
    <w:rsid w:val="489857A5"/>
    <w:rsid w:val="48B87809"/>
    <w:rsid w:val="48C04CFB"/>
    <w:rsid w:val="49750231"/>
    <w:rsid w:val="49F27137"/>
    <w:rsid w:val="4A07674E"/>
    <w:rsid w:val="4A325785"/>
    <w:rsid w:val="4A9B33AD"/>
    <w:rsid w:val="4AA76173"/>
    <w:rsid w:val="4AAE2043"/>
    <w:rsid w:val="4B3A6FE7"/>
    <w:rsid w:val="4B502367"/>
    <w:rsid w:val="4BF7E09D"/>
    <w:rsid w:val="4C247811"/>
    <w:rsid w:val="4C6D6F48"/>
    <w:rsid w:val="4C8C73CE"/>
    <w:rsid w:val="4C8F5111"/>
    <w:rsid w:val="4CA60131"/>
    <w:rsid w:val="4D477477"/>
    <w:rsid w:val="4D9D6C18"/>
    <w:rsid w:val="4E8F13F8"/>
    <w:rsid w:val="4F165675"/>
    <w:rsid w:val="4F310701"/>
    <w:rsid w:val="4F6C798B"/>
    <w:rsid w:val="4F822D0B"/>
    <w:rsid w:val="4F846A83"/>
    <w:rsid w:val="4F8A5D9E"/>
    <w:rsid w:val="4FA90297"/>
    <w:rsid w:val="4FB8497E"/>
    <w:rsid w:val="4FF04118"/>
    <w:rsid w:val="4FFE6835"/>
    <w:rsid w:val="4FFFFC3E"/>
    <w:rsid w:val="50DB0924"/>
    <w:rsid w:val="51166825"/>
    <w:rsid w:val="511B3417"/>
    <w:rsid w:val="51984A67"/>
    <w:rsid w:val="51E573F3"/>
    <w:rsid w:val="52021EE1"/>
    <w:rsid w:val="5253098E"/>
    <w:rsid w:val="536F3F57"/>
    <w:rsid w:val="53784B50"/>
    <w:rsid w:val="53980D4F"/>
    <w:rsid w:val="53BB74FC"/>
    <w:rsid w:val="5415414D"/>
    <w:rsid w:val="54B43966"/>
    <w:rsid w:val="54D13CB7"/>
    <w:rsid w:val="557F4E44"/>
    <w:rsid w:val="55EE2EA8"/>
    <w:rsid w:val="55FA7A9F"/>
    <w:rsid w:val="55FDDF92"/>
    <w:rsid w:val="55FFBC03"/>
    <w:rsid w:val="56CDA72E"/>
    <w:rsid w:val="56DB092C"/>
    <w:rsid w:val="570448AC"/>
    <w:rsid w:val="575B27BF"/>
    <w:rsid w:val="576F0018"/>
    <w:rsid w:val="576F5916"/>
    <w:rsid w:val="577FDAE2"/>
    <w:rsid w:val="57805D82"/>
    <w:rsid w:val="57D165DD"/>
    <w:rsid w:val="57FBE2C7"/>
    <w:rsid w:val="585A4825"/>
    <w:rsid w:val="591A3FB4"/>
    <w:rsid w:val="59854B07"/>
    <w:rsid w:val="5991071A"/>
    <w:rsid w:val="59A321FB"/>
    <w:rsid w:val="5A5128AA"/>
    <w:rsid w:val="5A9009D2"/>
    <w:rsid w:val="5AB0697E"/>
    <w:rsid w:val="5B2331EC"/>
    <w:rsid w:val="5B294982"/>
    <w:rsid w:val="5B3255E5"/>
    <w:rsid w:val="5B335734"/>
    <w:rsid w:val="5B646B27"/>
    <w:rsid w:val="5B7F322F"/>
    <w:rsid w:val="5B9718EC"/>
    <w:rsid w:val="5BCAB023"/>
    <w:rsid w:val="5BFE7BBD"/>
    <w:rsid w:val="5C245875"/>
    <w:rsid w:val="5C471564"/>
    <w:rsid w:val="5D042FB1"/>
    <w:rsid w:val="5D0D6309"/>
    <w:rsid w:val="5D0E3E30"/>
    <w:rsid w:val="5D81328C"/>
    <w:rsid w:val="5DA84284"/>
    <w:rsid w:val="5DDA9B94"/>
    <w:rsid w:val="5DED38CA"/>
    <w:rsid w:val="5E113BD7"/>
    <w:rsid w:val="5E483371"/>
    <w:rsid w:val="5E581806"/>
    <w:rsid w:val="5EA467FA"/>
    <w:rsid w:val="5EAB810D"/>
    <w:rsid w:val="5EAC3900"/>
    <w:rsid w:val="5EF86B45"/>
    <w:rsid w:val="5EFF9DA6"/>
    <w:rsid w:val="5F7751B9"/>
    <w:rsid w:val="5F950838"/>
    <w:rsid w:val="5F954394"/>
    <w:rsid w:val="5F9F7232"/>
    <w:rsid w:val="5F9F9588"/>
    <w:rsid w:val="5FBD32D2"/>
    <w:rsid w:val="5FBF10D2"/>
    <w:rsid w:val="5FD450B0"/>
    <w:rsid w:val="5FEF60CD"/>
    <w:rsid w:val="5FFB203D"/>
    <w:rsid w:val="5FFB8CF9"/>
    <w:rsid w:val="60522916"/>
    <w:rsid w:val="60A24FBB"/>
    <w:rsid w:val="61333E65"/>
    <w:rsid w:val="61380774"/>
    <w:rsid w:val="61412DDC"/>
    <w:rsid w:val="617F70AA"/>
    <w:rsid w:val="61875A8C"/>
    <w:rsid w:val="61AD00BB"/>
    <w:rsid w:val="61BA6334"/>
    <w:rsid w:val="61C15914"/>
    <w:rsid w:val="61FE0917"/>
    <w:rsid w:val="623E6F65"/>
    <w:rsid w:val="626F35C2"/>
    <w:rsid w:val="62713E78"/>
    <w:rsid w:val="62EE098B"/>
    <w:rsid w:val="632223E3"/>
    <w:rsid w:val="63D2389D"/>
    <w:rsid w:val="63DBAF21"/>
    <w:rsid w:val="6401649C"/>
    <w:rsid w:val="650347D8"/>
    <w:rsid w:val="651144BD"/>
    <w:rsid w:val="659A4B3F"/>
    <w:rsid w:val="65B10CEF"/>
    <w:rsid w:val="6636451A"/>
    <w:rsid w:val="663E2ADC"/>
    <w:rsid w:val="666D3AFB"/>
    <w:rsid w:val="667B6ABE"/>
    <w:rsid w:val="66AB0941"/>
    <w:rsid w:val="675B1E2C"/>
    <w:rsid w:val="67D87514"/>
    <w:rsid w:val="67DE80AA"/>
    <w:rsid w:val="67E41B3D"/>
    <w:rsid w:val="684F3C7A"/>
    <w:rsid w:val="68A11FFC"/>
    <w:rsid w:val="68A35D74"/>
    <w:rsid w:val="697E3B47"/>
    <w:rsid w:val="69BF132E"/>
    <w:rsid w:val="6A341D6C"/>
    <w:rsid w:val="6A503CD9"/>
    <w:rsid w:val="6AF44665"/>
    <w:rsid w:val="6B260059"/>
    <w:rsid w:val="6B6D4417"/>
    <w:rsid w:val="6BE92BB6"/>
    <w:rsid w:val="6BF6265F"/>
    <w:rsid w:val="6BFEE5F3"/>
    <w:rsid w:val="6C4E249B"/>
    <w:rsid w:val="6C574B45"/>
    <w:rsid w:val="6C59633D"/>
    <w:rsid w:val="6CAFF34E"/>
    <w:rsid w:val="6CFFCF4F"/>
    <w:rsid w:val="6D043B59"/>
    <w:rsid w:val="6D4B386A"/>
    <w:rsid w:val="6DEF070F"/>
    <w:rsid w:val="6DFFF8B6"/>
    <w:rsid w:val="6E096679"/>
    <w:rsid w:val="6E162B44"/>
    <w:rsid w:val="6E9F2B3A"/>
    <w:rsid w:val="6E9FE641"/>
    <w:rsid w:val="6EEDE807"/>
    <w:rsid w:val="6EEE4BE4"/>
    <w:rsid w:val="6EF62913"/>
    <w:rsid w:val="6EF65E9C"/>
    <w:rsid w:val="6F3D9197"/>
    <w:rsid w:val="6F911E87"/>
    <w:rsid w:val="6FAB3EC4"/>
    <w:rsid w:val="6FB6AF41"/>
    <w:rsid w:val="6FD894C8"/>
    <w:rsid w:val="6FE36A9E"/>
    <w:rsid w:val="6FEFB2D1"/>
    <w:rsid w:val="6FFF97E6"/>
    <w:rsid w:val="705D4A5A"/>
    <w:rsid w:val="71397E03"/>
    <w:rsid w:val="71C46E53"/>
    <w:rsid w:val="71FB5B08"/>
    <w:rsid w:val="71FE226D"/>
    <w:rsid w:val="72367C59"/>
    <w:rsid w:val="723A51C8"/>
    <w:rsid w:val="726E11A1"/>
    <w:rsid w:val="72A2709C"/>
    <w:rsid w:val="732B6C1C"/>
    <w:rsid w:val="73434A68"/>
    <w:rsid w:val="73487C44"/>
    <w:rsid w:val="73682094"/>
    <w:rsid w:val="73FB87D9"/>
    <w:rsid w:val="74617E77"/>
    <w:rsid w:val="749C246E"/>
    <w:rsid w:val="753919E7"/>
    <w:rsid w:val="753C7334"/>
    <w:rsid w:val="756C46A5"/>
    <w:rsid w:val="75EF0FBA"/>
    <w:rsid w:val="7607C293"/>
    <w:rsid w:val="763E0E8A"/>
    <w:rsid w:val="766F54E7"/>
    <w:rsid w:val="76A07D97"/>
    <w:rsid w:val="76C34768"/>
    <w:rsid w:val="76DFA4E8"/>
    <w:rsid w:val="773504DF"/>
    <w:rsid w:val="778139C7"/>
    <w:rsid w:val="778720BD"/>
    <w:rsid w:val="77A7D615"/>
    <w:rsid w:val="77E93077"/>
    <w:rsid w:val="77FF366A"/>
    <w:rsid w:val="77FF8C96"/>
    <w:rsid w:val="77FFA8F9"/>
    <w:rsid w:val="787F3DA2"/>
    <w:rsid w:val="788C606F"/>
    <w:rsid w:val="789456D9"/>
    <w:rsid w:val="78B761A7"/>
    <w:rsid w:val="791C3053"/>
    <w:rsid w:val="792612F9"/>
    <w:rsid w:val="7976604B"/>
    <w:rsid w:val="79AC5C1E"/>
    <w:rsid w:val="79D71415"/>
    <w:rsid w:val="79E63D12"/>
    <w:rsid w:val="79F3BC78"/>
    <w:rsid w:val="7A08012D"/>
    <w:rsid w:val="7A5B6CAA"/>
    <w:rsid w:val="7A9314AC"/>
    <w:rsid w:val="7A971B9E"/>
    <w:rsid w:val="7AEF4E49"/>
    <w:rsid w:val="7B4F6850"/>
    <w:rsid w:val="7B827A6B"/>
    <w:rsid w:val="7B89704B"/>
    <w:rsid w:val="7B915F00"/>
    <w:rsid w:val="7BABD5C4"/>
    <w:rsid w:val="7BB12055"/>
    <w:rsid w:val="7BBFADBA"/>
    <w:rsid w:val="7BD76009"/>
    <w:rsid w:val="7BDD1145"/>
    <w:rsid w:val="7BFF492D"/>
    <w:rsid w:val="7C631402"/>
    <w:rsid w:val="7C945CA8"/>
    <w:rsid w:val="7C978C63"/>
    <w:rsid w:val="7CA35AD0"/>
    <w:rsid w:val="7CDF8BC3"/>
    <w:rsid w:val="7CEB237E"/>
    <w:rsid w:val="7CEB72A5"/>
    <w:rsid w:val="7CFA1DC8"/>
    <w:rsid w:val="7D18750B"/>
    <w:rsid w:val="7DDFDC39"/>
    <w:rsid w:val="7DFF53A3"/>
    <w:rsid w:val="7E114DDB"/>
    <w:rsid w:val="7E140770"/>
    <w:rsid w:val="7E5D92FB"/>
    <w:rsid w:val="7EAB552B"/>
    <w:rsid w:val="7EE831A2"/>
    <w:rsid w:val="7EF51D64"/>
    <w:rsid w:val="7EFFF488"/>
    <w:rsid w:val="7F5160D2"/>
    <w:rsid w:val="7F574612"/>
    <w:rsid w:val="7F7F4920"/>
    <w:rsid w:val="7F975EF2"/>
    <w:rsid w:val="7FB7C299"/>
    <w:rsid w:val="7FBFFB92"/>
    <w:rsid w:val="7FD76ACB"/>
    <w:rsid w:val="7FD89DA2"/>
    <w:rsid w:val="7FDB599C"/>
    <w:rsid w:val="7FDBD805"/>
    <w:rsid w:val="7FDEC14D"/>
    <w:rsid w:val="7FDF8B76"/>
    <w:rsid w:val="7FDFE693"/>
    <w:rsid w:val="7FEFB5DD"/>
    <w:rsid w:val="7FEFBBD9"/>
    <w:rsid w:val="7FFD6A57"/>
    <w:rsid w:val="7FFDA7EC"/>
    <w:rsid w:val="7FFDEA1E"/>
    <w:rsid w:val="7FFEC1F6"/>
    <w:rsid w:val="7FFF2F52"/>
    <w:rsid w:val="8F7B4EC8"/>
    <w:rsid w:val="8FBD4480"/>
    <w:rsid w:val="8FF7AE96"/>
    <w:rsid w:val="955F5184"/>
    <w:rsid w:val="9F6311D7"/>
    <w:rsid w:val="9FF54399"/>
    <w:rsid w:val="A46D76C1"/>
    <w:rsid w:val="A7FF43C2"/>
    <w:rsid w:val="ABF66286"/>
    <w:rsid w:val="AD9E3F04"/>
    <w:rsid w:val="ADA70464"/>
    <w:rsid w:val="AFE97CD3"/>
    <w:rsid w:val="B1BF5C63"/>
    <w:rsid w:val="B1FF3A18"/>
    <w:rsid w:val="B3CDF284"/>
    <w:rsid w:val="B3E8107B"/>
    <w:rsid w:val="B5F66F24"/>
    <w:rsid w:val="B7F5200A"/>
    <w:rsid w:val="BABDA1AA"/>
    <w:rsid w:val="BB1B4BF1"/>
    <w:rsid w:val="BBE5FE68"/>
    <w:rsid w:val="BBFEB9C1"/>
    <w:rsid w:val="BDF7406A"/>
    <w:rsid w:val="BE6FD8DB"/>
    <w:rsid w:val="BEEF57C2"/>
    <w:rsid w:val="BF6D5596"/>
    <w:rsid w:val="BFBEBB2C"/>
    <w:rsid w:val="BFC68935"/>
    <w:rsid w:val="BFDD0F1D"/>
    <w:rsid w:val="BFDDD096"/>
    <w:rsid w:val="C5B3F496"/>
    <w:rsid w:val="C96F3E49"/>
    <w:rsid w:val="CBBF14F3"/>
    <w:rsid w:val="CBE5DCF2"/>
    <w:rsid w:val="CCFCC735"/>
    <w:rsid w:val="CEEB8A74"/>
    <w:rsid w:val="D37FB642"/>
    <w:rsid w:val="D7F99798"/>
    <w:rsid w:val="D7FF400C"/>
    <w:rsid w:val="DBED1CD4"/>
    <w:rsid w:val="DBFBB328"/>
    <w:rsid w:val="DDD7453A"/>
    <w:rsid w:val="DE3E1FD7"/>
    <w:rsid w:val="DFBE1B79"/>
    <w:rsid w:val="DFCF1FEC"/>
    <w:rsid w:val="DFE75A3D"/>
    <w:rsid w:val="DFED2117"/>
    <w:rsid w:val="DFEF594B"/>
    <w:rsid w:val="DFF3F960"/>
    <w:rsid w:val="DFFE0D61"/>
    <w:rsid w:val="E35C4B3C"/>
    <w:rsid w:val="E3A781CA"/>
    <w:rsid w:val="E5DFAB50"/>
    <w:rsid w:val="E6FC647F"/>
    <w:rsid w:val="EBFBC8F1"/>
    <w:rsid w:val="EBFDF757"/>
    <w:rsid w:val="ED758B5D"/>
    <w:rsid w:val="ED76A08D"/>
    <w:rsid w:val="EDBDD81F"/>
    <w:rsid w:val="EDFDB542"/>
    <w:rsid w:val="EF0FCF96"/>
    <w:rsid w:val="EF95E20F"/>
    <w:rsid w:val="EFAF7DFF"/>
    <w:rsid w:val="EFAFB283"/>
    <w:rsid w:val="EFBDA38B"/>
    <w:rsid w:val="EFEE9A76"/>
    <w:rsid w:val="F1BF6FBC"/>
    <w:rsid w:val="F1F9A9B5"/>
    <w:rsid w:val="F3779FC2"/>
    <w:rsid w:val="F3D5C239"/>
    <w:rsid w:val="F3F37DF4"/>
    <w:rsid w:val="F3F96DE6"/>
    <w:rsid w:val="F3FBC54A"/>
    <w:rsid w:val="F47BB68A"/>
    <w:rsid w:val="F47F523E"/>
    <w:rsid w:val="F69FD6B0"/>
    <w:rsid w:val="F7E7F921"/>
    <w:rsid w:val="F7F7AC6A"/>
    <w:rsid w:val="F7FD93B9"/>
    <w:rsid w:val="FABF64A5"/>
    <w:rsid w:val="FABF7411"/>
    <w:rsid w:val="FBA53981"/>
    <w:rsid w:val="FBE4457E"/>
    <w:rsid w:val="FBFC558A"/>
    <w:rsid w:val="FBFF71AC"/>
    <w:rsid w:val="FBFFEA2B"/>
    <w:rsid w:val="FCCB27AA"/>
    <w:rsid w:val="FCFF8F4B"/>
    <w:rsid w:val="FD9595AD"/>
    <w:rsid w:val="FDF9DD9A"/>
    <w:rsid w:val="FDFF2821"/>
    <w:rsid w:val="FDFFA696"/>
    <w:rsid w:val="FE7FB02B"/>
    <w:rsid w:val="FEBD0232"/>
    <w:rsid w:val="FED5A77F"/>
    <w:rsid w:val="FEDFD193"/>
    <w:rsid w:val="FEE7097E"/>
    <w:rsid w:val="FEEF8230"/>
    <w:rsid w:val="FEF1F1BE"/>
    <w:rsid w:val="FEF99316"/>
    <w:rsid w:val="FEFB20CB"/>
    <w:rsid w:val="FEFD95B3"/>
    <w:rsid w:val="FEFE4E93"/>
    <w:rsid w:val="FEFFA483"/>
    <w:rsid w:val="FF29B32D"/>
    <w:rsid w:val="FF2E6944"/>
    <w:rsid w:val="FF5F9D52"/>
    <w:rsid w:val="FF7A0B6A"/>
    <w:rsid w:val="FF7B6DC2"/>
    <w:rsid w:val="FF7FFF75"/>
    <w:rsid w:val="FF921F59"/>
    <w:rsid w:val="FFBB1E09"/>
    <w:rsid w:val="FFBB6A0C"/>
    <w:rsid w:val="FFBD894B"/>
    <w:rsid w:val="FFBF33B3"/>
    <w:rsid w:val="FFD09362"/>
    <w:rsid w:val="FFD1DA08"/>
    <w:rsid w:val="FFD7DEDD"/>
    <w:rsid w:val="FFDE369F"/>
    <w:rsid w:val="FFEF98C9"/>
    <w:rsid w:val="FFEFCE62"/>
    <w:rsid w:val="FFF973B0"/>
    <w:rsid w:val="FFFB4F05"/>
    <w:rsid w:val="FFFEC8F5"/>
    <w:rsid w:val="FFFEFE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99"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600" w:lineRule="exact"/>
      <w:ind w:firstLine="640" w:firstLineChars="200"/>
      <w:jc w:val="both"/>
    </w:pPr>
    <w:rPr>
      <w:rFonts w:ascii="Times New Roman" w:hAnsi="Times New Roman" w:eastAsia="仿宋_GB2312" w:cs="Times New Roman"/>
      <w:kern w:val="2"/>
      <w:sz w:val="32"/>
      <w:szCs w:val="24"/>
      <w:lang w:val="en-US" w:eastAsia="zh-CN" w:bidi="ar-SA"/>
    </w:rPr>
  </w:style>
  <w:style w:type="paragraph" w:styleId="2">
    <w:name w:val="heading 1"/>
    <w:basedOn w:val="1"/>
    <w:next w:val="1"/>
    <w:link w:val="44"/>
    <w:qFormat/>
    <w:uiPriority w:val="0"/>
    <w:pPr>
      <w:keepNext/>
      <w:keepLines/>
      <w:widowControl w:val="0"/>
      <w:spacing w:line="500" w:lineRule="exact"/>
      <w:jc w:val="center"/>
      <w:outlineLvl w:val="0"/>
    </w:pPr>
    <w:rPr>
      <w:rFonts w:eastAsia="方正小标宋简体"/>
      <w:bCs/>
      <w:kern w:val="44"/>
      <w:sz w:val="44"/>
      <w:szCs w:val="44"/>
    </w:rPr>
  </w:style>
  <w:style w:type="paragraph" w:styleId="3">
    <w:name w:val="heading 2"/>
    <w:basedOn w:val="1"/>
    <w:next w:val="1"/>
    <w:link w:val="43"/>
    <w:qFormat/>
    <w:uiPriority w:val="0"/>
    <w:pPr>
      <w:keepNext/>
      <w:keepLines/>
      <w:widowControl w:val="0"/>
      <w:spacing w:before="260" w:after="260" w:line="415" w:lineRule="auto"/>
      <w:outlineLvl w:val="1"/>
    </w:pPr>
    <w:rPr>
      <w:rFonts w:ascii="Times New Roman" w:hAnsi="Times New Roman" w:eastAsia="黑体"/>
      <w:b/>
      <w:sz w:val="32"/>
    </w:rPr>
  </w:style>
  <w:style w:type="paragraph" w:styleId="4">
    <w:name w:val="heading 3"/>
    <w:basedOn w:val="1"/>
    <w:next w:val="1"/>
    <w:unhideWhenUsed/>
    <w:qFormat/>
    <w:uiPriority w:val="0"/>
    <w:pPr>
      <w:keepNext/>
      <w:keepLines/>
      <w:spacing w:beforeLines="0" w:beforeAutospacing="0" w:afterLines="0" w:afterAutospacing="0" w:line="578" w:lineRule="exact"/>
      <w:outlineLvl w:val="2"/>
    </w:pPr>
    <w:rPr>
      <w:rFonts w:eastAsia="楷体_GB2312"/>
    </w:rPr>
  </w:style>
  <w:style w:type="paragraph" w:styleId="5">
    <w:name w:val="heading 6"/>
    <w:basedOn w:val="1"/>
    <w:next w:val="1"/>
    <w:semiHidden/>
    <w:unhideWhenUsed/>
    <w:qFormat/>
    <w:uiPriority w:val="0"/>
    <w:pPr>
      <w:widowControl/>
      <w:spacing w:before="0" w:beforeAutospacing="1" w:after="0" w:afterAutospacing="1"/>
      <w:jc w:val="left"/>
    </w:pPr>
    <w:rPr>
      <w:rFonts w:hint="eastAsia" w:ascii="宋体" w:hAnsi="宋体" w:eastAsia="宋体" w:cs="宋体"/>
      <w:b/>
      <w:bCs/>
      <w:kern w:val="0"/>
      <w:sz w:val="15"/>
      <w:szCs w:val="15"/>
      <w:lang w:val="en-US" w:eastAsia="zh-CN" w:bidi="ar"/>
    </w:r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6">
    <w:name w:val="index 8"/>
    <w:basedOn w:val="1"/>
    <w:next w:val="1"/>
    <w:qFormat/>
    <w:uiPriority w:val="0"/>
    <w:pPr>
      <w:widowControl w:val="0"/>
      <w:ind w:left="2940"/>
      <w:jc w:val="both"/>
    </w:pPr>
    <w:rPr>
      <w:rFonts w:ascii="Times New Roman" w:hAnsi="Times New Roman" w:eastAsia="仿宋_GB2312" w:cs="Times New Roman"/>
      <w:kern w:val="2"/>
      <w:sz w:val="21"/>
      <w:szCs w:val="24"/>
      <w:lang w:val="en-US" w:eastAsia="zh-CN" w:bidi="ar-SA"/>
    </w:rPr>
  </w:style>
  <w:style w:type="paragraph" w:styleId="7">
    <w:name w:val="Normal Indent"/>
    <w:basedOn w:val="1"/>
    <w:next w:val="1"/>
    <w:qFormat/>
    <w:uiPriority w:val="0"/>
    <w:pPr>
      <w:spacing w:before="156" w:beforeLines="50" w:line="360" w:lineRule="auto"/>
      <w:ind w:firstLine="480" w:firstLineChars="200"/>
    </w:pPr>
    <w:rPr>
      <w:rFonts w:eastAsia="仿宋"/>
      <w:sz w:val="24"/>
      <w:szCs w:val="23"/>
      <w:lang w:eastAsia="ar-SA"/>
    </w:rPr>
  </w:style>
  <w:style w:type="paragraph" w:styleId="8">
    <w:name w:val="index 5"/>
    <w:basedOn w:val="1"/>
    <w:next w:val="1"/>
    <w:qFormat/>
    <w:uiPriority w:val="0"/>
    <w:pPr>
      <w:ind w:firstLine="200" w:firstLineChars="200"/>
    </w:pPr>
    <w:rPr>
      <w:rFonts w:ascii="仿宋" w:eastAsia="仿宋"/>
      <w:szCs w:val="32"/>
    </w:rPr>
  </w:style>
  <w:style w:type="paragraph" w:styleId="9">
    <w:name w:val="Document Map"/>
    <w:basedOn w:val="1"/>
    <w:link w:val="33"/>
    <w:qFormat/>
    <w:uiPriority w:val="0"/>
    <w:rPr>
      <w:rFonts w:ascii="宋体" w:eastAsia="宋体"/>
      <w:sz w:val="18"/>
      <w:szCs w:val="18"/>
    </w:rPr>
  </w:style>
  <w:style w:type="paragraph" w:styleId="10">
    <w:name w:val="Body Text"/>
    <w:basedOn w:val="1"/>
    <w:qFormat/>
    <w:uiPriority w:val="0"/>
    <w:pPr>
      <w:spacing w:after="120"/>
    </w:pPr>
  </w:style>
  <w:style w:type="paragraph" w:styleId="11">
    <w:name w:val="Body Text Indent"/>
    <w:basedOn w:val="1"/>
    <w:qFormat/>
    <w:uiPriority w:val="0"/>
    <w:pPr>
      <w:spacing w:after="120"/>
      <w:ind w:leftChars="200"/>
    </w:pPr>
    <w:rPr>
      <w:rFonts w:ascii="仿宋_GB2312"/>
      <w:szCs w:val="32"/>
    </w:rPr>
  </w:style>
  <w:style w:type="paragraph" w:styleId="12">
    <w:name w:val="Plain Text"/>
    <w:basedOn w:val="1"/>
    <w:qFormat/>
    <w:uiPriority w:val="0"/>
    <w:pPr>
      <w:widowControl w:val="0"/>
      <w:jc w:val="both"/>
    </w:pPr>
    <w:rPr>
      <w:rFonts w:ascii="宋体" w:eastAsia="宋体" w:cs="Courier New"/>
      <w:kern w:val="2"/>
      <w:sz w:val="32"/>
      <w:szCs w:val="21"/>
      <w:lang w:val="en-US" w:eastAsia="zh-CN" w:bidi="ar-SA"/>
    </w:rPr>
  </w:style>
  <w:style w:type="paragraph" w:styleId="13">
    <w:name w:val="Balloon Text"/>
    <w:basedOn w:val="1"/>
    <w:semiHidden/>
    <w:qFormat/>
    <w:uiPriority w:val="0"/>
    <w:rPr>
      <w:sz w:val="18"/>
      <w:szCs w:val="18"/>
    </w:rPr>
  </w:style>
  <w:style w:type="paragraph" w:styleId="14">
    <w:name w:val="footer"/>
    <w:basedOn w:val="1"/>
    <w:link w:val="35"/>
    <w:qFormat/>
    <w:uiPriority w:val="99"/>
    <w:pPr>
      <w:tabs>
        <w:tab w:val="center" w:pos="4153"/>
        <w:tab w:val="right" w:pos="8306"/>
      </w:tabs>
      <w:snapToGrid w:val="0"/>
      <w:jc w:val="left"/>
    </w:pPr>
    <w:rPr>
      <w:rFonts w:eastAsia="宋体"/>
      <w:sz w:val="18"/>
      <w:szCs w:val="18"/>
    </w:rPr>
  </w:style>
  <w:style w:type="paragraph" w:styleId="15">
    <w:name w:val="header"/>
    <w:basedOn w:val="1"/>
    <w:qFormat/>
    <w:uiPriority w:val="0"/>
    <w:pPr>
      <w:pBdr>
        <w:bottom w:val="single" w:color="auto" w:sz="6" w:space="1"/>
      </w:pBdr>
      <w:tabs>
        <w:tab w:val="center" w:pos="4153"/>
        <w:tab w:val="right" w:pos="8306"/>
      </w:tabs>
      <w:snapToGrid w:val="0"/>
      <w:jc w:val="center"/>
    </w:pPr>
    <w:rPr>
      <w:rFonts w:eastAsia="宋体"/>
      <w:sz w:val="18"/>
      <w:szCs w:val="18"/>
    </w:rPr>
  </w:style>
  <w:style w:type="paragraph" w:styleId="16">
    <w:name w:val="toc 1"/>
    <w:basedOn w:val="1"/>
    <w:next w:val="1"/>
    <w:qFormat/>
    <w:uiPriority w:val="0"/>
  </w:style>
  <w:style w:type="paragraph" w:styleId="17">
    <w:name w:val="Subtitle"/>
    <w:next w:val="1"/>
    <w:qFormat/>
    <w:uiPriority w:val="0"/>
    <w:pPr>
      <w:widowControl w:val="0"/>
      <w:spacing w:before="240" w:after="60" w:line="312" w:lineRule="auto"/>
      <w:jc w:val="center"/>
      <w:outlineLvl w:val="1"/>
    </w:pPr>
    <w:rPr>
      <w:rFonts w:ascii="Arial" w:hAnsi="Arial" w:eastAsia="宋体" w:cs="Arial"/>
      <w:b/>
      <w:bCs/>
      <w:kern w:val="28"/>
      <w:sz w:val="32"/>
      <w:szCs w:val="32"/>
      <w:lang w:val="en-US" w:eastAsia="zh-CN" w:bidi="ar-SA"/>
    </w:rPr>
  </w:style>
  <w:style w:type="paragraph" w:styleId="18">
    <w:name w:val="footnote text"/>
    <w:basedOn w:val="1"/>
    <w:qFormat/>
    <w:uiPriority w:val="0"/>
    <w:pPr>
      <w:snapToGrid w:val="0"/>
      <w:jc w:val="left"/>
    </w:pPr>
    <w:rPr>
      <w:sz w:val="18"/>
    </w:rPr>
  </w:style>
  <w:style w:type="paragraph" w:styleId="19">
    <w:name w:val="table of figures"/>
    <w:basedOn w:val="1"/>
    <w:next w:val="1"/>
    <w:qFormat/>
    <w:uiPriority w:val="0"/>
    <w:pPr>
      <w:ind w:left="400" w:leftChars="200" w:hanging="200" w:hangingChars="200"/>
    </w:pPr>
  </w:style>
  <w:style w:type="paragraph" w:styleId="20">
    <w:name w:val="toc 2"/>
    <w:basedOn w:val="1"/>
    <w:next w:val="1"/>
    <w:qFormat/>
    <w:uiPriority w:val="0"/>
    <w:pPr>
      <w:widowControl w:val="0"/>
      <w:tabs>
        <w:tab w:val="right" w:leader="dot" w:pos="8296"/>
      </w:tabs>
      <w:ind w:left="200" w:leftChars="200"/>
      <w:jc w:val="both"/>
    </w:pPr>
    <w:rPr>
      <w:rFonts w:ascii="Times New Roman" w:hAnsi="Times New Roman" w:eastAsia="宋体" w:cs="Times New Roman"/>
      <w:kern w:val="2"/>
      <w:sz w:val="21"/>
      <w:szCs w:val="24"/>
      <w:lang w:val="en-US" w:eastAsia="zh-CN" w:bidi="ar-SA"/>
    </w:rPr>
  </w:style>
  <w:style w:type="paragraph" w:styleId="21">
    <w:name w:val="Normal (Web)"/>
    <w:basedOn w:val="1"/>
    <w:qFormat/>
    <w:uiPriority w:val="0"/>
    <w:rPr>
      <w:sz w:val="24"/>
    </w:rPr>
  </w:style>
  <w:style w:type="paragraph" w:styleId="22">
    <w:name w:val="Body Text First Indent 2"/>
    <w:basedOn w:val="11"/>
    <w:unhideWhenUsed/>
    <w:qFormat/>
    <w:uiPriority w:val="99"/>
    <w:pPr>
      <w:ind w:firstLine="420" w:firstLineChars="200"/>
    </w:pPr>
  </w:style>
  <w:style w:type="table" w:styleId="24">
    <w:name w:val="Table Grid"/>
    <w:basedOn w:val="2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6">
    <w:name w:val="Strong"/>
    <w:basedOn w:val="25"/>
    <w:qFormat/>
    <w:uiPriority w:val="99"/>
    <w:rPr>
      <w:b/>
      <w:bCs/>
    </w:rPr>
  </w:style>
  <w:style w:type="character" w:styleId="27">
    <w:name w:val="page number"/>
    <w:basedOn w:val="25"/>
    <w:qFormat/>
    <w:uiPriority w:val="0"/>
  </w:style>
  <w:style w:type="character" w:styleId="28">
    <w:name w:val="Hyperlink"/>
    <w:basedOn w:val="25"/>
    <w:qFormat/>
    <w:uiPriority w:val="0"/>
    <w:rPr>
      <w:color w:val="0000FF"/>
      <w:u w:val="single"/>
    </w:rPr>
  </w:style>
  <w:style w:type="character" w:styleId="29">
    <w:name w:val="footnote reference"/>
    <w:basedOn w:val="25"/>
    <w:qFormat/>
    <w:uiPriority w:val="0"/>
    <w:rPr>
      <w:vertAlign w:val="superscript"/>
    </w:rPr>
  </w:style>
  <w:style w:type="paragraph" w:customStyle="1" w:styleId="30">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customStyle="1" w:styleId="31">
    <w:name w:val="四号正文"/>
    <w:basedOn w:val="1"/>
    <w:link w:val="32"/>
    <w:qFormat/>
    <w:uiPriority w:val="0"/>
    <w:pPr>
      <w:spacing w:line="360" w:lineRule="auto"/>
    </w:pPr>
    <w:rPr>
      <w:rFonts w:ascii="??" w:hAnsi="??" w:eastAsia="宋体" w:cs="宋体"/>
      <w:color w:val="000000"/>
      <w:kern w:val="0"/>
      <w:sz w:val="28"/>
      <w:szCs w:val="21"/>
    </w:rPr>
  </w:style>
  <w:style w:type="character" w:customStyle="1" w:styleId="32">
    <w:name w:val="四号正文 Char"/>
    <w:basedOn w:val="25"/>
    <w:link w:val="31"/>
    <w:qFormat/>
    <w:uiPriority w:val="0"/>
    <w:rPr>
      <w:rFonts w:ascii="??" w:hAnsi="??" w:eastAsia="宋体" w:cs="宋体"/>
      <w:color w:val="000000"/>
      <w:sz w:val="28"/>
      <w:szCs w:val="21"/>
      <w:lang w:val="en-US" w:eastAsia="zh-CN" w:bidi="ar-SA"/>
    </w:rPr>
  </w:style>
  <w:style w:type="character" w:customStyle="1" w:styleId="33">
    <w:name w:val="文档结构图 Char"/>
    <w:basedOn w:val="25"/>
    <w:link w:val="9"/>
    <w:qFormat/>
    <w:uiPriority w:val="0"/>
    <w:rPr>
      <w:rFonts w:ascii="宋体"/>
      <w:kern w:val="2"/>
      <w:sz w:val="18"/>
      <w:szCs w:val="18"/>
    </w:rPr>
  </w:style>
  <w:style w:type="paragraph" w:customStyle="1" w:styleId="34">
    <w:name w:val="a"/>
    <w:basedOn w:val="1"/>
    <w:qFormat/>
    <w:uiPriority w:val="0"/>
    <w:pPr>
      <w:widowControl/>
      <w:spacing w:before="100" w:beforeAutospacing="1" w:after="100" w:afterAutospacing="1"/>
      <w:jc w:val="left"/>
    </w:pPr>
    <w:rPr>
      <w:rFonts w:ascii="宋体" w:hAnsi="宋体" w:eastAsia="宋体" w:cs="宋体"/>
      <w:kern w:val="0"/>
      <w:sz w:val="24"/>
    </w:rPr>
  </w:style>
  <w:style w:type="character" w:customStyle="1" w:styleId="35">
    <w:name w:val="页脚 Char"/>
    <w:basedOn w:val="25"/>
    <w:link w:val="14"/>
    <w:qFormat/>
    <w:uiPriority w:val="99"/>
    <w:rPr>
      <w:kern w:val="2"/>
      <w:sz w:val="18"/>
      <w:szCs w:val="18"/>
    </w:rPr>
  </w:style>
  <w:style w:type="character" w:customStyle="1" w:styleId="36">
    <w:name w:val="font31"/>
    <w:basedOn w:val="25"/>
    <w:qFormat/>
    <w:uiPriority w:val="0"/>
    <w:rPr>
      <w:rFonts w:hint="eastAsia" w:ascii="宋体" w:hAnsi="宋体" w:eastAsia="宋体" w:cs="宋体"/>
      <w:color w:val="000000"/>
      <w:sz w:val="24"/>
      <w:szCs w:val="24"/>
      <w:u w:val="none"/>
    </w:rPr>
  </w:style>
  <w:style w:type="character" w:customStyle="1" w:styleId="37">
    <w:name w:val="font51"/>
    <w:basedOn w:val="25"/>
    <w:qFormat/>
    <w:uiPriority w:val="0"/>
    <w:rPr>
      <w:rFonts w:hint="default" w:ascii="Wingdings 2" w:hAnsi="Wingdings 2" w:eastAsia="Wingdings 2" w:cs="Wingdings 2"/>
      <w:color w:val="000000"/>
      <w:sz w:val="18"/>
      <w:szCs w:val="18"/>
      <w:u w:val="none"/>
    </w:rPr>
  </w:style>
  <w:style w:type="character" w:customStyle="1" w:styleId="38">
    <w:name w:val="font01"/>
    <w:basedOn w:val="25"/>
    <w:qFormat/>
    <w:uiPriority w:val="0"/>
    <w:rPr>
      <w:rFonts w:ascii="宋体" w:hAnsi="宋体" w:eastAsia="宋体" w:cs="宋体"/>
      <w:color w:val="000000"/>
      <w:sz w:val="18"/>
      <w:szCs w:val="18"/>
      <w:u w:val="none"/>
    </w:rPr>
  </w:style>
  <w:style w:type="character" w:customStyle="1" w:styleId="39">
    <w:name w:val="font41"/>
    <w:basedOn w:val="25"/>
    <w:qFormat/>
    <w:uiPriority w:val="0"/>
    <w:rPr>
      <w:rFonts w:ascii="宋体" w:hAnsi="宋体" w:eastAsia="宋体" w:cs="宋体"/>
      <w:color w:val="000000"/>
      <w:sz w:val="18"/>
      <w:szCs w:val="18"/>
      <w:u w:val="none"/>
    </w:rPr>
  </w:style>
  <w:style w:type="character" w:customStyle="1" w:styleId="40">
    <w:name w:val="font11"/>
    <w:basedOn w:val="25"/>
    <w:qFormat/>
    <w:uiPriority w:val="0"/>
    <w:rPr>
      <w:rFonts w:hint="eastAsia" w:ascii="仿宋_GB2312" w:eastAsia="仿宋_GB2312" w:cs="仿宋_GB2312"/>
      <w:color w:val="000000"/>
      <w:sz w:val="24"/>
      <w:szCs w:val="24"/>
      <w:u w:val="none"/>
    </w:rPr>
  </w:style>
  <w:style w:type="paragraph" w:customStyle="1" w:styleId="41">
    <w:name w:val="常用样式（方正仿宋简）"/>
    <w:qFormat/>
    <w:uiPriority w:val="99"/>
    <w:pPr>
      <w:widowControl w:val="0"/>
      <w:spacing w:line="560" w:lineRule="exact"/>
      <w:ind w:firstLine="640" w:firstLineChars="200"/>
      <w:jc w:val="both"/>
    </w:pPr>
    <w:rPr>
      <w:rFonts w:ascii="Times New Roman" w:hAnsi="Times New Roman" w:eastAsia="方正仿宋简体" w:cs="Times New Roman"/>
      <w:kern w:val="2"/>
      <w:sz w:val="32"/>
      <w:szCs w:val="24"/>
      <w:lang w:val="en-US" w:eastAsia="zh-CN" w:bidi="ar-SA"/>
    </w:rPr>
  </w:style>
  <w:style w:type="paragraph" w:styleId="42">
    <w:name w:val="List Paragraph"/>
    <w:basedOn w:val="1"/>
    <w:qFormat/>
    <w:uiPriority w:val="0"/>
    <w:pPr>
      <w:ind w:firstLine="200" w:firstLineChars="200"/>
    </w:pPr>
  </w:style>
  <w:style w:type="character" w:customStyle="1" w:styleId="43">
    <w:name w:val="Heading 2 Char"/>
    <w:basedOn w:val="25"/>
    <w:link w:val="3"/>
    <w:qFormat/>
    <w:locked/>
    <w:uiPriority w:val="99"/>
    <w:rPr>
      <w:rFonts w:ascii="Times New Roman" w:hAnsi="Times New Roman" w:eastAsia="黑体"/>
      <w:b/>
      <w:sz w:val="32"/>
    </w:rPr>
  </w:style>
  <w:style w:type="character" w:customStyle="1" w:styleId="44">
    <w:name w:val="Heading 1 Char"/>
    <w:basedOn w:val="25"/>
    <w:link w:val="2"/>
    <w:qFormat/>
    <w:locked/>
    <w:uiPriority w:val="99"/>
    <w:rPr>
      <w:rFonts w:eastAsia="方正小标宋简体"/>
      <w:bCs/>
      <w:kern w:val="44"/>
      <w:sz w:val="44"/>
      <w:szCs w:val="44"/>
    </w:rPr>
  </w:style>
  <w:style w:type="paragraph" w:customStyle="1" w:styleId="45">
    <w:name w:val="Default"/>
    <w:next w:val="8"/>
    <w:qFormat/>
    <w:uiPriority w:val="99"/>
    <w:pPr>
      <w:widowControl w:val="0"/>
      <w:autoSpaceDE w:val="0"/>
      <w:autoSpaceDN w:val="0"/>
      <w:adjustRightInd w:val="0"/>
    </w:pPr>
    <w:rPr>
      <w:rFonts w:ascii="仿宋" w:hAnsi="Calibri" w:eastAsia="仿宋" w:cs="仿宋"/>
      <w:color w:val="000000"/>
      <w:kern w:val="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8" Type="http://schemas.openxmlformats.org/officeDocument/2006/relationships/fontTable" Target="fontTable.xml"/><Relationship Id="rId27" Type="http://schemas.openxmlformats.org/officeDocument/2006/relationships/customXml" Target="../customXml/item2.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7.emf"/><Relationship Id="rId23" Type="http://schemas.openxmlformats.org/officeDocument/2006/relationships/oleObject" Target="embeddings/oleObject7.bin"/><Relationship Id="rId22" Type="http://schemas.openxmlformats.org/officeDocument/2006/relationships/image" Target="media/image6.emf"/><Relationship Id="rId21" Type="http://schemas.openxmlformats.org/officeDocument/2006/relationships/oleObject" Target="embeddings/oleObject6.bin"/><Relationship Id="rId20" Type="http://schemas.openxmlformats.org/officeDocument/2006/relationships/image" Target="media/image5.emf"/><Relationship Id="rId2" Type="http://schemas.openxmlformats.org/officeDocument/2006/relationships/settings" Target="settings.xml"/><Relationship Id="rId19" Type="http://schemas.openxmlformats.org/officeDocument/2006/relationships/oleObject" Target="embeddings/oleObject5.bin"/><Relationship Id="rId18" Type="http://schemas.openxmlformats.org/officeDocument/2006/relationships/image" Target="media/image4.emf"/><Relationship Id="rId17" Type="http://schemas.openxmlformats.org/officeDocument/2006/relationships/oleObject" Target="embeddings/oleObject4.bin"/><Relationship Id="rId16" Type="http://schemas.openxmlformats.org/officeDocument/2006/relationships/image" Target="media/image3.emf"/><Relationship Id="rId15" Type="http://schemas.openxmlformats.org/officeDocument/2006/relationships/oleObject" Target="embeddings/oleObject3.bin"/><Relationship Id="rId14" Type="http://schemas.openxmlformats.org/officeDocument/2006/relationships/image" Target="media/image2.emf"/><Relationship Id="rId13" Type="http://schemas.openxmlformats.org/officeDocument/2006/relationships/oleObject" Target="embeddings/oleObject2.bin"/><Relationship Id="rId12" Type="http://schemas.openxmlformats.org/officeDocument/2006/relationships/image" Target="media/image1.emf"/><Relationship Id="rId11" Type="http://schemas.openxmlformats.org/officeDocument/2006/relationships/oleObject" Target="embeddings/oleObject1.bin"/><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Info spid="_x0000_s1027"/>
    <customShpInfo spid="_x0000_s1028"/>
    <customShpInfo spid="_x0000_s1029"/>
    <customShpInfo spid="_x0000_s1030"/>
    <customShpInfo spid="_x0000_s1031"/>
    <customShpInfo spid="_x0000_s1032"/>
  </customShpExts>
</s:customData>
</file>

<file path=customXml/item2.xml><?xml version="1.0" encoding="utf-8"?>
<contractReview xmlns="http://schemas.wps.cn/vas-ai-hub/contract-review">
  <reviewItems>
    <reviewItem>
      <errorID>ff68bbac-e130-4294-ae90-f67483c8c86a</errorID>
      <errorWord>二辆</errorWord>
      <group>L1_Word</group>
      <groupName>字词问题</groupName>
      <ability>L2_Typo</ability>
      <abilityName>字词错误</abilityName>
      <candidateList>
        <item>两辆</item>
      </candidateList>
      <explain/>
      <paraID>16186F0D</paraID>
      <start>23</start>
      <end>25</end>
      <status>modified</status>
      <modifiedWord>两辆</modifiedWord>
      <trackRevisions>false</trackRevisions>
    </reviewItem>
    <reviewItem>
      <errorID>e211fc40-fded-4802-b64c-c6f37fa0ac0a</errorID>
      <errorWord>，为</errorWord>
      <group>L1_Word</group>
      <groupName>字词问题</groupName>
      <ability>L2_Typo</ability>
      <abilityName>字词错误</abilityName>
      <candidateList>
        <item>，</item>
      </candidateList>
      <explain/>
      <paraID>1613F145</paraID>
      <start>50</start>
      <end>51</end>
      <status>modified</status>
      <modifiedWord>，</modifiedWord>
      <trackRevisions>false</trackRevisions>
    </reviewItem>
    <reviewItem>
      <errorID>2c24cb46-536b-4524-8b27-3f8c5171c52d</errorID>
      <errorWord>，为</errorWord>
      <group>L1_Word</group>
      <groupName>字词问题</groupName>
      <ability>L2_Typo</ability>
      <abilityName>字词错误</abilityName>
      <candidateList>
        <item>，</item>
      </candidateList>
      <explain/>
      <paraID>2DB2D57A</paraID>
      <start>50</start>
      <end>51</end>
      <status>modified</status>
      <modifiedWord>，</modifiedWord>
      <trackRevisions>false</trackRevisions>
    </reviewItem>
    <reviewItem>
      <errorID>9942fe81-0bd5-42e8-a2c9-46437f818154</errorID>
      <errorWord>，为</errorWord>
      <group>L1_Word</group>
      <groupName>字词问题</groupName>
      <ability>L2_Typo</ability>
      <abilityName>字词错误</abilityName>
      <candidateList>
        <item>，</item>
      </candidateList>
      <explain/>
      <paraID>42D4028B</paraID>
      <start>50</start>
      <end>51</end>
      <status>modified</status>
      <modifiedWord>，</modifiedWord>
      <trackRevisions>false</trackRevisions>
    </reviewItem>
    <reviewItem>
      <errorID>edee74ca-3f59-44ed-a904-cc358ecadc1f</errorID>
      <errorWord>,</errorWord>
      <group>L1_Format</group>
      <groupName>格式问题</groupName>
      <ability>L2_HalfPunc_CN</ability>
      <abilityName>全半角问题</abilityName>
      <candidateList>
        <item>，</item>
      </candidateList>
      <explain>文本全半角错误。</explain>
      <paraID>1EE89402</paraID>
      <start>44</start>
      <end>45</end>
      <status>modified</status>
      <modifiedWord>，</modifiedWord>
      <trackRevisions>false</trackRevisions>
    </reviewItem>
    <reviewItem>
      <errorID>700204d3-dd5c-4c52-ba02-61b4634ead60</errorID>
      <errorWord>,</errorWord>
      <group>L1_Format</group>
      <groupName>格式问题</groupName>
      <ability>L2_HalfPunc_CN</ability>
      <abilityName>全半角问题</abilityName>
      <candidateList>
        <item>，</item>
      </candidateList>
      <explain>文本全半角错误。</explain>
      <paraID>54042B32</paraID>
      <start>44</start>
      <end>45</end>
      <status>modified</status>
      <modifiedWord>，</modifiedWord>
      <trackRevisions>false</trackRevisions>
    </reviewItem>
    <reviewItem>
      <errorID>48232da2-14f1-4956-b558-b265e5a2a500</errorID>
      <errorWord>,</errorWord>
      <group>L1_Format</group>
      <groupName>格式问题</groupName>
      <ability>L2_HalfPunc_CN</ability>
      <abilityName>全半角问题</abilityName>
      <candidateList>
        <item>，</item>
      </candidateList>
      <explain>文本全半角错误。</explain>
      <paraID> E66CD75</paraID>
      <start>44</start>
      <end>45</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98cd2eb-df07-4ea4-9277-0bb32bdaf7c9}">
  <ds:schemaRefs/>
</ds:datastoreItem>
</file>

<file path=docProps/app.xml><?xml version="1.0" encoding="utf-8"?>
<Properties xmlns="http://schemas.openxmlformats.org/officeDocument/2006/extended-properties" xmlns:vt="http://schemas.openxmlformats.org/officeDocument/2006/docPropsVTypes">
  <Template>Normal.dotm</Template>
  <Company>PSZX</Company>
  <Pages>172</Pages>
  <Words>8385</Words>
  <Characters>9415</Characters>
  <Lines>2</Lines>
  <Paragraphs>1</Paragraphs>
  <TotalTime>14</TotalTime>
  <ScaleCrop>false</ScaleCrop>
  <LinksUpToDate>false</LinksUpToDate>
  <CharactersWithSpaces>9500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2019-05-28T19:06:00Z</dcterms:created>
  <dc:creator>陈萍</dc:creator>
  <cp:lastModifiedBy>放飞心情</cp:lastModifiedBy>
  <cp:lastPrinted>2026-08-13T07:06:00Z</cp:lastPrinted>
  <dcterms:modified xsi:type="dcterms:W3CDTF">2026-09-09T09:13:23Z</dcterms:modified>
  <dc:title>区域性就业培训基地建设项目</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4466EDF2AE7347B18F09CF6988DC7D4D_13</vt:lpwstr>
  </property>
  <property fmtid="{D5CDD505-2E9C-101B-9397-08002B2CF9AE}" pid="4" name="KSOTemplateDocerSaveRecord">
    <vt:lpwstr>eyJoZGlkIjoiYmY0YTg2NTMzMmEyYTJmZWUxNzNjMGZkMmFhZGM3MTQiLCJ1c2VySWQiOiI2NjU5OTAwMDcifQ==</vt:lpwstr>
  </property>
</Properties>
</file>