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66A56">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72ABBD4D">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仿宋简体" w:cs="Times New Roman"/>
          <w:b w:val="0"/>
          <w:bCs w:val="0"/>
          <w:color w:val="auto"/>
          <w:sz w:val="40"/>
          <w:szCs w:val="40"/>
          <w:highlight w:val="none"/>
          <w:u w:val="none"/>
          <w:lang w:val="en-US" w:eastAsia="zh-CN"/>
        </w:rPr>
      </w:pPr>
      <w:bookmarkStart w:id="0" w:name="_Toc8625"/>
      <w:r>
        <w:rPr>
          <w:rFonts w:hint="default" w:ascii="Times New Roman" w:hAnsi="Times New Roman" w:eastAsia="方正仿宋简体" w:cs="Times New Roman"/>
          <w:b w:val="0"/>
          <w:bCs w:val="0"/>
          <w:color w:val="auto"/>
          <w:sz w:val="40"/>
          <w:szCs w:val="40"/>
          <w:highlight w:val="none"/>
          <w:u w:val="none"/>
          <w:lang w:val="en-US" w:eastAsia="zh-CN"/>
        </w:rPr>
        <w:t>20</w:t>
      </w:r>
      <w:r>
        <w:rPr>
          <w:rFonts w:hint="eastAsia" w:eastAsia="方正仿宋简体" w:cs="Times New Roman"/>
          <w:b w:val="0"/>
          <w:bCs w:val="0"/>
          <w:color w:val="auto"/>
          <w:sz w:val="40"/>
          <w:szCs w:val="40"/>
          <w:highlight w:val="none"/>
          <w:u w:val="none"/>
          <w:lang w:val="en-US" w:eastAsia="zh-CN"/>
        </w:rPr>
        <w:t>25</w:t>
      </w:r>
      <w:r>
        <w:rPr>
          <w:rFonts w:hint="default" w:ascii="Times New Roman" w:hAnsi="Times New Roman" w:eastAsia="方正仿宋简体" w:cs="Times New Roman"/>
          <w:b w:val="0"/>
          <w:bCs w:val="0"/>
          <w:color w:val="auto"/>
          <w:sz w:val="40"/>
          <w:szCs w:val="40"/>
          <w:highlight w:val="none"/>
          <w:u w:val="none"/>
          <w:lang w:val="en-US" w:eastAsia="zh-CN"/>
        </w:rPr>
        <w:t>年</w:t>
      </w:r>
      <w:r>
        <w:rPr>
          <w:rFonts w:hint="eastAsia" w:eastAsia="方正仿宋简体" w:cs="Times New Roman"/>
          <w:b w:val="0"/>
          <w:bCs w:val="0"/>
          <w:color w:val="auto"/>
          <w:sz w:val="40"/>
          <w:szCs w:val="40"/>
          <w:highlight w:val="none"/>
          <w:u w:val="none"/>
          <w:lang w:val="en-US" w:eastAsia="zh-CN"/>
        </w:rPr>
        <w:t>省级财政</w:t>
      </w:r>
      <w:r>
        <w:rPr>
          <w:rFonts w:hint="default" w:ascii="Times New Roman" w:hAnsi="Times New Roman" w:eastAsia="方正仿宋简体" w:cs="Times New Roman"/>
          <w:b w:val="0"/>
          <w:bCs w:val="0"/>
          <w:color w:val="auto"/>
          <w:sz w:val="40"/>
          <w:szCs w:val="40"/>
          <w:highlight w:val="none"/>
          <w:u w:val="none"/>
          <w:lang w:val="en-US" w:eastAsia="zh-CN"/>
        </w:rPr>
        <w:t>市场监管专项资金预算绩效自评打分表</w:t>
      </w:r>
      <w:bookmarkEnd w:id="0"/>
    </w:p>
    <w:tbl>
      <w:tblPr>
        <w:tblStyle w:val="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636"/>
        <w:gridCol w:w="427"/>
        <w:gridCol w:w="427"/>
        <w:gridCol w:w="1228"/>
        <w:gridCol w:w="846"/>
        <w:gridCol w:w="3304"/>
        <w:gridCol w:w="584"/>
        <w:gridCol w:w="427"/>
      </w:tblGrid>
      <w:tr w14:paraId="205A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85" w:type="pct"/>
            <w:gridSpan w:val="4"/>
            <w:noWrap w:val="0"/>
            <w:vAlign w:val="center"/>
          </w:tcPr>
          <w:p w14:paraId="692989BD">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绩效评价指标</w:t>
            </w:r>
          </w:p>
        </w:tc>
        <w:tc>
          <w:tcPr>
            <w:tcW w:w="901" w:type="pct"/>
            <w:vMerge w:val="restart"/>
            <w:noWrap w:val="0"/>
            <w:vAlign w:val="center"/>
          </w:tcPr>
          <w:p w14:paraId="42FD6131">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指标解释</w:t>
            </w:r>
          </w:p>
        </w:tc>
        <w:tc>
          <w:tcPr>
            <w:tcW w:w="425" w:type="pct"/>
            <w:vMerge w:val="restart"/>
            <w:noWrap w:val="0"/>
            <w:vAlign w:val="center"/>
          </w:tcPr>
          <w:p w14:paraId="67865AAF">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评分方法</w:t>
            </w:r>
          </w:p>
        </w:tc>
        <w:tc>
          <w:tcPr>
            <w:tcW w:w="2099" w:type="pct"/>
            <w:vMerge w:val="restart"/>
            <w:noWrap w:val="0"/>
            <w:vAlign w:val="center"/>
          </w:tcPr>
          <w:p w14:paraId="6F7CECF4">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评分说明</w:t>
            </w:r>
          </w:p>
        </w:tc>
        <w:tc>
          <w:tcPr>
            <w:tcW w:w="244" w:type="pct"/>
            <w:vMerge w:val="restart"/>
            <w:noWrap w:val="0"/>
            <w:vAlign w:val="center"/>
          </w:tcPr>
          <w:p w14:paraId="5A62CF43">
            <w:pPr>
              <w:widowControl/>
              <w:jc w:val="center"/>
              <w:rPr>
                <w:rFonts w:hint="default" w:ascii="Times New Roman" w:hAnsi="Times New Roman" w:eastAsia="仿宋" w:cs="Times New Roman"/>
                <w:b/>
                <w:color w:val="000000"/>
                <w:kern w:val="0"/>
                <w:sz w:val="21"/>
                <w:szCs w:val="21"/>
              </w:rPr>
            </w:pPr>
            <w:r>
              <w:rPr>
                <w:rFonts w:hint="default" w:ascii="Times New Roman" w:hAnsi="Times New Roman" w:eastAsia="仿宋" w:cs="Times New Roman"/>
                <w:b/>
                <w:color w:val="000000"/>
                <w:kern w:val="0"/>
                <w:sz w:val="21"/>
                <w:szCs w:val="21"/>
                <w:lang w:val="en-US" w:eastAsia="zh-CN"/>
              </w:rPr>
              <w:t>自评</w:t>
            </w:r>
            <w:r>
              <w:rPr>
                <w:rFonts w:hint="default" w:ascii="Times New Roman" w:hAnsi="Times New Roman" w:eastAsia="仿宋" w:cs="Times New Roman"/>
                <w:b/>
                <w:color w:val="000000"/>
                <w:kern w:val="0"/>
                <w:sz w:val="21"/>
                <w:szCs w:val="21"/>
              </w:rPr>
              <w:t>得分</w:t>
            </w:r>
          </w:p>
        </w:tc>
        <w:tc>
          <w:tcPr>
            <w:tcW w:w="244" w:type="pct"/>
            <w:vMerge w:val="restart"/>
            <w:noWrap w:val="0"/>
            <w:vAlign w:val="center"/>
          </w:tcPr>
          <w:p w14:paraId="278A4AE0">
            <w:pPr>
              <w:widowControl/>
              <w:jc w:val="center"/>
              <w:rPr>
                <w:rFonts w:hint="default" w:ascii="Times New Roman" w:hAnsi="Times New Roman" w:eastAsia="仿宋" w:cs="Times New Roman"/>
                <w:b/>
                <w:color w:val="000000"/>
                <w:kern w:val="0"/>
                <w:sz w:val="21"/>
                <w:szCs w:val="21"/>
                <w:lang w:val="en-US" w:eastAsia="zh-CN"/>
              </w:rPr>
            </w:pPr>
            <w:r>
              <w:rPr>
                <w:rFonts w:hint="default" w:ascii="Times New Roman" w:hAnsi="Times New Roman" w:eastAsia="仿宋" w:cs="Times New Roman"/>
                <w:b/>
                <w:color w:val="000000"/>
                <w:kern w:val="0"/>
                <w:sz w:val="21"/>
                <w:szCs w:val="21"/>
                <w:lang w:val="en-US" w:eastAsia="zh-CN"/>
              </w:rPr>
              <w:t>备注</w:t>
            </w:r>
          </w:p>
        </w:tc>
      </w:tr>
      <w:tr w14:paraId="2C92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noWrap w:val="0"/>
            <w:vAlign w:val="center"/>
          </w:tcPr>
          <w:p w14:paraId="10D87AFC">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一级指标</w:t>
            </w:r>
          </w:p>
        </w:tc>
        <w:tc>
          <w:tcPr>
            <w:tcW w:w="230" w:type="pct"/>
            <w:noWrap w:val="0"/>
            <w:vAlign w:val="center"/>
          </w:tcPr>
          <w:p w14:paraId="6288EC47">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二级指标</w:t>
            </w:r>
          </w:p>
        </w:tc>
        <w:tc>
          <w:tcPr>
            <w:tcW w:w="391" w:type="pct"/>
            <w:noWrap w:val="0"/>
            <w:vAlign w:val="center"/>
          </w:tcPr>
          <w:p w14:paraId="67E7C95C">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三级指标</w:t>
            </w:r>
          </w:p>
        </w:tc>
        <w:tc>
          <w:tcPr>
            <w:tcW w:w="237" w:type="pct"/>
            <w:noWrap w:val="0"/>
            <w:vAlign w:val="center"/>
          </w:tcPr>
          <w:p w14:paraId="1B4CF6FB">
            <w:pPr>
              <w:widowControl/>
              <w:jc w:val="center"/>
              <w:rPr>
                <w:rFonts w:hint="default" w:ascii="Times New Roman" w:hAnsi="Times New Roman" w:eastAsia="仿宋" w:cs="Times New Roman"/>
                <w:b/>
                <w:kern w:val="0"/>
                <w:sz w:val="21"/>
                <w:szCs w:val="21"/>
              </w:rPr>
            </w:pPr>
            <w:r>
              <w:rPr>
                <w:rFonts w:hint="default" w:ascii="Times New Roman" w:hAnsi="Times New Roman" w:eastAsia="仿宋" w:cs="Times New Roman"/>
                <w:b/>
                <w:kern w:val="0"/>
                <w:sz w:val="21"/>
                <w:szCs w:val="21"/>
              </w:rPr>
              <w:t>指标分值</w:t>
            </w:r>
          </w:p>
        </w:tc>
        <w:tc>
          <w:tcPr>
            <w:tcW w:w="901" w:type="pct"/>
            <w:vMerge w:val="continue"/>
            <w:noWrap w:val="0"/>
            <w:vAlign w:val="center"/>
          </w:tcPr>
          <w:p w14:paraId="7FBC6BE6">
            <w:pPr>
              <w:widowControl/>
              <w:jc w:val="left"/>
              <w:rPr>
                <w:rFonts w:hint="default" w:ascii="Times New Roman" w:hAnsi="Times New Roman" w:eastAsia="仿宋" w:cs="Times New Roman"/>
                <w:kern w:val="0"/>
                <w:sz w:val="21"/>
                <w:szCs w:val="21"/>
              </w:rPr>
            </w:pPr>
          </w:p>
        </w:tc>
        <w:tc>
          <w:tcPr>
            <w:tcW w:w="425" w:type="pct"/>
            <w:vMerge w:val="continue"/>
            <w:noWrap w:val="0"/>
            <w:vAlign w:val="center"/>
          </w:tcPr>
          <w:p w14:paraId="19C879AB">
            <w:pPr>
              <w:widowControl/>
              <w:jc w:val="left"/>
              <w:rPr>
                <w:rFonts w:hint="default" w:ascii="Times New Roman" w:hAnsi="Times New Roman" w:eastAsia="仿宋" w:cs="Times New Roman"/>
                <w:kern w:val="0"/>
                <w:sz w:val="21"/>
                <w:szCs w:val="21"/>
              </w:rPr>
            </w:pPr>
          </w:p>
        </w:tc>
        <w:tc>
          <w:tcPr>
            <w:tcW w:w="2099" w:type="pct"/>
            <w:vMerge w:val="continue"/>
            <w:noWrap w:val="0"/>
            <w:vAlign w:val="center"/>
          </w:tcPr>
          <w:p w14:paraId="579E30C2">
            <w:pPr>
              <w:widowControl/>
              <w:jc w:val="left"/>
              <w:rPr>
                <w:rFonts w:hint="default" w:ascii="Times New Roman" w:hAnsi="Times New Roman" w:eastAsia="仿宋" w:cs="Times New Roman"/>
                <w:kern w:val="0"/>
                <w:sz w:val="21"/>
                <w:szCs w:val="21"/>
              </w:rPr>
            </w:pPr>
          </w:p>
        </w:tc>
        <w:tc>
          <w:tcPr>
            <w:tcW w:w="244" w:type="pct"/>
            <w:vMerge w:val="continue"/>
            <w:noWrap w:val="0"/>
            <w:vAlign w:val="center"/>
          </w:tcPr>
          <w:p w14:paraId="77ABD30D">
            <w:pPr>
              <w:widowControl/>
              <w:jc w:val="center"/>
              <w:rPr>
                <w:rFonts w:hint="default" w:ascii="Times New Roman" w:hAnsi="Times New Roman" w:eastAsia="仿宋" w:cs="Times New Roman"/>
                <w:color w:val="000000"/>
                <w:kern w:val="0"/>
                <w:sz w:val="21"/>
                <w:szCs w:val="21"/>
              </w:rPr>
            </w:pPr>
          </w:p>
        </w:tc>
        <w:tc>
          <w:tcPr>
            <w:tcW w:w="244" w:type="pct"/>
            <w:vMerge w:val="continue"/>
            <w:noWrap w:val="0"/>
            <w:vAlign w:val="center"/>
          </w:tcPr>
          <w:p w14:paraId="138F869F">
            <w:pPr>
              <w:widowControl/>
              <w:jc w:val="center"/>
              <w:rPr>
                <w:rFonts w:hint="default" w:ascii="Times New Roman" w:hAnsi="Times New Roman" w:eastAsia="仿宋" w:cs="Times New Roman"/>
                <w:color w:val="000000"/>
                <w:kern w:val="0"/>
                <w:sz w:val="21"/>
                <w:szCs w:val="21"/>
              </w:rPr>
            </w:pPr>
          </w:p>
        </w:tc>
      </w:tr>
      <w:tr w14:paraId="4FA9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restart"/>
            <w:noWrap w:val="0"/>
            <w:vAlign w:val="center"/>
          </w:tcPr>
          <w:p w14:paraId="409F09CD">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通用指标（54分）</w:t>
            </w:r>
          </w:p>
        </w:tc>
        <w:tc>
          <w:tcPr>
            <w:tcW w:w="230" w:type="pct"/>
            <w:vMerge w:val="restart"/>
            <w:noWrap w:val="0"/>
            <w:vAlign w:val="center"/>
          </w:tcPr>
          <w:p w14:paraId="7F3D3DDC">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项目决策（18分）</w:t>
            </w:r>
          </w:p>
        </w:tc>
        <w:tc>
          <w:tcPr>
            <w:tcW w:w="391" w:type="pct"/>
            <w:noWrap w:val="0"/>
            <w:vAlign w:val="center"/>
          </w:tcPr>
          <w:p w14:paraId="4CBD7EEE">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决策程序</w:t>
            </w:r>
          </w:p>
        </w:tc>
        <w:tc>
          <w:tcPr>
            <w:tcW w:w="237" w:type="pct"/>
            <w:noWrap w:val="0"/>
            <w:vAlign w:val="center"/>
          </w:tcPr>
          <w:p w14:paraId="429609D3">
            <w:pPr>
              <w:widowControl/>
              <w:jc w:val="center"/>
              <w:rPr>
                <w:rFonts w:hint="default" w:ascii="Times New Roman" w:hAnsi="Times New Roman" w:eastAsia="仿宋" w:cs="Times New Roman"/>
                <w:color w:val="000000"/>
                <w:kern w:val="0"/>
                <w:sz w:val="21"/>
                <w:szCs w:val="21"/>
              </w:rPr>
            </w:pPr>
            <w:r>
              <w:rPr>
                <w:rFonts w:hint="default" w:ascii="Times New Roman" w:hAnsi="Times New Roman" w:eastAsia="仿宋" w:cs="Times New Roman"/>
                <w:color w:val="000000"/>
                <w:kern w:val="0"/>
                <w:sz w:val="21"/>
                <w:szCs w:val="21"/>
              </w:rPr>
              <w:t>6</w:t>
            </w:r>
          </w:p>
        </w:tc>
        <w:tc>
          <w:tcPr>
            <w:tcW w:w="901" w:type="pct"/>
            <w:noWrap w:val="0"/>
            <w:vAlign w:val="center"/>
          </w:tcPr>
          <w:p w14:paraId="4609B98C">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项目决策程序是否严密</w:t>
            </w:r>
          </w:p>
        </w:tc>
        <w:tc>
          <w:tcPr>
            <w:tcW w:w="425" w:type="pct"/>
            <w:noWrap w:val="0"/>
            <w:vAlign w:val="center"/>
          </w:tcPr>
          <w:p w14:paraId="26E85E4C">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358A675D">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项目设立、调整延续等方面是否符合资金管理基本规范和决策程序要求，发现一处不符合的扣3分，扣完为止。</w:t>
            </w:r>
          </w:p>
        </w:tc>
        <w:tc>
          <w:tcPr>
            <w:tcW w:w="244" w:type="pct"/>
            <w:noWrap w:val="0"/>
            <w:vAlign w:val="center"/>
          </w:tcPr>
          <w:p w14:paraId="16CC35A8">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52FBD198">
            <w:pPr>
              <w:widowControl/>
              <w:jc w:val="center"/>
              <w:rPr>
                <w:rFonts w:hint="default" w:ascii="Times New Roman" w:hAnsi="Times New Roman" w:eastAsia="仿宋" w:cs="Times New Roman"/>
                <w:color w:val="000000"/>
                <w:kern w:val="0"/>
                <w:sz w:val="21"/>
                <w:szCs w:val="21"/>
                <w:lang w:val="en-US" w:eastAsia="zh-CN"/>
              </w:rPr>
            </w:pPr>
          </w:p>
        </w:tc>
      </w:tr>
      <w:tr w14:paraId="2005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587CA46F">
            <w:pPr>
              <w:jc w:val="center"/>
              <w:rPr>
                <w:rFonts w:hint="default" w:ascii="Times New Roman" w:hAnsi="Times New Roman" w:eastAsia="仿宋" w:cs="Times New Roman"/>
                <w:kern w:val="0"/>
                <w:sz w:val="21"/>
                <w:szCs w:val="21"/>
              </w:rPr>
            </w:pPr>
          </w:p>
        </w:tc>
        <w:tc>
          <w:tcPr>
            <w:tcW w:w="230" w:type="pct"/>
            <w:vMerge w:val="continue"/>
            <w:noWrap w:val="0"/>
            <w:vAlign w:val="center"/>
          </w:tcPr>
          <w:p w14:paraId="2EC94322">
            <w:pPr>
              <w:widowControl/>
              <w:jc w:val="left"/>
              <w:rPr>
                <w:rFonts w:hint="default" w:ascii="Times New Roman" w:hAnsi="Times New Roman" w:eastAsia="仿宋" w:cs="Times New Roman"/>
                <w:kern w:val="0"/>
                <w:sz w:val="21"/>
                <w:szCs w:val="21"/>
              </w:rPr>
            </w:pPr>
          </w:p>
        </w:tc>
        <w:tc>
          <w:tcPr>
            <w:tcW w:w="391" w:type="pct"/>
            <w:noWrap w:val="0"/>
            <w:vAlign w:val="center"/>
          </w:tcPr>
          <w:p w14:paraId="2A83DB9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规划论证</w:t>
            </w:r>
          </w:p>
        </w:tc>
        <w:tc>
          <w:tcPr>
            <w:tcW w:w="237" w:type="pct"/>
            <w:noWrap w:val="0"/>
            <w:vAlign w:val="center"/>
          </w:tcPr>
          <w:p w14:paraId="606EEE4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w:t>
            </w:r>
          </w:p>
        </w:tc>
        <w:tc>
          <w:tcPr>
            <w:tcW w:w="901" w:type="pct"/>
            <w:noWrap w:val="0"/>
            <w:vAlign w:val="center"/>
          </w:tcPr>
          <w:p w14:paraId="64169395">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项目规划论证是否符合中省要求，项目绩效目标设置是否科学合理</w:t>
            </w:r>
          </w:p>
        </w:tc>
        <w:tc>
          <w:tcPr>
            <w:tcW w:w="425" w:type="pct"/>
            <w:noWrap w:val="0"/>
            <w:vAlign w:val="center"/>
          </w:tcPr>
          <w:p w14:paraId="7E651B53">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5EECFC7B">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项目规划符合中央、省委省政府有关决策部署安排，得1分；充分评估论证项目立项必要性、前瞻性、合理性和可行性，得3分。否则该项不得分。2.项目总体绩效目标设置合理性的偏离度≤15%，得2分；30%≥偏离度＞15%，得1分；偏离度＞30%，不得分。绩效目标是否科学合理、规范完整、量化细化、预算匹配。总体绩效目标设置合理性为绩效目标设置合理的数量与绩效目标总数的比例。</w:t>
            </w:r>
          </w:p>
        </w:tc>
        <w:tc>
          <w:tcPr>
            <w:tcW w:w="244" w:type="pct"/>
            <w:noWrap w:val="0"/>
            <w:vAlign w:val="center"/>
          </w:tcPr>
          <w:p w14:paraId="7D982540">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2E2FEF09">
            <w:pPr>
              <w:widowControl/>
              <w:jc w:val="center"/>
              <w:rPr>
                <w:rFonts w:hint="default" w:ascii="Times New Roman" w:hAnsi="Times New Roman" w:eastAsia="仿宋" w:cs="Times New Roman"/>
                <w:color w:val="000000"/>
                <w:kern w:val="0"/>
                <w:sz w:val="21"/>
                <w:szCs w:val="21"/>
                <w:lang w:val="en-US" w:eastAsia="zh-CN"/>
              </w:rPr>
            </w:pPr>
          </w:p>
        </w:tc>
      </w:tr>
      <w:tr w14:paraId="07E7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24" w:type="pct"/>
            <w:vMerge w:val="continue"/>
            <w:noWrap w:val="0"/>
            <w:vAlign w:val="center"/>
          </w:tcPr>
          <w:p w14:paraId="1655B158">
            <w:pPr>
              <w:jc w:val="center"/>
              <w:rPr>
                <w:rFonts w:hint="default" w:ascii="Times New Roman" w:hAnsi="Times New Roman" w:eastAsia="仿宋" w:cs="Times New Roman"/>
                <w:kern w:val="0"/>
                <w:sz w:val="21"/>
                <w:szCs w:val="21"/>
              </w:rPr>
            </w:pPr>
          </w:p>
        </w:tc>
        <w:tc>
          <w:tcPr>
            <w:tcW w:w="230" w:type="pct"/>
            <w:vMerge w:val="continue"/>
            <w:noWrap w:val="0"/>
            <w:vAlign w:val="center"/>
          </w:tcPr>
          <w:p w14:paraId="48ED0D81">
            <w:pPr>
              <w:widowControl/>
              <w:jc w:val="left"/>
              <w:rPr>
                <w:rFonts w:hint="default" w:ascii="Times New Roman" w:hAnsi="Times New Roman" w:eastAsia="仿宋" w:cs="Times New Roman"/>
                <w:kern w:val="0"/>
                <w:sz w:val="21"/>
                <w:szCs w:val="21"/>
              </w:rPr>
            </w:pPr>
          </w:p>
        </w:tc>
        <w:tc>
          <w:tcPr>
            <w:tcW w:w="391" w:type="pct"/>
            <w:noWrap w:val="0"/>
            <w:vAlign w:val="center"/>
          </w:tcPr>
          <w:p w14:paraId="2FC7CBFE">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资金投向</w:t>
            </w:r>
          </w:p>
        </w:tc>
        <w:tc>
          <w:tcPr>
            <w:tcW w:w="237" w:type="pct"/>
            <w:noWrap w:val="0"/>
            <w:vAlign w:val="center"/>
          </w:tcPr>
          <w:p w14:paraId="389A72C8">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w:t>
            </w:r>
          </w:p>
        </w:tc>
        <w:tc>
          <w:tcPr>
            <w:tcW w:w="901" w:type="pct"/>
            <w:noWrap w:val="0"/>
            <w:vAlign w:val="center"/>
          </w:tcPr>
          <w:p w14:paraId="6E1CB974">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项目资金是否与项目总体规划、相关行业事业发展相匹配，是否聚焦重大任务、重点领域、重点环节和重点项目</w:t>
            </w:r>
          </w:p>
        </w:tc>
        <w:tc>
          <w:tcPr>
            <w:tcW w:w="425" w:type="pct"/>
            <w:noWrap w:val="0"/>
            <w:vAlign w:val="center"/>
          </w:tcPr>
          <w:p w14:paraId="0E33708B">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54F46F75">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属于政府支持范围，且符合财政事权支出责任划分规定，得1分；资金投向与项目总体规划、相关行业事业发展相匹配，得1分；聚焦重大任务、重点领域、重点环节和重点项目，体现“集中财力办大事”原则，避免“撒胡椒面”，得3分；未与其他同类项目或部门内部相关项目交叉重复，得1分。否则该项不得分。</w:t>
            </w:r>
          </w:p>
        </w:tc>
        <w:tc>
          <w:tcPr>
            <w:tcW w:w="244" w:type="pct"/>
            <w:noWrap w:val="0"/>
            <w:vAlign w:val="center"/>
          </w:tcPr>
          <w:p w14:paraId="4921D55E">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21EBC7E1">
            <w:pPr>
              <w:widowControl/>
              <w:jc w:val="center"/>
              <w:rPr>
                <w:rFonts w:hint="default" w:ascii="Times New Roman" w:hAnsi="Times New Roman" w:eastAsia="仿宋" w:cs="Times New Roman"/>
                <w:color w:val="000000"/>
                <w:kern w:val="0"/>
                <w:sz w:val="21"/>
                <w:szCs w:val="21"/>
                <w:lang w:val="en-US" w:eastAsia="zh-CN"/>
              </w:rPr>
            </w:pPr>
          </w:p>
        </w:tc>
      </w:tr>
      <w:tr w14:paraId="7A27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24" w:type="pct"/>
            <w:vMerge w:val="continue"/>
            <w:noWrap w:val="0"/>
            <w:vAlign w:val="center"/>
          </w:tcPr>
          <w:p w14:paraId="0ED10AC2">
            <w:pPr>
              <w:jc w:val="center"/>
              <w:rPr>
                <w:rFonts w:hint="default" w:ascii="Times New Roman" w:hAnsi="Times New Roman" w:eastAsia="仿宋" w:cs="Times New Roman"/>
                <w:kern w:val="0"/>
                <w:sz w:val="21"/>
                <w:szCs w:val="21"/>
              </w:rPr>
            </w:pPr>
          </w:p>
        </w:tc>
        <w:tc>
          <w:tcPr>
            <w:tcW w:w="230" w:type="pct"/>
            <w:vMerge w:val="restart"/>
            <w:noWrap w:val="0"/>
            <w:vAlign w:val="center"/>
          </w:tcPr>
          <w:p w14:paraId="760679B6">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项目管理（18分）</w:t>
            </w:r>
          </w:p>
        </w:tc>
        <w:tc>
          <w:tcPr>
            <w:tcW w:w="391" w:type="pct"/>
            <w:noWrap w:val="0"/>
            <w:vAlign w:val="center"/>
          </w:tcPr>
          <w:p w14:paraId="5031957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制度办法</w:t>
            </w:r>
          </w:p>
        </w:tc>
        <w:tc>
          <w:tcPr>
            <w:tcW w:w="237" w:type="pct"/>
            <w:noWrap w:val="0"/>
            <w:vAlign w:val="center"/>
          </w:tcPr>
          <w:p w14:paraId="41A68D2D">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2</w:t>
            </w:r>
          </w:p>
        </w:tc>
        <w:tc>
          <w:tcPr>
            <w:tcW w:w="901" w:type="pct"/>
            <w:noWrap w:val="0"/>
            <w:vAlign w:val="center"/>
          </w:tcPr>
          <w:p w14:paraId="7F563D7E">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项目制度办法是否体系健全、要素完备</w:t>
            </w:r>
          </w:p>
        </w:tc>
        <w:tc>
          <w:tcPr>
            <w:tcW w:w="425" w:type="pct"/>
            <w:noWrap w:val="0"/>
            <w:vAlign w:val="center"/>
          </w:tcPr>
          <w:p w14:paraId="47E4DDB1">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是否评分法</w:t>
            </w:r>
          </w:p>
        </w:tc>
        <w:tc>
          <w:tcPr>
            <w:tcW w:w="2099" w:type="pct"/>
            <w:noWrap w:val="0"/>
            <w:vAlign w:val="center"/>
          </w:tcPr>
          <w:p w14:paraId="6ACD35DB">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资金管理办法等管理制度体系健全完善，不存在管理制度缺失、管理办法过期情况，得2分。否则该项不得分。</w:t>
            </w:r>
          </w:p>
        </w:tc>
        <w:tc>
          <w:tcPr>
            <w:tcW w:w="244" w:type="pct"/>
            <w:noWrap w:val="0"/>
            <w:vAlign w:val="center"/>
          </w:tcPr>
          <w:p w14:paraId="7BC72974">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2</w:t>
            </w:r>
          </w:p>
        </w:tc>
        <w:tc>
          <w:tcPr>
            <w:tcW w:w="244" w:type="pct"/>
            <w:noWrap w:val="0"/>
            <w:vAlign w:val="center"/>
          </w:tcPr>
          <w:p w14:paraId="64B6382B">
            <w:pPr>
              <w:widowControl/>
              <w:jc w:val="center"/>
              <w:rPr>
                <w:rFonts w:hint="default" w:ascii="Times New Roman" w:hAnsi="Times New Roman" w:eastAsia="仿宋" w:cs="Times New Roman"/>
                <w:color w:val="000000"/>
                <w:kern w:val="0"/>
                <w:sz w:val="21"/>
                <w:szCs w:val="21"/>
                <w:lang w:val="en-US" w:eastAsia="zh-CN"/>
              </w:rPr>
            </w:pPr>
          </w:p>
        </w:tc>
      </w:tr>
      <w:tr w14:paraId="59AC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7C835052">
            <w:pPr>
              <w:jc w:val="center"/>
              <w:rPr>
                <w:rFonts w:hint="default" w:ascii="Times New Roman" w:hAnsi="Times New Roman" w:eastAsia="仿宋" w:cs="Times New Roman"/>
                <w:kern w:val="0"/>
                <w:sz w:val="21"/>
                <w:szCs w:val="21"/>
              </w:rPr>
            </w:pPr>
          </w:p>
        </w:tc>
        <w:tc>
          <w:tcPr>
            <w:tcW w:w="230" w:type="pct"/>
            <w:vMerge w:val="continue"/>
            <w:noWrap w:val="0"/>
            <w:vAlign w:val="center"/>
          </w:tcPr>
          <w:p w14:paraId="675AF500">
            <w:pPr>
              <w:widowControl/>
              <w:jc w:val="left"/>
              <w:rPr>
                <w:rFonts w:hint="default" w:ascii="Times New Roman" w:hAnsi="Times New Roman" w:eastAsia="仿宋" w:cs="Times New Roman"/>
                <w:kern w:val="0"/>
                <w:sz w:val="21"/>
                <w:szCs w:val="21"/>
              </w:rPr>
            </w:pPr>
          </w:p>
        </w:tc>
        <w:tc>
          <w:tcPr>
            <w:tcW w:w="391" w:type="pct"/>
            <w:noWrap w:val="0"/>
            <w:vAlign w:val="center"/>
          </w:tcPr>
          <w:p w14:paraId="705A471B">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分配管理</w:t>
            </w:r>
          </w:p>
        </w:tc>
        <w:tc>
          <w:tcPr>
            <w:tcW w:w="237" w:type="pct"/>
            <w:noWrap w:val="0"/>
            <w:vAlign w:val="center"/>
          </w:tcPr>
          <w:p w14:paraId="08C3C09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w:t>
            </w:r>
          </w:p>
        </w:tc>
        <w:tc>
          <w:tcPr>
            <w:tcW w:w="901" w:type="pct"/>
            <w:noWrap w:val="0"/>
            <w:vAlign w:val="center"/>
          </w:tcPr>
          <w:p w14:paraId="2BF4BBCB">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项目资金分配因素选取、权重设置、区域分布，项目管理、审批是否符合管理要求</w:t>
            </w:r>
          </w:p>
        </w:tc>
        <w:tc>
          <w:tcPr>
            <w:tcW w:w="425" w:type="pct"/>
            <w:noWrap w:val="0"/>
            <w:vAlign w:val="center"/>
          </w:tcPr>
          <w:p w14:paraId="06CB57E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5337559D">
            <w:pPr>
              <w:keepNext w:val="0"/>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因素分配法：资金分配因素选取充分考虑相关行业事业发展实际和发展需求，得2分；资金分配因素的权重设置有效突出项目实施重点，得2分；资金区域分布结果公平合理，得2分。项目分配法：建设项目储备库，得2分；实行入库项目动态管理、推动资金竞争性分配，得2分；明确项目申报审核程序，按规定程序履行项目审批，得2分。其他分配法：资金分配依据充分合理，得6分。否则该项不得分。如涉及多种分配法，按相应资金量的权重进行测算。2.资金分配是否严格按管理办法执行，决策程序是否符合管理要求，及时高效，得4分。</w:t>
            </w:r>
          </w:p>
        </w:tc>
        <w:tc>
          <w:tcPr>
            <w:tcW w:w="244" w:type="pct"/>
            <w:noWrap w:val="0"/>
            <w:vAlign w:val="center"/>
          </w:tcPr>
          <w:p w14:paraId="2F32C4F6">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10</w:t>
            </w:r>
          </w:p>
        </w:tc>
        <w:tc>
          <w:tcPr>
            <w:tcW w:w="244" w:type="pct"/>
            <w:noWrap w:val="0"/>
            <w:vAlign w:val="center"/>
          </w:tcPr>
          <w:p w14:paraId="18CCE7CE">
            <w:pPr>
              <w:widowControl/>
              <w:jc w:val="center"/>
              <w:rPr>
                <w:rFonts w:hint="default" w:ascii="Times New Roman" w:hAnsi="Times New Roman" w:eastAsia="仿宋" w:cs="Times New Roman"/>
                <w:color w:val="000000"/>
                <w:kern w:val="0"/>
                <w:sz w:val="21"/>
                <w:szCs w:val="21"/>
                <w:lang w:val="en-US" w:eastAsia="zh-CN"/>
              </w:rPr>
            </w:pPr>
          </w:p>
        </w:tc>
      </w:tr>
      <w:tr w14:paraId="273F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4" w:type="pct"/>
            <w:vMerge w:val="continue"/>
            <w:noWrap w:val="0"/>
            <w:vAlign w:val="center"/>
          </w:tcPr>
          <w:p w14:paraId="2129D66F">
            <w:pPr>
              <w:jc w:val="center"/>
              <w:rPr>
                <w:rFonts w:hint="default" w:ascii="Times New Roman" w:hAnsi="Times New Roman" w:eastAsia="仿宋" w:cs="Times New Roman"/>
                <w:kern w:val="0"/>
                <w:sz w:val="21"/>
                <w:szCs w:val="21"/>
              </w:rPr>
            </w:pPr>
          </w:p>
        </w:tc>
        <w:tc>
          <w:tcPr>
            <w:tcW w:w="230" w:type="pct"/>
            <w:vMerge w:val="continue"/>
            <w:noWrap w:val="0"/>
            <w:vAlign w:val="center"/>
          </w:tcPr>
          <w:p w14:paraId="06832FE7">
            <w:pPr>
              <w:widowControl/>
              <w:jc w:val="left"/>
              <w:rPr>
                <w:rFonts w:hint="default" w:ascii="Times New Roman" w:hAnsi="Times New Roman" w:eastAsia="仿宋" w:cs="Times New Roman"/>
                <w:kern w:val="0"/>
                <w:sz w:val="21"/>
                <w:szCs w:val="21"/>
              </w:rPr>
            </w:pPr>
          </w:p>
        </w:tc>
        <w:tc>
          <w:tcPr>
            <w:tcW w:w="391" w:type="pct"/>
            <w:noWrap w:val="0"/>
            <w:vAlign w:val="center"/>
          </w:tcPr>
          <w:p w14:paraId="3D59F328">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绩效监管</w:t>
            </w:r>
          </w:p>
        </w:tc>
        <w:tc>
          <w:tcPr>
            <w:tcW w:w="237" w:type="pct"/>
            <w:noWrap w:val="0"/>
            <w:vAlign w:val="center"/>
          </w:tcPr>
          <w:p w14:paraId="05655FD2">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w:t>
            </w:r>
          </w:p>
        </w:tc>
        <w:tc>
          <w:tcPr>
            <w:tcW w:w="901" w:type="pct"/>
            <w:noWrap w:val="0"/>
            <w:vAlign w:val="center"/>
          </w:tcPr>
          <w:p w14:paraId="27CC7255">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管资金、项目、政策是否管绩效，项目绩效监管是否按要求开展，对下指导是否有力有效</w:t>
            </w:r>
          </w:p>
        </w:tc>
        <w:tc>
          <w:tcPr>
            <w:tcW w:w="425" w:type="pct"/>
            <w:noWrap w:val="0"/>
            <w:vAlign w:val="center"/>
          </w:tcPr>
          <w:p w14:paraId="1945D0FA">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w:t>
            </w:r>
            <w:r>
              <w:rPr>
                <w:rFonts w:hint="default" w:ascii="Times New Roman" w:hAnsi="Times New Roman" w:eastAsia="仿宋" w:cs="Times New Roman"/>
                <w:kern w:val="0"/>
                <w:sz w:val="21"/>
                <w:szCs w:val="21"/>
              </w:rPr>
              <w:br w:type="page"/>
            </w:r>
            <w:r>
              <w:rPr>
                <w:rFonts w:hint="default" w:ascii="Times New Roman" w:hAnsi="Times New Roman" w:eastAsia="仿宋" w:cs="Times New Roman"/>
                <w:kern w:val="0"/>
                <w:sz w:val="21"/>
                <w:szCs w:val="21"/>
              </w:rPr>
              <w:t>扣分法</w:t>
            </w:r>
          </w:p>
        </w:tc>
        <w:tc>
          <w:tcPr>
            <w:tcW w:w="2099" w:type="pct"/>
            <w:noWrap w:val="0"/>
            <w:vAlign w:val="center"/>
          </w:tcPr>
          <w:p w14:paraId="0289D554">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是否按中省要求全面完成绩效目标（含事前评估）、绩效评价、以前年度问题整改等预算绩效管理工作，得4分；省级部门对市县主管部门预算绩效管理要求是否到位，是否存在对市县资金分配和项目管理指导力度不够的情况，是否对市县开展评价、监督、指导等工作，得2分。否则该项不得分。</w:t>
            </w:r>
          </w:p>
        </w:tc>
        <w:tc>
          <w:tcPr>
            <w:tcW w:w="244" w:type="pct"/>
            <w:noWrap w:val="0"/>
            <w:vAlign w:val="center"/>
          </w:tcPr>
          <w:p w14:paraId="211E3DA9">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337E5247">
            <w:pPr>
              <w:widowControl/>
              <w:jc w:val="center"/>
              <w:rPr>
                <w:rFonts w:hint="default" w:ascii="Times New Roman" w:hAnsi="Times New Roman" w:eastAsia="仿宋" w:cs="Times New Roman"/>
                <w:color w:val="000000"/>
                <w:kern w:val="0"/>
                <w:sz w:val="21"/>
                <w:szCs w:val="21"/>
                <w:lang w:val="en-US" w:eastAsia="zh-CN"/>
              </w:rPr>
            </w:pPr>
          </w:p>
        </w:tc>
      </w:tr>
      <w:tr w14:paraId="6DDF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1FD2A150">
            <w:pPr>
              <w:jc w:val="center"/>
              <w:rPr>
                <w:rFonts w:hint="default" w:ascii="Times New Roman" w:hAnsi="Times New Roman" w:eastAsia="仿宋" w:cs="Times New Roman"/>
                <w:kern w:val="0"/>
                <w:sz w:val="21"/>
                <w:szCs w:val="21"/>
              </w:rPr>
            </w:pPr>
          </w:p>
        </w:tc>
        <w:tc>
          <w:tcPr>
            <w:tcW w:w="230" w:type="pct"/>
            <w:vMerge w:val="restart"/>
            <w:noWrap w:val="0"/>
            <w:vAlign w:val="center"/>
          </w:tcPr>
          <w:p w14:paraId="6C71C14B">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项目实施（9分）</w:t>
            </w:r>
          </w:p>
        </w:tc>
        <w:tc>
          <w:tcPr>
            <w:tcW w:w="391" w:type="pct"/>
            <w:noWrap w:val="0"/>
            <w:vAlign w:val="center"/>
          </w:tcPr>
          <w:p w14:paraId="34F1085C">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预算执行</w:t>
            </w:r>
          </w:p>
        </w:tc>
        <w:tc>
          <w:tcPr>
            <w:tcW w:w="237" w:type="pct"/>
            <w:noWrap w:val="0"/>
            <w:vAlign w:val="center"/>
          </w:tcPr>
          <w:p w14:paraId="788CBAD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w:t>
            </w:r>
          </w:p>
        </w:tc>
        <w:tc>
          <w:tcPr>
            <w:tcW w:w="901" w:type="pct"/>
            <w:noWrap w:val="0"/>
            <w:vAlign w:val="center"/>
          </w:tcPr>
          <w:p w14:paraId="4AD41829">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项目资金财政拨付、单位执行和地方配套到位情况</w:t>
            </w:r>
          </w:p>
        </w:tc>
        <w:tc>
          <w:tcPr>
            <w:tcW w:w="425" w:type="pct"/>
            <w:noWrap w:val="0"/>
            <w:vAlign w:val="center"/>
          </w:tcPr>
          <w:p w14:paraId="0AB6FEBE">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比率分值法</w:t>
            </w:r>
          </w:p>
        </w:tc>
        <w:tc>
          <w:tcPr>
            <w:tcW w:w="2099" w:type="pct"/>
            <w:noWrap w:val="0"/>
            <w:vAlign w:val="center"/>
          </w:tcPr>
          <w:p w14:paraId="06A07BE2">
            <w:pPr>
              <w:widowControl/>
              <w:jc w:val="left"/>
              <w:rPr>
                <w:rFonts w:hint="default" w:ascii="Times New Roman" w:hAnsi="Times New Roman" w:eastAsia="仿宋" w:cs="Times New Roman"/>
                <w:kern w:val="0"/>
                <w:sz w:val="21"/>
                <w:szCs w:val="21"/>
                <w:u w:val="single"/>
              </w:rPr>
            </w:pPr>
            <w:r>
              <w:rPr>
                <w:rFonts w:hint="default" w:ascii="Times New Roman" w:hAnsi="Times New Roman" w:eastAsia="仿宋" w:cs="Times New Roman"/>
                <w:kern w:val="0"/>
                <w:sz w:val="21"/>
                <w:szCs w:val="21"/>
                <w:u w:val="single"/>
              </w:rPr>
              <w:t>该项指标得分=财政资金拨付率×100%×</w:t>
            </w:r>
            <w:r>
              <w:rPr>
                <w:rFonts w:hint="default" w:ascii="Times New Roman" w:hAnsi="Times New Roman" w:eastAsia="仿宋" w:cs="Times New Roman"/>
                <w:kern w:val="0"/>
                <w:sz w:val="21"/>
                <w:szCs w:val="21"/>
                <w:u w:val="single"/>
                <w:lang w:val="en-US" w:eastAsia="zh-CN"/>
              </w:rPr>
              <w:t>2</w:t>
            </w:r>
            <w:r>
              <w:rPr>
                <w:rFonts w:hint="default" w:ascii="Times New Roman" w:hAnsi="Times New Roman" w:eastAsia="仿宋" w:cs="Times New Roman"/>
                <w:kern w:val="0"/>
                <w:sz w:val="21"/>
                <w:szCs w:val="21"/>
                <w:u w:val="single"/>
              </w:rPr>
              <w:t>+单位资金使用率×100%×2+地方资金到位率×100%×</w:t>
            </w:r>
            <w:r>
              <w:rPr>
                <w:rFonts w:hint="default" w:ascii="Times New Roman" w:hAnsi="Times New Roman" w:eastAsia="仿宋" w:cs="Times New Roman"/>
                <w:kern w:val="0"/>
                <w:sz w:val="21"/>
                <w:szCs w:val="21"/>
                <w:u w:val="single"/>
                <w:lang w:val="en-US" w:eastAsia="zh-CN"/>
              </w:rPr>
              <w:t>2</w:t>
            </w:r>
            <w:r>
              <w:rPr>
                <w:rFonts w:hint="default" w:ascii="Times New Roman" w:hAnsi="Times New Roman" w:eastAsia="仿宋" w:cs="Times New Roman"/>
                <w:kern w:val="0"/>
                <w:sz w:val="21"/>
                <w:szCs w:val="21"/>
              </w:rPr>
              <w:t>。</w:t>
            </w:r>
          </w:p>
        </w:tc>
        <w:tc>
          <w:tcPr>
            <w:tcW w:w="244" w:type="pct"/>
            <w:noWrap w:val="0"/>
            <w:vAlign w:val="center"/>
          </w:tcPr>
          <w:p w14:paraId="37974889">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5.9</w:t>
            </w:r>
          </w:p>
        </w:tc>
        <w:tc>
          <w:tcPr>
            <w:tcW w:w="244" w:type="pct"/>
            <w:noWrap w:val="0"/>
            <w:vAlign w:val="center"/>
          </w:tcPr>
          <w:p w14:paraId="15BFE2D6">
            <w:pPr>
              <w:widowControl/>
              <w:jc w:val="center"/>
              <w:rPr>
                <w:rFonts w:hint="default" w:ascii="Times New Roman" w:hAnsi="Times New Roman" w:eastAsia="仿宋" w:cs="Times New Roman"/>
                <w:color w:val="000000"/>
                <w:kern w:val="0"/>
                <w:sz w:val="21"/>
                <w:szCs w:val="21"/>
                <w:lang w:val="en-US" w:eastAsia="zh-CN"/>
              </w:rPr>
            </w:pPr>
          </w:p>
        </w:tc>
      </w:tr>
      <w:tr w14:paraId="6D4D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5D454ED5">
            <w:pPr>
              <w:jc w:val="center"/>
              <w:rPr>
                <w:rFonts w:hint="default" w:ascii="Times New Roman" w:hAnsi="Times New Roman" w:eastAsia="仿宋" w:cs="Times New Roman"/>
                <w:kern w:val="0"/>
                <w:sz w:val="21"/>
                <w:szCs w:val="21"/>
              </w:rPr>
            </w:pPr>
          </w:p>
        </w:tc>
        <w:tc>
          <w:tcPr>
            <w:tcW w:w="230" w:type="pct"/>
            <w:vMerge w:val="continue"/>
            <w:noWrap w:val="0"/>
            <w:vAlign w:val="center"/>
          </w:tcPr>
          <w:p w14:paraId="2E95C641">
            <w:pPr>
              <w:widowControl/>
              <w:jc w:val="left"/>
              <w:rPr>
                <w:rFonts w:hint="default" w:ascii="Times New Roman" w:hAnsi="Times New Roman" w:eastAsia="仿宋" w:cs="Times New Roman"/>
                <w:kern w:val="0"/>
                <w:sz w:val="21"/>
                <w:szCs w:val="21"/>
              </w:rPr>
            </w:pPr>
          </w:p>
        </w:tc>
        <w:tc>
          <w:tcPr>
            <w:tcW w:w="391" w:type="pct"/>
            <w:noWrap w:val="0"/>
            <w:vAlign w:val="center"/>
          </w:tcPr>
          <w:p w14:paraId="37654151">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资金使用</w:t>
            </w:r>
          </w:p>
        </w:tc>
        <w:tc>
          <w:tcPr>
            <w:tcW w:w="237" w:type="pct"/>
            <w:noWrap w:val="0"/>
            <w:vAlign w:val="center"/>
          </w:tcPr>
          <w:p w14:paraId="3824CB3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3</w:t>
            </w:r>
          </w:p>
        </w:tc>
        <w:tc>
          <w:tcPr>
            <w:tcW w:w="901" w:type="pct"/>
            <w:noWrap w:val="0"/>
            <w:vAlign w:val="center"/>
          </w:tcPr>
          <w:p w14:paraId="116B5FE3">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资金使用拨付、项目实施是否符合规定</w:t>
            </w:r>
          </w:p>
        </w:tc>
        <w:tc>
          <w:tcPr>
            <w:tcW w:w="425" w:type="pct"/>
            <w:noWrap w:val="0"/>
            <w:vAlign w:val="center"/>
          </w:tcPr>
          <w:p w14:paraId="5FF363B8">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574069A0">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资金使用、拨付是否符合国家财经法规、财务管理制度及有关专项资金管理制度办法规定和审批程序，是否存在超范围、超标准、超进度使用专项资金，是否存在资金损失浪费、长期沉淀、截留、挤占、挪用、虚列支出等情况，项目实施是否遵守相关法律法规，发现一处不合规的扣1分，扣完为止。</w:t>
            </w:r>
          </w:p>
        </w:tc>
        <w:tc>
          <w:tcPr>
            <w:tcW w:w="244" w:type="pct"/>
            <w:noWrap w:val="0"/>
            <w:vAlign w:val="center"/>
          </w:tcPr>
          <w:p w14:paraId="04AEED41">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3</w:t>
            </w:r>
          </w:p>
        </w:tc>
        <w:tc>
          <w:tcPr>
            <w:tcW w:w="244" w:type="pct"/>
            <w:noWrap w:val="0"/>
            <w:vAlign w:val="center"/>
          </w:tcPr>
          <w:p w14:paraId="2D4B9A6D">
            <w:pPr>
              <w:widowControl/>
              <w:jc w:val="center"/>
              <w:rPr>
                <w:rFonts w:hint="default" w:ascii="Times New Roman" w:hAnsi="Times New Roman" w:eastAsia="仿宋" w:cs="Times New Roman"/>
                <w:color w:val="000000"/>
                <w:kern w:val="0"/>
                <w:sz w:val="21"/>
                <w:szCs w:val="21"/>
                <w:lang w:val="en-US" w:eastAsia="zh-CN"/>
              </w:rPr>
            </w:pPr>
          </w:p>
        </w:tc>
      </w:tr>
      <w:tr w14:paraId="2F7C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359D7419">
            <w:pPr>
              <w:widowControl/>
              <w:jc w:val="center"/>
              <w:rPr>
                <w:rFonts w:hint="default" w:ascii="Times New Roman" w:hAnsi="Times New Roman" w:eastAsia="仿宋" w:cs="Times New Roman"/>
                <w:kern w:val="0"/>
                <w:sz w:val="21"/>
                <w:szCs w:val="21"/>
              </w:rPr>
            </w:pPr>
          </w:p>
        </w:tc>
        <w:tc>
          <w:tcPr>
            <w:tcW w:w="230" w:type="pct"/>
            <w:vMerge w:val="restart"/>
            <w:noWrap w:val="0"/>
            <w:vAlign w:val="center"/>
          </w:tcPr>
          <w:p w14:paraId="2EB7726F">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项目结果（9分）</w:t>
            </w:r>
          </w:p>
        </w:tc>
        <w:tc>
          <w:tcPr>
            <w:tcW w:w="391" w:type="pct"/>
            <w:noWrap w:val="0"/>
            <w:vAlign w:val="center"/>
          </w:tcPr>
          <w:p w14:paraId="58D8F947">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目标完成</w:t>
            </w:r>
          </w:p>
        </w:tc>
        <w:tc>
          <w:tcPr>
            <w:tcW w:w="237" w:type="pct"/>
            <w:noWrap w:val="0"/>
            <w:vAlign w:val="center"/>
          </w:tcPr>
          <w:p w14:paraId="25D8B2BF">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w:t>
            </w:r>
          </w:p>
        </w:tc>
        <w:tc>
          <w:tcPr>
            <w:tcW w:w="901" w:type="pct"/>
            <w:noWrap w:val="0"/>
            <w:vAlign w:val="center"/>
          </w:tcPr>
          <w:p w14:paraId="25338EA9">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项目是否完成预期目标，实施结果是否与绩效目标相匹配，反映目标实现程度</w:t>
            </w:r>
          </w:p>
        </w:tc>
        <w:tc>
          <w:tcPr>
            <w:tcW w:w="425" w:type="pct"/>
            <w:noWrap w:val="0"/>
            <w:vAlign w:val="center"/>
          </w:tcPr>
          <w:p w14:paraId="62927D68">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比率分值法</w:t>
            </w:r>
          </w:p>
        </w:tc>
        <w:tc>
          <w:tcPr>
            <w:tcW w:w="2099" w:type="pct"/>
            <w:noWrap w:val="0"/>
            <w:vAlign w:val="center"/>
          </w:tcPr>
          <w:p w14:paraId="38F96628">
            <w:pPr>
              <w:widowControl/>
              <w:jc w:val="left"/>
              <w:rPr>
                <w:rFonts w:hint="default" w:ascii="Times New Roman" w:hAnsi="Times New Roman" w:eastAsia="仿宋" w:cs="Times New Roman"/>
                <w:kern w:val="0"/>
                <w:sz w:val="21"/>
                <w:szCs w:val="21"/>
                <w:u w:val="single"/>
              </w:rPr>
            </w:pPr>
            <w:r>
              <w:rPr>
                <w:rFonts w:hint="default" w:ascii="Times New Roman" w:hAnsi="Times New Roman" w:eastAsia="仿宋" w:cs="Times New Roman"/>
                <w:kern w:val="0"/>
                <w:sz w:val="21"/>
                <w:szCs w:val="21"/>
                <w:u w:val="single"/>
              </w:rPr>
              <w:t>该项指标得分=实际完成目标任务量÷首次批复立项设定绩效目标任务总量×100%×6。</w:t>
            </w:r>
          </w:p>
        </w:tc>
        <w:tc>
          <w:tcPr>
            <w:tcW w:w="244" w:type="pct"/>
            <w:noWrap w:val="0"/>
            <w:vAlign w:val="center"/>
          </w:tcPr>
          <w:p w14:paraId="7DD0BF17">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5</w:t>
            </w:r>
          </w:p>
        </w:tc>
        <w:tc>
          <w:tcPr>
            <w:tcW w:w="244" w:type="pct"/>
            <w:noWrap w:val="0"/>
            <w:vAlign w:val="center"/>
          </w:tcPr>
          <w:p w14:paraId="6724DB05">
            <w:pPr>
              <w:widowControl/>
              <w:jc w:val="center"/>
              <w:rPr>
                <w:rFonts w:hint="default" w:ascii="Times New Roman" w:hAnsi="Times New Roman" w:eastAsia="仿宋" w:cs="Times New Roman"/>
                <w:color w:val="000000"/>
                <w:kern w:val="0"/>
                <w:sz w:val="21"/>
                <w:szCs w:val="21"/>
                <w:lang w:val="en-US" w:eastAsia="zh-CN"/>
              </w:rPr>
            </w:pPr>
          </w:p>
        </w:tc>
      </w:tr>
      <w:tr w14:paraId="37C8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3C309E87">
            <w:pPr>
              <w:widowControl/>
              <w:jc w:val="left"/>
              <w:rPr>
                <w:rFonts w:hint="default" w:ascii="Times New Roman" w:hAnsi="Times New Roman" w:eastAsia="仿宋" w:cs="Times New Roman"/>
                <w:kern w:val="0"/>
                <w:sz w:val="21"/>
                <w:szCs w:val="21"/>
              </w:rPr>
            </w:pPr>
          </w:p>
        </w:tc>
        <w:tc>
          <w:tcPr>
            <w:tcW w:w="230" w:type="pct"/>
            <w:vMerge w:val="continue"/>
            <w:noWrap w:val="0"/>
            <w:vAlign w:val="center"/>
          </w:tcPr>
          <w:p w14:paraId="74916F6B">
            <w:pPr>
              <w:widowControl/>
              <w:jc w:val="left"/>
              <w:rPr>
                <w:rFonts w:hint="default" w:ascii="Times New Roman" w:hAnsi="Times New Roman" w:eastAsia="仿宋" w:cs="Times New Roman"/>
                <w:kern w:val="0"/>
                <w:sz w:val="21"/>
                <w:szCs w:val="21"/>
              </w:rPr>
            </w:pPr>
          </w:p>
        </w:tc>
        <w:tc>
          <w:tcPr>
            <w:tcW w:w="391" w:type="pct"/>
            <w:noWrap w:val="0"/>
            <w:vAlign w:val="center"/>
          </w:tcPr>
          <w:p w14:paraId="73783DFB">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完成时效</w:t>
            </w:r>
          </w:p>
        </w:tc>
        <w:tc>
          <w:tcPr>
            <w:tcW w:w="237" w:type="pct"/>
            <w:noWrap w:val="0"/>
            <w:vAlign w:val="center"/>
          </w:tcPr>
          <w:p w14:paraId="23036CA2">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3</w:t>
            </w:r>
          </w:p>
        </w:tc>
        <w:tc>
          <w:tcPr>
            <w:tcW w:w="901" w:type="pct"/>
            <w:noWrap w:val="0"/>
            <w:vAlign w:val="center"/>
          </w:tcPr>
          <w:p w14:paraId="5DA8801C">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项目实际完成时间与计划完成时间的比较</w:t>
            </w:r>
          </w:p>
        </w:tc>
        <w:tc>
          <w:tcPr>
            <w:tcW w:w="425" w:type="pct"/>
            <w:noWrap w:val="0"/>
            <w:vAlign w:val="center"/>
          </w:tcPr>
          <w:p w14:paraId="416712D1">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比率分值法</w:t>
            </w:r>
          </w:p>
        </w:tc>
        <w:tc>
          <w:tcPr>
            <w:tcW w:w="2099" w:type="pct"/>
            <w:noWrap w:val="0"/>
            <w:vAlign w:val="center"/>
          </w:tcPr>
          <w:p w14:paraId="24B250CE">
            <w:pPr>
              <w:widowControl/>
              <w:jc w:val="left"/>
              <w:rPr>
                <w:rFonts w:hint="default" w:ascii="Times New Roman" w:hAnsi="Times New Roman" w:eastAsia="仿宋" w:cs="Times New Roman"/>
                <w:kern w:val="0"/>
                <w:sz w:val="21"/>
                <w:szCs w:val="21"/>
                <w:u w:val="single"/>
              </w:rPr>
            </w:pPr>
            <w:r>
              <w:rPr>
                <w:rFonts w:hint="default" w:ascii="Times New Roman" w:hAnsi="Times New Roman" w:eastAsia="仿宋" w:cs="Times New Roman"/>
                <w:kern w:val="0"/>
                <w:sz w:val="21"/>
                <w:szCs w:val="21"/>
                <w:u w:val="single"/>
              </w:rPr>
              <w:t>该项指标得分=（1-(实际完成时间-计划完成时间)÷计划完成时间）×100%×3。</w:t>
            </w:r>
            <w:r>
              <w:rPr>
                <w:rFonts w:hint="default" w:ascii="Times New Roman" w:hAnsi="Times New Roman" w:eastAsia="仿宋" w:cs="Times New Roman"/>
                <w:kern w:val="0"/>
                <w:sz w:val="21"/>
                <w:szCs w:val="21"/>
              </w:rPr>
              <w:t>一般以天数、月数或年数为单位。当实际完成时间-计划完成时间小于等于0时得满分；实际完成时间超过计划完成时间1倍及以上得0分。</w:t>
            </w:r>
          </w:p>
        </w:tc>
        <w:tc>
          <w:tcPr>
            <w:tcW w:w="244" w:type="pct"/>
            <w:noWrap w:val="0"/>
            <w:vAlign w:val="center"/>
          </w:tcPr>
          <w:p w14:paraId="29CE2C9B">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3</w:t>
            </w:r>
          </w:p>
        </w:tc>
        <w:tc>
          <w:tcPr>
            <w:tcW w:w="244" w:type="pct"/>
            <w:noWrap w:val="0"/>
            <w:vAlign w:val="center"/>
          </w:tcPr>
          <w:p w14:paraId="35DE78C7">
            <w:pPr>
              <w:widowControl/>
              <w:jc w:val="center"/>
              <w:rPr>
                <w:rFonts w:hint="default" w:ascii="Times New Roman" w:hAnsi="Times New Roman" w:eastAsia="仿宋" w:cs="Times New Roman"/>
                <w:color w:val="000000"/>
                <w:kern w:val="0"/>
                <w:sz w:val="21"/>
                <w:szCs w:val="21"/>
                <w:lang w:val="en-US" w:eastAsia="zh-CN"/>
              </w:rPr>
            </w:pPr>
          </w:p>
        </w:tc>
      </w:tr>
      <w:tr w14:paraId="7D2E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restart"/>
            <w:noWrap w:val="0"/>
            <w:vAlign w:val="center"/>
          </w:tcPr>
          <w:p w14:paraId="7C8EA5E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专用指标（30分）</w:t>
            </w:r>
          </w:p>
        </w:tc>
        <w:tc>
          <w:tcPr>
            <w:tcW w:w="230" w:type="pct"/>
            <w:vMerge w:val="restart"/>
            <w:noWrap w:val="0"/>
            <w:vAlign w:val="center"/>
          </w:tcPr>
          <w:p w14:paraId="3E74C78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行政运转（30分）</w:t>
            </w:r>
          </w:p>
        </w:tc>
        <w:tc>
          <w:tcPr>
            <w:tcW w:w="391" w:type="pct"/>
            <w:noWrap w:val="0"/>
            <w:vAlign w:val="center"/>
          </w:tcPr>
          <w:p w14:paraId="2665C7C1">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用途合规性</w:t>
            </w:r>
          </w:p>
        </w:tc>
        <w:tc>
          <w:tcPr>
            <w:tcW w:w="237" w:type="pct"/>
            <w:noWrap w:val="0"/>
            <w:vAlign w:val="center"/>
          </w:tcPr>
          <w:p w14:paraId="01526C3C">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w:t>
            </w:r>
          </w:p>
        </w:tc>
        <w:tc>
          <w:tcPr>
            <w:tcW w:w="901" w:type="pct"/>
            <w:noWrap w:val="0"/>
            <w:vAlign w:val="center"/>
          </w:tcPr>
          <w:p w14:paraId="3BC428E3">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是否按规定用途、适用范围进行本地区专项资金分配</w:t>
            </w:r>
          </w:p>
        </w:tc>
        <w:tc>
          <w:tcPr>
            <w:tcW w:w="425" w:type="pct"/>
            <w:noWrap w:val="0"/>
            <w:vAlign w:val="center"/>
          </w:tcPr>
          <w:p w14:paraId="20A8418D">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15FBE00D">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资金实际用途不符合专项资金管理要求的，发现一处扣2分。</w:t>
            </w:r>
          </w:p>
        </w:tc>
        <w:tc>
          <w:tcPr>
            <w:tcW w:w="244" w:type="pct"/>
            <w:noWrap w:val="0"/>
            <w:vAlign w:val="center"/>
          </w:tcPr>
          <w:p w14:paraId="74DFDFFE">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3</w:t>
            </w:r>
          </w:p>
        </w:tc>
        <w:tc>
          <w:tcPr>
            <w:tcW w:w="244" w:type="pct"/>
            <w:noWrap w:val="0"/>
            <w:vAlign w:val="center"/>
          </w:tcPr>
          <w:p w14:paraId="3FDDC757">
            <w:pPr>
              <w:widowControl/>
              <w:jc w:val="center"/>
              <w:rPr>
                <w:rFonts w:hint="default" w:ascii="Times New Roman" w:hAnsi="Times New Roman" w:eastAsia="仿宋" w:cs="Times New Roman"/>
                <w:color w:val="000000"/>
                <w:kern w:val="0"/>
                <w:sz w:val="21"/>
                <w:szCs w:val="21"/>
                <w:lang w:val="en-US" w:eastAsia="zh-CN"/>
              </w:rPr>
            </w:pPr>
          </w:p>
        </w:tc>
      </w:tr>
      <w:tr w14:paraId="3416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6F88FABB">
            <w:pPr>
              <w:widowControl/>
              <w:jc w:val="left"/>
              <w:rPr>
                <w:rFonts w:hint="default" w:ascii="Times New Roman" w:hAnsi="Times New Roman" w:eastAsia="仿宋" w:cs="Times New Roman"/>
                <w:kern w:val="0"/>
                <w:sz w:val="21"/>
                <w:szCs w:val="21"/>
              </w:rPr>
            </w:pPr>
          </w:p>
        </w:tc>
        <w:tc>
          <w:tcPr>
            <w:tcW w:w="230" w:type="pct"/>
            <w:vMerge w:val="continue"/>
            <w:noWrap w:val="0"/>
            <w:vAlign w:val="center"/>
          </w:tcPr>
          <w:p w14:paraId="54A4D61E">
            <w:pPr>
              <w:widowControl/>
              <w:jc w:val="left"/>
              <w:rPr>
                <w:rFonts w:hint="default" w:ascii="Times New Roman" w:hAnsi="Times New Roman" w:eastAsia="仿宋" w:cs="Times New Roman"/>
                <w:kern w:val="0"/>
                <w:sz w:val="21"/>
                <w:szCs w:val="21"/>
              </w:rPr>
            </w:pPr>
          </w:p>
        </w:tc>
        <w:tc>
          <w:tcPr>
            <w:tcW w:w="391" w:type="pct"/>
            <w:noWrap w:val="0"/>
            <w:vAlign w:val="center"/>
          </w:tcPr>
          <w:p w14:paraId="2C7FF930">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程序合规性</w:t>
            </w:r>
          </w:p>
        </w:tc>
        <w:tc>
          <w:tcPr>
            <w:tcW w:w="237" w:type="pct"/>
            <w:noWrap w:val="0"/>
            <w:vAlign w:val="center"/>
          </w:tcPr>
          <w:p w14:paraId="5C554F74">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w:t>
            </w:r>
          </w:p>
        </w:tc>
        <w:tc>
          <w:tcPr>
            <w:tcW w:w="901" w:type="pct"/>
            <w:noWrap w:val="0"/>
            <w:vAlign w:val="center"/>
          </w:tcPr>
          <w:p w14:paraId="5F1C31D5">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资金管理程序是否符合专项资金管理要求</w:t>
            </w:r>
          </w:p>
        </w:tc>
        <w:tc>
          <w:tcPr>
            <w:tcW w:w="425" w:type="pct"/>
            <w:noWrap w:val="0"/>
            <w:vAlign w:val="center"/>
          </w:tcPr>
          <w:p w14:paraId="5C79E3AC">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05D02E5F">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资金管理程序不符合专项资金管理要求的，发现一处扣2分。</w:t>
            </w:r>
          </w:p>
        </w:tc>
        <w:tc>
          <w:tcPr>
            <w:tcW w:w="244" w:type="pct"/>
            <w:noWrap w:val="0"/>
            <w:vAlign w:val="center"/>
          </w:tcPr>
          <w:p w14:paraId="5C5B4C17">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10</w:t>
            </w:r>
          </w:p>
        </w:tc>
        <w:tc>
          <w:tcPr>
            <w:tcW w:w="244" w:type="pct"/>
            <w:noWrap w:val="0"/>
            <w:vAlign w:val="center"/>
          </w:tcPr>
          <w:p w14:paraId="3B0CCA83">
            <w:pPr>
              <w:widowControl/>
              <w:jc w:val="center"/>
              <w:rPr>
                <w:rFonts w:hint="default" w:ascii="Times New Roman" w:hAnsi="Times New Roman" w:eastAsia="仿宋" w:cs="Times New Roman"/>
                <w:color w:val="000000"/>
                <w:kern w:val="0"/>
                <w:sz w:val="21"/>
                <w:szCs w:val="21"/>
                <w:lang w:val="en-US" w:eastAsia="zh-CN"/>
              </w:rPr>
            </w:pPr>
          </w:p>
        </w:tc>
      </w:tr>
      <w:tr w14:paraId="0B18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4" w:type="pct"/>
            <w:vMerge w:val="continue"/>
            <w:noWrap w:val="0"/>
            <w:vAlign w:val="center"/>
          </w:tcPr>
          <w:p w14:paraId="4142E599">
            <w:pPr>
              <w:widowControl/>
              <w:jc w:val="left"/>
              <w:rPr>
                <w:rFonts w:hint="default" w:ascii="Times New Roman" w:hAnsi="Times New Roman" w:eastAsia="仿宋" w:cs="Times New Roman"/>
                <w:kern w:val="0"/>
                <w:sz w:val="21"/>
                <w:szCs w:val="21"/>
              </w:rPr>
            </w:pPr>
          </w:p>
        </w:tc>
        <w:tc>
          <w:tcPr>
            <w:tcW w:w="230" w:type="pct"/>
            <w:vMerge w:val="continue"/>
            <w:noWrap w:val="0"/>
            <w:vAlign w:val="center"/>
          </w:tcPr>
          <w:p w14:paraId="60E9FCFB">
            <w:pPr>
              <w:widowControl/>
              <w:jc w:val="left"/>
              <w:rPr>
                <w:rFonts w:hint="default" w:ascii="Times New Roman" w:hAnsi="Times New Roman" w:eastAsia="仿宋" w:cs="Times New Roman"/>
                <w:kern w:val="0"/>
                <w:sz w:val="21"/>
                <w:szCs w:val="21"/>
              </w:rPr>
            </w:pPr>
          </w:p>
        </w:tc>
        <w:tc>
          <w:tcPr>
            <w:tcW w:w="391" w:type="pct"/>
            <w:noWrap w:val="0"/>
            <w:vAlign w:val="center"/>
          </w:tcPr>
          <w:p w14:paraId="2BE454D4">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标准合规性</w:t>
            </w:r>
          </w:p>
        </w:tc>
        <w:tc>
          <w:tcPr>
            <w:tcW w:w="237" w:type="pct"/>
            <w:noWrap w:val="0"/>
            <w:vAlign w:val="center"/>
          </w:tcPr>
          <w:p w14:paraId="534AD7C6">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w:t>
            </w:r>
          </w:p>
        </w:tc>
        <w:tc>
          <w:tcPr>
            <w:tcW w:w="901" w:type="pct"/>
            <w:noWrap w:val="0"/>
            <w:vAlign w:val="center"/>
          </w:tcPr>
          <w:p w14:paraId="017066EA">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资金分配标准是否符合专项资金管理要求</w:t>
            </w:r>
          </w:p>
        </w:tc>
        <w:tc>
          <w:tcPr>
            <w:tcW w:w="425" w:type="pct"/>
            <w:noWrap w:val="0"/>
            <w:vAlign w:val="center"/>
          </w:tcPr>
          <w:p w14:paraId="2CDC3CEB">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21B8F067">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资金分配标准不符合专项资金管理要求的，发现一处扣2分。</w:t>
            </w:r>
          </w:p>
        </w:tc>
        <w:tc>
          <w:tcPr>
            <w:tcW w:w="244" w:type="pct"/>
            <w:noWrap w:val="0"/>
            <w:vAlign w:val="center"/>
          </w:tcPr>
          <w:p w14:paraId="11C5666F">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10</w:t>
            </w:r>
          </w:p>
        </w:tc>
        <w:tc>
          <w:tcPr>
            <w:tcW w:w="244" w:type="pct"/>
            <w:noWrap w:val="0"/>
            <w:vAlign w:val="center"/>
          </w:tcPr>
          <w:p w14:paraId="2394298F">
            <w:pPr>
              <w:widowControl/>
              <w:jc w:val="center"/>
              <w:rPr>
                <w:rFonts w:hint="default" w:ascii="Times New Roman" w:hAnsi="Times New Roman" w:eastAsia="仿宋" w:cs="Times New Roman"/>
                <w:color w:val="000000"/>
                <w:kern w:val="0"/>
                <w:sz w:val="21"/>
                <w:szCs w:val="21"/>
                <w:lang w:val="en-US" w:eastAsia="zh-CN"/>
              </w:rPr>
            </w:pPr>
          </w:p>
        </w:tc>
      </w:tr>
      <w:tr w14:paraId="7A3C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24" w:type="pct"/>
            <w:vMerge w:val="restart"/>
            <w:noWrap w:val="0"/>
            <w:vAlign w:val="center"/>
          </w:tcPr>
          <w:p w14:paraId="5BA1795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个性指标</w:t>
            </w:r>
            <w:r>
              <w:rPr>
                <w:rFonts w:hint="default" w:ascii="Times New Roman" w:hAnsi="Times New Roman" w:eastAsia="仿宋" w:cs="Times New Roman"/>
                <w:kern w:val="0"/>
                <w:sz w:val="21"/>
                <w:szCs w:val="21"/>
              </w:rPr>
              <w:br w:type="page"/>
            </w:r>
            <w:r>
              <w:rPr>
                <w:rFonts w:hint="default" w:ascii="Times New Roman" w:hAnsi="Times New Roman" w:eastAsia="仿宋" w:cs="Times New Roman"/>
                <w:kern w:val="0"/>
                <w:sz w:val="21"/>
                <w:szCs w:val="21"/>
              </w:rPr>
              <w:t>（16分）</w:t>
            </w:r>
          </w:p>
        </w:tc>
        <w:tc>
          <w:tcPr>
            <w:tcW w:w="230" w:type="pct"/>
            <w:vMerge w:val="restart"/>
            <w:noWrap w:val="0"/>
            <w:vAlign w:val="center"/>
          </w:tcPr>
          <w:p w14:paraId="62D6BA32">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省级市场</w:t>
            </w:r>
            <w:r>
              <w:rPr>
                <w:rFonts w:hint="default" w:ascii="Times New Roman" w:hAnsi="Times New Roman" w:eastAsia="仿宋" w:cs="Times New Roman"/>
                <w:kern w:val="0"/>
                <w:sz w:val="21"/>
                <w:szCs w:val="21"/>
                <w:highlight w:val="none"/>
              </w:rPr>
              <w:t>监管补助资金</w:t>
            </w:r>
            <w:r>
              <w:rPr>
                <w:rFonts w:hint="default" w:ascii="Times New Roman" w:hAnsi="Times New Roman" w:eastAsia="仿宋" w:cs="Times New Roman"/>
                <w:kern w:val="0"/>
                <w:sz w:val="21"/>
                <w:szCs w:val="21"/>
                <w:highlight w:val="none"/>
                <w:lang w:val="en-US" w:eastAsia="zh-CN"/>
              </w:rPr>
              <w:t>项目</w:t>
            </w:r>
            <w:r>
              <w:rPr>
                <w:rFonts w:hint="default" w:ascii="Times New Roman" w:hAnsi="Times New Roman" w:eastAsia="仿宋" w:cs="Times New Roman"/>
                <w:kern w:val="0"/>
                <w:sz w:val="21"/>
                <w:szCs w:val="21"/>
                <w:highlight w:val="none"/>
              </w:rPr>
              <w:br w:type="page"/>
            </w:r>
            <w:r>
              <w:rPr>
                <w:rFonts w:hint="default" w:ascii="Times New Roman" w:hAnsi="Times New Roman" w:eastAsia="仿宋" w:cs="Times New Roman"/>
                <w:kern w:val="0"/>
                <w:sz w:val="21"/>
                <w:szCs w:val="21"/>
                <w:highlight w:val="none"/>
              </w:rPr>
              <w:t>（16分）</w:t>
            </w:r>
          </w:p>
        </w:tc>
        <w:tc>
          <w:tcPr>
            <w:tcW w:w="391" w:type="pct"/>
            <w:noWrap w:val="0"/>
            <w:vAlign w:val="center"/>
          </w:tcPr>
          <w:p w14:paraId="1D12C61C">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监管质量</w:t>
            </w:r>
          </w:p>
        </w:tc>
        <w:tc>
          <w:tcPr>
            <w:tcW w:w="237" w:type="pct"/>
            <w:noWrap w:val="0"/>
            <w:vAlign w:val="center"/>
          </w:tcPr>
          <w:p w14:paraId="1FEC421F">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6</w:t>
            </w:r>
          </w:p>
        </w:tc>
        <w:tc>
          <w:tcPr>
            <w:tcW w:w="901" w:type="pct"/>
            <w:noWrap w:val="0"/>
            <w:vAlign w:val="center"/>
          </w:tcPr>
          <w:p w14:paraId="5B33B08C">
            <w:pPr>
              <w:widowControl/>
              <w:jc w:val="left"/>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生产环节抽查合格率</w:t>
            </w:r>
          </w:p>
        </w:tc>
        <w:tc>
          <w:tcPr>
            <w:tcW w:w="425" w:type="pct"/>
            <w:noWrap w:val="0"/>
            <w:vAlign w:val="center"/>
          </w:tcPr>
          <w:p w14:paraId="73DFDED3">
            <w:pPr>
              <w:widowControl/>
              <w:jc w:val="center"/>
              <w:rPr>
                <w:rFonts w:hint="default" w:ascii="Times New Roman" w:hAnsi="Times New Roman" w:eastAsia="仿宋" w:cs="Times New Roman"/>
                <w:kern w:val="0"/>
                <w:sz w:val="21"/>
                <w:szCs w:val="21"/>
                <w:highlight w:val="none"/>
                <w:lang w:val="en-US" w:eastAsia="zh-CN" w:bidi="ar-SA"/>
              </w:rPr>
            </w:pPr>
            <w:r>
              <w:rPr>
                <w:rFonts w:hint="default" w:ascii="Times New Roman" w:hAnsi="Times New Roman" w:eastAsia="仿宋" w:cs="Times New Roman"/>
                <w:kern w:val="0"/>
                <w:sz w:val="21"/>
                <w:szCs w:val="21"/>
                <w:highlight w:val="none"/>
              </w:rPr>
              <w:t>是否评分法</w:t>
            </w:r>
          </w:p>
        </w:tc>
        <w:tc>
          <w:tcPr>
            <w:tcW w:w="2099" w:type="pct"/>
            <w:noWrap w:val="0"/>
            <w:vAlign w:val="center"/>
          </w:tcPr>
          <w:p w14:paraId="41446612">
            <w:pPr>
              <w:widowControl/>
              <w:jc w:val="left"/>
              <w:rPr>
                <w:rFonts w:hint="default" w:ascii="Times New Roman" w:hAnsi="Times New Roman" w:eastAsia="仿宋" w:cs="Times New Roman"/>
                <w:kern w:val="0"/>
                <w:sz w:val="21"/>
                <w:szCs w:val="21"/>
                <w:highlight w:val="none"/>
                <w:u w:val="single"/>
                <w:lang w:val="en-US" w:eastAsia="zh-CN" w:bidi="ar-SA"/>
              </w:rPr>
            </w:pPr>
            <w:r>
              <w:rPr>
                <w:rFonts w:hint="default" w:ascii="Times New Roman" w:hAnsi="Times New Roman" w:eastAsia="仿宋" w:cs="Times New Roman"/>
                <w:kern w:val="0"/>
                <w:sz w:val="21"/>
                <w:szCs w:val="21"/>
                <w:highlight w:val="none"/>
              </w:rPr>
              <w:t>生产环节抽查合格率</w:t>
            </w:r>
            <w:r>
              <w:rPr>
                <w:rFonts w:hint="default" w:ascii="Times New Roman" w:hAnsi="Times New Roman" w:eastAsia="仿宋" w:cs="Times New Roman"/>
                <w:kern w:val="0"/>
                <w:sz w:val="21"/>
                <w:szCs w:val="21"/>
                <w:highlight w:val="none"/>
                <w:lang w:val="en-US" w:eastAsia="zh-CN"/>
              </w:rPr>
              <w:t>≥90%得6分，否则不得分。</w:t>
            </w:r>
          </w:p>
        </w:tc>
        <w:tc>
          <w:tcPr>
            <w:tcW w:w="244" w:type="pct"/>
            <w:noWrap w:val="0"/>
            <w:vAlign w:val="center"/>
          </w:tcPr>
          <w:p w14:paraId="2BEB794B">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237D24BE">
            <w:pPr>
              <w:widowControl/>
              <w:jc w:val="center"/>
              <w:rPr>
                <w:rFonts w:hint="default" w:ascii="Times New Roman" w:hAnsi="Times New Roman" w:eastAsia="仿宋" w:cs="Times New Roman"/>
                <w:color w:val="000000"/>
                <w:kern w:val="0"/>
                <w:sz w:val="21"/>
                <w:szCs w:val="21"/>
                <w:lang w:val="en-US" w:eastAsia="zh-CN"/>
              </w:rPr>
            </w:pPr>
          </w:p>
        </w:tc>
      </w:tr>
      <w:tr w14:paraId="4259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224" w:type="pct"/>
            <w:vMerge w:val="continue"/>
            <w:noWrap w:val="0"/>
            <w:vAlign w:val="center"/>
          </w:tcPr>
          <w:p w14:paraId="03142ED8">
            <w:pPr>
              <w:widowControl/>
              <w:jc w:val="left"/>
              <w:rPr>
                <w:rFonts w:hint="default" w:ascii="Times New Roman" w:hAnsi="Times New Roman" w:eastAsia="仿宋" w:cs="Times New Roman"/>
                <w:kern w:val="0"/>
                <w:sz w:val="21"/>
                <w:szCs w:val="21"/>
              </w:rPr>
            </w:pPr>
          </w:p>
        </w:tc>
        <w:tc>
          <w:tcPr>
            <w:tcW w:w="230" w:type="pct"/>
            <w:vMerge w:val="continue"/>
            <w:noWrap w:val="0"/>
            <w:vAlign w:val="center"/>
          </w:tcPr>
          <w:p w14:paraId="4C86ED31">
            <w:pPr>
              <w:widowControl/>
              <w:jc w:val="left"/>
              <w:rPr>
                <w:rFonts w:hint="default" w:ascii="Times New Roman" w:hAnsi="Times New Roman" w:eastAsia="仿宋" w:cs="Times New Roman"/>
                <w:kern w:val="0"/>
                <w:sz w:val="21"/>
                <w:szCs w:val="21"/>
                <w:highlight w:val="none"/>
              </w:rPr>
            </w:pPr>
          </w:p>
        </w:tc>
        <w:tc>
          <w:tcPr>
            <w:tcW w:w="391" w:type="pct"/>
            <w:noWrap w:val="0"/>
            <w:vAlign w:val="center"/>
          </w:tcPr>
          <w:p w14:paraId="7B63C841">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监管效益</w:t>
            </w:r>
          </w:p>
        </w:tc>
        <w:tc>
          <w:tcPr>
            <w:tcW w:w="237" w:type="pct"/>
            <w:noWrap w:val="0"/>
            <w:vAlign w:val="center"/>
          </w:tcPr>
          <w:p w14:paraId="332670CE">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6</w:t>
            </w:r>
          </w:p>
        </w:tc>
        <w:tc>
          <w:tcPr>
            <w:tcW w:w="901" w:type="pct"/>
            <w:noWrap w:val="0"/>
            <w:vAlign w:val="center"/>
          </w:tcPr>
          <w:p w14:paraId="01B9B5C1">
            <w:pPr>
              <w:widowControl/>
              <w:jc w:val="left"/>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公平竞争的市场秩序</w:t>
            </w:r>
          </w:p>
        </w:tc>
        <w:tc>
          <w:tcPr>
            <w:tcW w:w="425" w:type="pct"/>
            <w:noWrap w:val="0"/>
            <w:vAlign w:val="center"/>
          </w:tcPr>
          <w:p w14:paraId="5E1E3461">
            <w:pPr>
              <w:widowControl/>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分级评分法</w:t>
            </w:r>
          </w:p>
        </w:tc>
        <w:tc>
          <w:tcPr>
            <w:tcW w:w="2099" w:type="pct"/>
            <w:noWrap w:val="0"/>
            <w:vAlign w:val="center"/>
          </w:tcPr>
          <w:p w14:paraId="2EA3F491">
            <w:pPr>
              <w:widowControl/>
              <w:jc w:val="left"/>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稳中向好得6分；有待提升得3分；亟待规范不得分。</w:t>
            </w:r>
          </w:p>
        </w:tc>
        <w:tc>
          <w:tcPr>
            <w:tcW w:w="244" w:type="pct"/>
            <w:noWrap w:val="0"/>
            <w:vAlign w:val="center"/>
          </w:tcPr>
          <w:p w14:paraId="2AFD3F18">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6</w:t>
            </w:r>
          </w:p>
        </w:tc>
        <w:tc>
          <w:tcPr>
            <w:tcW w:w="244" w:type="pct"/>
            <w:noWrap w:val="0"/>
            <w:vAlign w:val="center"/>
          </w:tcPr>
          <w:p w14:paraId="03E59D88">
            <w:pPr>
              <w:widowControl/>
              <w:jc w:val="center"/>
              <w:rPr>
                <w:rFonts w:hint="default" w:ascii="Times New Roman" w:hAnsi="Times New Roman" w:eastAsia="仿宋" w:cs="Times New Roman"/>
                <w:color w:val="000000"/>
                <w:kern w:val="0"/>
                <w:sz w:val="21"/>
                <w:szCs w:val="21"/>
                <w:lang w:val="en-US" w:eastAsia="zh-CN"/>
              </w:rPr>
            </w:pPr>
          </w:p>
        </w:tc>
      </w:tr>
      <w:tr w14:paraId="60D0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24" w:type="pct"/>
            <w:vMerge w:val="continue"/>
            <w:noWrap w:val="0"/>
            <w:vAlign w:val="center"/>
          </w:tcPr>
          <w:p w14:paraId="0FBEFC8A">
            <w:pPr>
              <w:widowControl/>
              <w:jc w:val="left"/>
              <w:rPr>
                <w:rFonts w:hint="default" w:ascii="Times New Roman" w:hAnsi="Times New Roman" w:eastAsia="仿宋" w:cs="Times New Roman"/>
                <w:kern w:val="0"/>
                <w:sz w:val="21"/>
                <w:szCs w:val="21"/>
              </w:rPr>
            </w:pPr>
          </w:p>
        </w:tc>
        <w:tc>
          <w:tcPr>
            <w:tcW w:w="230" w:type="pct"/>
            <w:vMerge w:val="continue"/>
            <w:noWrap w:val="0"/>
            <w:vAlign w:val="center"/>
          </w:tcPr>
          <w:p w14:paraId="71730C12">
            <w:pPr>
              <w:widowControl/>
              <w:jc w:val="left"/>
              <w:rPr>
                <w:rFonts w:hint="default" w:ascii="Times New Roman" w:hAnsi="Times New Roman" w:eastAsia="仿宋" w:cs="Times New Roman"/>
                <w:kern w:val="0"/>
                <w:sz w:val="21"/>
                <w:szCs w:val="21"/>
                <w:highlight w:val="none"/>
              </w:rPr>
            </w:pPr>
          </w:p>
        </w:tc>
        <w:tc>
          <w:tcPr>
            <w:tcW w:w="391" w:type="pct"/>
            <w:noWrap w:val="0"/>
            <w:vAlign w:val="center"/>
          </w:tcPr>
          <w:p w14:paraId="3E5589C8">
            <w:pPr>
              <w:widowControl/>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监管可持续影响</w:t>
            </w:r>
          </w:p>
        </w:tc>
        <w:tc>
          <w:tcPr>
            <w:tcW w:w="237" w:type="pct"/>
            <w:noWrap w:val="0"/>
            <w:vAlign w:val="center"/>
          </w:tcPr>
          <w:p w14:paraId="603EA5F3">
            <w:pPr>
              <w:widowControl/>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4</w:t>
            </w:r>
          </w:p>
        </w:tc>
        <w:tc>
          <w:tcPr>
            <w:tcW w:w="901" w:type="pct"/>
            <w:noWrap w:val="0"/>
            <w:vAlign w:val="center"/>
          </w:tcPr>
          <w:p w14:paraId="30188927">
            <w:pPr>
              <w:widowControl/>
              <w:jc w:val="left"/>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严守食品安全、工业产品安全、特种设备安全底线</w:t>
            </w:r>
          </w:p>
        </w:tc>
        <w:tc>
          <w:tcPr>
            <w:tcW w:w="425" w:type="pct"/>
            <w:noWrap w:val="0"/>
            <w:vAlign w:val="center"/>
          </w:tcPr>
          <w:p w14:paraId="6286CBA9">
            <w:pPr>
              <w:widowControl/>
              <w:jc w:val="center"/>
              <w:rPr>
                <w:rFonts w:hint="default" w:ascii="Times New Roman" w:hAnsi="Times New Roman" w:eastAsia="仿宋" w:cs="Times New Roman"/>
                <w:kern w:val="0"/>
                <w:sz w:val="21"/>
                <w:szCs w:val="21"/>
                <w:highlight w:val="none"/>
                <w:lang w:val="en-US" w:eastAsia="zh-CN" w:bidi="ar-SA"/>
              </w:rPr>
            </w:pPr>
            <w:r>
              <w:rPr>
                <w:rFonts w:hint="default" w:ascii="Times New Roman" w:hAnsi="Times New Roman" w:eastAsia="仿宋" w:cs="Times New Roman"/>
                <w:kern w:val="0"/>
                <w:sz w:val="21"/>
                <w:szCs w:val="21"/>
                <w:highlight w:val="none"/>
              </w:rPr>
              <w:t>是否评分法</w:t>
            </w:r>
          </w:p>
        </w:tc>
        <w:tc>
          <w:tcPr>
            <w:tcW w:w="2099" w:type="pct"/>
            <w:noWrap w:val="0"/>
            <w:vAlign w:val="center"/>
          </w:tcPr>
          <w:p w14:paraId="3DF64441">
            <w:pPr>
              <w:widowControl/>
              <w:jc w:val="left"/>
              <w:rPr>
                <w:rFonts w:hint="default" w:ascii="Times New Roman" w:hAnsi="Times New Roman" w:eastAsia="仿宋" w:cs="Times New Roman"/>
                <w:kern w:val="0"/>
                <w:sz w:val="21"/>
                <w:szCs w:val="21"/>
                <w:highlight w:val="none"/>
                <w:lang w:val="en-US" w:eastAsia="zh-CN" w:bidi="ar-SA"/>
              </w:rPr>
            </w:pPr>
            <w:r>
              <w:rPr>
                <w:rFonts w:hint="default" w:ascii="Times New Roman" w:hAnsi="Times New Roman" w:eastAsia="仿宋" w:cs="Times New Roman"/>
                <w:kern w:val="0"/>
                <w:sz w:val="21"/>
                <w:szCs w:val="21"/>
                <w:highlight w:val="none"/>
                <w:lang w:val="en-US" w:eastAsia="zh-CN" w:bidi="ar-SA"/>
              </w:rPr>
              <w:t>长期</w:t>
            </w:r>
            <w:r>
              <w:rPr>
                <w:rFonts w:hint="default" w:ascii="Times New Roman" w:hAnsi="Times New Roman" w:eastAsia="仿宋" w:cs="Times New Roman"/>
                <w:kern w:val="0"/>
                <w:sz w:val="21"/>
                <w:szCs w:val="21"/>
                <w:highlight w:val="none"/>
              </w:rPr>
              <w:t>严守食品安全、工业产品安全、特种设备安全底线</w:t>
            </w:r>
            <w:r>
              <w:rPr>
                <w:rFonts w:hint="default" w:ascii="Times New Roman" w:hAnsi="Times New Roman" w:eastAsia="仿宋" w:cs="Times New Roman"/>
                <w:kern w:val="0"/>
                <w:sz w:val="21"/>
                <w:szCs w:val="21"/>
                <w:highlight w:val="none"/>
                <w:lang w:val="en-US" w:eastAsia="zh-CN"/>
              </w:rPr>
              <w:t>得4分，否则不得分。</w:t>
            </w:r>
          </w:p>
        </w:tc>
        <w:tc>
          <w:tcPr>
            <w:tcW w:w="244" w:type="pct"/>
            <w:noWrap w:val="0"/>
            <w:vAlign w:val="center"/>
          </w:tcPr>
          <w:p w14:paraId="0CD581A1">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4</w:t>
            </w:r>
          </w:p>
        </w:tc>
        <w:tc>
          <w:tcPr>
            <w:tcW w:w="244" w:type="pct"/>
            <w:noWrap w:val="0"/>
            <w:vAlign w:val="center"/>
          </w:tcPr>
          <w:p w14:paraId="3EBD40FF">
            <w:pPr>
              <w:widowControl/>
              <w:jc w:val="center"/>
              <w:rPr>
                <w:rFonts w:hint="default" w:ascii="Times New Roman" w:hAnsi="Times New Roman" w:eastAsia="仿宋" w:cs="Times New Roman"/>
                <w:color w:val="000000"/>
                <w:kern w:val="0"/>
                <w:sz w:val="21"/>
                <w:szCs w:val="21"/>
                <w:lang w:val="en-US" w:eastAsia="zh-CN"/>
              </w:rPr>
            </w:pPr>
          </w:p>
        </w:tc>
      </w:tr>
      <w:tr w14:paraId="4A4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5" w:type="pct"/>
            <w:gridSpan w:val="2"/>
            <w:noWrap w:val="0"/>
            <w:vAlign w:val="center"/>
          </w:tcPr>
          <w:p w14:paraId="06BC1886">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扣分项（10分）</w:t>
            </w:r>
          </w:p>
        </w:tc>
        <w:tc>
          <w:tcPr>
            <w:tcW w:w="391" w:type="pct"/>
            <w:noWrap w:val="0"/>
            <w:vAlign w:val="center"/>
          </w:tcPr>
          <w:p w14:paraId="56FB897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绩效管理存在问题</w:t>
            </w:r>
          </w:p>
        </w:tc>
        <w:tc>
          <w:tcPr>
            <w:tcW w:w="237" w:type="pct"/>
            <w:noWrap w:val="0"/>
            <w:vAlign w:val="center"/>
          </w:tcPr>
          <w:p w14:paraId="068FAAC9">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901" w:type="pct"/>
            <w:noWrap w:val="0"/>
            <w:vAlign w:val="center"/>
          </w:tcPr>
          <w:p w14:paraId="180947DB">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预算绩效管理工作存在问题</w:t>
            </w:r>
          </w:p>
        </w:tc>
        <w:tc>
          <w:tcPr>
            <w:tcW w:w="425" w:type="pct"/>
            <w:noWrap w:val="0"/>
            <w:vAlign w:val="center"/>
          </w:tcPr>
          <w:p w14:paraId="12846805">
            <w:pPr>
              <w:widowControl/>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缺（错）项扣分法</w:t>
            </w:r>
          </w:p>
        </w:tc>
        <w:tc>
          <w:tcPr>
            <w:tcW w:w="2099" w:type="pct"/>
            <w:noWrap w:val="0"/>
            <w:vAlign w:val="center"/>
          </w:tcPr>
          <w:p w14:paraId="2F6C3293">
            <w:pPr>
              <w:widowControl/>
              <w:jc w:val="left"/>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依据评价年度人大监督、巡视巡察、审计监督、财会监督等结果以及评价指标体系涉及各方面出现的问题，每有一个问题点扣1分，扣完为止。</w:t>
            </w:r>
          </w:p>
        </w:tc>
        <w:tc>
          <w:tcPr>
            <w:tcW w:w="244" w:type="pct"/>
            <w:noWrap w:val="0"/>
            <w:vAlign w:val="center"/>
          </w:tcPr>
          <w:p w14:paraId="5E585B47">
            <w:pPr>
              <w:widowControl/>
              <w:jc w:val="center"/>
              <w:rPr>
                <w:rFonts w:hint="default" w:ascii="Times New Roman" w:hAnsi="Times New Roman" w:eastAsia="仿宋" w:cs="Times New Roman"/>
                <w:color w:val="000000"/>
                <w:kern w:val="0"/>
                <w:sz w:val="21"/>
                <w:szCs w:val="21"/>
                <w:lang w:val="en-US" w:eastAsia="zh-CN"/>
              </w:rPr>
            </w:pPr>
          </w:p>
        </w:tc>
        <w:tc>
          <w:tcPr>
            <w:tcW w:w="244" w:type="pct"/>
            <w:noWrap w:val="0"/>
            <w:vAlign w:val="center"/>
          </w:tcPr>
          <w:p w14:paraId="290FD47C">
            <w:pPr>
              <w:widowControl/>
              <w:jc w:val="center"/>
              <w:rPr>
                <w:rFonts w:hint="default" w:ascii="Times New Roman" w:hAnsi="Times New Roman" w:eastAsia="仿宋" w:cs="Times New Roman"/>
                <w:color w:val="000000"/>
                <w:kern w:val="0"/>
                <w:sz w:val="21"/>
                <w:szCs w:val="21"/>
                <w:lang w:val="en-US" w:eastAsia="zh-CN"/>
              </w:rPr>
            </w:pPr>
          </w:p>
        </w:tc>
      </w:tr>
      <w:tr w14:paraId="30CC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11" w:type="pct"/>
            <w:gridSpan w:val="7"/>
            <w:noWrap w:val="0"/>
            <w:vAlign w:val="center"/>
          </w:tcPr>
          <w:p w14:paraId="761ABAD9">
            <w:pPr>
              <w:widowControl/>
              <w:jc w:val="center"/>
              <w:rPr>
                <w:rFonts w:hint="default" w:ascii="Times New Roman" w:hAnsi="Times New Roman" w:eastAsia="仿宋" w:cs="Times New Roman"/>
                <w:kern w:val="0"/>
                <w:sz w:val="21"/>
                <w:szCs w:val="21"/>
                <w:lang w:val="en-US" w:eastAsia="zh-CN"/>
              </w:rPr>
            </w:pPr>
            <w:r>
              <w:rPr>
                <w:rFonts w:hint="default" w:ascii="Times New Roman" w:hAnsi="Times New Roman" w:eastAsia="仿宋" w:cs="Times New Roman"/>
                <w:kern w:val="0"/>
                <w:sz w:val="21"/>
                <w:szCs w:val="21"/>
                <w:lang w:val="en-US" w:eastAsia="zh-CN"/>
              </w:rPr>
              <w:t>总分</w:t>
            </w:r>
          </w:p>
        </w:tc>
        <w:tc>
          <w:tcPr>
            <w:tcW w:w="244" w:type="pct"/>
            <w:noWrap w:val="0"/>
            <w:vAlign w:val="center"/>
          </w:tcPr>
          <w:p w14:paraId="1FA06C84">
            <w:pPr>
              <w:widowControl/>
              <w:jc w:val="center"/>
              <w:rPr>
                <w:rFonts w:hint="default" w:ascii="Times New Roman" w:hAnsi="Times New Roman" w:eastAsia="仿宋" w:cs="Times New Roman"/>
                <w:color w:val="000000"/>
                <w:kern w:val="0"/>
                <w:sz w:val="21"/>
                <w:szCs w:val="21"/>
                <w:lang w:val="en-US" w:eastAsia="zh-CN"/>
              </w:rPr>
            </w:pPr>
            <w:r>
              <w:rPr>
                <w:rFonts w:hint="eastAsia" w:eastAsia="仿宋" w:cs="Times New Roman"/>
                <w:color w:val="000000"/>
                <w:kern w:val="0"/>
                <w:sz w:val="21"/>
                <w:szCs w:val="21"/>
                <w:lang w:val="en-US" w:eastAsia="zh-CN"/>
              </w:rPr>
              <w:t>98.9</w:t>
            </w:r>
          </w:p>
        </w:tc>
        <w:tc>
          <w:tcPr>
            <w:tcW w:w="244" w:type="pct"/>
            <w:noWrap w:val="0"/>
            <w:vAlign w:val="center"/>
          </w:tcPr>
          <w:p w14:paraId="3434E4F1">
            <w:pPr>
              <w:widowControl/>
              <w:jc w:val="center"/>
              <w:rPr>
                <w:rFonts w:hint="default" w:ascii="Times New Roman" w:hAnsi="Times New Roman" w:eastAsia="仿宋" w:cs="Times New Roman"/>
                <w:color w:val="000000"/>
                <w:kern w:val="0"/>
                <w:sz w:val="21"/>
                <w:szCs w:val="21"/>
                <w:lang w:val="en-US" w:eastAsia="zh-CN"/>
              </w:rPr>
            </w:pPr>
          </w:p>
        </w:tc>
      </w:tr>
    </w:tbl>
    <w:p w14:paraId="7AEEA21A"/>
    <w:p w14:paraId="733353AB">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12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styleId="3">
    <w:name w:val="index 5"/>
    <w:basedOn w:val="1"/>
    <w:next w:val="1"/>
    <w:qFormat/>
    <w:uiPriority w:val="0"/>
    <w:pPr>
      <w:ind w:firstLine="640" w:firstLineChars="200"/>
    </w:pPr>
    <w:rPr>
      <w:rFonts w:ascii="仿宋" w:hAnsi="仿宋" w:eastAsia="仿宋"/>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2026-03-26T07:33:45Z</dcterms:created>
  <dc:creator>Administrator</dc:creator>
  <cp:lastModifiedBy>谢海艳</cp:lastModifiedBy>
  <dcterms:modified xsi:type="dcterms:W3CDTF">2026-03-26T07:33:53Z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eyJoZGlkIjoiNWIwZjMwNTUzOGMzYjBlYTRhZjQ3ZjY1ZTFkNjg5NzciLCJ1c2VySWQiOiIxMjAzMzc2MDU5In0=</vt:lpwstr>
  </property>
  <property fmtid="{D5CDD505-2E9C-101B-9397-08002B2CF9AE}" pid="4" name="ICV">
    <vt:lpwstr>441160955DD445F2AB4A15F87A9A4B82_12</vt:lpwstr>
  </property>
</Properties>
</file>