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CBA10">
      <w:pPr>
        <w:pStyle w:val="5"/>
        <w:spacing w:line="560" w:lineRule="exact"/>
        <w:ind w:firstLine="803" w:firstLineChars="200"/>
        <w:jc w:val="center"/>
        <w:rPr>
          <w:rFonts w:hint="eastAsia" w:ascii="黑体" w:hAnsi="黑体" w:eastAsia="黑体" w:cs="黑体"/>
          <w:sz w:val="40"/>
          <w:szCs w:val="40"/>
        </w:rPr>
      </w:pPr>
      <w:r>
        <w:rPr>
          <w:rStyle w:val="8"/>
          <w:rFonts w:hint="eastAsia" w:ascii="黑体" w:hAnsi="黑体" w:eastAsia="黑体" w:cs="黑体"/>
          <w:sz w:val="40"/>
          <w:szCs w:val="40"/>
        </w:rPr>
        <w:t>四川省阿坝州财政局投资评审中心</w:t>
      </w:r>
      <w:r>
        <w:rPr>
          <w:rStyle w:val="8"/>
          <w:rFonts w:hint="eastAsia" w:ascii="黑体" w:hAnsi="黑体" w:eastAsia="黑体" w:cs="黑体"/>
          <w:sz w:val="40"/>
          <w:szCs w:val="40"/>
          <w:lang w:val="en-US" w:eastAsia="zh-CN"/>
        </w:rPr>
        <w:t>2025</w:t>
      </w:r>
      <w:r>
        <w:rPr>
          <w:rStyle w:val="8"/>
          <w:rFonts w:hint="eastAsia" w:ascii="黑体" w:hAnsi="黑体" w:eastAsia="黑体" w:cs="黑体"/>
          <w:sz w:val="40"/>
          <w:szCs w:val="40"/>
        </w:rPr>
        <w:t>年度部门决算分析报告</w:t>
      </w:r>
    </w:p>
    <w:p w14:paraId="43B2EDCD">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一、单位情况</w:t>
      </w:r>
    </w:p>
    <w:p w14:paraId="3EA8CEA5">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（一）基本情况。</w:t>
      </w:r>
    </w:p>
    <w:p w14:paraId="68846C7D">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1．主要职能。</w:t>
      </w:r>
    </w:p>
    <w:p w14:paraId="5DF7DBE2">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（一）履行政治领导责任，做好理论武装和思想政治工作，负责学习、宣传、贯彻执行党的理论和路线方针政策，贯彻落实党中央、省委、州委的决策部署，发挥好把方向、管大局、保落实的重要作用。</w:t>
      </w:r>
    </w:p>
    <w:p w14:paraId="2705B7D4">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讨论和决定本单位下列重大问题。党的路线方针政策、国家法律法规和上级党组织重要会议、重要文件、重大决策部署的贯彻落实事项。需要向上级党组织请示报告的重要事项。内部机构设置、职责、人员编制等事项。重大决策、重要人事任免、重大项目安排、大额资金使用等事项。基层党组织和党员队伍建设方面的重要事项。意识形态工作、思想政治工作和精神文明建设方面的重要事项。党风廉政建设和反腐败工作方面的重要事项，其他应当由党组讨论和决定的重大问题。</w:t>
      </w:r>
    </w:p>
    <w:p w14:paraId="046C1A19">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（三）贯彻党管干部原则，加强干部队伍建设，完善干部培养选拔机制，加强干部教育管理监督。贯彻党管人才原则，加强人才队伍建设。加强对本单位工会、共青团、妇联等群团工作的领导。</w:t>
      </w:r>
    </w:p>
    <w:p w14:paraId="674B6D39">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（四）履行党要管党、从严治党责任，加强对本单位党的建设的领导，落实党建工作责任制。认真履行党风廉政建设主体责任，支持纪检监察机构履行监督责任。</w:t>
      </w:r>
    </w:p>
    <w:p w14:paraId="72B55AAE">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第四条  州财政局贯彻落实党中央关于财经工作的方针政策和省委、州委的决策部署,在履行职责过程中坚持和加强党对财政工作的集中统一领导。主要职责是: </w:t>
      </w:r>
    </w:p>
    <w:p w14:paraId="540C5696">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拟订全州财税发展战略、规划、政策和改革方案并组织实施。分析预测宏观经济形势,参与制定宏观经济政策,提出运用财税政策实施宏观调控和综合平衡社会财力的建议。拟订州与县(市、区)、国家与企业的分配政策,完善鼓励公益事业发展的财税政策。</w:t>
      </w:r>
    </w:p>
    <w:p w14:paraId="1134D969">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(二)贯彻执行财政、税收、财务、会计管理的法律法规和规章。提出全州性财税立法规划建议,负责组织起草财税地方性法规、规章草案并组织实施。按照管理权限管理全州税政事项。</w:t>
      </w:r>
    </w:p>
    <w:p w14:paraId="48F23FE6">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负责管理各项财政收支。编制年度州级预决算草案并组织执行。组织制定经费开支标准、定额,审核批复部门(单位)年度预决算。受州政府委托,向州人大及其常委会报告财政预算、执行和决算等情况。负责政府投资基金州级财政出资的资产管理。负责州级预决算公开。负责全面实施预算绩效管理。</w:t>
      </w:r>
    </w:p>
    <w:p w14:paraId="1C43707B">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(四)按分工负责政府非税收入管理。负责政府性基金管理,按规定管理行政事业性收费等其他非税收入。管理财政票据。制定彩票管理政策和有关办法,监管彩票市场,按规定管理彩票资金。</w:t>
      </w:r>
    </w:p>
    <w:p w14:paraId="10B45EAD">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(五)组织制定全州国库管理制度、国库集中收付制度,指导和监督国库业务,开展国库现金管理工作。贯彻执行政府财务报告编制办法并组织实施。负责制定政府采购制度并监督管理。</w:t>
      </w:r>
    </w:p>
    <w:p w14:paraId="13AD268D">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(六)贯彻执行地方政府债务管理制度和政策,制定具体管理办法,编制地方政府债余额限额计划,统一管理政府外债,防范财政风险。</w:t>
      </w:r>
    </w:p>
    <w:p w14:paraId="11869FD5">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牵头编制全州国有资产管理情况报告。根据州政府授权,集中统一履行州级国有金融资本出资人职责。制定州级国有金融资本管理制度。拟订全州行政事业单位国有资产管理制度并组织实施。制定需要全州统一规定的开支标准和支出政策。</w:t>
      </w:r>
    </w:p>
    <w:p w14:paraId="196E71AD">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负责审核并汇总编制全州国有资本经营预决算草案。制定国有资本经营预算制度和办法,收取州本级企业国有资本收益。组织实施企业财务制度,负责财政预算内行政事业单位和社会团体的非贸易外汇和财政预算内的国际收支管理。</w:t>
      </w:r>
    </w:p>
    <w:p w14:paraId="6CC46263">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(九)负责审核并汇总编制全州社会保险基金预决算草案,会同有关部门拟订有关资金(基金)财务管理制度,承担社会保险基金财政监管工作。</w:t>
      </w:r>
    </w:p>
    <w:p w14:paraId="494F9291">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(十)负责办理和监督州级财政的经济发展支出、州级政府性投资项目的财政拨款,负责投资评审管理工作,参与拟订州级基建投资有关政策,制定基建财务管理制度。</w:t>
      </w:r>
    </w:p>
    <w:p w14:paraId="6DB7AADE">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(十一)管理外国政府和国际金融机构贷(赠)款项目的有关业务,参与财经领域的国际交流与合作。</w:t>
      </w:r>
    </w:p>
    <w:p w14:paraId="15F05B4F">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(十二)负责管理全州会计工作,监督和规范会计行为,组织实施国家统一的会计制度,指导和监督注册会计师和会计师事务所的业务,指导和管理社会审计。依法管理资产评估有关工作。</w:t>
      </w:r>
    </w:p>
    <w:p w14:paraId="2F523986">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(十三)负责职责范围内的安全生产和职业健康、生态环境保护、审批服务便民化等工作。</w:t>
      </w:r>
    </w:p>
    <w:p w14:paraId="42BFD51F">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(十四)完成州委、州政府交办的其他任务。</w:t>
      </w:r>
    </w:p>
    <w:p w14:paraId="016F9094">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2．本单位本年度纳入本套决算编制范围的独立编制机构数共1个，比上年增加0个，无</w:t>
      </w:r>
      <w:r>
        <w:rPr>
          <w:rStyle w:val="8"/>
          <w:rFonts w:hint="eastAsia" w:ascii="仿宋_GB2312" w:hAnsi="仿宋_GB2312" w:eastAsia="仿宋_GB2312" w:cs="仿宋_GB2312"/>
          <w:sz w:val="32"/>
          <w:szCs w:val="32"/>
        </w:rPr>
        <w:t>变动情况</w:t>
      </w:r>
      <w:r>
        <w:rPr>
          <w:rFonts w:hint="eastAsia" w:ascii="仿宋_GB2312" w:hAnsi="仿宋_GB2312" w:eastAsia="仿宋_GB2312" w:cs="仿宋_GB2312"/>
          <w:sz w:val="32"/>
          <w:szCs w:val="32"/>
        </w:rPr>
        <w:t>；独立核算机构数共1个，比上年增加0个，</w:t>
      </w:r>
      <w:r>
        <w:rPr>
          <w:rStyle w:val="8"/>
          <w:rFonts w:hint="eastAsia" w:ascii="仿宋_GB2312" w:hAnsi="仿宋_GB2312" w:eastAsia="仿宋_GB2312" w:cs="仿宋_GB2312"/>
          <w:sz w:val="32"/>
          <w:szCs w:val="32"/>
        </w:rPr>
        <w:t>无变化</w:t>
      </w:r>
    </w:p>
    <w:p w14:paraId="5B3A4EAE">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本单位本年度年末实有人数为42人，比上年增加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人；年末实有离退休人数为0人，比上年增加0人；无</w:t>
      </w:r>
      <w:r>
        <w:rPr>
          <w:rStyle w:val="8"/>
          <w:rFonts w:hint="eastAsia" w:ascii="仿宋_GB2312" w:hAnsi="仿宋_GB2312" w:eastAsia="仿宋_GB2312" w:cs="仿宋_GB2312"/>
          <w:sz w:val="32"/>
          <w:szCs w:val="32"/>
        </w:rPr>
        <w:t>变动情况。</w:t>
      </w:r>
      <w:r>
        <w:rPr>
          <w:rFonts w:hint="eastAsia" w:ascii="仿宋_GB2312" w:hAnsi="仿宋_GB2312" w:eastAsia="仿宋_GB2312" w:cs="仿宋_GB2312"/>
          <w:sz w:val="32"/>
          <w:szCs w:val="32"/>
        </w:rPr>
        <w:t>年末实有其他人数为0人，比上年增加0人；无</w:t>
      </w:r>
      <w:r>
        <w:rPr>
          <w:rStyle w:val="8"/>
          <w:rFonts w:hint="eastAsia" w:ascii="仿宋_GB2312" w:hAnsi="仿宋_GB2312" w:eastAsia="仿宋_GB2312" w:cs="仿宋_GB2312"/>
          <w:sz w:val="32"/>
          <w:szCs w:val="32"/>
        </w:rPr>
        <w:t>变动。</w:t>
      </w:r>
    </w:p>
    <w:p w14:paraId="741D94AE">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（二）当年取得的主要事业成效。</w:t>
      </w:r>
    </w:p>
    <w:p w14:paraId="43F996F6">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一、概述单位工作开展情况及主要事业成效。</w:t>
      </w:r>
    </w:p>
    <w:p w14:paraId="70D58C74">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全州开展绩效监管巡查调研，全州财政绩效监督培训等，加强了全州绩效管控体系建设，深入实施绩效评估、绩效目标管理、绩效运行监控和绩效评价，大力提升绩效管理质效和绩效结果应用；就投资评审经费来看，本年度完成全州相关项目评审，开展对投资项目建设全过程的管理和绩效评价等方面的业务，承担对财政资金安排的项目预算的评审任务，参与州级机关项目管理有关政策、法规以及政府性投资评审操作流程、指标体系的研究和项目标准，定额的标准。</w:t>
      </w:r>
    </w:p>
    <w:p w14:paraId="0ACBB781">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二、收入支出预算执行情况分析。</w:t>
      </w:r>
    </w:p>
    <w:p w14:paraId="4E059756">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（一）收入支出预算安排情况。</w:t>
      </w:r>
    </w:p>
    <w:p w14:paraId="02B7B23B">
      <w:pPr>
        <w:pStyle w:val="5"/>
        <w:spacing w:line="560" w:lineRule="exact"/>
        <w:ind w:firstLine="640" w:firstLineChars="200"/>
        <w:rPr>
          <w:rStyle w:val="8"/>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本单位本年度收入的年初预算数为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万元，上年度收入的年初预算数为</w:t>
      </w:r>
      <w:r>
        <w:rPr>
          <w:rFonts w:hint="eastAsia" w:ascii="仿宋_GB2312" w:hAnsi="仿宋_GB2312" w:eastAsia="仿宋_GB2312" w:cs="仿宋_GB2312"/>
          <w:sz w:val="32"/>
          <w:szCs w:val="32"/>
          <w:lang w:val="en-US" w:eastAsia="zh-CN"/>
        </w:rPr>
        <w:t>1947.06</w:t>
      </w:r>
      <w:r>
        <w:rPr>
          <w:rFonts w:hint="eastAsia" w:ascii="仿宋_GB2312" w:hAnsi="仿宋_GB2312" w:eastAsia="仿宋_GB2312" w:cs="仿宋_GB2312"/>
          <w:sz w:val="32"/>
          <w:szCs w:val="32"/>
        </w:rPr>
        <w:t>万元，差异为</w:t>
      </w:r>
      <w:r>
        <w:rPr>
          <w:rFonts w:hint="eastAsia" w:ascii="仿宋_GB2312" w:hAnsi="仿宋_GB2312" w:eastAsia="仿宋_GB2312" w:cs="仿宋_GB2312"/>
          <w:sz w:val="32"/>
          <w:szCs w:val="32"/>
          <w:lang w:val="en-US" w:eastAsia="zh-CN"/>
        </w:rPr>
        <w:t>407.43</w:t>
      </w:r>
      <w:r>
        <w:rPr>
          <w:rFonts w:hint="eastAsia" w:ascii="仿宋_GB2312" w:hAnsi="仿宋_GB2312" w:eastAsia="仿宋_GB2312" w:cs="仿宋_GB2312"/>
          <w:sz w:val="32"/>
          <w:szCs w:val="32"/>
        </w:rPr>
        <w:t>万元；</w:t>
      </w:r>
      <w:r>
        <w:rPr>
          <w:rStyle w:val="8"/>
          <w:rFonts w:hint="eastAsia" w:ascii="仿宋_GB2312" w:hAnsi="仿宋_GB2312" w:eastAsia="仿宋_GB2312" w:cs="仿宋_GB2312"/>
          <w:b w:val="0"/>
          <w:bCs w:val="0"/>
          <w:sz w:val="32"/>
          <w:szCs w:val="32"/>
        </w:rPr>
        <w:t>主要原因</w:t>
      </w:r>
      <w:r>
        <w:rPr>
          <w:rStyle w:val="8"/>
          <w:rFonts w:hint="eastAsia" w:ascii="仿宋_GB2312" w:hAnsi="仿宋_GB2312" w:eastAsia="仿宋_GB2312" w:cs="仿宋_GB2312"/>
          <w:b w:val="0"/>
          <w:bCs w:val="0"/>
          <w:sz w:val="32"/>
          <w:szCs w:val="32"/>
          <w:lang w:eastAsia="zh-CN"/>
        </w:rPr>
        <w:t>为财政评审新增项目</w:t>
      </w:r>
      <w:r>
        <w:rPr>
          <w:rStyle w:val="8"/>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rPr>
        <w:t>本年度支出的年</w:t>
      </w:r>
      <w:r>
        <w:rPr>
          <w:rFonts w:hint="eastAsia" w:ascii="仿宋_GB2312" w:hAnsi="仿宋_GB2312" w:eastAsia="仿宋_GB2312" w:cs="仿宋_GB2312"/>
          <w:sz w:val="32"/>
          <w:szCs w:val="32"/>
        </w:rPr>
        <w:t>初预算数为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元，上年度支出的年初预算数为</w:t>
      </w:r>
      <w:r>
        <w:rPr>
          <w:rFonts w:hint="eastAsia" w:ascii="仿宋_GB2312" w:hAnsi="仿宋_GB2312" w:eastAsia="仿宋_GB2312" w:cs="仿宋_GB2312"/>
          <w:sz w:val="32"/>
          <w:szCs w:val="32"/>
          <w:lang w:val="en-US" w:eastAsia="zh-CN"/>
        </w:rPr>
        <w:t>1947.06</w:t>
      </w:r>
      <w:r>
        <w:rPr>
          <w:rFonts w:hint="eastAsia" w:ascii="仿宋_GB2312" w:hAnsi="仿宋_GB2312" w:eastAsia="仿宋_GB2312" w:cs="仿宋_GB2312"/>
          <w:sz w:val="32"/>
          <w:szCs w:val="32"/>
        </w:rPr>
        <w:t>万元，差异为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Style w:val="8"/>
          <w:rFonts w:hint="eastAsia" w:ascii="仿宋_GB2312" w:hAnsi="仿宋_GB2312" w:eastAsia="仿宋_GB2312" w:cs="仿宋_GB2312"/>
          <w:b w:val="0"/>
          <w:bCs w:val="0"/>
          <w:sz w:val="32"/>
          <w:szCs w:val="32"/>
        </w:rPr>
        <w:t>主要原因</w:t>
      </w:r>
      <w:r>
        <w:rPr>
          <w:rStyle w:val="8"/>
          <w:rFonts w:hint="eastAsia" w:ascii="仿宋_GB2312" w:hAnsi="仿宋_GB2312" w:eastAsia="仿宋_GB2312" w:cs="仿宋_GB2312"/>
          <w:b w:val="0"/>
          <w:bCs w:val="0"/>
          <w:sz w:val="32"/>
          <w:szCs w:val="32"/>
          <w:lang w:eastAsia="zh-CN"/>
        </w:rPr>
        <w:t>为财政评审新增项目</w:t>
      </w:r>
      <w:r>
        <w:rPr>
          <w:rStyle w:val="8"/>
          <w:rFonts w:hint="eastAsia" w:ascii="仿宋_GB2312" w:hAnsi="仿宋_GB2312" w:eastAsia="仿宋_GB2312" w:cs="仿宋_GB2312"/>
          <w:sz w:val="32"/>
          <w:szCs w:val="32"/>
        </w:rPr>
        <w:t>。</w:t>
      </w:r>
    </w:p>
    <w:p w14:paraId="7FDC1B86">
      <w:pPr>
        <w:pStyle w:val="5"/>
        <w:spacing w:line="560" w:lineRule="exact"/>
        <w:ind w:firstLine="640" w:firstLineChars="200"/>
        <w:rPr>
          <w:rStyle w:val="8"/>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60288" behindDoc="0" locked="0" layoutInCell="1" allowOverlap="1">
            <wp:simplePos x="0" y="0"/>
            <wp:positionH relativeFrom="column">
              <wp:posOffset>73660</wp:posOffset>
            </wp:positionH>
            <wp:positionV relativeFrom="paragraph">
              <wp:posOffset>80645</wp:posOffset>
            </wp:positionV>
            <wp:extent cx="5256530" cy="2988310"/>
            <wp:effectExtent l="5080" t="4445" r="11430" b="952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p>
    <w:p w14:paraId="5BA7FEA3">
      <w:pPr>
        <w:pStyle w:val="5"/>
        <w:spacing w:line="560" w:lineRule="exact"/>
        <w:ind w:firstLine="643" w:firstLineChars="200"/>
        <w:rPr>
          <w:rStyle w:val="8"/>
          <w:rFonts w:hint="eastAsia" w:ascii="仿宋_GB2312" w:hAnsi="仿宋_GB2312" w:eastAsia="仿宋_GB2312" w:cs="仿宋_GB2312"/>
          <w:sz w:val="32"/>
          <w:szCs w:val="32"/>
        </w:rPr>
      </w:pPr>
    </w:p>
    <w:p w14:paraId="01660642">
      <w:pPr>
        <w:pStyle w:val="5"/>
        <w:spacing w:line="560" w:lineRule="exact"/>
        <w:ind w:firstLine="643" w:firstLineChars="200"/>
        <w:rPr>
          <w:rStyle w:val="8"/>
          <w:rFonts w:hint="eastAsia" w:ascii="仿宋_GB2312" w:hAnsi="仿宋_GB2312" w:eastAsia="仿宋_GB2312" w:cs="仿宋_GB2312"/>
          <w:sz w:val="32"/>
          <w:szCs w:val="32"/>
        </w:rPr>
      </w:pPr>
    </w:p>
    <w:p w14:paraId="78149BC3">
      <w:pPr>
        <w:pStyle w:val="5"/>
        <w:spacing w:line="560" w:lineRule="exact"/>
        <w:ind w:firstLine="643" w:firstLineChars="200"/>
        <w:rPr>
          <w:rStyle w:val="8"/>
          <w:rFonts w:hint="eastAsia" w:ascii="仿宋_GB2312" w:hAnsi="仿宋_GB2312" w:eastAsia="仿宋_GB2312" w:cs="仿宋_GB2312"/>
          <w:sz w:val="32"/>
          <w:szCs w:val="32"/>
        </w:rPr>
      </w:pPr>
    </w:p>
    <w:p w14:paraId="21AFDAC8">
      <w:pPr>
        <w:pStyle w:val="5"/>
        <w:spacing w:line="560" w:lineRule="exact"/>
        <w:ind w:firstLine="643" w:firstLineChars="200"/>
        <w:rPr>
          <w:rStyle w:val="8"/>
          <w:rFonts w:hint="eastAsia" w:ascii="仿宋_GB2312" w:hAnsi="仿宋_GB2312" w:eastAsia="仿宋_GB2312" w:cs="仿宋_GB2312"/>
          <w:sz w:val="32"/>
          <w:szCs w:val="32"/>
        </w:rPr>
      </w:pPr>
    </w:p>
    <w:p w14:paraId="541D414E">
      <w:pPr>
        <w:pStyle w:val="5"/>
        <w:spacing w:line="560" w:lineRule="exact"/>
        <w:ind w:firstLine="643" w:firstLineChars="200"/>
        <w:rPr>
          <w:rStyle w:val="8"/>
          <w:rFonts w:hint="eastAsia" w:ascii="仿宋_GB2312" w:hAnsi="仿宋_GB2312" w:eastAsia="仿宋_GB2312" w:cs="仿宋_GB2312"/>
          <w:sz w:val="32"/>
          <w:szCs w:val="32"/>
        </w:rPr>
      </w:pPr>
    </w:p>
    <w:p w14:paraId="7EAE7E7D">
      <w:pPr>
        <w:pStyle w:val="5"/>
        <w:spacing w:line="560" w:lineRule="exact"/>
        <w:ind w:firstLine="640" w:firstLineChars="200"/>
        <w:rPr>
          <w:rFonts w:hint="eastAsia" w:ascii="仿宋_GB2312" w:hAnsi="仿宋_GB2312" w:eastAsia="仿宋_GB2312" w:cs="仿宋_GB2312"/>
          <w:sz w:val="32"/>
          <w:szCs w:val="32"/>
          <w:lang w:eastAsia="zh-CN"/>
        </w:rPr>
      </w:pPr>
    </w:p>
    <w:p w14:paraId="42657E5E">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（二）收入支出预算执行情况。</w:t>
      </w:r>
    </w:p>
    <w:p w14:paraId="3CEA4A40">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本单位本年度收入全年预算数为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万元，收入决算数为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万元，预算完成度为100.00%，上年度预算完成度为100.00%，</w:t>
      </w:r>
      <w:r>
        <w:rPr>
          <w:rStyle w:val="8"/>
          <w:rFonts w:hint="eastAsia" w:ascii="仿宋_GB2312" w:hAnsi="仿宋_GB2312" w:eastAsia="仿宋_GB2312" w:cs="仿宋_GB2312"/>
          <w:sz w:val="32"/>
          <w:szCs w:val="32"/>
        </w:rPr>
        <w:t>无差异</w:t>
      </w:r>
      <w:r>
        <w:rPr>
          <w:rFonts w:hint="eastAsia" w:ascii="仿宋_GB2312" w:hAnsi="仿宋_GB2312" w:eastAsia="仿宋_GB2312" w:cs="仿宋_GB2312"/>
          <w:sz w:val="32"/>
          <w:szCs w:val="32"/>
        </w:rPr>
        <w:t>。 本年度支出全年预算数为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万元，预算完成度为100.00%，上年度预算完成度为100.00%，</w:t>
      </w:r>
      <w:r>
        <w:rPr>
          <w:rStyle w:val="8"/>
          <w:rFonts w:hint="eastAsia" w:ascii="仿宋_GB2312" w:hAnsi="仿宋_GB2312" w:eastAsia="仿宋_GB2312" w:cs="仿宋_GB2312"/>
          <w:sz w:val="32"/>
          <w:szCs w:val="32"/>
        </w:rPr>
        <w:t>无差异</w:t>
      </w:r>
      <w:r>
        <w:rPr>
          <w:rFonts w:hint="eastAsia" w:ascii="仿宋_GB2312" w:hAnsi="仿宋_GB2312" w:eastAsia="仿宋_GB2312" w:cs="仿宋_GB2312"/>
          <w:sz w:val="32"/>
          <w:szCs w:val="32"/>
        </w:rPr>
        <w:t>。</w:t>
      </w:r>
    </w:p>
    <w:p w14:paraId="3DF2ACF0">
      <w:pPr>
        <w:pStyle w:val="5"/>
        <w:spacing w:line="560" w:lineRule="exact"/>
        <w:ind w:firstLine="643" w:firstLineChars="200"/>
        <w:rPr>
          <w:rStyle w:val="8"/>
          <w:rFonts w:hint="eastAsia" w:ascii="仿宋_GB2312" w:hAnsi="仿宋_GB2312" w:eastAsia="仿宋_GB2312" w:cs="仿宋_GB2312"/>
          <w:sz w:val="32"/>
          <w:szCs w:val="32"/>
        </w:rPr>
      </w:pPr>
    </w:p>
    <w:p w14:paraId="1F2511E0">
      <w:pPr>
        <w:pStyle w:val="5"/>
        <w:spacing w:line="560" w:lineRule="exact"/>
        <w:ind w:firstLine="643" w:firstLineChars="200"/>
        <w:rPr>
          <w:rStyle w:val="8"/>
          <w:rFonts w:hint="eastAsia" w:ascii="仿宋_GB2312" w:hAnsi="仿宋_GB2312" w:eastAsia="仿宋_GB2312" w:cs="仿宋_GB2312"/>
          <w:sz w:val="32"/>
          <w:szCs w:val="32"/>
        </w:rPr>
      </w:pPr>
    </w:p>
    <w:p w14:paraId="6F93BA89">
      <w:pPr>
        <w:rPr>
          <w:rStyle w:val="8"/>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br w:type="page"/>
      </w:r>
    </w:p>
    <w:p w14:paraId="44151913">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1．收入支出与预算对比分析。</w:t>
      </w:r>
    </w:p>
    <w:p w14:paraId="055A7CCA">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（1）预、决算差异情况，可分收入支出功能科目、分单位、分收入支出具体项目逐项对比。</w:t>
      </w:r>
    </w:p>
    <w:p w14:paraId="0B686D20">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无差异。</w:t>
      </w:r>
    </w:p>
    <w:p w14:paraId="0F9604FA">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（2）差异原因分析。差异较大的应分析到具体收入支出功能科目和具体单位。</w:t>
      </w:r>
    </w:p>
    <w:p w14:paraId="3AB54040">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无差异。</w:t>
      </w:r>
    </w:p>
    <w:p w14:paraId="11F3D96B">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2．收入支出结构分析。</w:t>
      </w:r>
    </w:p>
    <w:p w14:paraId="08418EDE">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本单位本年度总收入为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万元。其中：一般公共预算财政拨款收入为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万元，占比100.00%，本年度总支出为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万元。其中：一般公共服务支出为</w:t>
      </w:r>
      <w:r>
        <w:rPr>
          <w:rFonts w:hint="eastAsia" w:ascii="仿宋_GB2312" w:hAnsi="仿宋_GB2312" w:eastAsia="仿宋_GB2312" w:cs="仿宋_GB2312"/>
          <w:sz w:val="32"/>
          <w:szCs w:val="32"/>
          <w:lang w:val="en-US" w:eastAsia="zh-CN"/>
        </w:rPr>
        <w:t>1340.07</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85.77</w:t>
      </w:r>
      <w:r>
        <w:rPr>
          <w:rFonts w:hint="eastAsia" w:ascii="仿宋_GB2312" w:hAnsi="仿宋_GB2312" w:eastAsia="仿宋_GB2312" w:cs="仿宋_GB2312"/>
          <w:sz w:val="32"/>
          <w:szCs w:val="32"/>
        </w:rPr>
        <w:t>%；社会保障和就业支出为</w:t>
      </w:r>
      <w:r>
        <w:rPr>
          <w:rFonts w:hint="eastAsia" w:ascii="仿宋_GB2312" w:hAnsi="仿宋_GB2312" w:eastAsia="仿宋_GB2312" w:cs="仿宋_GB2312"/>
          <w:sz w:val="32"/>
          <w:szCs w:val="32"/>
          <w:lang w:val="en-US" w:eastAsia="zh-CN"/>
        </w:rPr>
        <w:t>863.36</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7.99</w:t>
      </w:r>
      <w:r>
        <w:rPr>
          <w:rFonts w:hint="eastAsia" w:ascii="仿宋_GB2312" w:hAnsi="仿宋_GB2312" w:eastAsia="仿宋_GB2312" w:cs="仿宋_GB2312"/>
          <w:sz w:val="32"/>
          <w:szCs w:val="32"/>
        </w:rPr>
        <w:t>%；卫生健康支出为</w:t>
      </w:r>
      <w:r>
        <w:rPr>
          <w:rFonts w:hint="eastAsia" w:ascii="仿宋_GB2312" w:hAnsi="仿宋_GB2312" w:eastAsia="仿宋_GB2312" w:cs="仿宋_GB2312"/>
          <w:sz w:val="32"/>
          <w:szCs w:val="32"/>
          <w:lang w:val="en-US" w:eastAsia="zh-CN"/>
        </w:rPr>
        <w:t>38.82</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2.97</w:t>
      </w:r>
      <w:r>
        <w:rPr>
          <w:rFonts w:hint="eastAsia" w:ascii="仿宋_GB2312" w:hAnsi="仿宋_GB2312" w:eastAsia="仿宋_GB2312" w:cs="仿宋_GB2312"/>
          <w:sz w:val="32"/>
          <w:szCs w:val="32"/>
        </w:rPr>
        <w:t>%；住房保障支出为</w:t>
      </w:r>
      <w:r>
        <w:rPr>
          <w:rFonts w:hint="eastAsia" w:ascii="仿宋_GB2312" w:hAnsi="仿宋_GB2312" w:eastAsia="仿宋_GB2312" w:cs="仿宋_GB2312"/>
          <w:sz w:val="32"/>
          <w:szCs w:val="32"/>
          <w:lang w:val="en-US" w:eastAsia="zh-CN"/>
        </w:rPr>
        <w:t>74.40</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3.27</w:t>
      </w:r>
      <w:r>
        <w:rPr>
          <w:rFonts w:hint="eastAsia" w:ascii="仿宋_GB2312" w:hAnsi="仿宋_GB2312" w:eastAsia="仿宋_GB2312" w:cs="仿宋_GB2312"/>
          <w:sz w:val="32"/>
          <w:szCs w:val="32"/>
        </w:rPr>
        <w:t>%；</w:t>
      </w:r>
    </w:p>
    <w:p w14:paraId="1540A3E8">
      <w:pPr>
        <w:pStyle w:val="5"/>
        <w:spacing w:line="560" w:lineRule="exact"/>
        <w:ind w:firstLine="640" w:firstLineChars="200"/>
        <w:rPr>
          <w:rFonts w:hint="eastAsia" w:ascii="仿宋_GB2312" w:hAnsi="仿宋_GB2312" w:eastAsia="仿宋_GB2312" w:cs="仿宋_GB2312"/>
          <w:sz w:val="32"/>
          <w:szCs w:val="32"/>
        </w:rPr>
      </w:pPr>
    </w:p>
    <w:p w14:paraId="75FC8F71">
      <w:pPr>
        <w:pStyle w:val="5"/>
        <w:spacing w:line="560" w:lineRule="exact"/>
        <w:ind w:firstLine="640" w:firstLineChars="200"/>
        <w:rPr>
          <w:rFonts w:hint="eastAsia" w:ascii="仿宋_GB2312" w:hAnsi="仿宋_GB2312" w:eastAsia="仿宋_GB2312" w:cs="仿宋_GB2312"/>
          <w:sz w:val="32"/>
          <w:szCs w:val="32"/>
        </w:rPr>
      </w:pPr>
    </w:p>
    <w:p w14:paraId="5BF8AAC2">
      <w:pPr>
        <w:pStyle w:val="5"/>
        <w:spacing w:line="560" w:lineRule="exact"/>
        <w:ind w:firstLine="640" w:firstLineChars="200"/>
        <w:rPr>
          <w:rFonts w:hint="eastAsia" w:ascii="仿宋_GB2312" w:hAnsi="仿宋_GB2312" w:eastAsia="仿宋_GB2312" w:cs="仿宋_GB2312"/>
          <w:sz w:val="32"/>
          <w:szCs w:val="32"/>
        </w:rPr>
      </w:pPr>
    </w:p>
    <w:p w14:paraId="2BA34AC8">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96520</wp:posOffset>
            </wp:positionH>
            <wp:positionV relativeFrom="paragraph">
              <wp:posOffset>-11430</wp:posOffset>
            </wp:positionV>
            <wp:extent cx="5274310" cy="3079750"/>
            <wp:effectExtent l="19050" t="0" r="21590" b="635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14:paraId="0A5036C0">
      <w:pPr>
        <w:pStyle w:val="5"/>
        <w:spacing w:line="560" w:lineRule="exact"/>
        <w:ind w:firstLine="640" w:firstLineChars="200"/>
        <w:rPr>
          <w:rFonts w:hint="eastAsia" w:ascii="仿宋_GB2312" w:hAnsi="仿宋_GB2312" w:eastAsia="仿宋_GB2312" w:cs="仿宋_GB2312"/>
          <w:sz w:val="32"/>
          <w:szCs w:val="32"/>
        </w:rPr>
      </w:pPr>
    </w:p>
    <w:p w14:paraId="32632DFC">
      <w:pPr>
        <w:pStyle w:val="5"/>
        <w:spacing w:line="560" w:lineRule="exact"/>
        <w:ind w:firstLine="640" w:firstLineChars="200"/>
        <w:rPr>
          <w:rFonts w:hint="eastAsia" w:ascii="仿宋_GB2312" w:hAnsi="仿宋_GB2312" w:eastAsia="仿宋_GB2312" w:cs="仿宋_GB2312"/>
          <w:sz w:val="32"/>
          <w:szCs w:val="32"/>
        </w:rPr>
      </w:pPr>
    </w:p>
    <w:p w14:paraId="53DD70E3">
      <w:pPr>
        <w:pStyle w:val="5"/>
        <w:spacing w:line="560" w:lineRule="exact"/>
        <w:ind w:firstLine="640" w:firstLineChars="200"/>
        <w:rPr>
          <w:rFonts w:hint="eastAsia" w:ascii="仿宋_GB2312" w:hAnsi="仿宋_GB2312" w:eastAsia="仿宋_GB2312" w:cs="仿宋_GB2312"/>
          <w:sz w:val="32"/>
          <w:szCs w:val="32"/>
        </w:rPr>
      </w:pPr>
    </w:p>
    <w:p w14:paraId="256C1B40">
      <w:pPr>
        <w:pStyle w:val="5"/>
        <w:spacing w:line="560" w:lineRule="exact"/>
        <w:ind w:firstLine="640" w:firstLineChars="200"/>
        <w:rPr>
          <w:rFonts w:hint="eastAsia" w:ascii="仿宋_GB2312" w:hAnsi="仿宋_GB2312" w:eastAsia="仿宋_GB2312" w:cs="仿宋_GB2312"/>
          <w:sz w:val="32"/>
          <w:szCs w:val="32"/>
        </w:rPr>
      </w:pPr>
    </w:p>
    <w:p w14:paraId="5BE47827">
      <w:pPr>
        <w:pStyle w:val="5"/>
        <w:spacing w:line="560" w:lineRule="exact"/>
        <w:ind w:firstLine="640" w:firstLineChars="200"/>
        <w:rPr>
          <w:rFonts w:hint="eastAsia" w:ascii="仿宋_GB2312" w:hAnsi="仿宋_GB2312" w:eastAsia="仿宋_GB2312" w:cs="仿宋_GB2312"/>
          <w:sz w:val="32"/>
          <w:szCs w:val="32"/>
        </w:rPr>
      </w:pPr>
    </w:p>
    <w:p w14:paraId="6C61C87C">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（2）本年度一般公共预算财政拨款收入相比上年度</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407.43</w:t>
      </w:r>
      <w:r>
        <w:rPr>
          <w:rFonts w:hint="eastAsia" w:ascii="仿宋_GB2312" w:hAnsi="仿宋_GB2312" w:eastAsia="仿宋_GB2312" w:cs="仿宋_GB2312"/>
          <w:sz w:val="32"/>
          <w:szCs w:val="32"/>
        </w:rPr>
        <w:t>万元，</w:t>
      </w:r>
      <w:r>
        <w:rPr>
          <w:rStyle w:val="8"/>
          <w:rFonts w:hint="eastAsia" w:ascii="仿宋_GB2312" w:hAnsi="仿宋_GB2312" w:eastAsia="仿宋_GB2312" w:cs="仿宋_GB2312"/>
          <w:sz w:val="32"/>
          <w:szCs w:val="32"/>
        </w:rPr>
        <w:t>主要原因为</w:t>
      </w:r>
      <w:r>
        <w:rPr>
          <w:rStyle w:val="8"/>
          <w:rFonts w:hint="eastAsia" w:ascii="仿宋_GB2312" w:hAnsi="仿宋_GB2312" w:eastAsia="仿宋_GB2312" w:cs="仿宋_GB2312"/>
          <w:sz w:val="32"/>
          <w:szCs w:val="32"/>
          <w:lang w:eastAsia="zh-CN"/>
        </w:rPr>
        <w:t>评审项目增加</w:t>
      </w:r>
      <w:r>
        <w:rPr>
          <w:rFonts w:hint="eastAsia" w:ascii="仿宋_GB2312" w:hAnsi="仿宋_GB2312" w:eastAsia="仿宋_GB2312" w:cs="仿宋_GB2312"/>
          <w:sz w:val="32"/>
          <w:szCs w:val="32"/>
        </w:rPr>
        <w:t>；本年度一般公共服务支出相比上年度</w:t>
      </w:r>
      <w:r>
        <w:rPr>
          <w:rFonts w:hint="eastAsia" w:ascii="仿宋_GB2312" w:hAnsi="仿宋_GB2312" w:eastAsia="仿宋_GB2312" w:cs="仿宋_GB2312"/>
          <w:sz w:val="32"/>
          <w:szCs w:val="32"/>
          <w:lang w:eastAsia="zh-CN"/>
        </w:rPr>
        <w:t>减少增加</w:t>
      </w:r>
      <w:r>
        <w:rPr>
          <w:rFonts w:hint="eastAsia" w:ascii="仿宋_GB2312" w:hAnsi="仿宋_GB2312" w:eastAsia="仿宋_GB2312" w:cs="仿宋_GB2312"/>
          <w:sz w:val="32"/>
          <w:szCs w:val="32"/>
          <w:lang w:val="en-US" w:eastAsia="zh-CN"/>
        </w:rPr>
        <w:t>50.07</w:t>
      </w:r>
      <w:r>
        <w:rPr>
          <w:rFonts w:hint="eastAsia" w:ascii="仿宋_GB2312" w:hAnsi="仿宋_GB2312" w:eastAsia="仿宋_GB2312" w:cs="仿宋_GB2312"/>
          <w:sz w:val="32"/>
          <w:szCs w:val="32"/>
        </w:rPr>
        <w:t>万元，</w:t>
      </w:r>
      <w:r>
        <w:rPr>
          <w:rStyle w:val="8"/>
          <w:rFonts w:hint="eastAsia" w:ascii="仿宋_GB2312" w:hAnsi="仿宋_GB2312" w:eastAsia="仿宋_GB2312" w:cs="仿宋_GB2312"/>
          <w:sz w:val="32"/>
          <w:szCs w:val="32"/>
        </w:rPr>
        <w:t>主要原因为</w:t>
      </w:r>
      <w:r>
        <w:rPr>
          <w:rStyle w:val="8"/>
          <w:rFonts w:hint="eastAsia" w:ascii="仿宋_GB2312" w:hAnsi="仿宋_GB2312" w:eastAsia="仿宋_GB2312" w:cs="仿宋_GB2312"/>
          <w:sz w:val="32"/>
          <w:szCs w:val="32"/>
          <w:lang w:eastAsia="zh-CN"/>
        </w:rPr>
        <w:t>2025</w:t>
      </w:r>
      <w:r>
        <w:rPr>
          <w:rStyle w:val="8"/>
          <w:rFonts w:hint="eastAsia" w:ascii="仿宋_GB2312" w:hAnsi="仿宋_GB2312" w:eastAsia="仿宋_GB2312" w:cs="仿宋_GB2312"/>
          <w:sz w:val="32"/>
          <w:szCs w:val="32"/>
          <w:lang w:val="en-US" w:eastAsia="zh-CN"/>
        </w:rPr>
        <w:t>年投资评审业务增加，导致一般支出增加。</w:t>
      </w:r>
      <w:r>
        <w:rPr>
          <w:rFonts w:hint="eastAsia" w:ascii="仿宋_GB2312" w:hAnsi="仿宋_GB2312" w:eastAsia="仿宋_GB2312" w:cs="仿宋_GB2312"/>
          <w:sz w:val="32"/>
          <w:szCs w:val="32"/>
        </w:rPr>
        <w:t>社会保障和就业支出相比上年度</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6.98</w:t>
      </w:r>
      <w:r>
        <w:rPr>
          <w:rFonts w:hint="eastAsia" w:ascii="仿宋_GB2312" w:hAnsi="仿宋_GB2312" w:eastAsia="仿宋_GB2312" w:cs="仿宋_GB2312"/>
          <w:sz w:val="32"/>
          <w:szCs w:val="32"/>
        </w:rPr>
        <w:t>万元，</w:t>
      </w:r>
      <w:r>
        <w:rPr>
          <w:rStyle w:val="8"/>
          <w:rFonts w:hint="eastAsia" w:ascii="仿宋_GB2312" w:hAnsi="仿宋_GB2312" w:eastAsia="仿宋_GB2312" w:cs="仿宋_GB2312"/>
          <w:sz w:val="32"/>
          <w:szCs w:val="32"/>
        </w:rPr>
        <w:t>主要原因为</w:t>
      </w:r>
      <w:r>
        <w:rPr>
          <w:rStyle w:val="8"/>
          <w:rFonts w:hint="eastAsia" w:ascii="仿宋_GB2312" w:hAnsi="仿宋_GB2312" w:eastAsia="仿宋_GB2312" w:cs="仿宋_GB2312"/>
          <w:sz w:val="32"/>
          <w:szCs w:val="32"/>
          <w:lang w:eastAsia="zh-CN"/>
        </w:rPr>
        <w:t>2025</w:t>
      </w:r>
      <w:r>
        <w:rPr>
          <w:rStyle w:val="8"/>
          <w:rFonts w:hint="eastAsia" w:ascii="仿宋_GB2312" w:hAnsi="仿宋_GB2312" w:eastAsia="仿宋_GB2312" w:cs="仿宋_GB2312"/>
          <w:sz w:val="32"/>
          <w:szCs w:val="32"/>
          <w:lang w:val="en-US" w:eastAsia="zh-CN"/>
        </w:rPr>
        <w:t>年基数调整</w:t>
      </w:r>
      <w:r>
        <w:rPr>
          <w:rFonts w:hint="eastAsia" w:ascii="仿宋_GB2312" w:hAnsi="仿宋_GB2312" w:eastAsia="仿宋_GB2312" w:cs="仿宋_GB2312"/>
          <w:sz w:val="32"/>
          <w:szCs w:val="32"/>
        </w:rPr>
        <w:t>；卫生健康支出相比上年度</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3.22</w:t>
      </w:r>
      <w:r>
        <w:rPr>
          <w:rFonts w:hint="eastAsia" w:ascii="仿宋_GB2312" w:hAnsi="仿宋_GB2312" w:eastAsia="仿宋_GB2312" w:cs="仿宋_GB2312"/>
          <w:sz w:val="32"/>
          <w:szCs w:val="32"/>
        </w:rPr>
        <w:t>万元，</w:t>
      </w:r>
      <w:r>
        <w:rPr>
          <w:rStyle w:val="8"/>
          <w:rFonts w:hint="eastAsia" w:ascii="仿宋_GB2312" w:hAnsi="仿宋_GB2312" w:eastAsia="仿宋_GB2312" w:cs="仿宋_GB2312"/>
          <w:sz w:val="32"/>
          <w:szCs w:val="32"/>
        </w:rPr>
        <w:t>主要原因为</w:t>
      </w:r>
      <w:r>
        <w:rPr>
          <w:rStyle w:val="8"/>
          <w:rFonts w:hint="eastAsia" w:ascii="仿宋_GB2312" w:hAnsi="仿宋_GB2312" w:eastAsia="仿宋_GB2312" w:cs="仿宋_GB2312"/>
          <w:sz w:val="32"/>
          <w:szCs w:val="32"/>
          <w:lang w:eastAsia="zh-CN"/>
        </w:rPr>
        <w:t>2025</w:t>
      </w:r>
      <w:r>
        <w:rPr>
          <w:rStyle w:val="8"/>
          <w:rFonts w:hint="eastAsia" w:ascii="仿宋_GB2312" w:hAnsi="仿宋_GB2312" w:eastAsia="仿宋_GB2312" w:cs="仿宋_GB2312"/>
          <w:sz w:val="32"/>
          <w:szCs w:val="32"/>
          <w:lang w:val="en-US" w:eastAsia="zh-CN"/>
        </w:rPr>
        <w:t>年基数调整，</w:t>
      </w:r>
      <w:r>
        <w:rPr>
          <w:rFonts w:hint="eastAsia" w:ascii="仿宋_GB2312" w:hAnsi="仿宋_GB2312" w:eastAsia="仿宋_GB2312" w:cs="仿宋_GB2312"/>
          <w:sz w:val="32"/>
          <w:szCs w:val="32"/>
        </w:rPr>
        <w:t>住房保障支出相比上年度增加</w:t>
      </w:r>
      <w:r>
        <w:rPr>
          <w:rFonts w:hint="eastAsia" w:ascii="仿宋_GB2312" w:hAnsi="仿宋_GB2312" w:eastAsia="仿宋_GB2312" w:cs="仿宋_GB2312"/>
          <w:sz w:val="32"/>
          <w:szCs w:val="32"/>
          <w:lang w:val="en-US" w:eastAsia="zh-CN"/>
        </w:rPr>
        <w:t>5.28</w:t>
      </w:r>
      <w:r>
        <w:rPr>
          <w:rFonts w:hint="eastAsia" w:ascii="仿宋_GB2312" w:hAnsi="仿宋_GB2312" w:eastAsia="仿宋_GB2312" w:cs="仿宋_GB2312"/>
          <w:sz w:val="32"/>
          <w:szCs w:val="32"/>
        </w:rPr>
        <w:t>万元，</w:t>
      </w:r>
      <w:r>
        <w:rPr>
          <w:rStyle w:val="8"/>
          <w:rFonts w:hint="eastAsia" w:ascii="仿宋_GB2312" w:hAnsi="仿宋_GB2312" w:eastAsia="仿宋_GB2312" w:cs="仿宋_GB2312"/>
          <w:sz w:val="32"/>
          <w:szCs w:val="32"/>
        </w:rPr>
        <w:t xml:space="preserve">主要原因为受基数影响。 </w:t>
      </w:r>
    </w:p>
    <w:p w14:paraId="19201A51">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3．支出按经济分类科目分析。</w:t>
      </w:r>
    </w:p>
    <w:p w14:paraId="21C7950C">
      <w:pPr>
        <w:pStyle w:val="5"/>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 “三公”经费支出情况：本单位本年度“三公”经费支出决算数为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较上年增加0万元。</w:t>
      </w:r>
      <w:r>
        <w:rPr>
          <w:rFonts w:hint="eastAsia" w:ascii="仿宋_GB2312" w:hAnsi="仿宋_GB2312" w:eastAsia="仿宋_GB2312" w:cs="仿宋_GB2312"/>
          <w:sz w:val="32"/>
          <w:szCs w:val="32"/>
          <w:lang w:eastAsia="zh-CN"/>
        </w:rPr>
        <w:t>本年度开展了</w:t>
      </w:r>
      <w:r>
        <w:rPr>
          <w:rFonts w:hint="eastAsia" w:ascii="仿宋_GB2312" w:hAnsi="仿宋_GB2312" w:eastAsia="仿宋_GB2312" w:cs="仿宋_GB2312"/>
          <w:sz w:val="32"/>
          <w:szCs w:val="32"/>
          <w:lang w:val="en-US" w:eastAsia="zh-CN"/>
        </w:rPr>
        <w:t>次接待，接待人次0人。</w:t>
      </w:r>
    </w:p>
    <w:p w14:paraId="5CB0143B">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会议费支出情况：本单位本年度会议费支出决算数为0.00万元，相比上年度</w:t>
      </w:r>
      <w:r>
        <w:rPr>
          <w:rFonts w:hint="eastAsia" w:ascii="仿宋_GB2312" w:hAnsi="仿宋_GB2312" w:eastAsia="仿宋_GB2312" w:cs="仿宋_GB2312"/>
          <w:sz w:val="32"/>
          <w:szCs w:val="32"/>
          <w:lang w:eastAsia="zh-CN"/>
        </w:rPr>
        <w:t>无变化</w:t>
      </w:r>
      <w:r>
        <w:rPr>
          <w:rFonts w:hint="eastAsia" w:ascii="仿宋_GB2312" w:hAnsi="仿宋_GB2312" w:eastAsia="仿宋_GB2312" w:cs="仿宋_GB2312"/>
          <w:sz w:val="32"/>
          <w:szCs w:val="32"/>
        </w:rPr>
        <w:t>；会议费人均支出为0.00万元。</w:t>
      </w:r>
    </w:p>
    <w:p w14:paraId="3CD996AD">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培训费支出情况：本单位本年度培训费支出决算数为</w:t>
      </w:r>
      <w:r>
        <w:rPr>
          <w:rFonts w:hint="eastAsia" w:ascii="仿宋_GB2312" w:hAnsi="仿宋_GB2312" w:eastAsia="仿宋_GB2312" w:cs="仿宋_GB2312"/>
          <w:sz w:val="32"/>
          <w:szCs w:val="32"/>
          <w:lang w:val="en-US" w:eastAsia="zh-CN"/>
        </w:rPr>
        <w:t>15.58</w:t>
      </w:r>
      <w:r>
        <w:rPr>
          <w:rFonts w:hint="eastAsia" w:ascii="仿宋_GB2312" w:hAnsi="仿宋_GB2312" w:eastAsia="仿宋_GB2312" w:cs="仿宋_GB2312"/>
          <w:sz w:val="32"/>
          <w:szCs w:val="32"/>
        </w:rPr>
        <w:t>万元，相比上年度增加</w:t>
      </w:r>
      <w:r>
        <w:rPr>
          <w:rFonts w:hint="eastAsia" w:ascii="仿宋_GB2312" w:hAnsi="仿宋_GB2312" w:eastAsia="仿宋_GB2312" w:cs="仿宋_GB2312"/>
          <w:sz w:val="32"/>
          <w:szCs w:val="32"/>
          <w:lang w:val="en-US" w:eastAsia="zh-CN"/>
        </w:rPr>
        <w:t>15.58</w:t>
      </w:r>
      <w:r>
        <w:rPr>
          <w:rFonts w:hint="eastAsia" w:ascii="仿宋_GB2312" w:hAnsi="仿宋_GB2312" w:eastAsia="仿宋_GB2312" w:cs="仿宋_GB2312"/>
          <w:sz w:val="32"/>
          <w:szCs w:val="32"/>
        </w:rPr>
        <w:t>万元，</w:t>
      </w:r>
      <w:r>
        <w:rPr>
          <w:rStyle w:val="8"/>
          <w:rFonts w:hint="eastAsia" w:ascii="仿宋_GB2312" w:hAnsi="仿宋_GB2312" w:eastAsia="仿宋_GB2312" w:cs="仿宋_GB2312"/>
          <w:sz w:val="32"/>
          <w:szCs w:val="32"/>
        </w:rPr>
        <w:t>主要原因为</w:t>
      </w:r>
      <w:r>
        <w:rPr>
          <w:rStyle w:val="8"/>
          <w:rFonts w:hint="eastAsia" w:ascii="仿宋_GB2312" w:hAnsi="仿宋_GB2312" w:eastAsia="仿宋_GB2312" w:cs="仿宋_GB2312"/>
          <w:sz w:val="32"/>
          <w:szCs w:val="32"/>
          <w:lang w:eastAsia="zh-CN"/>
        </w:rPr>
        <w:t>2025</w:t>
      </w:r>
      <w:r>
        <w:rPr>
          <w:rStyle w:val="8"/>
          <w:rFonts w:hint="eastAsia" w:ascii="仿宋_GB2312" w:hAnsi="仿宋_GB2312" w:eastAsia="仿宋_GB2312" w:cs="仿宋_GB2312"/>
          <w:sz w:val="32"/>
          <w:szCs w:val="32"/>
          <w:lang w:val="en-US" w:eastAsia="zh-CN"/>
        </w:rPr>
        <w:t>年由于本年度正常开展</w:t>
      </w:r>
      <w:r>
        <w:rPr>
          <w:rFonts w:hint="eastAsia" w:ascii="仿宋_GB2312" w:hAnsi="仿宋_GB2312" w:eastAsia="仿宋_GB2312" w:cs="仿宋_GB2312"/>
          <w:sz w:val="32"/>
          <w:szCs w:val="32"/>
        </w:rPr>
        <w:t>；培训费人均支出为0.</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w:t>
      </w:r>
    </w:p>
    <w:p w14:paraId="1ECA739C">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（4）其他对单位影响较大的支出情况。</w:t>
      </w:r>
    </w:p>
    <w:p w14:paraId="27EFC90B">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w:t>
      </w:r>
    </w:p>
    <w:p w14:paraId="6E181E43">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（5）重点经济分类支出中存在的问题及改进措施。</w:t>
      </w:r>
    </w:p>
    <w:p w14:paraId="292617D6">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w:t>
      </w:r>
    </w:p>
    <w:p w14:paraId="5E7BA15A">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4.财政拨款收入、支出分析。</w:t>
      </w:r>
    </w:p>
    <w:p w14:paraId="47C0FDCC">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本单位本年度财政拨款收入为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万元，财政拨款支出为</w:t>
      </w:r>
      <w:r>
        <w:rPr>
          <w:rFonts w:hint="eastAsia" w:ascii="仿宋_GB2312" w:hAnsi="仿宋_GB2312" w:eastAsia="仿宋_GB2312" w:cs="仿宋_GB2312"/>
          <w:sz w:val="32"/>
          <w:szCs w:val="32"/>
          <w:lang w:val="en-US" w:eastAsia="zh-CN"/>
        </w:rPr>
        <w:t>1539.63</w:t>
      </w:r>
      <w:r>
        <w:rPr>
          <w:rFonts w:hint="eastAsia" w:ascii="仿宋_GB2312" w:hAnsi="仿宋_GB2312" w:eastAsia="仿宋_GB2312" w:cs="仿宋_GB2312"/>
          <w:sz w:val="32"/>
          <w:szCs w:val="32"/>
        </w:rPr>
        <w:t>万元，其中：基本支出中人员经费支出为</w:t>
      </w:r>
      <w:r>
        <w:rPr>
          <w:rFonts w:hint="eastAsia" w:ascii="仿宋_GB2312" w:hAnsi="仿宋_GB2312" w:eastAsia="仿宋_GB2312" w:cs="仿宋_GB2312"/>
          <w:sz w:val="32"/>
          <w:szCs w:val="32"/>
          <w:lang w:val="en-US" w:eastAsia="zh-CN"/>
        </w:rPr>
        <w:t>899.59</w:t>
      </w:r>
      <w:r>
        <w:rPr>
          <w:rFonts w:hint="eastAsia" w:ascii="仿宋_GB2312" w:hAnsi="仿宋_GB2312" w:eastAsia="仿宋_GB2312" w:cs="仿宋_GB2312"/>
          <w:sz w:val="32"/>
          <w:szCs w:val="32"/>
        </w:rPr>
        <w:t>万元，公用经费支出为</w:t>
      </w:r>
      <w:r>
        <w:rPr>
          <w:rFonts w:hint="eastAsia" w:ascii="仿宋_GB2312" w:hAnsi="仿宋_GB2312" w:eastAsia="仿宋_GB2312" w:cs="仿宋_GB2312"/>
          <w:sz w:val="32"/>
          <w:szCs w:val="32"/>
          <w:lang w:val="en-US" w:eastAsia="zh-CN"/>
        </w:rPr>
        <w:t>90.52</w:t>
      </w:r>
      <w:r>
        <w:rPr>
          <w:rFonts w:hint="eastAsia" w:ascii="仿宋_GB2312" w:hAnsi="仿宋_GB2312" w:eastAsia="仿宋_GB2312" w:cs="仿宋_GB2312"/>
          <w:sz w:val="32"/>
          <w:szCs w:val="32"/>
        </w:rPr>
        <w:t>万元。项目支出中基本建设类项目支出为</w:t>
      </w:r>
      <w:r>
        <w:rPr>
          <w:rFonts w:hint="eastAsia" w:ascii="仿宋_GB2312" w:hAnsi="仿宋_GB2312" w:eastAsia="仿宋_GB2312" w:cs="仿宋_GB2312"/>
          <w:sz w:val="32"/>
          <w:szCs w:val="32"/>
          <w:lang w:val="en-US" w:eastAsia="zh-CN"/>
        </w:rPr>
        <w:t>549.53</w:t>
      </w:r>
      <w:r>
        <w:rPr>
          <w:rFonts w:hint="eastAsia" w:ascii="仿宋_GB2312" w:hAnsi="仿宋_GB2312" w:eastAsia="仿宋_GB2312" w:cs="仿宋_GB2312"/>
          <w:sz w:val="32"/>
          <w:szCs w:val="32"/>
        </w:rPr>
        <w:t>万元，支出要按照基本支出和项目支出分析具体构成及特点：</w:t>
      </w:r>
    </w:p>
    <w:p w14:paraId="200E2CD0">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基本支出包含：基本工资</w:t>
      </w:r>
      <w:r>
        <w:rPr>
          <w:rFonts w:hint="eastAsia" w:ascii="仿宋_GB2312" w:hAnsi="仿宋_GB2312" w:eastAsia="仿宋_GB2312" w:cs="仿宋_GB2312"/>
          <w:sz w:val="32"/>
          <w:szCs w:val="32"/>
          <w:lang w:val="en-US" w:eastAsia="zh-CN"/>
        </w:rPr>
        <w:t>220.31万</w:t>
      </w:r>
      <w:r>
        <w:rPr>
          <w:rFonts w:hint="eastAsia" w:ascii="仿宋_GB2312" w:hAnsi="仿宋_GB2312" w:eastAsia="仿宋_GB2312" w:cs="仿宋_GB2312"/>
          <w:sz w:val="32"/>
          <w:szCs w:val="32"/>
        </w:rPr>
        <w:t>元，津贴补贴</w:t>
      </w:r>
      <w:r>
        <w:rPr>
          <w:rFonts w:hint="eastAsia" w:ascii="仿宋_GB2312" w:hAnsi="仿宋_GB2312" w:eastAsia="仿宋_GB2312" w:cs="仿宋_GB2312"/>
          <w:sz w:val="32"/>
          <w:szCs w:val="32"/>
          <w:lang w:val="en-US" w:eastAsia="zh-CN"/>
        </w:rPr>
        <w:t>0万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奖金</w:t>
      </w:r>
      <w:r>
        <w:rPr>
          <w:rFonts w:hint="eastAsia" w:ascii="仿宋_GB2312" w:hAnsi="仿宋_GB2312" w:eastAsia="仿宋_GB2312" w:cs="仿宋_GB2312"/>
          <w:sz w:val="32"/>
          <w:szCs w:val="32"/>
          <w:lang w:val="en-US" w:eastAsia="zh-CN"/>
        </w:rPr>
        <w:t>110.06万元，</w:t>
      </w:r>
      <w:r>
        <w:rPr>
          <w:rFonts w:hint="eastAsia" w:ascii="仿宋_GB2312" w:hAnsi="仿宋_GB2312" w:eastAsia="仿宋_GB2312" w:cs="仿宋_GB2312"/>
          <w:sz w:val="32"/>
          <w:szCs w:val="32"/>
        </w:rPr>
        <w:t>伙食补助费</w:t>
      </w:r>
      <w:r>
        <w:rPr>
          <w:rFonts w:hint="eastAsia" w:ascii="仿宋_GB2312" w:hAnsi="仿宋_GB2312" w:eastAsia="仿宋_GB2312" w:cs="仿宋_GB2312"/>
          <w:sz w:val="32"/>
          <w:szCs w:val="32"/>
          <w:lang w:val="en-US" w:eastAsia="zh-CN"/>
        </w:rPr>
        <w:t>17.70万</w:t>
      </w:r>
      <w:r>
        <w:rPr>
          <w:rFonts w:hint="eastAsia" w:ascii="仿宋_GB2312" w:hAnsi="仿宋_GB2312" w:eastAsia="仿宋_GB2312" w:cs="仿宋_GB2312"/>
          <w:sz w:val="32"/>
          <w:szCs w:val="32"/>
        </w:rPr>
        <w:t>元，绩效工资</w:t>
      </w:r>
      <w:r>
        <w:rPr>
          <w:rFonts w:hint="eastAsia" w:ascii="仿宋_GB2312" w:hAnsi="仿宋_GB2312" w:eastAsia="仿宋_GB2312" w:cs="仿宋_GB2312"/>
          <w:sz w:val="32"/>
          <w:szCs w:val="32"/>
          <w:lang w:val="en-US" w:eastAsia="zh-CN"/>
        </w:rPr>
        <w:t>328.53万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42.8万</w:t>
      </w:r>
      <w:r>
        <w:rPr>
          <w:rFonts w:hint="eastAsia" w:ascii="仿宋_GB2312" w:hAnsi="仿宋_GB2312" w:eastAsia="仿宋_GB2312" w:cs="仿宋_GB2312"/>
          <w:sz w:val="32"/>
          <w:szCs w:val="32"/>
        </w:rPr>
        <w:t>元，职业年金缴费</w:t>
      </w:r>
      <w:r>
        <w:rPr>
          <w:rFonts w:hint="eastAsia" w:ascii="仿宋_GB2312" w:hAnsi="仿宋_GB2312" w:eastAsia="仿宋_GB2312" w:cs="仿宋_GB2312"/>
          <w:sz w:val="32"/>
          <w:szCs w:val="32"/>
          <w:lang w:val="en-US" w:eastAsia="zh-CN"/>
        </w:rPr>
        <w:t>43.48万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职工基本医疗保险缴费</w:t>
      </w:r>
      <w:r>
        <w:rPr>
          <w:rFonts w:hint="eastAsia" w:ascii="仿宋_GB2312" w:hAnsi="仿宋_GB2312" w:eastAsia="仿宋_GB2312" w:cs="仿宋_GB2312"/>
          <w:sz w:val="32"/>
          <w:szCs w:val="32"/>
          <w:lang w:val="en-US" w:eastAsia="zh-CN"/>
        </w:rPr>
        <w:t>388201.78</w:t>
      </w:r>
      <w:r>
        <w:rPr>
          <w:rFonts w:hint="eastAsia" w:ascii="仿宋_GB2312" w:hAnsi="仿宋_GB2312" w:eastAsia="仿宋_GB2312" w:cs="仿宋_GB2312"/>
          <w:sz w:val="32"/>
          <w:szCs w:val="32"/>
        </w:rPr>
        <w:t>元，其他社会保障缴费</w:t>
      </w:r>
      <w:r>
        <w:rPr>
          <w:rFonts w:hint="eastAsia" w:ascii="仿宋_GB2312" w:hAnsi="仿宋_GB2312" w:eastAsia="仿宋_GB2312" w:cs="仿宋_GB2312"/>
          <w:sz w:val="32"/>
          <w:szCs w:val="32"/>
          <w:lang w:val="en-US" w:eastAsia="zh-CN"/>
        </w:rPr>
        <w:t>12229.35</w:t>
      </w:r>
      <w:r>
        <w:rPr>
          <w:rFonts w:hint="eastAsia" w:ascii="仿宋_GB2312" w:hAnsi="仿宋_GB2312" w:eastAsia="仿宋_GB2312" w:cs="仿宋_GB2312"/>
          <w:sz w:val="32"/>
          <w:szCs w:val="32"/>
        </w:rPr>
        <w:t>元，住房公积金</w:t>
      </w:r>
      <w:r>
        <w:rPr>
          <w:rFonts w:hint="eastAsia" w:ascii="仿宋_GB2312" w:hAnsi="仿宋_GB2312" w:eastAsia="仿宋_GB2312" w:cs="仿宋_GB2312"/>
          <w:sz w:val="32"/>
          <w:szCs w:val="32"/>
          <w:lang w:val="en-US" w:eastAsia="zh-CN"/>
        </w:rPr>
        <w:t>743978</w:t>
      </w:r>
      <w:r>
        <w:rPr>
          <w:rFonts w:hint="eastAsia" w:ascii="仿宋_GB2312" w:hAnsi="仿宋_GB2312" w:eastAsia="仿宋_GB2312" w:cs="仿宋_GB2312"/>
          <w:sz w:val="32"/>
          <w:szCs w:val="32"/>
        </w:rPr>
        <w:t>元，办公费</w:t>
      </w:r>
      <w:r>
        <w:rPr>
          <w:rFonts w:hint="eastAsia" w:ascii="仿宋_GB2312" w:hAnsi="仿宋_GB2312" w:eastAsia="仿宋_GB2312" w:cs="仿宋_GB2312"/>
          <w:sz w:val="32"/>
          <w:szCs w:val="32"/>
          <w:lang w:val="en-US" w:eastAsia="zh-CN"/>
        </w:rPr>
        <w:t>331378</w:t>
      </w:r>
      <w:r>
        <w:rPr>
          <w:rFonts w:hint="eastAsia" w:ascii="仿宋_GB2312" w:hAnsi="仿宋_GB2312" w:eastAsia="仿宋_GB2312" w:cs="仿宋_GB2312"/>
          <w:sz w:val="32"/>
          <w:szCs w:val="32"/>
        </w:rPr>
        <w:t>元，差旅费</w:t>
      </w:r>
      <w:r>
        <w:rPr>
          <w:rFonts w:hint="eastAsia" w:ascii="仿宋_GB2312" w:hAnsi="仿宋_GB2312" w:eastAsia="仿宋_GB2312" w:cs="仿宋_GB2312"/>
          <w:sz w:val="32"/>
          <w:szCs w:val="32"/>
          <w:lang w:val="en-US" w:eastAsia="zh-CN"/>
        </w:rPr>
        <w:t>237581.43</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维修费</w:t>
      </w:r>
      <w:r>
        <w:rPr>
          <w:rFonts w:hint="eastAsia" w:ascii="仿宋_GB2312" w:hAnsi="仿宋_GB2312" w:eastAsia="仿宋_GB2312" w:cs="仿宋_GB2312"/>
          <w:sz w:val="32"/>
          <w:szCs w:val="32"/>
          <w:lang w:val="en-US" w:eastAsia="zh-CN"/>
        </w:rPr>
        <w:t>432184元，</w:t>
      </w:r>
      <w:r>
        <w:rPr>
          <w:rFonts w:hint="eastAsia" w:ascii="仿宋_GB2312" w:hAnsi="仿宋_GB2312" w:eastAsia="仿宋_GB2312" w:cs="仿宋_GB2312"/>
          <w:sz w:val="32"/>
          <w:szCs w:val="32"/>
        </w:rPr>
        <w:t>培训费</w:t>
      </w:r>
      <w:r>
        <w:rPr>
          <w:rFonts w:hint="eastAsia" w:ascii="仿宋_GB2312" w:hAnsi="仿宋_GB2312" w:eastAsia="仿宋_GB2312" w:cs="仿宋_GB2312"/>
          <w:sz w:val="32"/>
          <w:szCs w:val="32"/>
          <w:lang w:val="en-US" w:eastAsia="zh-CN"/>
        </w:rPr>
        <w:t>155846</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委托业务费</w:t>
      </w:r>
      <w:r>
        <w:rPr>
          <w:rFonts w:hint="eastAsia" w:ascii="仿宋_GB2312" w:hAnsi="仿宋_GB2312" w:eastAsia="仿宋_GB2312" w:cs="仿宋_GB2312"/>
          <w:sz w:val="32"/>
          <w:szCs w:val="32"/>
          <w:lang w:val="en-US" w:eastAsia="zh-CN"/>
        </w:rPr>
        <w:t>4136274.4元。工会经费30万元，福利费87400元，其他交通费209797元，</w:t>
      </w:r>
      <w:r>
        <w:rPr>
          <w:rFonts w:hint="eastAsia" w:ascii="仿宋_GB2312" w:hAnsi="仿宋_GB2312" w:eastAsia="仿宋_GB2312" w:cs="仿宋_GB2312"/>
          <w:sz w:val="32"/>
          <w:szCs w:val="32"/>
        </w:rPr>
        <w:t>生活补助</w:t>
      </w:r>
      <w:r>
        <w:rPr>
          <w:rFonts w:hint="eastAsia" w:ascii="仿宋_GB2312" w:hAnsi="仿宋_GB2312" w:eastAsia="仿宋_GB2312" w:cs="仿宋_GB2312"/>
          <w:sz w:val="32"/>
          <w:szCs w:val="32"/>
          <w:lang w:val="en-US" w:eastAsia="zh-CN"/>
        </w:rPr>
        <w:t>222000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14:paraId="19AD481D">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（三）年末结转和结余情况。</w:t>
      </w:r>
    </w:p>
    <w:p w14:paraId="200C3461">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1．分资金来源、资金性质结</w:t>
      </w:r>
      <w:bookmarkStart w:id="0" w:name="_GoBack"/>
      <w:bookmarkEnd w:id="0"/>
      <w:r>
        <w:rPr>
          <w:rFonts w:hint="eastAsia" w:ascii="仿宋_GB2312" w:hAnsi="仿宋_GB2312" w:eastAsia="仿宋_GB2312" w:cs="仿宋_GB2312"/>
          <w:sz w:val="32"/>
          <w:szCs w:val="32"/>
        </w:rPr>
        <w:t>转和结余情况，特别是项目经费结转和结余情况。</w:t>
      </w:r>
    </w:p>
    <w:p w14:paraId="14160440">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w:t>
      </w:r>
    </w:p>
    <w:p w14:paraId="5A5DC304">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2．结转和结余规模较大的原因分析及消化结转和结余的对策。</w:t>
      </w:r>
    </w:p>
    <w:p w14:paraId="6DAC48C4">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w:t>
      </w:r>
    </w:p>
    <w:p w14:paraId="557A9D1F">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（四）与预算支出相关的其他指标分析。</w:t>
      </w:r>
    </w:p>
    <w:p w14:paraId="686F29B3">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对资产、负债信息进行分析，主要分析与上年度对比情况，包括增减绝对值与幅度，增减变动主要原因(可用柱形图或折线图)，对预算编制和执行的影响等。</w:t>
      </w:r>
    </w:p>
    <w:p w14:paraId="48C5E495">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w:t>
      </w:r>
    </w:p>
    <w:p w14:paraId="015EF15A">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（五）绩效目标完成情况。</w:t>
      </w:r>
    </w:p>
    <w:p w14:paraId="4BE0AA28">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1.概述项目绩效目标完成情况。</w:t>
      </w:r>
    </w:p>
    <w:p w14:paraId="10008351">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完成情况较好，就</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绩效管理项目绩效目标来看，本年度全州开展绩效监管巡查调研，全州财政绩效监督培训等，加强了全州绩效管控体系建设，深入实施绩效评估、绩效目标管理、绩效运行监控和绩效评价，大力提升绩效管理质效和绩效结果应用；就投资评审经费来看，本年度完成全州相关项目评审，开展对投资项目建设全过程的管理和绩效评价等方面的业务，承担对财政资金安排的项目预算的评审任务，参与州级机关项目管理有关政策、法规以及政府性投资评审操作流程、指标体系的研究和项目标准，定额的标准。</w:t>
      </w:r>
    </w:p>
    <w:p w14:paraId="2179858E">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2.概述本单位整体支出绩效目标实现情况（如有）。</w:t>
      </w:r>
    </w:p>
    <w:p w14:paraId="158586A3">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w:t>
      </w:r>
    </w:p>
    <w:p w14:paraId="66C4A3EE">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（六）当年预算执行及绩效管理中存在问题、原因及改进措施。</w:t>
      </w:r>
    </w:p>
    <w:p w14:paraId="21597FC8">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w:t>
      </w:r>
    </w:p>
    <w:p w14:paraId="7A255955">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三、本年度部门决算等财务工作开展情况</w:t>
      </w:r>
    </w:p>
    <w:p w14:paraId="2F6F5C4D">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（一）本单位财务管理、绩效管理、决算组织、编报、审核情况。</w:t>
      </w:r>
    </w:p>
    <w:p w14:paraId="19D84C43">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按规范程序审核，扎实开展财务决算工作。</w:t>
      </w:r>
    </w:p>
    <w:p w14:paraId="70755D72">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（二）本单位决算及绩效信息公开工作开展情况。</w:t>
      </w:r>
    </w:p>
    <w:p w14:paraId="7C7AB015">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w:t>
      </w:r>
    </w:p>
    <w:p w14:paraId="11E4BDB9">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（三）对单位决算管理及报表设计的意见建议。</w:t>
      </w:r>
    </w:p>
    <w:p w14:paraId="7BB9A15A">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w:t>
      </w:r>
    </w:p>
    <w:p w14:paraId="42AF3481">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（四）对加强部门决算数据分析利用工作的建议。</w:t>
      </w:r>
    </w:p>
    <w:p w14:paraId="048B0895">
      <w:pPr>
        <w:pStyle w:val="5"/>
        <w:spacing w:line="560" w:lineRule="exact"/>
        <w:ind w:firstLine="643" w:firstLineChars="200"/>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无。</w:t>
      </w:r>
    </w:p>
    <w:p w14:paraId="72625DD1">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注：收入支出预算执行情况分析可参考部门决算分析评价表（见软件查询模板）及行政事业单位财务分析指标（附后）。</w:t>
      </w:r>
    </w:p>
    <w:p w14:paraId="70362D48">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附：</w:t>
      </w:r>
    </w:p>
    <w:p w14:paraId="2B0B160B">
      <w:pPr>
        <w:pStyle w:val="5"/>
        <w:spacing w:line="56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200FB9C9">
      <w:pPr>
        <w:pStyle w:val="5"/>
        <w:spacing w:line="56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行政事业单位财务分析指标</w:t>
      </w:r>
    </w:p>
    <w:p w14:paraId="6F2DBCB5">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161D914E">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一、行政单位财务分析指标</w:t>
      </w:r>
    </w:p>
    <w:p w14:paraId="40C77FF9">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1.支出增长率，衡量行政单位支出的增长水平。计算公式为：</w:t>
      </w:r>
    </w:p>
    <w:p w14:paraId="761B644B">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支出增长率＝(本期支出总额÷上期支出总额-1)×100%=</w:t>
      </w:r>
      <w:r>
        <w:rPr>
          <w:rFonts w:hint="eastAsia" w:ascii="仿宋_GB2312" w:hAnsi="仿宋_GB2312" w:eastAsia="仿宋_GB2312" w:cs="仿宋_GB2312"/>
          <w:sz w:val="32"/>
          <w:szCs w:val="32"/>
          <w:lang w:val="en-US" w:eastAsia="zh-CN"/>
        </w:rPr>
        <w:t>-0.68</w:t>
      </w:r>
      <w:r>
        <w:rPr>
          <w:rFonts w:hint="eastAsia" w:ascii="仿宋_GB2312" w:hAnsi="仿宋_GB2312" w:eastAsia="仿宋_GB2312" w:cs="仿宋_GB2312"/>
          <w:sz w:val="32"/>
          <w:szCs w:val="32"/>
        </w:rPr>
        <w:t>%</w:t>
      </w:r>
    </w:p>
    <w:p w14:paraId="25C6135E">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2.当年预算支出完成率，衡量行政单位当年支出总预算及分项预算完成的程度。计算公式为：</w:t>
      </w:r>
    </w:p>
    <w:p w14:paraId="5CA31336">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当年预算支出完成率＝年终执行数÷调整预算数×100%=100.00%</w:t>
      </w:r>
    </w:p>
    <w:p w14:paraId="0C2BF4A7">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3.人均开支，衡量行政单位人均年消耗经费水平。计算公式为：</w:t>
      </w:r>
    </w:p>
    <w:p w14:paraId="39CCA950">
      <w:pPr>
        <w:pStyle w:val="5"/>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人均开支＝本期支出数÷本期平均在职人员数=</w:t>
      </w:r>
      <w:r>
        <w:rPr>
          <w:rFonts w:hint="eastAsia" w:ascii="仿宋_GB2312" w:hAnsi="仿宋_GB2312" w:eastAsia="仿宋_GB2312" w:cs="仿宋_GB2312"/>
          <w:sz w:val="32"/>
          <w:szCs w:val="32"/>
          <w:lang w:val="en-US" w:eastAsia="zh-CN"/>
        </w:rPr>
        <w:t>30.22</w:t>
      </w:r>
    </w:p>
    <w:p w14:paraId="72C73C6C">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4.项目支出占总支出的比率，衡量行政单位的支出结构。计算公式为：</w:t>
      </w:r>
    </w:p>
    <w:p w14:paraId="360C9F31">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项目支出比率=本期项目支出数÷本期支出总数×100%=</w:t>
      </w:r>
      <w:r>
        <w:rPr>
          <w:rFonts w:hint="eastAsia" w:ascii="仿宋_GB2312" w:hAnsi="仿宋_GB2312" w:eastAsia="仿宋_GB2312" w:cs="仿宋_GB2312"/>
          <w:sz w:val="32"/>
          <w:szCs w:val="32"/>
          <w:lang w:val="en-US" w:eastAsia="zh-CN"/>
        </w:rPr>
        <w:t>78.09</w:t>
      </w:r>
      <w:r>
        <w:rPr>
          <w:rFonts w:hint="eastAsia" w:ascii="仿宋_GB2312" w:hAnsi="仿宋_GB2312" w:eastAsia="仿宋_GB2312" w:cs="仿宋_GB2312"/>
          <w:sz w:val="32"/>
          <w:szCs w:val="32"/>
        </w:rPr>
        <w:t>%</w:t>
      </w:r>
    </w:p>
    <w:p w14:paraId="1E97F6AB">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5.人员支出、公用支出占总支出的比率，衡量行政单位的支出结构。计算公式为：</w:t>
      </w:r>
    </w:p>
    <w:p w14:paraId="1BE69DA8">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人员支出比率=本期人员支出数÷本期支出总数×100%=</w:t>
      </w:r>
      <w:r>
        <w:rPr>
          <w:rFonts w:hint="eastAsia" w:ascii="仿宋_GB2312" w:hAnsi="仿宋_GB2312" w:eastAsia="仿宋_GB2312" w:cs="仿宋_GB2312"/>
          <w:sz w:val="32"/>
          <w:szCs w:val="32"/>
          <w:lang w:val="en-US" w:eastAsia="zh-CN"/>
        </w:rPr>
        <w:t>67.31</w:t>
      </w:r>
      <w:r>
        <w:rPr>
          <w:rFonts w:hint="eastAsia" w:ascii="仿宋_GB2312" w:hAnsi="仿宋_GB2312" w:eastAsia="仿宋_GB2312" w:cs="仿宋_GB2312"/>
          <w:sz w:val="32"/>
          <w:szCs w:val="32"/>
        </w:rPr>
        <w:t>%</w:t>
      </w:r>
    </w:p>
    <w:p w14:paraId="13FE566A">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公用支出比率=本期公用支出数÷本期支出总数×100%=</w:t>
      </w:r>
      <w:r>
        <w:rPr>
          <w:rFonts w:hint="eastAsia" w:ascii="仿宋_GB2312" w:hAnsi="仿宋_GB2312" w:eastAsia="仿宋_GB2312" w:cs="仿宋_GB2312"/>
          <w:sz w:val="32"/>
          <w:szCs w:val="32"/>
          <w:lang w:val="en-US" w:eastAsia="zh-CN"/>
        </w:rPr>
        <w:t>10.78</w:t>
      </w:r>
      <w:r>
        <w:rPr>
          <w:rFonts w:hint="eastAsia" w:ascii="仿宋_GB2312" w:hAnsi="仿宋_GB2312" w:eastAsia="仿宋_GB2312" w:cs="仿宋_GB2312"/>
          <w:sz w:val="32"/>
          <w:szCs w:val="32"/>
        </w:rPr>
        <w:t>%</w:t>
      </w:r>
    </w:p>
    <w:p w14:paraId="71B18E52">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6.人均办公使用面积，衡量行政单位办公用房配备情况。计算公式为：</w:t>
      </w:r>
    </w:p>
    <w:p w14:paraId="33945951">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人均办公使用面积=本期末单位办公用房使用面积÷本期末在职人员数=0.00</w:t>
      </w:r>
    </w:p>
    <w:p w14:paraId="39887239">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7.人车比例，衡量行政单位公务用车配备情况。计算公式为：</w:t>
      </w:r>
    </w:p>
    <w:p w14:paraId="2C14315E">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人车比例=本期末在职人员数÷本期末公务用车实有数=0.00</w:t>
      </w:r>
    </w:p>
    <w:p w14:paraId="4C9622C9">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480559BC">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二、事业单位财务分析指标</w:t>
      </w:r>
    </w:p>
    <w:p w14:paraId="6F2EA2D6">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1.预算收入和支出完成率，衡量事业单位收入和支出总预算及分项预算完成的程度。计算公式为：</w:t>
      </w:r>
    </w:p>
    <w:p w14:paraId="1C1CAB38">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预算收入完成率＝年终执行数÷调整预算数×100%=100.00%</w:t>
      </w:r>
    </w:p>
    <w:p w14:paraId="1E726BC4">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预算支出完成率＝年终执行数÷调整预算数×100%=100.00%</w:t>
      </w:r>
    </w:p>
    <w:p w14:paraId="76060569">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2.人员支出、公用支出占事业支出的比率，衡量事业单位事业支出结构。计算公式为：</w:t>
      </w:r>
    </w:p>
    <w:p w14:paraId="6F20A8E3">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人员支出比率＝人员支出÷事业支出×100%=</w:t>
      </w:r>
      <w:r>
        <w:rPr>
          <w:rFonts w:hint="eastAsia" w:ascii="仿宋_GB2312" w:hAnsi="仿宋_GB2312" w:eastAsia="仿宋_GB2312" w:cs="仿宋_GB2312"/>
          <w:sz w:val="32"/>
          <w:szCs w:val="32"/>
          <w:lang w:val="en-US" w:eastAsia="zh-CN"/>
        </w:rPr>
        <w:t>86.19</w:t>
      </w:r>
      <w:r>
        <w:rPr>
          <w:rFonts w:hint="eastAsia" w:ascii="仿宋_GB2312" w:hAnsi="仿宋_GB2312" w:eastAsia="仿宋_GB2312" w:cs="仿宋_GB2312"/>
          <w:sz w:val="32"/>
          <w:szCs w:val="32"/>
        </w:rPr>
        <w:t>%</w:t>
      </w:r>
    </w:p>
    <w:p w14:paraId="78AFC4EE">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公用支出比率＝公用支出÷事业支出×100%=</w:t>
      </w:r>
      <w:r>
        <w:rPr>
          <w:rFonts w:hint="eastAsia" w:ascii="仿宋_GB2312" w:hAnsi="仿宋_GB2312" w:eastAsia="仿宋_GB2312" w:cs="仿宋_GB2312"/>
          <w:sz w:val="32"/>
          <w:szCs w:val="32"/>
          <w:lang w:val="en-US" w:eastAsia="zh-CN"/>
        </w:rPr>
        <w:t>13.81</w:t>
      </w:r>
      <w:r>
        <w:rPr>
          <w:rFonts w:hint="eastAsia" w:ascii="仿宋_GB2312" w:hAnsi="仿宋_GB2312" w:eastAsia="仿宋_GB2312" w:cs="仿宋_GB2312"/>
          <w:sz w:val="32"/>
          <w:szCs w:val="32"/>
        </w:rPr>
        <w:t>%</w:t>
      </w:r>
    </w:p>
    <w:p w14:paraId="17B181F2">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3.人均基本支出，衡量事业单位按照实际在编人数平均的基本支出水平。计算公式为：</w:t>
      </w:r>
    </w:p>
    <w:p w14:paraId="14F60859">
      <w:pPr>
        <w:pStyle w:val="5"/>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人均基本支出＝（基本支出-离退休人员支出）÷实际在编人数=</w:t>
      </w:r>
      <w:r>
        <w:rPr>
          <w:rFonts w:hint="eastAsia" w:ascii="仿宋_GB2312" w:hAnsi="仿宋_GB2312" w:eastAsia="仿宋_GB2312" w:cs="仿宋_GB2312"/>
          <w:sz w:val="32"/>
          <w:szCs w:val="32"/>
          <w:lang w:val="en-US" w:eastAsia="zh-CN"/>
        </w:rPr>
        <w:t>228570元</w:t>
      </w:r>
    </w:p>
    <w:p w14:paraId="137FF83C">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此外，行业事业单位还可根据相关财务制度规定和分析需要增加相关分析指标，如：</w:t>
      </w:r>
    </w:p>
    <w:p w14:paraId="30746563">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1.财政拨款依存度, 衡量部门（单位）对财政拨款的依赖程度。</w:t>
      </w:r>
    </w:p>
    <w:p w14:paraId="77B7BB15">
      <w:pPr>
        <w:pStyle w:val="5"/>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财政拨款依存度＝财政拨款收入÷收入总额×100%=100.00%</w: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kYzc1NzFiOWI5NmUwNjJhMzNjZDM5YzdhY2E3ZWQifQ=="/>
  </w:docVars>
  <w:rsids>
    <w:rsidRoot w:val="004743E1"/>
    <w:rsid w:val="00044C06"/>
    <w:rsid w:val="001C424A"/>
    <w:rsid w:val="001D03BA"/>
    <w:rsid w:val="00246445"/>
    <w:rsid w:val="00341298"/>
    <w:rsid w:val="004743E1"/>
    <w:rsid w:val="004C54EF"/>
    <w:rsid w:val="004D12B5"/>
    <w:rsid w:val="004E2F8A"/>
    <w:rsid w:val="00505080"/>
    <w:rsid w:val="005B1A03"/>
    <w:rsid w:val="0061623B"/>
    <w:rsid w:val="0086317A"/>
    <w:rsid w:val="008B7B13"/>
    <w:rsid w:val="008D2B28"/>
    <w:rsid w:val="00914EA4"/>
    <w:rsid w:val="00AD6B3A"/>
    <w:rsid w:val="00B32574"/>
    <w:rsid w:val="00BB4408"/>
    <w:rsid w:val="00D57136"/>
    <w:rsid w:val="00DB51A8"/>
    <w:rsid w:val="00E264A4"/>
    <w:rsid w:val="00EA12EA"/>
    <w:rsid w:val="00F75E08"/>
    <w:rsid w:val="00FC1A65"/>
    <w:rsid w:val="04986056"/>
    <w:rsid w:val="0A456633"/>
    <w:rsid w:val="21EE4803"/>
    <w:rsid w:val="3B6F2786"/>
    <w:rsid w:val="65AC0CCA"/>
    <w:rsid w:val="6CA61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10"/>
    <w:autoRedefine/>
    <w:semiHidden/>
    <w:unhideWhenUsed/>
    <w:qFormat/>
    <w:uiPriority w:val="99"/>
    <w:pPr>
      <w:tabs>
        <w:tab w:val="center" w:pos="4153"/>
        <w:tab w:val="right" w:pos="8306"/>
      </w:tabs>
      <w:snapToGrid w:val="0"/>
      <w:jc w:val="left"/>
    </w:pPr>
    <w:rPr>
      <w:sz w:val="18"/>
      <w:szCs w:val="18"/>
    </w:rPr>
  </w:style>
  <w:style w:type="paragraph" w:styleId="4">
    <w:name w:val="header"/>
    <w:basedOn w:val="1"/>
    <w:link w:val="9"/>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autoRedefine/>
    <w:qFormat/>
    <w:uiPriority w:val="22"/>
    <w:rPr>
      <w:b/>
      <w:bCs/>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收入支出对比表</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收入年初预算</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c:f>
              <c:numCache>
                <c:formatCode>General</c:formatCode>
                <c:ptCount val="1"/>
                <c:pt idx="0">
                  <c:v>1947.06</c:v>
                </c:pt>
              </c:numCache>
            </c:numRef>
          </c:val>
        </c:ser>
        <c:ser>
          <c:idx val="1"/>
          <c:order val="1"/>
          <c:tx>
            <c:strRef>
              <c:f>Sheet1!$C$1</c:f>
              <c:strCache>
                <c:ptCount val="1"/>
                <c:pt idx="0">
                  <c:v>支出年初预算</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f>
              <c:numCache>
                <c:formatCode>General</c:formatCode>
                <c:ptCount val="1"/>
                <c:pt idx="0">
                  <c:v>1947.06</c:v>
                </c:pt>
              </c:numCache>
            </c:numRef>
          </c:val>
        </c:ser>
        <c:dLbls>
          <c:showLegendKey val="0"/>
          <c:showVal val="0"/>
          <c:showCatName val="0"/>
          <c:showSerName val="0"/>
          <c:showPercent val="0"/>
          <c:showBubbleSize val="0"/>
        </c:dLbls>
        <c:gapWidth val="246"/>
        <c:overlap val="-28"/>
        <c:axId val="51726524"/>
        <c:axId val="850790154"/>
      </c:barChart>
      <c:catAx>
        <c:axId val="517265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0790154"/>
        <c:crosses val="autoZero"/>
        <c:auto val="1"/>
        <c:lblAlgn val="ctr"/>
        <c:lblOffset val="100"/>
        <c:noMultiLvlLbl val="0"/>
      </c:catAx>
      <c:valAx>
        <c:axId val="85079015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7265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e3f1503-004b-4017-ae79-37a5321eeee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本年度支出</c:v>
                </c:pt>
              </c:strCache>
            </c:strRef>
          </c:tx>
          <c:explosion val="0"/>
          <c:dPt>
            <c:idx val="0"/>
            <c:bubble3D val="0"/>
          </c:dPt>
          <c:dPt>
            <c:idx val="1"/>
            <c:bubble3D val="0"/>
          </c:dPt>
          <c:dPt>
            <c:idx val="2"/>
            <c:bubble3D val="0"/>
          </c:dPt>
          <c:dPt>
            <c:idx val="3"/>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0.00%</c:formatCode>
                <c:ptCount val="4"/>
                <c:pt idx="0">
                  <c:v>0.8577</c:v>
                </c:pt>
                <c:pt idx="1">
                  <c:v>0.0799</c:v>
                </c:pt>
                <c:pt idx="2">
                  <c:v>0.0297</c:v>
                </c:pt>
                <c:pt idx="3">
                  <c:v>0.0327</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07238d4-85ce-486f-a5fd-47d421334268}"/>
      </c:ext>
    </c:extLst>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4658</Words>
  <Characters>5108</Characters>
  <Lines>39</Lines>
  <Paragraphs>11</Paragraphs>
  <TotalTime>36</TotalTime>
  <ScaleCrop>false</ScaleCrop>
  <LinksUpToDate>false</LinksUpToDate>
  <CharactersWithSpaces>5133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2024-01-16T02:37:00Z</dcterms:created>
  <dc:creator>DELL</dc:creator>
  <cp:lastModifiedBy>FAAH</cp:lastModifiedBy>
  <dcterms:modified xsi:type="dcterms:W3CDTF">2026-02-04T08:59:59Z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DEC686482189464BB1DC80C504573F0B_13</vt:lpwstr>
  </property>
  <property fmtid="{D5CDD505-2E9C-101B-9397-08002B2CF9AE}" pid="4" name="KSOTemplateDocerSaveRecord">
    <vt:lpwstr>eyJoZGlkIjoiZjNkYzc1NzFiOWI5NmUwNjJhMzNjZDM5YzdhY2E3ZWQiLCJ1c2VySWQiOiIzNjk4Nzc5MDQifQ==</vt:lpwstr>
  </property>
</Properties>
</file>