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FC5A8">
      <w:pPr>
        <w:pStyle w:val="8"/>
        <w:spacing w:line="560" w:lineRule="exact"/>
        <w:ind w:firstLine="643" w:firstLineChars="200"/>
        <w:jc w:val="center"/>
        <w:rPr>
          <w:rFonts w:ascii="Times New Roman" w:hAnsi="Times New Roman" w:eastAsia="仿宋_GB2312"/>
          <w:sz w:val="32"/>
        </w:rPr>
      </w:pPr>
      <w:r>
        <w:rPr>
          <w:rStyle w:val="12"/>
          <w:rFonts w:hint="eastAsia" w:ascii="Times New Roman" w:eastAsia="仿宋_GB2312"/>
          <w:sz w:val="32"/>
          <w:szCs w:val="11"/>
        </w:rPr>
        <w:t>四川省阿坝州财政局</w:t>
      </w:r>
      <w:r>
        <w:rPr>
          <w:rStyle w:val="12"/>
          <w:rFonts w:hint="eastAsia" w:ascii="Times New Roman" w:hAnsi="Times New Roman" w:eastAsia="仿宋_GB2312"/>
          <w:sz w:val="32"/>
          <w:szCs w:val="11"/>
          <w:lang w:eastAsia="zh-CN"/>
        </w:rPr>
        <w:t>2025</w:t>
      </w:r>
      <w:r>
        <w:rPr>
          <w:rStyle w:val="12"/>
          <w:rFonts w:hint="eastAsia" w:ascii="Times New Roman" w:eastAsia="仿宋_GB2312"/>
          <w:sz w:val="32"/>
          <w:szCs w:val="11"/>
        </w:rPr>
        <w:t>年度部门决算分析报告</w:t>
      </w:r>
    </w:p>
    <w:p w14:paraId="5E1DCA80">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一、单位情况</w:t>
      </w:r>
    </w:p>
    <w:p w14:paraId="7D06CABE">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（一）基本情况。</w:t>
      </w:r>
    </w:p>
    <w:p w14:paraId="4D0C71D8">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1</w:t>
      </w:r>
      <w:r>
        <w:rPr>
          <w:rFonts w:hint="eastAsia" w:ascii="Times New Roman" w:eastAsia="仿宋_GB2312"/>
          <w:sz w:val="32"/>
          <w:szCs w:val="11"/>
        </w:rPr>
        <w:t>．主要职能。</w:t>
      </w:r>
    </w:p>
    <w:p w14:paraId="52202931">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eastAsia="仿宋_GB2312"/>
          <w:sz w:val="32"/>
        </w:rPr>
        <w:t>（一）履行政治领导责任，做好理论武装和思想政治工作，负责学习、宣传、贯彻执行党的理论和路线方针政策，贯彻落实党中央、省委、州委的决策部署，发挥好把方向、管大局、保落实的重要作用。</w:t>
      </w:r>
    </w:p>
    <w:p w14:paraId="5CE584B3">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eastAsia="仿宋_GB2312"/>
          <w:sz w:val="32"/>
        </w:rPr>
        <w:t>（二）讨论和决定本单位下列重大问题。党的路线方针政策、国家法律法规和上级党组织重要会议、重要文件、重大决策部署的贯彻落实事项。需要向上级党组织请示报告的重要事项。内部机构设置、职责、人员编制等事项。重大决策、重要人事任免、重大项目安排、大额资金使用等事项。基层党组织和党员队伍建设方面的重要事项。意识形态工作、思想政治工作和精神文明建设方面的重要事项。党风廉政建设和反腐败工作方面的重要事项，其他应当由党组讨论和决定的重大问题。</w:t>
      </w:r>
    </w:p>
    <w:p w14:paraId="178C5344">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eastAsia="仿宋_GB2312"/>
          <w:sz w:val="32"/>
        </w:rPr>
        <w:t>（三）贯彻党管干部原则，加强干部队伍建设，完善干部培养选拔机制，加强干部教育管理监督。贯彻党管人才原则，加强人才队伍建设。加强对本单位工会、共青团、妇联等群团工作的领导。</w:t>
      </w:r>
    </w:p>
    <w:p w14:paraId="2B5C1870">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eastAsia="仿宋_GB2312"/>
          <w:sz w:val="32"/>
        </w:rPr>
        <w:t>（四）履行党要管党、从严治党责任，加强对本单位党的建设的领导，落实党建工作责任制。认真履行党风廉政建设主体责任，支持纪检监察机构履行监督责任。</w:t>
      </w:r>
    </w:p>
    <w:p w14:paraId="2FAB7D23">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eastAsia="仿宋_GB2312"/>
          <w:sz w:val="32"/>
        </w:rPr>
        <w:t>第四条</w:t>
      </w:r>
      <w:r>
        <w:rPr>
          <w:rFonts w:hint="eastAsia" w:ascii="Times New Roman" w:hAnsi="Times New Roman" w:eastAsia="仿宋_GB2312"/>
          <w:sz w:val="32"/>
        </w:rPr>
        <w:t xml:space="preserve">  </w:t>
      </w:r>
      <w:r>
        <w:rPr>
          <w:rFonts w:hint="eastAsia" w:ascii="Times New Roman" w:eastAsia="仿宋_GB2312"/>
          <w:sz w:val="32"/>
        </w:rPr>
        <w:t>州财政局贯彻落实党中央关于财经工作的方针政策和省委、州委的决策部署</w:t>
      </w:r>
      <w:r>
        <w:rPr>
          <w:rFonts w:hint="eastAsia" w:ascii="Times New Roman" w:hAnsi="Times New Roman" w:eastAsia="仿宋_GB2312"/>
          <w:sz w:val="32"/>
        </w:rPr>
        <w:t>,</w:t>
      </w:r>
      <w:r>
        <w:rPr>
          <w:rFonts w:hint="eastAsia" w:ascii="Times New Roman" w:eastAsia="仿宋_GB2312"/>
          <w:sz w:val="32"/>
        </w:rPr>
        <w:t>在履行职责过程中坚持和加强党对财政工作的集中统一领导。主要职责是</w:t>
      </w:r>
      <w:r>
        <w:rPr>
          <w:rFonts w:hint="eastAsia" w:ascii="Times New Roman" w:hAnsi="Times New Roman" w:eastAsia="仿宋_GB2312"/>
          <w:sz w:val="32"/>
        </w:rPr>
        <w:t xml:space="preserve">: </w:t>
      </w:r>
    </w:p>
    <w:p w14:paraId="3B419E2A">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一</w:t>
      </w:r>
      <w:r>
        <w:rPr>
          <w:rFonts w:hint="eastAsia" w:ascii="Times New Roman" w:hAnsi="Times New Roman" w:eastAsia="仿宋_GB2312"/>
          <w:sz w:val="32"/>
        </w:rPr>
        <w:t>)</w:t>
      </w:r>
      <w:r>
        <w:rPr>
          <w:rFonts w:hint="eastAsia" w:ascii="Times New Roman" w:eastAsia="仿宋_GB2312"/>
          <w:sz w:val="32"/>
        </w:rPr>
        <w:t>拟订全州财税发展战略、规划、政策和改革方案并组织实施。分析预测宏观经济形势</w:t>
      </w:r>
      <w:r>
        <w:rPr>
          <w:rFonts w:hint="eastAsia" w:ascii="Times New Roman" w:hAnsi="Times New Roman" w:eastAsia="仿宋_GB2312"/>
          <w:sz w:val="32"/>
        </w:rPr>
        <w:t>,</w:t>
      </w:r>
      <w:r>
        <w:rPr>
          <w:rFonts w:hint="eastAsia" w:ascii="Times New Roman" w:eastAsia="仿宋_GB2312"/>
          <w:sz w:val="32"/>
        </w:rPr>
        <w:t>参与制定宏观经济政策</w:t>
      </w:r>
      <w:r>
        <w:rPr>
          <w:rFonts w:hint="eastAsia" w:ascii="Times New Roman" w:hAnsi="Times New Roman" w:eastAsia="仿宋_GB2312"/>
          <w:sz w:val="32"/>
        </w:rPr>
        <w:t>,</w:t>
      </w:r>
      <w:r>
        <w:rPr>
          <w:rFonts w:hint="eastAsia" w:ascii="Times New Roman" w:eastAsia="仿宋_GB2312"/>
          <w:sz w:val="32"/>
        </w:rPr>
        <w:t>提出运用财税政策实施宏观调控和综合平衡社会财力的建议。拟订州与县</w:t>
      </w:r>
      <w:r>
        <w:rPr>
          <w:rFonts w:hint="eastAsia" w:ascii="Times New Roman" w:hAnsi="Times New Roman" w:eastAsia="仿宋_GB2312"/>
          <w:sz w:val="32"/>
        </w:rPr>
        <w:t>(</w:t>
      </w:r>
      <w:r>
        <w:rPr>
          <w:rFonts w:hint="eastAsia" w:ascii="Times New Roman" w:eastAsia="仿宋_GB2312"/>
          <w:sz w:val="32"/>
        </w:rPr>
        <w:t>市、区</w:t>
      </w:r>
      <w:r>
        <w:rPr>
          <w:rFonts w:hint="eastAsia" w:ascii="Times New Roman" w:hAnsi="Times New Roman" w:eastAsia="仿宋_GB2312"/>
          <w:sz w:val="32"/>
        </w:rPr>
        <w:t>)</w:t>
      </w:r>
      <w:r>
        <w:rPr>
          <w:rFonts w:hint="eastAsia" w:ascii="Times New Roman" w:eastAsia="仿宋_GB2312"/>
          <w:sz w:val="32"/>
        </w:rPr>
        <w:t>、国家与企业的分配政策</w:t>
      </w:r>
      <w:r>
        <w:rPr>
          <w:rFonts w:hint="eastAsia" w:ascii="Times New Roman" w:hAnsi="Times New Roman" w:eastAsia="仿宋_GB2312"/>
          <w:sz w:val="32"/>
        </w:rPr>
        <w:t>,</w:t>
      </w:r>
      <w:r>
        <w:rPr>
          <w:rFonts w:hint="eastAsia" w:ascii="Times New Roman" w:eastAsia="仿宋_GB2312"/>
          <w:sz w:val="32"/>
        </w:rPr>
        <w:t>完善鼓励公益事业发展的财税政策。</w:t>
      </w:r>
    </w:p>
    <w:p w14:paraId="44FC3D13">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二</w:t>
      </w:r>
      <w:r>
        <w:rPr>
          <w:rFonts w:hint="eastAsia" w:ascii="Times New Roman" w:hAnsi="Times New Roman" w:eastAsia="仿宋_GB2312"/>
          <w:sz w:val="32"/>
        </w:rPr>
        <w:t>)</w:t>
      </w:r>
      <w:r>
        <w:rPr>
          <w:rFonts w:hint="eastAsia" w:ascii="Times New Roman" w:eastAsia="仿宋_GB2312"/>
          <w:sz w:val="32"/>
        </w:rPr>
        <w:t>贯彻执行财政、税收、财务、会计管理的法律法规和规章。提出全州性财税立法规划建议</w:t>
      </w:r>
      <w:r>
        <w:rPr>
          <w:rFonts w:hint="eastAsia" w:ascii="Times New Roman" w:hAnsi="Times New Roman" w:eastAsia="仿宋_GB2312"/>
          <w:sz w:val="32"/>
        </w:rPr>
        <w:t>,</w:t>
      </w:r>
      <w:r>
        <w:rPr>
          <w:rFonts w:hint="eastAsia" w:ascii="Times New Roman" w:eastAsia="仿宋_GB2312"/>
          <w:sz w:val="32"/>
        </w:rPr>
        <w:t>负责组织起草财税地方性法规、规章草案并组织实施。按照管理权限管理全州税政事项。</w:t>
      </w:r>
    </w:p>
    <w:p w14:paraId="3F33A216">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三</w:t>
      </w:r>
      <w:r>
        <w:rPr>
          <w:rFonts w:hint="eastAsia" w:ascii="Times New Roman" w:hAnsi="Times New Roman" w:eastAsia="仿宋_GB2312"/>
          <w:sz w:val="32"/>
        </w:rPr>
        <w:t>)</w:t>
      </w:r>
      <w:r>
        <w:rPr>
          <w:rFonts w:hint="eastAsia" w:ascii="Times New Roman" w:eastAsia="仿宋_GB2312"/>
          <w:sz w:val="32"/>
        </w:rPr>
        <w:t>负责管理各项财政收支。编制年度州级预决算草案并组织执行。组织制定经费开支标准、定额</w:t>
      </w:r>
      <w:r>
        <w:rPr>
          <w:rFonts w:hint="eastAsia" w:ascii="Times New Roman" w:hAnsi="Times New Roman" w:eastAsia="仿宋_GB2312"/>
          <w:sz w:val="32"/>
        </w:rPr>
        <w:t>,</w:t>
      </w:r>
      <w:r>
        <w:rPr>
          <w:rFonts w:hint="eastAsia" w:ascii="Times New Roman" w:eastAsia="仿宋_GB2312"/>
          <w:sz w:val="32"/>
        </w:rPr>
        <w:t>审核批复部门</w:t>
      </w:r>
      <w:r>
        <w:rPr>
          <w:rFonts w:hint="eastAsia" w:ascii="Times New Roman" w:hAnsi="Times New Roman" w:eastAsia="仿宋_GB2312"/>
          <w:sz w:val="32"/>
        </w:rPr>
        <w:t>(</w:t>
      </w:r>
      <w:r>
        <w:rPr>
          <w:rFonts w:hint="eastAsia" w:ascii="Times New Roman" w:eastAsia="仿宋_GB2312"/>
          <w:sz w:val="32"/>
        </w:rPr>
        <w:t>单位</w:t>
      </w:r>
      <w:r>
        <w:rPr>
          <w:rFonts w:hint="eastAsia" w:ascii="Times New Roman" w:hAnsi="Times New Roman" w:eastAsia="仿宋_GB2312"/>
          <w:sz w:val="32"/>
        </w:rPr>
        <w:t>)</w:t>
      </w:r>
      <w:r>
        <w:rPr>
          <w:rFonts w:hint="eastAsia" w:ascii="Times New Roman" w:eastAsia="仿宋_GB2312"/>
          <w:sz w:val="32"/>
        </w:rPr>
        <w:t>年度预决算。受州政府委托</w:t>
      </w:r>
      <w:r>
        <w:rPr>
          <w:rFonts w:hint="eastAsia" w:ascii="Times New Roman" w:hAnsi="Times New Roman" w:eastAsia="仿宋_GB2312"/>
          <w:sz w:val="32"/>
        </w:rPr>
        <w:t>,</w:t>
      </w:r>
      <w:r>
        <w:rPr>
          <w:rFonts w:hint="eastAsia" w:ascii="Times New Roman" w:eastAsia="仿宋_GB2312"/>
          <w:sz w:val="32"/>
        </w:rPr>
        <w:t>向州人大及其常委会报告财政预算、执行和决算等情况。负责政府投资基金州级财政出资的资产管理。负责州级预决算公开。负责全面实施预算绩效管理。</w:t>
      </w:r>
    </w:p>
    <w:p w14:paraId="1CD1946F">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四</w:t>
      </w:r>
      <w:r>
        <w:rPr>
          <w:rFonts w:hint="eastAsia" w:ascii="Times New Roman" w:hAnsi="Times New Roman" w:eastAsia="仿宋_GB2312"/>
          <w:sz w:val="32"/>
        </w:rPr>
        <w:t>)</w:t>
      </w:r>
      <w:r>
        <w:rPr>
          <w:rFonts w:hint="eastAsia" w:ascii="Times New Roman" w:eastAsia="仿宋_GB2312"/>
          <w:sz w:val="32"/>
        </w:rPr>
        <w:t>按分工负责政府非税收入管理。负责政府性基金管理</w:t>
      </w:r>
      <w:r>
        <w:rPr>
          <w:rFonts w:hint="eastAsia" w:ascii="Times New Roman" w:hAnsi="Times New Roman" w:eastAsia="仿宋_GB2312"/>
          <w:sz w:val="32"/>
        </w:rPr>
        <w:t>,</w:t>
      </w:r>
      <w:r>
        <w:rPr>
          <w:rFonts w:hint="eastAsia" w:ascii="Times New Roman" w:eastAsia="仿宋_GB2312"/>
          <w:sz w:val="32"/>
        </w:rPr>
        <w:t>按规定管理行政事业性收费等其他非税收入。管理财政票据。制定彩票管理政策和有关办法</w:t>
      </w:r>
      <w:r>
        <w:rPr>
          <w:rFonts w:hint="eastAsia" w:ascii="Times New Roman" w:hAnsi="Times New Roman" w:eastAsia="仿宋_GB2312"/>
          <w:sz w:val="32"/>
        </w:rPr>
        <w:t>,</w:t>
      </w:r>
      <w:r>
        <w:rPr>
          <w:rFonts w:hint="eastAsia" w:ascii="Times New Roman" w:eastAsia="仿宋_GB2312"/>
          <w:sz w:val="32"/>
        </w:rPr>
        <w:t>监管彩票市场</w:t>
      </w:r>
      <w:r>
        <w:rPr>
          <w:rFonts w:hint="eastAsia" w:ascii="Times New Roman" w:hAnsi="Times New Roman" w:eastAsia="仿宋_GB2312"/>
          <w:sz w:val="32"/>
        </w:rPr>
        <w:t>,</w:t>
      </w:r>
      <w:r>
        <w:rPr>
          <w:rFonts w:hint="eastAsia" w:ascii="Times New Roman" w:eastAsia="仿宋_GB2312"/>
          <w:sz w:val="32"/>
        </w:rPr>
        <w:t>按规定管理彩票资金。</w:t>
      </w:r>
    </w:p>
    <w:p w14:paraId="4D8B2944">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五</w:t>
      </w:r>
      <w:r>
        <w:rPr>
          <w:rFonts w:hint="eastAsia" w:ascii="Times New Roman" w:hAnsi="Times New Roman" w:eastAsia="仿宋_GB2312"/>
          <w:sz w:val="32"/>
        </w:rPr>
        <w:t>)</w:t>
      </w:r>
      <w:r>
        <w:rPr>
          <w:rFonts w:hint="eastAsia" w:ascii="Times New Roman" w:eastAsia="仿宋_GB2312"/>
          <w:sz w:val="32"/>
        </w:rPr>
        <w:t>组织制定全州国库管理制度、国库集中收付制度</w:t>
      </w:r>
      <w:r>
        <w:rPr>
          <w:rFonts w:hint="eastAsia" w:ascii="Times New Roman" w:hAnsi="Times New Roman" w:eastAsia="仿宋_GB2312"/>
          <w:sz w:val="32"/>
        </w:rPr>
        <w:t>,</w:t>
      </w:r>
      <w:r>
        <w:rPr>
          <w:rFonts w:hint="eastAsia" w:ascii="Times New Roman" w:eastAsia="仿宋_GB2312"/>
          <w:sz w:val="32"/>
        </w:rPr>
        <w:t>指导和监督国库业务</w:t>
      </w:r>
      <w:r>
        <w:rPr>
          <w:rFonts w:hint="eastAsia" w:ascii="Times New Roman" w:hAnsi="Times New Roman" w:eastAsia="仿宋_GB2312"/>
          <w:sz w:val="32"/>
        </w:rPr>
        <w:t>,</w:t>
      </w:r>
      <w:r>
        <w:rPr>
          <w:rFonts w:hint="eastAsia" w:ascii="Times New Roman" w:eastAsia="仿宋_GB2312"/>
          <w:sz w:val="32"/>
        </w:rPr>
        <w:t>开展国库现金管理工作。贯彻执行政府财务报告编制办法并组织实施。负责制定政府采购制度并监督管理。</w:t>
      </w:r>
    </w:p>
    <w:p w14:paraId="0B9D8161">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六</w:t>
      </w:r>
      <w:r>
        <w:rPr>
          <w:rFonts w:hint="eastAsia" w:ascii="Times New Roman" w:hAnsi="Times New Roman" w:eastAsia="仿宋_GB2312"/>
          <w:sz w:val="32"/>
        </w:rPr>
        <w:t>)</w:t>
      </w:r>
      <w:r>
        <w:rPr>
          <w:rFonts w:hint="eastAsia" w:ascii="Times New Roman" w:eastAsia="仿宋_GB2312"/>
          <w:sz w:val="32"/>
        </w:rPr>
        <w:t>贯彻执行地方政府债务管理制度和政策</w:t>
      </w:r>
      <w:r>
        <w:rPr>
          <w:rFonts w:hint="eastAsia" w:ascii="Times New Roman" w:hAnsi="Times New Roman" w:eastAsia="仿宋_GB2312"/>
          <w:sz w:val="32"/>
        </w:rPr>
        <w:t>,</w:t>
      </w:r>
      <w:r>
        <w:rPr>
          <w:rFonts w:hint="eastAsia" w:ascii="Times New Roman" w:eastAsia="仿宋_GB2312"/>
          <w:sz w:val="32"/>
        </w:rPr>
        <w:t>制定具体管理办法</w:t>
      </w:r>
      <w:r>
        <w:rPr>
          <w:rFonts w:hint="eastAsia" w:ascii="Times New Roman" w:hAnsi="Times New Roman" w:eastAsia="仿宋_GB2312"/>
          <w:sz w:val="32"/>
        </w:rPr>
        <w:t>,</w:t>
      </w:r>
      <w:r>
        <w:rPr>
          <w:rFonts w:hint="eastAsia" w:ascii="Times New Roman" w:eastAsia="仿宋_GB2312"/>
          <w:sz w:val="32"/>
        </w:rPr>
        <w:t>编制地方政府债余额限额计划</w:t>
      </w:r>
      <w:r>
        <w:rPr>
          <w:rFonts w:hint="eastAsia" w:ascii="Times New Roman" w:hAnsi="Times New Roman" w:eastAsia="仿宋_GB2312"/>
          <w:sz w:val="32"/>
        </w:rPr>
        <w:t>,</w:t>
      </w:r>
      <w:r>
        <w:rPr>
          <w:rFonts w:hint="eastAsia" w:ascii="Times New Roman" w:eastAsia="仿宋_GB2312"/>
          <w:sz w:val="32"/>
        </w:rPr>
        <w:t>统一管理政府外债</w:t>
      </w:r>
      <w:r>
        <w:rPr>
          <w:rFonts w:hint="eastAsia" w:ascii="Times New Roman" w:hAnsi="Times New Roman" w:eastAsia="仿宋_GB2312"/>
          <w:sz w:val="32"/>
        </w:rPr>
        <w:t>,</w:t>
      </w:r>
      <w:r>
        <w:rPr>
          <w:rFonts w:hint="eastAsia" w:ascii="Times New Roman" w:eastAsia="仿宋_GB2312"/>
          <w:sz w:val="32"/>
        </w:rPr>
        <w:t>防范财政风险。</w:t>
      </w:r>
    </w:p>
    <w:p w14:paraId="74F5669D">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七</w:t>
      </w:r>
      <w:r>
        <w:rPr>
          <w:rFonts w:hint="eastAsia" w:ascii="Times New Roman" w:hAnsi="Times New Roman" w:eastAsia="仿宋_GB2312"/>
          <w:sz w:val="32"/>
        </w:rPr>
        <w:t>)</w:t>
      </w:r>
      <w:r>
        <w:rPr>
          <w:rFonts w:hint="eastAsia" w:ascii="Times New Roman" w:eastAsia="仿宋_GB2312"/>
          <w:sz w:val="32"/>
        </w:rPr>
        <w:t>牵头编制全州国有资产管理情况报告。根据州政府授权</w:t>
      </w:r>
      <w:r>
        <w:rPr>
          <w:rFonts w:hint="eastAsia" w:ascii="Times New Roman" w:hAnsi="Times New Roman" w:eastAsia="仿宋_GB2312"/>
          <w:sz w:val="32"/>
        </w:rPr>
        <w:t>,</w:t>
      </w:r>
      <w:r>
        <w:rPr>
          <w:rFonts w:hint="eastAsia" w:ascii="Times New Roman" w:eastAsia="仿宋_GB2312"/>
          <w:sz w:val="32"/>
        </w:rPr>
        <w:t>集中统一履行州级国有金融资本出资人职责。制定州级国有金融资本管理制度。拟订全州行政事业单位国有资产管理制度并组织实施。制定需要全州统一规定的开支标准和支出政策。</w:t>
      </w:r>
    </w:p>
    <w:p w14:paraId="29CE980C">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八</w:t>
      </w:r>
      <w:r>
        <w:rPr>
          <w:rFonts w:hint="eastAsia" w:ascii="Times New Roman" w:hAnsi="Times New Roman" w:eastAsia="仿宋_GB2312"/>
          <w:sz w:val="32"/>
        </w:rPr>
        <w:t>)</w:t>
      </w:r>
      <w:r>
        <w:rPr>
          <w:rFonts w:hint="eastAsia" w:ascii="Times New Roman" w:eastAsia="仿宋_GB2312"/>
          <w:sz w:val="32"/>
        </w:rPr>
        <w:t>负责审核并汇总编制全州国有资本经营预决算草案。制定国有资本经营预算制度和办法</w:t>
      </w:r>
      <w:r>
        <w:rPr>
          <w:rFonts w:hint="eastAsia" w:ascii="Times New Roman" w:hAnsi="Times New Roman" w:eastAsia="仿宋_GB2312"/>
          <w:sz w:val="32"/>
        </w:rPr>
        <w:t>,</w:t>
      </w:r>
      <w:r>
        <w:rPr>
          <w:rFonts w:hint="eastAsia" w:ascii="Times New Roman" w:eastAsia="仿宋_GB2312"/>
          <w:sz w:val="32"/>
        </w:rPr>
        <w:t>收取州本级企业国有资本收益。组织实施企业财务制度</w:t>
      </w:r>
      <w:r>
        <w:rPr>
          <w:rFonts w:hint="eastAsia" w:ascii="Times New Roman" w:hAnsi="Times New Roman" w:eastAsia="仿宋_GB2312"/>
          <w:sz w:val="32"/>
        </w:rPr>
        <w:t>,</w:t>
      </w:r>
      <w:r>
        <w:rPr>
          <w:rFonts w:hint="eastAsia" w:ascii="Times New Roman" w:eastAsia="仿宋_GB2312"/>
          <w:sz w:val="32"/>
        </w:rPr>
        <w:t>负责财政预算内行政事业单位和社会团体的非贸易外汇和财政预算内的国际收支管理。</w:t>
      </w:r>
    </w:p>
    <w:p w14:paraId="6DEDFEF8">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九</w:t>
      </w:r>
      <w:r>
        <w:rPr>
          <w:rFonts w:hint="eastAsia" w:ascii="Times New Roman" w:hAnsi="Times New Roman" w:eastAsia="仿宋_GB2312"/>
          <w:sz w:val="32"/>
        </w:rPr>
        <w:t>)</w:t>
      </w:r>
      <w:r>
        <w:rPr>
          <w:rFonts w:hint="eastAsia" w:ascii="Times New Roman" w:eastAsia="仿宋_GB2312"/>
          <w:sz w:val="32"/>
        </w:rPr>
        <w:t>负责审核并汇总编制全州社会保险基金预决算草案</w:t>
      </w:r>
      <w:r>
        <w:rPr>
          <w:rFonts w:hint="eastAsia" w:ascii="Times New Roman" w:hAnsi="Times New Roman" w:eastAsia="仿宋_GB2312"/>
          <w:sz w:val="32"/>
        </w:rPr>
        <w:t>,</w:t>
      </w:r>
      <w:r>
        <w:rPr>
          <w:rFonts w:hint="eastAsia" w:ascii="Times New Roman" w:eastAsia="仿宋_GB2312"/>
          <w:sz w:val="32"/>
        </w:rPr>
        <w:t>会同有关部门拟订有关资金</w:t>
      </w:r>
      <w:r>
        <w:rPr>
          <w:rFonts w:hint="eastAsia" w:ascii="Times New Roman" w:hAnsi="Times New Roman" w:eastAsia="仿宋_GB2312"/>
          <w:sz w:val="32"/>
        </w:rPr>
        <w:t>(</w:t>
      </w:r>
      <w:r>
        <w:rPr>
          <w:rFonts w:hint="eastAsia" w:ascii="Times New Roman" w:eastAsia="仿宋_GB2312"/>
          <w:sz w:val="32"/>
        </w:rPr>
        <w:t>基金</w:t>
      </w:r>
      <w:r>
        <w:rPr>
          <w:rFonts w:hint="eastAsia" w:ascii="Times New Roman" w:hAnsi="Times New Roman" w:eastAsia="仿宋_GB2312"/>
          <w:sz w:val="32"/>
        </w:rPr>
        <w:t>)</w:t>
      </w:r>
      <w:r>
        <w:rPr>
          <w:rFonts w:hint="eastAsia" w:ascii="Times New Roman" w:eastAsia="仿宋_GB2312"/>
          <w:sz w:val="32"/>
        </w:rPr>
        <w:t>财务管理制度</w:t>
      </w:r>
      <w:r>
        <w:rPr>
          <w:rFonts w:hint="eastAsia" w:ascii="Times New Roman" w:hAnsi="Times New Roman" w:eastAsia="仿宋_GB2312"/>
          <w:sz w:val="32"/>
        </w:rPr>
        <w:t>,</w:t>
      </w:r>
      <w:r>
        <w:rPr>
          <w:rFonts w:hint="eastAsia" w:ascii="Times New Roman" w:eastAsia="仿宋_GB2312"/>
          <w:sz w:val="32"/>
        </w:rPr>
        <w:t>承担社会保险基金财政监管工作。</w:t>
      </w:r>
    </w:p>
    <w:p w14:paraId="44310DC4">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十</w:t>
      </w:r>
      <w:r>
        <w:rPr>
          <w:rFonts w:hint="eastAsia" w:ascii="Times New Roman" w:hAnsi="Times New Roman" w:eastAsia="仿宋_GB2312"/>
          <w:sz w:val="32"/>
        </w:rPr>
        <w:t>)</w:t>
      </w:r>
      <w:r>
        <w:rPr>
          <w:rFonts w:hint="eastAsia" w:ascii="Times New Roman" w:eastAsia="仿宋_GB2312"/>
          <w:sz w:val="32"/>
        </w:rPr>
        <w:t>负责办理和监督州级财政的经济发展支出、州级政府性投资项目的财政拨款</w:t>
      </w:r>
      <w:r>
        <w:rPr>
          <w:rFonts w:hint="eastAsia" w:ascii="Times New Roman" w:hAnsi="Times New Roman" w:eastAsia="仿宋_GB2312"/>
          <w:sz w:val="32"/>
        </w:rPr>
        <w:t>,</w:t>
      </w:r>
      <w:r>
        <w:rPr>
          <w:rFonts w:hint="eastAsia" w:ascii="Times New Roman" w:eastAsia="仿宋_GB2312"/>
          <w:sz w:val="32"/>
        </w:rPr>
        <w:t>负责投资评审管理工作</w:t>
      </w:r>
      <w:r>
        <w:rPr>
          <w:rFonts w:hint="eastAsia" w:ascii="Times New Roman" w:hAnsi="Times New Roman" w:eastAsia="仿宋_GB2312"/>
          <w:sz w:val="32"/>
        </w:rPr>
        <w:t>,</w:t>
      </w:r>
      <w:r>
        <w:rPr>
          <w:rFonts w:hint="eastAsia" w:ascii="Times New Roman" w:eastAsia="仿宋_GB2312"/>
          <w:sz w:val="32"/>
        </w:rPr>
        <w:t>参与拟订州级基建投资有关政策</w:t>
      </w:r>
      <w:r>
        <w:rPr>
          <w:rFonts w:hint="eastAsia" w:ascii="Times New Roman" w:hAnsi="Times New Roman" w:eastAsia="仿宋_GB2312"/>
          <w:sz w:val="32"/>
        </w:rPr>
        <w:t>,</w:t>
      </w:r>
      <w:r>
        <w:rPr>
          <w:rFonts w:hint="eastAsia" w:ascii="Times New Roman" w:eastAsia="仿宋_GB2312"/>
          <w:sz w:val="32"/>
        </w:rPr>
        <w:t>制定基建财务管理制度。</w:t>
      </w:r>
    </w:p>
    <w:p w14:paraId="50EBA177">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十一</w:t>
      </w:r>
      <w:r>
        <w:rPr>
          <w:rFonts w:hint="eastAsia" w:ascii="Times New Roman" w:hAnsi="Times New Roman" w:eastAsia="仿宋_GB2312"/>
          <w:sz w:val="32"/>
        </w:rPr>
        <w:t>)</w:t>
      </w:r>
      <w:r>
        <w:rPr>
          <w:rFonts w:hint="eastAsia" w:ascii="Times New Roman" w:eastAsia="仿宋_GB2312"/>
          <w:sz w:val="32"/>
        </w:rPr>
        <w:t>管理外国政府和国际金融机构贷</w:t>
      </w:r>
      <w:r>
        <w:rPr>
          <w:rFonts w:hint="eastAsia" w:ascii="Times New Roman" w:hAnsi="Times New Roman" w:eastAsia="仿宋_GB2312"/>
          <w:sz w:val="32"/>
        </w:rPr>
        <w:t>(</w:t>
      </w:r>
      <w:r>
        <w:rPr>
          <w:rFonts w:hint="eastAsia" w:ascii="Times New Roman" w:eastAsia="仿宋_GB2312"/>
          <w:sz w:val="32"/>
        </w:rPr>
        <w:t>赠</w:t>
      </w:r>
      <w:r>
        <w:rPr>
          <w:rFonts w:hint="eastAsia" w:ascii="Times New Roman" w:hAnsi="Times New Roman" w:eastAsia="仿宋_GB2312"/>
          <w:sz w:val="32"/>
        </w:rPr>
        <w:t>)</w:t>
      </w:r>
      <w:r>
        <w:rPr>
          <w:rFonts w:hint="eastAsia" w:ascii="Times New Roman" w:eastAsia="仿宋_GB2312"/>
          <w:sz w:val="32"/>
        </w:rPr>
        <w:t>款项目的有关业务</w:t>
      </w:r>
      <w:r>
        <w:rPr>
          <w:rFonts w:hint="eastAsia" w:ascii="Times New Roman" w:hAnsi="Times New Roman" w:eastAsia="仿宋_GB2312"/>
          <w:sz w:val="32"/>
        </w:rPr>
        <w:t>,</w:t>
      </w:r>
      <w:r>
        <w:rPr>
          <w:rFonts w:hint="eastAsia" w:ascii="Times New Roman" w:eastAsia="仿宋_GB2312"/>
          <w:sz w:val="32"/>
        </w:rPr>
        <w:t>参与财经领域的国际交流与合作。</w:t>
      </w:r>
    </w:p>
    <w:p w14:paraId="0F0DB8DE">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十二</w:t>
      </w:r>
      <w:r>
        <w:rPr>
          <w:rFonts w:hint="eastAsia" w:ascii="Times New Roman" w:hAnsi="Times New Roman" w:eastAsia="仿宋_GB2312"/>
          <w:sz w:val="32"/>
        </w:rPr>
        <w:t>)</w:t>
      </w:r>
      <w:r>
        <w:rPr>
          <w:rFonts w:hint="eastAsia" w:ascii="Times New Roman" w:eastAsia="仿宋_GB2312"/>
          <w:sz w:val="32"/>
        </w:rPr>
        <w:t>负责管理全州会计工作</w:t>
      </w:r>
      <w:r>
        <w:rPr>
          <w:rFonts w:hint="eastAsia" w:ascii="Times New Roman" w:hAnsi="Times New Roman" w:eastAsia="仿宋_GB2312"/>
          <w:sz w:val="32"/>
        </w:rPr>
        <w:t>,</w:t>
      </w:r>
      <w:r>
        <w:rPr>
          <w:rFonts w:hint="eastAsia" w:ascii="Times New Roman" w:eastAsia="仿宋_GB2312"/>
          <w:sz w:val="32"/>
        </w:rPr>
        <w:t>监督和规范会计行为</w:t>
      </w:r>
      <w:r>
        <w:rPr>
          <w:rFonts w:hint="eastAsia" w:ascii="Times New Roman" w:hAnsi="Times New Roman" w:eastAsia="仿宋_GB2312"/>
          <w:sz w:val="32"/>
        </w:rPr>
        <w:t>,</w:t>
      </w:r>
      <w:r>
        <w:rPr>
          <w:rFonts w:hint="eastAsia" w:ascii="Times New Roman" w:eastAsia="仿宋_GB2312"/>
          <w:sz w:val="32"/>
        </w:rPr>
        <w:t>组织实施国家统一的会计制度</w:t>
      </w:r>
      <w:r>
        <w:rPr>
          <w:rFonts w:hint="eastAsia" w:ascii="Times New Roman" w:hAnsi="Times New Roman" w:eastAsia="仿宋_GB2312"/>
          <w:sz w:val="32"/>
        </w:rPr>
        <w:t>,</w:t>
      </w:r>
      <w:r>
        <w:rPr>
          <w:rFonts w:hint="eastAsia" w:ascii="Times New Roman" w:eastAsia="仿宋_GB2312"/>
          <w:sz w:val="32"/>
        </w:rPr>
        <w:t>指导和监督注册会计师和会计师事务所的业务</w:t>
      </w:r>
      <w:r>
        <w:rPr>
          <w:rFonts w:hint="eastAsia" w:ascii="Times New Roman" w:hAnsi="Times New Roman" w:eastAsia="仿宋_GB2312"/>
          <w:sz w:val="32"/>
        </w:rPr>
        <w:t>,</w:t>
      </w:r>
      <w:r>
        <w:rPr>
          <w:rFonts w:hint="eastAsia" w:ascii="Times New Roman" w:eastAsia="仿宋_GB2312"/>
          <w:sz w:val="32"/>
        </w:rPr>
        <w:t>指导和管理社会审计。依法管理资产评估有关工作。</w:t>
      </w:r>
    </w:p>
    <w:p w14:paraId="65BA6711">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十三</w:t>
      </w:r>
      <w:r>
        <w:rPr>
          <w:rFonts w:hint="eastAsia" w:ascii="Times New Roman" w:hAnsi="Times New Roman" w:eastAsia="仿宋_GB2312"/>
          <w:sz w:val="32"/>
        </w:rPr>
        <w:t>)</w:t>
      </w:r>
      <w:r>
        <w:rPr>
          <w:rFonts w:hint="eastAsia" w:ascii="Times New Roman" w:eastAsia="仿宋_GB2312"/>
          <w:sz w:val="32"/>
        </w:rPr>
        <w:t>负责职责范围内的安全生产和职业健康、生态环境保护、审批服务便民化等工作。</w:t>
      </w:r>
    </w:p>
    <w:p w14:paraId="407CB417">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rPr>
        <w:t>(</w:t>
      </w:r>
      <w:r>
        <w:rPr>
          <w:rFonts w:hint="eastAsia" w:ascii="Times New Roman" w:eastAsia="仿宋_GB2312"/>
          <w:sz w:val="32"/>
        </w:rPr>
        <w:t>十四</w:t>
      </w:r>
      <w:r>
        <w:rPr>
          <w:rFonts w:hint="eastAsia" w:ascii="Times New Roman" w:hAnsi="Times New Roman" w:eastAsia="仿宋_GB2312"/>
          <w:sz w:val="32"/>
        </w:rPr>
        <w:t>)</w:t>
      </w:r>
      <w:r>
        <w:rPr>
          <w:rFonts w:hint="eastAsia" w:ascii="Times New Roman" w:eastAsia="仿宋_GB2312"/>
          <w:sz w:val="32"/>
        </w:rPr>
        <w:t>完成州委、州政府交办的其他任务。</w:t>
      </w:r>
    </w:p>
    <w:p w14:paraId="476667BD">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szCs w:val="11"/>
        </w:rPr>
        <w:t>2</w:t>
      </w:r>
      <w:r>
        <w:rPr>
          <w:rFonts w:hint="eastAsia" w:ascii="Times New Roman" w:eastAsia="仿宋_GB2312"/>
          <w:sz w:val="32"/>
          <w:szCs w:val="11"/>
        </w:rPr>
        <w:t>．本单位本年度纳入本套决算编制范围的独立编制机构数共</w:t>
      </w:r>
      <w:r>
        <w:rPr>
          <w:rFonts w:hint="eastAsia" w:ascii="Times New Roman" w:hAnsi="Times New Roman" w:eastAsia="仿宋_GB2312"/>
          <w:sz w:val="32"/>
          <w:szCs w:val="11"/>
        </w:rPr>
        <w:t>3</w:t>
      </w:r>
      <w:r>
        <w:rPr>
          <w:rFonts w:hint="eastAsia" w:ascii="Times New Roman" w:eastAsia="仿宋_GB2312"/>
          <w:sz w:val="32"/>
          <w:szCs w:val="11"/>
        </w:rPr>
        <w:t>个，</w:t>
      </w:r>
      <w:r>
        <w:rPr>
          <w:rFonts w:hint="eastAsia" w:ascii="Times New Roman" w:eastAsia="仿宋_GB2312"/>
          <w:sz w:val="32"/>
          <w:szCs w:val="11"/>
          <w:lang w:eastAsia="zh-CN"/>
        </w:rPr>
        <w:t>较上年无变化</w:t>
      </w:r>
      <w:r>
        <w:rPr>
          <w:rFonts w:hint="eastAsia" w:ascii="Times New Roman" w:eastAsia="仿宋_GB2312"/>
          <w:sz w:val="32"/>
          <w:szCs w:val="11"/>
        </w:rPr>
        <w:t>；独立核算机构数共</w:t>
      </w:r>
      <w:r>
        <w:rPr>
          <w:rFonts w:hint="eastAsia" w:ascii="Times New Roman" w:hAnsi="Times New Roman" w:eastAsia="仿宋_GB2312"/>
          <w:sz w:val="32"/>
          <w:szCs w:val="11"/>
        </w:rPr>
        <w:t>3</w:t>
      </w:r>
      <w:r>
        <w:rPr>
          <w:rFonts w:hint="eastAsia" w:ascii="Times New Roman" w:eastAsia="仿宋_GB2312"/>
          <w:sz w:val="32"/>
          <w:szCs w:val="11"/>
        </w:rPr>
        <w:t>个，</w:t>
      </w:r>
      <w:r>
        <w:rPr>
          <w:rFonts w:hint="eastAsia" w:ascii="Times New Roman" w:eastAsia="仿宋_GB2312"/>
          <w:sz w:val="32"/>
          <w:szCs w:val="11"/>
          <w:lang w:eastAsia="zh-CN"/>
        </w:rPr>
        <w:t>较上年无变化。</w:t>
      </w:r>
      <w:r>
        <w:rPr>
          <w:rFonts w:ascii="Times New Roman" w:hAnsi="Times New Roman" w:eastAsia="仿宋_GB2312"/>
          <w:sz w:val="32"/>
        </w:rPr>
        <w:t> </w:t>
      </w:r>
    </w:p>
    <w:p w14:paraId="69BA3DEF">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hAnsi="Times New Roman" w:eastAsia="仿宋_GB2312"/>
          <w:sz w:val="32"/>
          <w:szCs w:val="11"/>
        </w:rPr>
        <w:t>3</w:t>
      </w:r>
      <w:r>
        <w:rPr>
          <w:rFonts w:hint="eastAsia" w:ascii="Times New Roman" w:eastAsia="仿宋_GB2312"/>
          <w:sz w:val="32"/>
          <w:szCs w:val="11"/>
        </w:rPr>
        <w:t>．</w:t>
      </w:r>
      <w:r>
        <w:rPr>
          <w:rFonts w:hint="eastAsia" w:ascii="Times New Roman" w:hAnsi="Times New Roman" w:eastAsia="仿宋_GB2312"/>
          <w:sz w:val="32"/>
          <w:szCs w:val="11"/>
        </w:rPr>
        <w:t xml:space="preserve"> </w:t>
      </w:r>
      <w:r>
        <w:rPr>
          <w:rFonts w:hint="eastAsia" w:ascii="Times New Roman" w:eastAsia="仿宋_GB2312"/>
          <w:sz w:val="32"/>
          <w:szCs w:val="11"/>
        </w:rPr>
        <w:t>本单位本年度年末实有人数为</w:t>
      </w:r>
      <w:r>
        <w:rPr>
          <w:rFonts w:hint="eastAsia" w:ascii="Times New Roman" w:hAnsi="Times New Roman" w:eastAsia="仿宋_GB2312"/>
          <w:sz w:val="32"/>
          <w:szCs w:val="11"/>
        </w:rPr>
        <w:t>1</w:t>
      </w:r>
      <w:r>
        <w:rPr>
          <w:rFonts w:hint="eastAsia" w:ascii="Times New Roman" w:hAnsi="Times New Roman" w:eastAsia="仿宋_GB2312"/>
          <w:sz w:val="32"/>
          <w:szCs w:val="11"/>
          <w:lang w:val="en-US" w:eastAsia="zh-CN"/>
        </w:rPr>
        <w:t>10</w:t>
      </w:r>
      <w:r>
        <w:rPr>
          <w:rFonts w:hint="eastAsia" w:ascii="Times New Roman" w:eastAsia="仿宋_GB2312"/>
          <w:sz w:val="32"/>
          <w:szCs w:val="11"/>
        </w:rPr>
        <w:t>人，比上年</w:t>
      </w:r>
      <w:r>
        <w:rPr>
          <w:rFonts w:hint="eastAsia" w:ascii="Times New Roman" w:eastAsia="仿宋_GB2312"/>
          <w:sz w:val="32"/>
          <w:szCs w:val="11"/>
          <w:lang w:eastAsia="zh-CN"/>
        </w:rPr>
        <w:t>减少</w:t>
      </w:r>
      <w:r>
        <w:rPr>
          <w:rFonts w:hint="eastAsia" w:ascii="Times New Roman" w:eastAsia="仿宋_GB2312"/>
          <w:sz w:val="32"/>
          <w:szCs w:val="11"/>
          <w:lang w:val="en-US" w:eastAsia="zh-CN"/>
        </w:rPr>
        <w:t>3</w:t>
      </w:r>
      <w:r>
        <w:rPr>
          <w:rFonts w:hint="eastAsia" w:ascii="Times New Roman" w:eastAsia="仿宋_GB2312"/>
          <w:sz w:val="32"/>
          <w:szCs w:val="11"/>
        </w:rPr>
        <w:t>人；年末实有离退休人数为</w:t>
      </w:r>
      <w:r>
        <w:rPr>
          <w:rFonts w:hint="eastAsia" w:ascii="Times New Roman" w:hAnsi="Times New Roman" w:eastAsia="仿宋_GB2312"/>
          <w:sz w:val="32"/>
          <w:szCs w:val="11"/>
        </w:rPr>
        <w:t>0</w:t>
      </w:r>
      <w:r>
        <w:rPr>
          <w:rFonts w:hint="eastAsia" w:ascii="Times New Roman" w:eastAsia="仿宋_GB2312"/>
          <w:sz w:val="32"/>
          <w:szCs w:val="11"/>
        </w:rPr>
        <w:t>人，比上年增加</w:t>
      </w:r>
      <w:r>
        <w:rPr>
          <w:rFonts w:hint="eastAsia" w:ascii="Times New Roman" w:hAnsi="Times New Roman" w:eastAsia="仿宋_GB2312"/>
          <w:sz w:val="32"/>
          <w:szCs w:val="11"/>
        </w:rPr>
        <w:t>0</w:t>
      </w:r>
      <w:r>
        <w:rPr>
          <w:rFonts w:hint="eastAsia" w:ascii="Times New Roman" w:eastAsia="仿宋_GB2312"/>
          <w:sz w:val="32"/>
          <w:szCs w:val="11"/>
        </w:rPr>
        <w:t>人</w:t>
      </w:r>
      <w:r>
        <w:rPr>
          <w:rStyle w:val="12"/>
          <w:rFonts w:hint="eastAsia" w:ascii="Times New Roman" w:eastAsia="仿宋_GB2312"/>
          <w:sz w:val="32"/>
          <w:szCs w:val="11"/>
        </w:rPr>
        <w:t>。</w:t>
      </w:r>
      <w:r>
        <w:rPr>
          <w:rFonts w:hint="eastAsia" w:ascii="Times New Roman" w:eastAsia="仿宋_GB2312"/>
          <w:sz w:val="32"/>
          <w:szCs w:val="11"/>
        </w:rPr>
        <w:t>年末实有其他人数为</w:t>
      </w:r>
      <w:r>
        <w:rPr>
          <w:rFonts w:hint="eastAsia" w:ascii="Times New Roman" w:hAnsi="Times New Roman" w:eastAsia="仿宋_GB2312"/>
          <w:sz w:val="32"/>
          <w:szCs w:val="11"/>
        </w:rPr>
        <w:t>0</w:t>
      </w:r>
      <w:r>
        <w:rPr>
          <w:rFonts w:hint="eastAsia" w:ascii="Times New Roman" w:eastAsia="仿宋_GB2312"/>
          <w:sz w:val="32"/>
          <w:szCs w:val="11"/>
        </w:rPr>
        <w:t>人，比上年增加</w:t>
      </w:r>
      <w:r>
        <w:rPr>
          <w:rFonts w:hint="eastAsia" w:ascii="Times New Roman" w:hAnsi="Times New Roman" w:eastAsia="仿宋_GB2312"/>
          <w:sz w:val="32"/>
          <w:szCs w:val="11"/>
        </w:rPr>
        <w:t>0</w:t>
      </w:r>
      <w:r>
        <w:rPr>
          <w:rFonts w:hint="eastAsia" w:ascii="Times New Roman" w:eastAsia="仿宋_GB2312"/>
          <w:sz w:val="32"/>
          <w:szCs w:val="11"/>
        </w:rPr>
        <w:t>人；</w:t>
      </w:r>
      <w:r>
        <w:rPr>
          <w:rStyle w:val="12"/>
          <w:rFonts w:hint="eastAsia" w:ascii="Times New Roman" w:eastAsia="仿宋_GB2312"/>
          <w:sz w:val="32"/>
          <w:szCs w:val="11"/>
        </w:rPr>
        <w:t>无变动情况。</w:t>
      </w:r>
    </w:p>
    <w:p w14:paraId="5882C5DE">
      <w:pPr>
        <w:pStyle w:val="8"/>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sz w:val="32"/>
        </w:rPr>
      </w:pPr>
      <w:r>
        <w:rPr>
          <w:rStyle w:val="12"/>
          <w:rFonts w:hint="eastAsia" w:ascii="Times New Roman" w:eastAsia="仿宋_GB2312"/>
          <w:sz w:val="32"/>
          <w:szCs w:val="11"/>
        </w:rPr>
        <w:t>（二）当年取得的主要事业成效。</w:t>
      </w:r>
    </w:p>
    <w:p w14:paraId="483510D1">
      <w:pPr>
        <w:pStyle w:val="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sz w:val="32"/>
        </w:rPr>
      </w:pPr>
      <w:r>
        <w:rPr>
          <w:rFonts w:hint="eastAsia" w:ascii="Times New Roman" w:eastAsia="仿宋_GB2312"/>
          <w:sz w:val="32"/>
          <w:szCs w:val="11"/>
        </w:rPr>
        <w:t>一、概述单位工作开展情况及主要事业成效。</w:t>
      </w:r>
    </w:p>
    <w:p w14:paraId="0EB3C128">
      <w:pPr>
        <w:keepNext w:val="0"/>
        <w:keepLines w:val="0"/>
        <w:pageBreakBefore w:val="0"/>
        <w:widowControl w:val="0"/>
        <w:kinsoku/>
        <w:wordWrap/>
        <w:overflowPunct/>
        <w:topLinePunct w:val="0"/>
        <w:autoSpaceDE/>
        <w:autoSpaceDN/>
        <w:bidi w:val="0"/>
        <w:snapToGrid/>
        <w:spacing w:line="54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（一）紧抓财政收支，全力以赴保运行平稳</w:t>
      </w:r>
    </w:p>
    <w:p w14:paraId="0FFEC6DC">
      <w:pPr>
        <w:keepNext w:val="0"/>
        <w:keepLines w:val="0"/>
        <w:pageBreakBefore w:val="0"/>
        <w:widowControl w:val="0"/>
        <w:kinsoku/>
        <w:wordWrap/>
        <w:overflowPunct/>
        <w:topLinePunct w:val="0"/>
        <w:autoSpaceDE/>
        <w:autoSpaceDN/>
        <w:bidi w:val="0"/>
        <w:snapToGrid/>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坚持“依法依规、应减尽减、应收尽收”原则积极组织财政收入，及时发现并解决组织收入中存在的问题，确保完成年初收支任务。今年，全州预计完成一般公共预算收入41.3亿元，剔除</w:t>
      </w:r>
      <w:r>
        <w:rPr>
          <w:rFonts w:hint="eastAsia" w:cs="Times New Roman"/>
          <w:sz w:val="32"/>
          <w:szCs w:val="32"/>
          <w:lang w:eastAsia="zh-CN"/>
        </w:rPr>
        <w:t>2024</w:t>
      </w:r>
      <w:r>
        <w:rPr>
          <w:rFonts w:ascii="Times New Roman" w:hAnsi="Times New Roman" w:eastAsia="仿宋_GB2312" w:cs="Times New Roman"/>
          <w:sz w:val="32"/>
          <w:szCs w:val="32"/>
        </w:rPr>
        <w:t>年一次性矿业权出让收入25.1亿元后，同</w:t>
      </w:r>
      <w:r>
        <w:rPr>
          <w:rFonts w:ascii="Times New Roman" w:hAnsi="Times New Roman" w:eastAsia="仿宋_GB2312" w:cs="Times New Roman"/>
          <w:sz w:val="32"/>
          <w:szCs w:val="32"/>
          <w:lang w:eastAsia="zh-CN"/>
        </w:rPr>
        <w:t>口径</w:t>
      </w:r>
      <w:r>
        <w:rPr>
          <w:rFonts w:ascii="Times New Roman" w:hAnsi="Times New Roman" w:eastAsia="仿宋_GB2312" w:cs="Times New Roman"/>
          <w:sz w:val="32"/>
          <w:szCs w:val="32"/>
        </w:rPr>
        <w:t>增长9%，从结构看：全州税收收入预计完成26.4亿元，同比增长2.3%</w:t>
      </w:r>
      <w:r>
        <w:rPr>
          <w:rFonts w:hint="eastAsia" w:eastAsia="仿宋_GB2312" w:cs="Times New Roman"/>
          <w:sz w:val="32"/>
          <w:szCs w:val="32"/>
          <w:lang w:eastAsia="zh-CN"/>
        </w:rPr>
        <w:t>；</w:t>
      </w:r>
      <w:r>
        <w:rPr>
          <w:rFonts w:ascii="Times New Roman" w:hAnsi="Times New Roman" w:eastAsia="仿宋_GB2312" w:cs="Times New Roman"/>
          <w:sz w:val="32"/>
          <w:szCs w:val="32"/>
        </w:rPr>
        <w:t>非税收入预计完成14.9亿元，同</w:t>
      </w:r>
      <w:r>
        <w:rPr>
          <w:rFonts w:ascii="Times New Roman" w:hAnsi="Times New Roman" w:eastAsia="仿宋_GB2312" w:cs="Times New Roman"/>
          <w:sz w:val="32"/>
          <w:szCs w:val="32"/>
          <w:lang w:eastAsia="zh-CN"/>
        </w:rPr>
        <w:t>口径</w:t>
      </w:r>
      <w:r>
        <w:rPr>
          <w:rFonts w:ascii="Times New Roman" w:hAnsi="Times New Roman" w:eastAsia="仿宋_GB2312" w:cs="Times New Roman"/>
          <w:sz w:val="32"/>
          <w:szCs w:val="32"/>
        </w:rPr>
        <w:t>增长23%。全州预计完成地方一般公共预算支出358亿元，同比增长3.1%。</w:t>
      </w:r>
    </w:p>
    <w:p w14:paraId="5D7B23E5">
      <w:pPr>
        <w:keepNext w:val="0"/>
        <w:keepLines w:val="0"/>
        <w:pageBreakBefore w:val="0"/>
        <w:widowControl w:val="0"/>
        <w:kinsoku/>
        <w:wordWrap/>
        <w:overflowPunct/>
        <w:topLinePunct w:val="0"/>
        <w:autoSpaceDE/>
        <w:autoSpaceDN/>
        <w:bidi w:val="0"/>
        <w:snapToGrid/>
        <w:spacing w:line="54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（二）聚焦保障重点，坚决落实州委州政府决策部署</w:t>
      </w:r>
    </w:p>
    <w:p w14:paraId="63CA3375">
      <w:pPr>
        <w:keepNext w:val="0"/>
        <w:keepLines w:val="0"/>
        <w:pageBreakBefore w:val="0"/>
        <w:widowControl w:val="0"/>
        <w:kinsoku/>
        <w:wordWrap/>
        <w:overflowPunct/>
        <w:topLinePunct w:val="0"/>
        <w:autoSpaceDE/>
        <w:autoSpaceDN/>
        <w:bidi w:val="0"/>
        <w:snapToGrid/>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着力助推教育高质量发展，筹集资金4500万元，引进优秀教师和管理团队，支持建设25个优质示范校联体、10所义务教育共同体领航学校，逐步缩小校际间教育资源和教学质量</w:t>
      </w:r>
      <w:r>
        <w:rPr>
          <w:rFonts w:ascii="Times New Roman" w:hAnsi="Times New Roman" w:eastAsia="仿宋_GB2312" w:cs="Times New Roman"/>
          <w:sz w:val="32"/>
          <w:szCs w:val="32"/>
          <w:lang w:eastAsia="zh-CN"/>
        </w:rPr>
        <w:t>差距</w:t>
      </w:r>
      <w:r>
        <w:rPr>
          <w:rFonts w:ascii="Times New Roman" w:hAnsi="Times New Roman" w:eastAsia="仿宋_GB2312" w:cs="Times New Roman"/>
          <w:sz w:val="32"/>
          <w:szCs w:val="32"/>
        </w:rPr>
        <w:t>。筹集资金2.1亿元，以落实待遇、兑现激励为着力点，全面落实教师绩效工资提标、提高连续任教奖励、开展教育工作先进激励等优待政策，支持补全州级名校长及学科带头人150名，建设名校长、名师工作室125个。全力推进kcbx工作，统筹资金3.3亿元，支持改善6个重点县办学条件，着力解决安置学生后顾之忧，开展职业技能培训和研学活动。统筹资金</w:t>
      </w:r>
      <w:r>
        <w:rPr>
          <w:rFonts w:hint="eastAsia" w:eastAsia="仿宋_GB2312" w:cs="Times New Roman"/>
          <w:sz w:val="32"/>
          <w:szCs w:val="32"/>
          <w:lang w:val="en-US" w:eastAsia="zh-CN"/>
        </w:rPr>
        <w:t>800万</w:t>
      </w:r>
      <w:r>
        <w:rPr>
          <w:rFonts w:ascii="Times New Roman" w:hAnsi="Times New Roman" w:eastAsia="仿宋_GB2312" w:cs="Times New Roman"/>
          <w:sz w:val="32"/>
          <w:szCs w:val="32"/>
        </w:rPr>
        <w:t>元，支持实施加强干部关心关爱、激发干事创业活力若干措施，进一步优化干部工作环境和生活条件。统筹资金1.1亿元，支持全面提升乡镇干部办公居住条件，充分激发和调动乡镇干部扎根基层、服务基层的内生动力。</w:t>
      </w:r>
    </w:p>
    <w:p w14:paraId="4CBD99E5">
      <w:pPr>
        <w:keepNext w:val="0"/>
        <w:keepLines w:val="0"/>
        <w:pageBreakBefore w:val="0"/>
        <w:widowControl w:val="0"/>
        <w:kinsoku/>
        <w:wordWrap/>
        <w:overflowPunct/>
        <w:topLinePunct w:val="0"/>
        <w:autoSpaceDE/>
        <w:autoSpaceDN/>
        <w:bidi w:val="0"/>
        <w:snapToGrid/>
        <w:spacing w:line="54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（三）强化资金统筹，服务经济高质量发展</w:t>
      </w:r>
    </w:p>
    <w:p w14:paraId="4CE7FD00">
      <w:pPr>
        <w:keepNext w:val="0"/>
        <w:keepLines w:val="0"/>
        <w:pageBreakBefore w:val="0"/>
        <w:widowControl w:val="0"/>
        <w:kinsoku/>
        <w:wordWrap/>
        <w:overflowPunct/>
        <w:topLinePunct w:val="0"/>
        <w:autoSpaceDE/>
        <w:autoSpaceDN/>
        <w:bidi w:val="0"/>
        <w:snapToGrid/>
        <w:spacing w:line="540" w:lineRule="exact"/>
        <w:ind w:firstLine="642"/>
        <w:rPr>
          <w:rFonts w:ascii="Times New Roman" w:hAnsi="Times New Roman" w:eastAsia="仿宋_GB2312" w:cs="Times New Roman"/>
          <w:sz w:val="32"/>
          <w:szCs w:val="32"/>
        </w:rPr>
      </w:pPr>
      <w:r>
        <w:rPr>
          <w:rFonts w:ascii="Times New Roman" w:hAnsi="Times New Roman" w:eastAsia="仿宋_GB2312" w:cs="Times New Roman"/>
          <w:sz w:val="32"/>
          <w:szCs w:val="32"/>
        </w:rPr>
        <w:t>严格实施零基预算编制，优先保障重点领域且实施条件成熟的项目，</w:t>
      </w:r>
      <w:r>
        <w:rPr>
          <w:rFonts w:hint="eastAsia" w:cs="Times New Roman"/>
          <w:sz w:val="32"/>
          <w:szCs w:val="32"/>
          <w:lang w:eastAsia="zh-CN"/>
        </w:rPr>
        <w:t>2025</w:t>
      </w:r>
      <w:r>
        <w:rPr>
          <w:rFonts w:ascii="Times New Roman" w:hAnsi="Times New Roman" w:eastAsia="仿宋_GB2312" w:cs="Times New Roman"/>
          <w:sz w:val="32"/>
          <w:szCs w:val="32"/>
        </w:rPr>
        <w:t>年，压减州本级可暂缓实施、不再开展或任务量减少的临时性项目支出1.1亿元。坚决落实“过紧日子”要求，牵头出台《进一步强化厉行节约坚持过紧日子的若干举措》，压减</w:t>
      </w:r>
      <w:r>
        <w:rPr>
          <w:rFonts w:hint="eastAsia" w:cs="Times New Roman"/>
          <w:sz w:val="32"/>
          <w:szCs w:val="32"/>
          <w:lang w:eastAsia="zh-CN"/>
        </w:rPr>
        <w:t>2025</w:t>
      </w:r>
      <w:r>
        <w:rPr>
          <w:rFonts w:ascii="Times New Roman" w:hAnsi="Times New Roman" w:eastAsia="仿宋_GB2312" w:cs="Times New Roman"/>
          <w:sz w:val="32"/>
          <w:szCs w:val="32"/>
        </w:rPr>
        <w:t>年州直部门一般性支出5437万元。积极对上争取，编制《阿坝州对上争取工作指南》，详细阐述95项转移支付资金分配方法，提高部门向上争取工作的针对性和实效性。</w:t>
      </w:r>
      <w:r>
        <w:rPr>
          <w:rFonts w:hint="eastAsia" w:cs="Times New Roman"/>
          <w:sz w:val="32"/>
          <w:szCs w:val="32"/>
          <w:highlight w:val="none"/>
          <w:lang w:eastAsia="zh-CN"/>
        </w:rPr>
        <w:t>2025</w:t>
      </w:r>
      <w:r>
        <w:rPr>
          <w:rFonts w:ascii="Times New Roman" w:hAnsi="Times New Roman" w:eastAsia="仿宋_GB2312" w:cs="Times New Roman"/>
          <w:sz w:val="32"/>
          <w:szCs w:val="32"/>
          <w:highlight w:val="none"/>
        </w:rPr>
        <w:t>年，共申报政府专项债券项目2批次，争取新增地方政府债券额度20.5亿元，较上年增长5.05亿元，创历史新高。其中，新增一般债券11.62亿元、专项债券8.88亿元。</w:t>
      </w:r>
      <w:r>
        <w:rPr>
          <w:rFonts w:ascii="Times New Roman" w:hAnsi="Times New Roman" w:eastAsia="仿宋_GB2312" w:cs="Times New Roman"/>
          <w:sz w:val="32"/>
          <w:szCs w:val="32"/>
          <w:lang w:eastAsia="zh-CN"/>
        </w:rPr>
        <w:t>截至目前</w:t>
      </w:r>
      <w:r>
        <w:rPr>
          <w:rFonts w:ascii="Times New Roman" w:hAnsi="Times New Roman" w:eastAsia="仿宋_GB2312" w:cs="Times New Roman"/>
          <w:sz w:val="32"/>
          <w:szCs w:val="32"/>
        </w:rPr>
        <w:t>，获得上级转移支付资金</w:t>
      </w:r>
      <w:r>
        <w:rPr>
          <w:rFonts w:ascii="仿宋_GB2312" w:eastAsia="仿宋_GB2312" w:cs="Times New Roman"/>
          <w:color w:val="000000"/>
          <w:sz w:val="32"/>
          <w:szCs w:val="32"/>
          <w:lang w:val="en-US" w:eastAsia="zh-CN"/>
        </w:rPr>
        <w:t>298.9</w:t>
      </w:r>
      <w:r>
        <w:rPr>
          <w:rFonts w:ascii="Times New Roman" w:hAnsi="Times New Roman" w:eastAsia="仿宋_GB2312" w:cs="Times New Roman"/>
          <w:sz w:val="32"/>
          <w:szCs w:val="32"/>
        </w:rPr>
        <w:t>亿元，同比增加</w:t>
      </w:r>
      <w:r>
        <w:rPr>
          <w:rFonts w:ascii="仿宋_GB2312" w:eastAsia="仿宋_GB2312" w:cs="Times New Roman"/>
          <w:color w:val="000000"/>
          <w:sz w:val="32"/>
          <w:szCs w:val="32"/>
          <w:lang w:val="en-US" w:eastAsia="zh-CN"/>
        </w:rPr>
        <w:t>11</w:t>
      </w:r>
      <w:r>
        <w:rPr>
          <w:rFonts w:hint="eastAsia" w:ascii="仿宋_GB2312" w:eastAsia="仿宋_GB2312" w:cs="Times New Roman"/>
          <w:color w:val="000000"/>
          <w:sz w:val="32"/>
          <w:szCs w:val="32"/>
          <w:lang w:val="en-US" w:eastAsia="zh-CN"/>
        </w:rPr>
        <w:t>.</w:t>
      </w:r>
      <w:r>
        <w:rPr>
          <w:rFonts w:ascii="仿宋_GB2312" w:eastAsia="仿宋_GB2312" w:cs="Times New Roman"/>
          <w:color w:val="000000"/>
          <w:sz w:val="32"/>
          <w:szCs w:val="32"/>
          <w:lang w:val="en-US" w:eastAsia="zh-CN"/>
        </w:rPr>
        <w:t>6</w:t>
      </w:r>
      <w:r>
        <w:rPr>
          <w:rFonts w:hint="eastAsia" w:ascii="仿宋_GB2312" w:eastAsia="仿宋_GB2312" w:cs="Times New Roman"/>
          <w:color w:val="000000"/>
          <w:sz w:val="32"/>
          <w:szCs w:val="32"/>
          <w:lang w:val="en-US" w:eastAsia="zh-CN"/>
        </w:rPr>
        <w:t>%</w:t>
      </w:r>
      <w:r>
        <w:rPr>
          <w:rFonts w:ascii="Times New Roman" w:hAnsi="Times New Roman" w:eastAsia="仿宋_GB2312" w:cs="Times New Roman"/>
          <w:sz w:val="32"/>
          <w:szCs w:val="32"/>
        </w:rPr>
        <w:t>，有力保障了我州重大项目建设和民生领域资金需求。</w:t>
      </w:r>
    </w:p>
    <w:p w14:paraId="2BF9F8DA">
      <w:pPr>
        <w:keepNext w:val="0"/>
        <w:keepLines w:val="0"/>
        <w:pageBreakBefore w:val="0"/>
        <w:widowControl w:val="0"/>
        <w:kinsoku/>
        <w:wordWrap/>
        <w:overflowPunct/>
        <w:topLinePunct w:val="0"/>
        <w:autoSpaceDE/>
        <w:autoSpaceDN/>
        <w:bidi w:val="0"/>
        <w:snapToGrid/>
        <w:spacing w:line="54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（四）增强政策协同，促进经济稳步回升向好</w:t>
      </w:r>
    </w:p>
    <w:p w14:paraId="4DEEA839">
      <w:pPr>
        <w:keepNext w:val="0"/>
        <w:keepLines w:val="0"/>
        <w:pageBreakBefore w:val="0"/>
        <w:widowControl w:val="0"/>
        <w:kinsoku/>
        <w:wordWrap/>
        <w:overflowPunct/>
        <w:topLinePunct w:val="0"/>
        <w:autoSpaceDE/>
        <w:autoSpaceDN/>
        <w:bidi w:val="0"/>
        <w:snapToGrid/>
        <w:spacing w:line="540" w:lineRule="exact"/>
        <w:ind w:firstLine="642"/>
        <w:rPr>
          <w:rFonts w:ascii="Times New Roman" w:hAnsi="Times New Roman" w:eastAsia="仿宋_GB2312" w:cs="Times New Roman"/>
          <w:sz w:val="32"/>
          <w:szCs w:val="32"/>
        </w:rPr>
      </w:pPr>
      <w:r>
        <w:rPr>
          <w:rFonts w:ascii="Times New Roman" w:hAnsi="Times New Roman" w:eastAsia="仿宋_GB2312" w:cs="Times New Roman"/>
          <w:sz w:val="32"/>
          <w:szCs w:val="32"/>
        </w:rPr>
        <w:t>针对项目储备不足的现状，预算安排3000万元，支持县（市）项目谋划工作重心前移，鼓励积极开展项目调查、谋划研究及储备等前瞻性工作，提升项目谋划与储备的质量。筹措资金3.2亿元，全面落实《以高质量发展为核心推动经济回升向好若干政策措施》七个方面21项政策，助力加快消费恢复提振、减轻企业负担、着力支持乡村产业振兴，着力激发民族地区经济增长动能。在省级补助资金基础上，筹集资金5025万元，支持欠发达县基础设施补短板、培育特色优势产业和提升基本公共服务。着力支持黑水县、阿坝县、红原县农业产业“三品一标”项目建设，支持构建更加完善的现代高原特色农牧业产业体系。</w:t>
      </w:r>
    </w:p>
    <w:p w14:paraId="13036209">
      <w:pPr>
        <w:keepNext w:val="0"/>
        <w:keepLines w:val="0"/>
        <w:pageBreakBefore w:val="0"/>
        <w:widowControl w:val="0"/>
        <w:kinsoku/>
        <w:wordWrap/>
        <w:overflowPunct/>
        <w:topLinePunct w:val="0"/>
        <w:autoSpaceDE/>
        <w:autoSpaceDN/>
        <w:bidi w:val="0"/>
        <w:snapToGrid/>
        <w:spacing w:line="54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（五）加大投入力度，推动乡村振兴有效衔接</w:t>
      </w:r>
    </w:p>
    <w:p w14:paraId="72797B2E">
      <w:pPr>
        <w:keepNext w:val="0"/>
        <w:keepLines w:val="0"/>
        <w:pageBreakBefore w:val="0"/>
        <w:widowControl w:val="0"/>
        <w:kinsoku/>
        <w:wordWrap/>
        <w:overflowPunct/>
        <w:topLinePunct w:val="0"/>
        <w:autoSpaceDE/>
        <w:autoSpaceDN/>
        <w:bidi w:val="0"/>
        <w:snapToGrid/>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始终把乡村振兴作为财政工作的重中之重，推动巩固脱贫攻坚成果与乡村振兴有效衔接。下达支农惠农资金7.8亿元、衔接资金16.9亿元，支持农业基础设施建设、农村人居环境整治、农村产业融合发展，进一步改善农村生产生活条件、提升农村公共服务水平。积极争取村集体经济扶持资金，</w:t>
      </w:r>
      <w:r>
        <w:rPr>
          <w:rFonts w:hint="eastAsia" w:cs="Times New Roman"/>
          <w:sz w:val="32"/>
          <w:szCs w:val="32"/>
          <w:lang w:eastAsia="zh-CN"/>
        </w:rPr>
        <w:t>2025</w:t>
      </w:r>
      <w:r>
        <w:rPr>
          <w:rFonts w:ascii="Times New Roman" w:hAnsi="Times New Roman" w:eastAsia="仿宋_GB2312" w:cs="Times New Roman"/>
          <w:sz w:val="32"/>
          <w:szCs w:val="32"/>
        </w:rPr>
        <w:t>年全州扶持村集体经济个数42个，在</w:t>
      </w:r>
      <w:r>
        <w:rPr>
          <w:rFonts w:hint="eastAsia" w:cs="Times New Roman"/>
          <w:sz w:val="32"/>
          <w:szCs w:val="32"/>
          <w:lang w:eastAsia="zh-CN"/>
        </w:rPr>
        <w:t>2024</w:t>
      </w:r>
      <w:r>
        <w:rPr>
          <w:rFonts w:ascii="Times New Roman" w:hAnsi="Times New Roman" w:eastAsia="仿宋_GB2312" w:cs="Times New Roman"/>
          <w:sz w:val="32"/>
          <w:szCs w:val="32"/>
        </w:rPr>
        <w:t>年基础上增加了9个村，共计争取资金4620万元，较</w:t>
      </w:r>
      <w:r>
        <w:rPr>
          <w:rFonts w:hint="eastAsia" w:cs="Times New Roman"/>
          <w:sz w:val="32"/>
          <w:szCs w:val="32"/>
          <w:lang w:eastAsia="zh-CN"/>
        </w:rPr>
        <w:t>2024</w:t>
      </w:r>
      <w:r>
        <w:rPr>
          <w:rFonts w:ascii="Times New Roman" w:hAnsi="Times New Roman" w:eastAsia="仿宋_GB2312" w:cs="Times New Roman"/>
          <w:sz w:val="32"/>
          <w:szCs w:val="32"/>
        </w:rPr>
        <w:t>年增加980万元。加强乡村振兴工作监督，结合“防返贫监测系统”的75个项目分类，建立衔接资金绩效指标库，推动衔接资金科学规范使用。积极推进农村“厕所革命”，统筹安排资金2347万元，为全州5149户农户厕所进行改造，超出年度2600户目标任务98%。推动农村饮水水质提升工程，统筹安排资金1507万元，对全州212处农村饮水工程进行水质提升，惠及122个乡（镇）、337个村、35405户。</w:t>
      </w:r>
    </w:p>
    <w:p w14:paraId="0DAD0C2F">
      <w:pPr>
        <w:keepNext w:val="0"/>
        <w:keepLines w:val="0"/>
        <w:pageBreakBefore w:val="0"/>
        <w:widowControl w:val="0"/>
        <w:kinsoku/>
        <w:wordWrap/>
        <w:overflowPunct/>
        <w:topLinePunct w:val="0"/>
        <w:autoSpaceDE/>
        <w:autoSpaceDN/>
        <w:bidi w:val="0"/>
        <w:snapToGrid/>
        <w:spacing w:line="54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（六）巩固生态保护，兜牢生态文明建设底线</w:t>
      </w:r>
    </w:p>
    <w:p w14:paraId="20793655">
      <w:pPr>
        <w:keepNext w:val="0"/>
        <w:keepLines w:val="0"/>
        <w:pageBreakBefore w:val="0"/>
        <w:widowControl w:val="0"/>
        <w:kinsoku/>
        <w:wordWrap/>
        <w:overflowPunct/>
        <w:topLinePunct w:val="0"/>
        <w:autoSpaceDE/>
        <w:autoSpaceDN/>
        <w:bidi w:val="0"/>
        <w:snapToGrid/>
        <w:spacing w:line="540" w:lineRule="exact"/>
        <w:ind w:firstLine="642"/>
        <w:rPr>
          <w:rFonts w:ascii="Times New Roman" w:hAnsi="Times New Roman" w:cs="Times New Roman"/>
          <w:highlight w:val="none"/>
        </w:rPr>
      </w:pPr>
      <w:r>
        <w:rPr>
          <w:rFonts w:ascii="Times New Roman" w:hAnsi="Times New Roman" w:eastAsia="仿宋_GB2312" w:cs="Times New Roman"/>
          <w:sz w:val="32"/>
          <w:szCs w:val="32"/>
        </w:rPr>
        <w:t>始终将生态文明建设作为财政工作的重要任务之一，持续加大投入力度，推动形成人与自然和谐共生的新格局。下达资金</w:t>
      </w:r>
      <w:r>
        <w:rPr>
          <w:rFonts w:ascii="Times New Roman" w:hAnsi="Times New Roman" w:eastAsia="仿宋_GB2312" w:cs="Times New Roman"/>
          <w:sz w:val="32"/>
          <w:szCs w:val="32"/>
          <w:lang w:val="en-US" w:eastAsia="zh-CN"/>
        </w:rPr>
        <w:t>31.3</w:t>
      </w:r>
      <w:r>
        <w:rPr>
          <w:rFonts w:ascii="Times New Roman" w:hAnsi="Times New Roman" w:eastAsia="仿宋_GB2312" w:cs="Times New Roman"/>
          <w:sz w:val="32"/>
          <w:szCs w:val="32"/>
        </w:rPr>
        <w:t>亿元，支持促进生态环境质量持续改善，助力高质量建设大熊猫国家公园，做好若尔盖国家公园创建要素保障，筑牢长江黄河上游重要生态屏障，推进我州生态文明建设不断向好。支持“汶川县高山林下特色种植示范建设项目”首次入选全省第二批“天府森林粮库”示范建设项目名单，争取专项资金1000万元。预算安排486万元，支持建成成都世园会“阿坝馆”，在113个展园中被评定为一级展园。支持阿坝、若尔盖两县纳入省级湿地生态效益补偿范围，争取专项资金1200万元。为切实有效提升我州防灾减灾救灾能力，抢抓增发国债机遇，成功争取到</w:t>
      </w:r>
      <w:r>
        <w:rPr>
          <w:rFonts w:hint="eastAsia" w:cs="Times New Roman"/>
          <w:sz w:val="32"/>
          <w:szCs w:val="32"/>
          <w:lang w:eastAsia="zh-CN"/>
        </w:rPr>
        <w:t>2024</w:t>
      </w:r>
      <w:r>
        <w:rPr>
          <w:rFonts w:ascii="Times New Roman" w:hAnsi="Times New Roman" w:eastAsia="仿宋_GB2312" w:cs="Times New Roman"/>
          <w:sz w:val="32"/>
          <w:szCs w:val="32"/>
        </w:rPr>
        <w:t>年第三批增发国债项目30个，重点支持地质灾害防治领域，涉及避险搬迁3633户、地灾综合治理144处、自动化监测797处。争取国债资金8.65亿元，占全省国债资金总量的12.4%，资金争取数额位居全省第二位。</w:t>
      </w:r>
      <w:r>
        <w:rPr>
          <w:rFonts w:ascii="Times New Roman" w:hAnsi="Times New Roman" w:eastAsia="仿宋_GB2312" w:cs="Times New Roman"/>
          <w:sz w:val="32"/>
          <w:szCs w:val="32"/>
          <w:highlight w:val="none"/>
        </w:rPr>
        <w:t>并安排州级资金3588万元，确保汛期期间防汛救灾工作的顺利进行，最大限度保障人民群众的生命财产安全。</w:t>
      </w:r>
    </w:p>
    <w:p w14:paraId="0F36503F">
      <w:pPr>
        <w:keepNext w:val="0"/>
        <w:keepLines w:val="0"/>
        <w:pageBreakBefore w:val="0"/>
        <w:widowControl w:val="0"/>
        <w:kinsoku/>
        <w:wordWrap/>
        <w:overflowPunct/>
        <w:topLinePunct w:val="0"/>
        <w:autoSpaceDE/>
        <w:autoSpaceDN/>
        <w:bidi w:val="0"/>
        <w:snapToGrid/>
        <w:spacing w:line="54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（七）着力改善民生，重点支出保障有力。</w:t>
      </w:r>
    </w:p>
    <w:p w14:paraId="1B006C9B">
      <w:pPr>
        <w:pStyle w:val="16"/>
        <w:keepNext w:val="0"/>
        <w:keepLines w:val="0"/>
        <w:pageBreakBefore w:val="0"/>
        <w:widowControl w:val="0"/>
        <w:kinsoku/>
        <w:wordWrap/>
        <w:overflowPunct/>
        <w:topLinePunct w:val="0"/>
        <w:autoSpaceDE/>
        <w:autoSpaceDN/>
        <w:bidi w:val="0"/>
        <w:adjustRightInd w:val="0"/>
        <w:snapToGrid/>
        <w:spacing w:line="54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始终将民生支出作为财政支出的优先方向，民生支出占比达68.5%。统筹安排资金</w:t>
      </w:r>
      <w:r>
        <w:rPr>
          <w:rFonts w:ascii="Times New Roman" w:hAnsi="Times New Roman" w:eastAsia="仿宋_GB2312" w:cs="Times New Roman"/>
          <w:sz w:val="32"/>
          <w:szCs w:val="32"/>
          <w:highlight w:val="none"/>
        </w:rPr>
        <w:t>7.</w:t>
      </w:r>
      <w:r>
        <w:rPr>
          <w:rFonts w:hint="eastAsia" w:ascii="Times New Roman" w:hAnsi="Times New Roman" w:eastAsia="仿宋_GB2312" w:cs="Times New Roman"/>
          <w:sz w:val="32"/>
          <w:szCs w:val="32"/>
          <w:highlight w:val="none"/>
          <w:lang w:val="en-US" w:eastAsia="zh-CN"/>
        </w:rPr>
        <w:t>38</w:t>
      </w:r>
      <w:r>
        <w:rPr>
          <w:rFonts w:ascii="Times New Roman" w:hAnsi="Times New Roman" w:eastAsia="仿宋_GB2312" w:cs="Times New Roman"/>
          <w:sz w:val="32"/>
          <w:szCs w:val="32"/>
        </w:rPr>
        <w:t>亿元</w:t>
      </w:r>
      <w:r>
        <w:rPr>
          <w:rFonts w:hint="eastAsia" w:ascii="Times New Roman" w:hAnsi="Times New Roman" w:eastAsia="仿宋_GB2312" w:cs="Times New Roman"/>
          <w:sz w:val="32"/>
          <w:szCs w:val="32"/>
          <w:lang w:eastAsia="zh-CN"/>
        </w:rPr>
        <w:t>，用于支持全州</w:t>
      </w:r>
      <w:r>
        <w:rPr>
          <w:rFonts w:ascii="Times New Roman" w:hAnsi="Times New Roman" w:eastAsia="仿宋_GB2312" w:cs="Times New Roman"/>
          <w:sz w:val="32"/>
          <w:szCs w:val="32"/>
        </w:rPr>
        <w:t>“十大民生实事”</w:t>
      </w:r>
      <w:r>
        <w:rPr>
          <w:rFonts w:hint="eastAsia" w:ascii="Times New Roman" w:hAnsi="Times New Roman" w:eastAsia="仿宋_GB2312" w:cs="Times New Roman"/>
          <w:sz w:val="32"/>
          <w:szCs w:val="32"/>
          <w:lang w:eastAsia="zh-CN"/>
        </w:rPr>
        <w:t>。</w:t>
      </w:r>
    </w:p>
    <w:p w14:paraId="24AF5576">
      <w:pPr>
        <w:pStyle w:val="16"/>
        <w:keepNext w:val="0"/>
        <w:keepLines w:val="0"/>
        <w:pageBreakBefore w:val="0"/>
        <w:widowControl w:val="0"/>
        <w:kinsoku/>
        <w:wordWrap/>
        <w:overflowPunct/>
        <w:topLinePunct w:val="0"/>
        <w:autoSpaceDE/>
        <w:autoSpaceDN/>
        <w:bidi w:val="0"/>
        <w:adjustRightInd w:val="0"/>
        <w:snapToGrid/>
        <w:spacing w:line="54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支持教育事业均衡发展，下达资金9.8亿元，继续实施教育资助政策，全州补助覆盖面达到50%。全面贯彻党的教育方针，提出全州层面整体推进6条措施，州属学校试点探索8条举措，为全州教育十条措施出台提供了有力支撑，助力建成民族地区高质量发展示范州。积极推动卫生健康事业发展</w:t>
      </w:r>
      <w:r>
        <w:rPr>
          <w:rFonts w:ascii="Times New Roman" w:hAnsi="Times New Roman" w:eastAsia="仿宋_GB2312" w:cs="Times New Roman"/>
          <w:sz w:val="32"/>
          <w:szCs w:val="32"/>
          <w:highlight w:val="none"/>
        </w:rPr>
        <w:t>，下达资金</w:t>
      </w:r>
      <w:r>
        <w:rPr>
          <w:rFonts w:ascii="Times New Roman" w:hAnsi="Times New Roman" w:eastAsia="仿宋_GB2312" w:cs="Times New Roman"/>
          <w:sz w:val="32"/>
          <w:szCs w:val="32"/>
          <w:highlight w:val="none"/>
          <w:lang w:val="en-US" w:eastAsia="zh-CN"/>
        </w:rPr>
        <w:t>4.06</w:t>
      </w:r>
      <w:r>
        <w:rPr>
          <w:rFonts w:ascii="Times New Roman" w:hAnsi="Times New Roman" w:eastAsia="仿宋_GB2312" w:cs="Times New Roman"/>
          <w:sz w:val="32"/>
          <w:szCs w:val="32"/>
          <w:highlight w:val="none"/>
        </w:rPr>
        <w:t>亿元，</w:t>
      </w:r>
      <w:r>
        <w:rPr>
          <w:rFonts w:ascii="Times New Roman" w:hAnsi="Times New Roman" w:eastAsia="仿宋_GB2312" w:cs="Times New Roman"/>
          <w:sz w:val="32"/>
          <w:szCs w:val="32"/>
        </w:rPr>
        <w:t>支持公立医院综合改革，推进中（民族）医人才培养、优势专科和重点学科建设。健全基本医保制度体系，财政补助城乡居民医保缴费</w:t>
      </w:r>
      <w:r>
        <w:rPr>
          <w:rFonts w:ascii="Times New Roman" w:hAnsi="Times New Roman" w:eastAsia="仿宋_GB2312" w:cs="Times New Roman"/>
          <w:sz w:val="32"/>
          <w:szCs w:val="32"/>
          <w:lang w:val="en-US" w:eastAsia="zh-CN"/>
        </w:rPr>
        <w:t>4.16</w:t>
      </w:r>
      <w:r>
        <w:rPr>
          <w:rFonts w:ascii="Times New Roman" w:hAnsi="Times New Roman" w:eastAsia="仿宋_GB2312" w:cs="Times New Roman"/>
          <w:sz w:val="32"/>
          <w:szCs w:val="32"/>
        </w:rPr>
        <w:t>亿元，切实增强人民群众的医疗保障水平。积极推进社保制度改革，扩大基础普惠供给深化养老保险制度改革，投入城乡居民基本养老保险财政补助资金</w:t>
      </w:r>
      <w:r>
        <w:rPr>
          <w:rFonts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亿元。为适应我州城乡居民人均消费水平的提升，保障困难群众生活水平，自</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年7月起，将阿坝州城乡居民最低生活保障和特困人员基本生活标准低限分别提高每人每月50元不等。</w:t>
      </w:r>
      <w:r>
        <w:rPr>
          <w:rFonts w:ascii="Times New Roman" w:hAnsi="Times New Roman" w:eastAsia="仿宋_GB2312" w:cs="Times New Roman"/>
          <w:sz w:val="32"/>
          <w:szCs w:val="32"/>
          <w:lang w:eastAsia="zh-CN"/>
        </w:rPr>
        <w:t>共计</w:t>
      </w:r>
      <w:r>
        <w:rPr>
          <w:rFonts w:ascii="Times New Roman" w:hAnsi="Times New Roman" w:eastAsia="仿宋_GB2312" w:cs="Times New Roman"/>
          <w:sz w:val="32"/>
          <w:szCs w:val="32"/>
        </w:rPr>
        <w:t>统筹困难群众救助补助资金3.75亿元，其中发放城乡低保补助资金3.09亿元，发放特困救助金</w:t>
      </w:r>
      <w:r>
        <w:rPr>
          <w:rFonts w:hint="eastAsia" w:ascii="Times New Roman" w:hAnsi="Times New Roman" w:eastAsia="仿宋_GB2312" w:cs="Times New Roman"/>
          <w:sz w:val="32"/>
          <w:szCs w:val="32"/>
          <w:lang w:val="en-US" w:eastAsia="zh-CN"/>
        </w:rPr>
        <w:t>5200万</w:t>
      </w:r>
      <w:r>
        <w:rPr>
          <w:rFonts w:ascii="Times New Roman" w:hAnsi="Times New Roman" w:eastAsia="仿宋_GB2312" w:cs="Times New Roman"/>
          <w:sz w:val="32"/>
          <w:szCs w:val="32"/>
        </w:rPr>
        <w:t>元，惠及城乡低保保障对象75830人，惠及特困供养对象5295人。支持就业创业，下达补助资金</w:t>
      </w:r>
      <w:r>
        <w:rPr>
          <w:rFonts w:hint="eastAsia" w:ascii="Times New Roman" w:hAnsi="Times New Roman" w:eastAsia="仿宋_GB2312" w:cs="Times New Roman"/>
          <w:sz w:val="32"/>
          <w:szCs w:val="32"/>
          <w:lang w:val="en-US" w:eastAsia="zh-CN"/>
        </w:rPr>
        <w:t>1.1亿</w:t>
      </w:r>
      <w:r>
        <w:rPr>
          <w:rFonts w:ascii="Times New Roman" w:hAnsi="Times New Roman" w:eastAsia="仿宋_GB2312" w:cs="Times New Roman"/>
          <w:sz w:val="32"/>
          <w:szCs w:val="32"/>
        </w:rPr>
        <w:t>元，实现全州城镇新增就业</w:t>
      </w:r>
      <w:r>
        <w:rPr>
          <w:rFonts w:ascii="Times New Roman" w:hAnsi="Times New Roman" w:eastAsia="仿宋_GB2312" w:cs="Times New Roman"/>
          <w:sz w:val="32"/>
          <w:szCs w:val="32"/>
          <w:lang w:val="en-US" w:eastAsia="zh-CN"/>
        </w:rPr>
        <w:t>4982</w:t>
      </w:r>
      <w:r>
        <w:rPr>
          <w:rFonts w:ascii="Times New Roman" w:hAnsi="Times New Roman" w:eastAsia="仿宋_GB2312" w:cs="Times New Roman"/>
          <w:sz w:val="32"/>
          <w:szCs w:val="32"/>
        </w:rPr>
        <w:t>人，</w:t>
      </w:r>
      <w:r>
        <w:rPr>
          <w:rFonts w:ascii="Times New Roman" w:hAnsi="Times New Roman" w:eastAsia="仿宋_GB2312" w:cs="Times New Roman"/>
          <w:sz w:val="32"/>
          <w:szCs w:val="32"/>
          <w:lang w:eastAsia="zh-CN"/>
        </w:rPr>
        <w:t>失业人员再就业</w:t>
      </w:r>
      <w:r>
        <w:rPr>
          <w:rFonts w:ascii="Times New Roman" w:hAnsi="Times New Roman" w:eastAsia="仿宋_GB2312" w:cs="Times New Roman"/>
          <w:sz w:val="32"/>
          <w:szCs w:val="32"/>
          <w:lang w:val="en-US" w:eastAsia="zh-CN"/>
        </w:rPr>
        <w:t>697人</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rPr>
        <w:t>州级统筹1000万元</w:t>
      </w:r>
      <w:r>
        <w:rPr>
          <w:rFonts w:ascii="Times New Roman" w:hAnsi="Times New Roman" w:eastAsia="仿宋_GB2312" w:cs="Times New Roman"/>
          <w:color w:val="000000"/>
          <w:kern w:val="2"/>
          <w:sz w:val="32"/>
          <w:szCs w:val="32"/>
        </w:rPr>
        <w:t>建立阿坝州农牧民家庭和困难职工子女就业创业帮扶基金。</w:t>
      </w:r>
      <w:r>
        <w:rPr>
          <w:rFonts w:ascii="Times New Roman" w:hAnsi="Times New Roman" w:eastAsia="仿宋_GB2312" w:cs="Times New Roman"/>
          <w:sz w:val="32"/>
          <w:szCs w:val="32"/>
        </w:rPr>
        <w:t>加大政策支持，落实“两新”政策兑现，下达两新专项资金5326万元，进一步支持大规模设备更新和消费品以旧换新，让老百姓享受实实在在的红利。下达中央财政农村危房改造补助资金共计1665万元</w:t>
      </w:r>
      <w:r>
        <w:rPr>
          <w:rFonts w:hint="eastAsia" w:ascii="Times New Roman" w:hAnsi="Times New Roman" w:eastAsia="仿宋_GB2312" w:cs="Times New Roman"/>
          <w:sz w:val="32"/>
          <w:szCs w:val="32"/>
          <w:lang w:eastAsia="zh-CN"/>
        </w:rPr>
        <w:t>，帮助</w:t>
      </w:r>
      <w:r>
        <w:rPr>
          <w:rFonts w:ascii="Times New Roman" w:hAnsi="Times New Roman" w:eastAsia="仿宋_GB2312" w:cs="Times New Roman"/>
          <w:sz w:val="32"/>
          <w:szCs w:val="32"/>
        </w:rPr>
        <w:t>全州121户农村危房改造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1106户农房抗震改造。</w:t>
      </w:r>
    </w:p>
    <w:p w14:paraId="2BEA293E">
      <w:pPr>
        <w:keepNext w:val="0"/>
        <w:keepLines w:val="0"/>
        <w:pageBreakBefore w:val="0"/>
        <w:widowControl w:val="0"/>
        <w:kinsoku/>
        <w:wordWrap/>
        <w:overflowPunct/>
        <w:topLinePunct w:val="0"/>
        <w:autoSpaceDE/>
        <w:autoSpaceDN/>
        <w:bidi w:val="0"/>
        <w:snapToGrid/>
        <w:spacing w:line="540"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（八）强化监督管理，构建阳光财政体系</w:t>
      </w:r>
    </w:p>
    <w:p w14:paraId="79365F41">
      <w:pPr>
        <w:pStyle w:val="8"/>
        <w:spacing w:line="560" w:lineRule="exact"/>
        <w:ind w:firstLine="640" w:firstLineChars="200"/>
        <w:rPr>
          <w:rFonts w:ascii="Times New Roman" w:hAnsi="Times New Roman" w:eastAsia="仿宋_GB2312"/>
          <w:sz w:val="32"/>
        </w:rPr>
      </w:pPr>
      <w:r>
        <w:rPr>
          <w:rFonts w:ascii="Times New Roman" w:hAnsi="Times New Roman" w:eastAsia="仿宋_GB2312" w:cs="Times New Roman"/>
          <w:sz w:val="32"/>
          <w:szCs w:val="32"/>
        </w:rPr>
        <w:t>始终坚持依法理财、科学理财的原则，加强财政管理与监督力度，不断提升资金使用绩效与安全性。加强项目全周期跟踪管理，将绩效理念融入预算管理全过程，优化财政资源配置和部门支出结构。强化财经纪律刚性约束，开展会计信息质量、预决算公开等专项整治，探索建立分行业分领域绩效指标和标准体系，深化事中绩效运行监控。稳步构建支出标准体系更新机制，在制定《办公用房维修改造项目装饰装修工程预算评审指南》基础上，先后出台了文旅活动、会议会展、视频制作宣传和工程建设项目二类费用等4项评审标准。健全“先评审后预算、先评审后招标、先评审后支付”的项目资金管理机制，财政评审节支增效成果不断凸显，</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年，州本级审核财政评审项目112项，送审规模20.43亿元，节约财政资金1.9亿元，审减率9.28%，较</w:t>
      </w:r>
      <w:r>
        <w:rPr>
          <w:rFonts w:hint="eastAsia" w:ascii="Times New Roman" w:hAnsi="Times New Roman" w:eastAsia="仿宋_GB2312" w:cs="Times New Roman"/>
          <w:sz w:val="32"/>
          <w:szCs w:val="32"/>
          <w:lang w:eastAsia="zh-CN"/>
        </w:rPr>
        <w:t>2024</w:t>
      </w:r>
      <w:r>
        <w:rPr>
          <w:rFonts w:ascii="Times New Roman" w:hAnsi="Times New Roman" w:eastAsia="仿宋_GB2312" w:cs="Times New Roman"/>
          <w:sz w:val="32"/>
          <w:szCs w:val="32"/>
        </w:rPr>
        <w:t>年高1.53个百分点。始终坚持政府采购的公益性原则，注重发挥政府采购在促进经济社会发展中的积极作用，全州政府采购执行预算28.22亿元，实际采购金额26.49亿元，节约资金1.73亿元，资金节约率6.13%。</w:t>
      </w:r>
      <w:r>
        <w:rPr>
          <w:rFonts w:hint="eastAsia" w:ascii="Times New Roman" w:eastAsia="仿宋_GB2312"/>
          <w:sz w:val="32"/>
          <w:szCs w:val="11"/>
        </w:rPr>
        <w:t>二、收入支出预算执行情况分析。</w:t>
      </w:r>
    </w:p>
    <w:p w14:paraId="3416B553">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（一）收入支出预算安排情况。</w:t>
      </w:r>
    </w:p>
    <w:p w14:paraId="6703D7B9">
      <w:pPr>
        <w:pStyle w:val="8"/>
        <w:spacing w:line="560" w:lineRule="exact"/>
        <w:ind w:firstLine="640" w:firstLineChars="200"/>
        <w:rPr>
          <w:rStyle w:val="12"/>
          <w:rFonts w:ascii="Times New Roman" w:hAnsi="Times New Roman" w:eastAsia="仿宋_GB2312"/>
          <w:color w:val="FF0000"/>
          <w:sz w:val="32"/>
          <w:szCs w:val="11"/>
        </w:rPr>
      </w:pPr>
      <w:r>
        <w:rPr>
          <w:rFonts w:hint="eastAsia" w:ascii="Times New Roman" w:eastAsia="仿宋_GB2312"/>
          <w:sz w:val="32"/>
          <w:szCs w:val="11"/>
        </w:rPr>
        <w:t>本单位本年度收入的年初预算数为</w:t>
      </w:r>
      <w:r>
        <w:rPr>
          <w:rFonts w:hint="eastAsia" w:ascii="Times New Roman" w:eastAsia="仿宋_GB2312"/>
          <w:sz w:val="32"/>
          <w:szCs w:val="11"/>
          <w:lang w:val="en-US" w:eastAsia="zh-CN"/>
        </w:rPr>
        <w:t>5518.97</w:t>
      </w:r>
      <w:r>
        <w:rPr>
          <w:rFonts w:hint="eastAsia" w:ascii="Times New Roman" w:eastAsia="仿宋_GB2312"/>
          <w:sz w:val="32"/>
          <w:szCs w:val="11"/>
        </w:rPr>
        <w:t>万元，上年度收入的年初预算数为</w:t>
      </w:r>
      <w:r>
        <w:rPr>
          <w:rFonts w:hint="eastAsia" w:ascii="Times New Roman" w:eastAsia="仿宋_GB2312"/>
          <w:sz w:val="32"/>
          <w:szCs w:val="11"/>
          <w:lang w:val="en-US" w:eastAsia="zh-CN"/>
        </w:rPr>
        <w:t>5742.24</w:t>
      </w:r>
      <w:r>
        <w:rPr>
          <w:rFonts w:hint="eastAsia" w:ascii="Times New Roman" w:eastAsia="仿宋_GB2312"/>
          <w:sz w:val="32"/>
          <w:szCs w:val="11"/>
        </w:rPr>
        <w:t>万元，差异为</w:t>
      </w:r>
      <w:r>
        <w:rPr>
          <w:rFonts w:hint="eastAsia" w:ascii="Times New Roman" w:eastAsia="仿宋_GB2312"/>
          <w:sz w:val="32"/>
          <w:szCs w:val="11"/>
          <w:lang w:val="en-US" w:eastAsia="zh-CN"/>
        </w:rPr>
        <w:t>205.27</w:t>
      </w:r>
      <w:r>
        <w:rPr>
          <w:rFonts w:hint="eastAsia" w:ascii="Times New Roman" w:eastAsia="仿宋_GB2312"/>
          <w:sz w:val="32"/>
          <w:szCs w:val="11"/>
        </w:rPr>
        <w:t>万元；</w:t>
      </w:r>
      <w:r>
        <w:rPr>
          <w:rStyle w:val="12"/>
          <w:rFonts w:hint="eastAsia" w:ascii="Times New Roman" w:eastAsia="仿宋_GB2312"/>
          <w:sz w:val="32"/>
          <w:szCs w:val="11"/>
        </w:rPr>
        <w:t>主要原因</w:t>
      </w:r>
      <w:r>
        <w:rPr>
          <w:rStyle w:val="12"/>
          <w:rFonts w:hint="eastAsia" w:ascii="Times New Roman" w:eastAsia="仿宋_GB2312"/>
          <w:sz w:val="32"/>
          <w:szCs w:val="11"/>
          <w:lang w:val="en-US" w:eastAsia="zh-CN"/>
        </w:rPr>
        <w:t>2025年厉行节约，减少经费支出</w:t>
      </w:r>
      <w:r>
        <w:rPr>
          <w:rStyle w:val="12"/>
          <w:rFonts w:hint="eastAsia" w:ascii="Times New Roman" w:eastAsia="仿宋_GB2312"/>
          <w:sz w:val="32"/>
          <w:szCs w:val="11"/>
        </w:rPr>
        <w:t>。</w:t>
      </w:r>
      <w:r>
        <w:rPr>
          <w:rFonts w:hint="eastAsia" w:ascii="Times New Roman" w:eastAsia="仿宋_GB2312"/>
          <w:sz w:val="32"/>
          <w:szCs w:val="11"/>
        </w:rPr>
        <w:t>本年度支出的年初预算数为</w:t>
      </w:r>
      <w:r>
        <w:rPr>
          <w:rFonts w:hint="eastAsia" w:ascii="Times New Roman" w:eastAsia="仿宋_GB2312"/>
          <w:sz w:val="32"/>
          <w:szCs w:val="11"/>
          <w:lang w:val="en-US" w:eastAsia="zh-CN"/>
        </w:rPr>
        <w:t>5518.97</w:t>
      </w:r>
      <w:r>
        <w:rPr>
          <w:rFonts w:hint="eastAsia" w:ascii="Times New Roman" w:eastAsia="仿宋_GB2312"/>
          <w:sz w:val="32"/>
          <w:szCs w:val="11"/>
        </w:rPr>
        <w:t>万元，上年度支出的年初预算数</w:t>
      </w:r>
      <w:r>
        <w:rPr>
          <w:rFonts w:hint="eastAsia" w:ascii="Times New Roman" w:eastAsia="仿宋_GB2312"/>
          <w:sz w:val="32"/>
          <w:szCs w:val="11"/>
          <w:lang w:val="en-US" w:eastAsia="zh-CN"/>
        </w:rPr>
        <w:t>5742.24</w:t>
      </w:r>
      <w:r>
        <w:rPr>
          <w:rFonts w:hint="eastAsia" w:ascii="Times New Roman" w:eastAsia="仿宋_GB2312"/>
          <w:sz w:val="32"/>
          <w:szCs w:val="11"/>
        </w:rPr>
        <w:t>万元，差异为</w:t>
      </w:r>
      <w:r>
        <w:rPr>
          <w:rFonts w:hint="eastAsia" w:ascii="Times New Roman" w:hAnsi="Times New Roman" w:eastAsia="仿宋_GB2312"/>
          <w:sz w:val="32"/>
          <w:szCs w:val="11"/>
          <w:lang w:val="en-US" w:eastAsia="zh-CN"/>
        </w:rPr>
        <w:t>205.27</w:t>
      </w:r>
      <w:r>
        <w:rPr>
          <w:rFonts w:hint="eastAsia" w:ascii="Times New Roman" w:eastAsia="仿宋_GB2312"/>
          <w:sz w:val="32"/>
          <w:szCs w:val="11"/>
        </w:rPr>
        <w:t>万元；</w:t>
      </w:r>
      <w:r>
        <w:rPr>
          <w:rStyle w:val="12"/>
          <w:rFonts w:hint="eastAsia" w:ascii="Times New Roman" w:eastAsia="仿宋_GB2312"/>
          <w:sz w:val="32"/>
          <w:szCs w:val="11"/>
        </w:rPr>
        <w:t>主要原因为</w:t>
      </w:r>
      <w:r>
        <w:rPr>
          <w:rStyle w:val="12"/>
          <w:rFonts w:hint="eastAsia" w:ascii="Times New Roman" w:eastAsia="仿宋_GB2312"/>
          <w:sz w:val="32"/>
          <w:szCs w:val="11"/>
          <w:lang w:val="en-US" w:eastAsia="zh-CN"/>
        </w:rPr>
        <w:t>2025年新增部分相关工作</w:t>
      </w:r>
      <w:r>
        <w:rPr>
          <w:rStyle w:val="12"/>
          <w:rFonts w:hint="eastAsia" w:ascii="Times New Roman" w:eastAsia="仿宋_GB2312"/>
          <w:sz w:val="32"/>
          <w:szCs w:val="11"/>
        </w:rPr>
        <w:t>。</w:t>
      </w:r>
    </w:p>
    <w:p w14:paraId="7E51BDBB">
      <w:pPr>
        <w:pStyle w:val="8"/>
        <w:spacing w:line="560" w:lineRule="exact"/>
        <w:ind w:firstLine="643" w:firstLineChars="200"/>
        <w:rPr>
          <w:rStyle w:val="12"/>
          <w:rFonts w:ascii="Times New Roman" w:hAnsi="Times New Roman" w:eastAsia="仿宋_GB2312"/>
          <w:color w:val="FF0000"/>
          <w:sz w:val="32"/>
          <w:szCs w:val="11"/>
        </w:rPr>
      </w:pPr>
      <w:r>
        <w:rPr>
          <w:rStyle w:val="12"/>
          <w:rFonts w:hint="eastAsia" w:ascii="Times New Roman" w:hAnsi="Times New Roman" w:eastAsia="仿宋_GB2312"/>
          <w:color w:val="FF0000"/>
          <w:sz w:val="32"/>
          <w:szCs w:val="11"/>
          <w:lang w:eastAsia="zh-CN"/>
        </w:rPr>
        <w:drawing>
          <wp:anchor distT="0" distB="0" distL="114300" distR="114300" simplePos="0" relativeHeight="251662336" behindDoc="0" locked="0" layoutInCell="1" allowOverlap="1">
            <wp:simplePos x="0" y="0"/>
            <wp:positionH relativeFrom="column">
              <wp:posOffset>191135</wp:posOffset>
            </wp:positionH>
            <wp:positionV relativeFrom="paragraph">
              <wp:posOffset>242570</wp:posOffset>
            </wp:positionV>
            <wp:extent cx="5256530" cy="2988310"/>
            <wp:effectExtent l="5080" t="4445" r="11430" b="952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F9E6D61">
      <w:pPr>
        <w:pStyle w:val="8"/>
        <w:spacing w:line="560" w:lineRule="exact"/>
        <w:ind w:firstLine="643" w:firstLineChars="200"/>
        <w:rPr>
          <w:rStyle w:val="12"/>
          <w:rFonts w:ascii="Times New Roman" w:hAnsi="Times New Roman" w:eastAsia="仿宋_GB2312"/>
          <w:color w:val="FF0000"/>
          <w:sz w:val="32"/>
          <w:szCs w:val="11"/>
        </w:rPr>
      </w:pPr>
    </w:p>
    <w:p w14:paraId="371B7925">
      <w:pPr>
        <w:pStyle w:val="8"/>
        <w:spacing w:line="560" w:lineRule="exact"/>
        <w:ind w:firstLine="643" w:firstLineChars="200"/>
        <w:rPr>
          <w:rStyle w:val="12"/>
          <w:rFonts w:hint="eastAsia" w:ascii="Times New Roman" w:hAnsi="Times New Roman" w:eastAsia="仿宋_GB2312"/>
          <w:color w:val="FF0000"/>
          <w:sz w:val="32"/>
          <w:szCs w:val="11"/>
          <w:lang w:eastAsia="zh-CN"/>
        </w:rPr>
      </w:pPr>
    </w:p>
    <w:p w14:paraId="2469E00B">
      <w:pPr>
        <w:pStyle w:val="8"/>
        <w:spacing w:line="560" w:lineRule="exact"/>
        <w:ind w:firstLine="643" w:firstLineChars="200"/>
        <w:rPr>
          <w:rStyle w:val="12"/>
          <w:rFonts w:ascii="Times New Roman" w:hAnsi="Times New Roman" w:eastAsia="仿宋_GB2312"/>
          <w:color w:val="FF0000"/>
          <w:sz w:val="32"/>
          <w:szCs w:val="11"/>
        </w:rPr>
      </w:pPr>
    </w:p>
    <w:p w14:paraId="5A166BCF">
      <w:pPr>
        <w:pStyle w:val="8"/>
        <w:spacing w:line="560" w:lineRule="exact"/>
        <w:ind w:firstLine="643" w:firstLineChars="200"/>
        <w:rPr>
          <w:rFonts w:ascii="Times New Roman" w:hAnsi="Times New Roman" w:eastAsia="仿宋_GB2312"/>
          <w:b/>
          <w:bCs/>
          <w:sz w:val="32"/>
          <w:szCs w:val="11"/>
        </w:rPr>
      </w:pPr>
    </w:p>
    <w:p w14:paraId="7311BC34">
      <w:pPr>
        <w:pStyle w:val="8"/>
        <w:spacing w:line="560" w:lineRule="exact"/>
        <w:ind w:firstLine="643" w:firstLineChars="200"/>
        <w:rPr>
          <w:rStyle w:val="12"/>
          <w:rFonts w:hint="eastAsia" w:ascii="Times New Roman" w:eastAsia="仿宋_GB2312"/>
          <w:sz w:val="32"/>
          <w:szCs w:val="11"/>
        </w:rPr>
      </w:pPr>
    </w:p>
    <w:p w14:paraId="17177A43">
      <w:pPr>
        <w:pStyle w:val="8"/>
        <w:spacing w:line="560" w:lineRule="exact"/>
        <w:ind w:firstLine="321" w:firstLineChars="100"/>
        <w:rPr>
          <w:rFonts w:ascii="Times New Roman" w:hAnsi="Times New Roman" w:eastAsia="仿宋_GB2312"/>
          <w:sz w:val="32"/>
        </w:rPr>
      </w:pPr>
      <w:r>
        <w:rPr>
          <w:rStyle w:val="12"/>
          <w:rFonts w:hint="eastAsia" w:ascii="Times New Roman" w:eastAsia="仿宋_GB2312"/>
          <w:sz w:val="32"/>
          <w:szCs w:val="11"/>
        </w:rPr>
        <w:t>（二）收入支出预算执行情况。</w:t>
      </w:r>
    </w:p>
    <w:p w14:paraId="105892F3">
      <w:pPr>
        <w:pStyle w:val="8"/>
        <w:spacing w:line="560" w:lineRule="exact"/>
        <w:ind w:firstLine="640" w:firstLineChars="200"/>
        <w:rPr>
          <w:rFonts w:ascii="Times New Roman" w:hAnsi="Times New Roman" w:eastAsia="仿宋_GB2312"/>
          <w:b/>
          <w:bCs/>
          <w:color w:val="FF0000"/>
          <w:sz w:val="32"/>
          <w:szCs w:val="11"/>
        </w:rPr>
      </w:pPr>
      <w:r>
        <w:rPr>
          <w:rFonts w:hint="eastAsia" w:ascii="Times New Roman" w:hAnsi="Times New Roman" w:eastAsia="仿宋_GB2312"/>
          <w:sz w:val="32"/>
          <w:szCs w:val="11"/>
        </w:rPr>
        <w:drawing>
          <wp:anchor distT="0" distB="0" distL="114300" distR="114300" simplePos="0" relativeHeight="251659264" behindDoc="0" locked="0" layoutInCell="1" allowOverlap="1">
            <wp:simplePos x="0" y="0"/>
            <wp:positionH relativeFrom="column">
              <wp:posOffset>320675</wp:posOffset>
            </wp:positionH>
            <wp:positionV relativeFrom="paragraph">
              <wp:posOffset>1930400</wp:posOffset>
            </wp:positionV>
            <wp:extent cx="5354955" cy="3084195"/>
            <wp:effectExtent l="19050" t="0" r="17044" b="1939"/>
            <wp:wrapNone/>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eastAsia="仿宋_GB2312"/>
          <w:sz w:val="32"/>
          <w:szCs w:val="11"/>
        </w:rPr>
        <w:t>本单位本年度收入全年预算数为</w:t>
      </w:r>
      <w:r>
        <w:rPr>
          <w:rFonts w:hint="eastAsia" w:ascii="Times New Roman" w:eastAsia="仿宋_GB2312"/>
          <w:sz w:val="32"/>
          <w:szCs w:val="11"/>
          <w:lang w:val="en-US" w:eastAsia="zh-CN"/>
        </w:rPr>
        <w:t>5518.97</w:t>
      </w:r>
      <w:r>
        <w:rPr>
          <w:rFonts w:hint="eastAsia" w:ascii="Times New Roman" w:eastAsia="仿宋_GB2312"/>
          <w:sz w:val="32"/>
          <w:szCs w:val="11"/>
        </w:rPr>
        <w:t>万元，收入决算数为</w:t>
      </w:r>
      <w:r>
        <w:rPr>
          <w:rFonts w:hint="eastAsia" w:ascii="Times New Roman" w:eastAsia="仿宋_GB2312"/>
          <w:sz w:val="32"/>
          <w:szCs w:val="11"/>
          <w:lang w:val="en-US" w:eastAsia="zh-CN"/>
        </w:rPr>
        <w:t>5518.97</w:t>
      </w:r>
      <w:r>
        <w:rPr>
          <w:rFonts w:hint="eastAsia" w:ascii="Times New Roman" w:eastAsia="仿宋_GB2312"/>
          <w:sz w:val="32"/>
          <w:szCs w:val="11"/>
        </w:rPr>
        <w:t>万元，预算完成度为</w:t>
      </w:r>
      <w:r>
        <w:rPr>
          <w:rFonts w:hint="eastAsia" w:ascii="Times New Roman" w:hAnsi="Times New Roman" w:eastAsia="仿宋_GB2312"/>
          <w:sz w:val="32"/>
          <w:szCs w:val="11"/>
        </w:rPr>
        <w:t>100.00%</w:t>
      </w:r>
      <w:r>
        <w:rPr>
          <w:rFonts w:hint="eastAsia" w:ascii="Times New Roman" w:eastAsia="仿宋_GB2312"/>
          <w:sz w:val="32"/>
          <w:szCs w:val="11"/>
        </w:rPr>
        <w:t>，上年度预算完成度为</w:t>
      </w:r>
      <w:r>
        <w:rPr>
          <w:rFonts w:hint="eastAsia" w:ascii="Times New Roman" w:hAnsi="Times New Roman" w:eastAsia="仿宋_GB2312"/>
          <w:sz w:val="32"/>
          <w:szCs w:val="11"/>
        </w:rPr>
        <w:t>100.00%</w:t>
      </w:r>
      <w:r>
        <w:rPr>
          <w:rFonts w:hint="eastAsia" w:ascii="Times New Roman" w:eastAsia="仿宋_GB2312"/>
          <w:sz w:val="32"/>
          <w:szCs w:val="11"/>
        </w:rPr>
        <w:t>，不</w:t>
      </w:r>
      <w:r>
        <w:rPr>
          <w:rStyle w:val="12"/>
          <w:rFonts w:hint="eastAsia" w:ascii="Times New Roman" w:eastAsia="仿宋_GB2312"/>
          <w:sz w:val="32"/>
          <w:szCs w:val="11"/>
        </w:rPr>
        <w:t>存在差异</w:t>
      </w:r>
      <w:r>
        <w:rPr>
          <w:rFonts w:hint="eastAsia" w:ascii="Times New Roman" w:eastAsia="仿宋_GB2312"/>
          <w:sz w:val="32"/>
          <w:szCs w:val="11"/>
        </w:rPr>
        <w:t>。</w:t>
      </w:r>
      <w:r>
        <w:rPr>
          <w:rFonts w:hint="eastAsia" w:ascii="Times New Roman" w:hAnsi="Times New Roman" w:eastAsia="仿宋_GB2312"/>
          <w:sz w:val="32"/>
          <w:szCs w:val="11"/>
        </w:rPr>
        <w:t xml:space="preserve"> </w:t>
      </w:r>
      <w:r>
        <w:rPr>
          <w:rFonts w:hint="eastAsia" w:ascii="Times New Roman" w:eastAsia="仿宋_GB2312"/>
          <w:sz w:val="32"/>
          <w:szCs w:val="11"/>
        </w:rPr>
        <w:t>本年度支出全年预算数为</w:t>
      </w:r>
      <w:r>
        <w:rPr>
          <w:rFonts w:hint="eastAsia" w:ascii="Times New Roman" w:eastAsia="仿宋_GB2312"/>
          <w:sz w:val="32"/>
          <w:szCs w:val="11"/>
          <w:lang w:val="en-US" w:eastAsia="zh-CN"/>
        </w:rPr>
        <w:t>5518.97</w:t>
      </w:r>
      <w:r>
        <w:rPr>
          <w:rFonts w:hint="eastAsia" w:ascii="Times New Roman" w:eastAsia="仿宋_GB2312"/>
          <w:sz w:val="32"/>
          <w:szCs w:val="11"/>
        </w:rPr>
        <w:t>万元，支出决算数为</w:t>
      </w:r>
      <w:r>
        <w:rPr>
          <w:rFonts w:hint="eastAsia" w:ascii="Times New Roman" w:eastAsia="仿宋_GB2312"/>
          <w:sz w:val="32"/>
          <w:szCs w:val="11"/>
          <w:lang w:val="en-US" w:eastAsia="zh-CN"/>
        </w:rPr>
        <w:t>5518.97</w:t>
      </w:r>
      <w:r>
        <w:rPr>
          <w:rFonts w:hint="eastAsia" w:ascii="Times New Roman" w:eastAsia="仿宋_GB2312"/>
          <w:sz w:val="32"/>
          <w:szCs w:val="11"/>
        </w:rPr>
        <w:t>万元，预算完成度为</w:t>
      </w:r>
      <w:r>
        <w:rPr>
          <w:rFonts w:hint="eastAsia" w:ascii="Times New Roman" w:hAnsi="Times New Roman" w:eastAsia="仿宋_GB2312"/>
          <w:sz w:val="32"/>
          <w:szCs w:val="11"/>
        </w:rPr>
        <w:t>100.00%</w:t>
      </w:r>
      <w:r>
        <w:rPr>
          <w:rFonts w:hint="eastAsia" w:ascii="Times New Roman" w:eastAsia="仿宋_GB2312"/>
          <w:sz w:val="32"/>
          <w:szCs w:val="11"/>
        </w:rPr>
        <w:t>，上年度预算完成度为</w:t>
      </w:r>
      <w:r>
        <w:rPr>
          <w:rFonts w:hint="eastAsia" w:ascii="Times New Roman" w:hAnsi="Times New Roman" w:eastAsia="仿宋_GB2312"/>
          <w:sz w:val="32"/>
          <w:szCs w:val="11"/>
        </w:rPr>
        <w:t>100.00%</w:t>
      </w:r>
      <w:r>
        <w:rPr>
          <w:rFonts w:hint="eastAsia" w:ascii="Times New Roman" w:eastAsia="仿宋_GB2312"/>
          <w:sz w:val="32"/>
          <w:szCs w:val="11"/>
        </w:rPr>
        <w:t>，不</w:t>
      </w:r>
      <w:r>
        <w:rPr>
          <w:rStyle w:val="12"/>
          <w:rFonts w:hint="eastAsia" w:ascii="Times New Roman" w:eastAsia="仿宋_GB2312"/>
          <w:sz w:val="32"/>
          <w:szCs w:val="11"/>
        </w:rPr>
        <w:t>存在差异</w:t>
      </w:r>
      <w:r>
        <w:rPr>
          <w:rFonts w:hint="eastAsia" w:ascii="Times New Roman" w:eastAsia="仿宋_GB2312"/>
          <w:sz w:val="32"/>
          <w:szCs w:val="11"/>
        </w:rPr>
        <w:t>。</w:t>
      </w:r>
    </w:p>
    <w:p w14:paraId="5454013A">
      <w:pPr>
        <w:pStyle w:val="8"/>
        <w:spacing w:line="560" w:lineRule="exact"/>
        <w:ind w:firstLine="643" w:firstLineChars="200"/>
        <w:rPr>
          <w:rStyle w:val="12"/>
          <w:rFonts w:ascii="Times New Roman" w:hAnsi="Times New Roman" w:eastAsia="仿宋_GB2312"/>
          <w:sz w:val="32"/>
          <w:szCs w:val="11"/>
        </w:rPr>
      </w:pPr>
    </w:p>
    <w:p w14:paraId="0ED4969C">
      <w:pPr>
        <w:pStyle w:val="8"/>
        <w:spacing w:line="560" w:lineRule="exact"/>
        <w:ind w:firstLine="643" w:firstLineChars="200"/>
        <w:rPr>
          <w:rStyle w:val="12"/>
          <w:rFonts w:ascii="Times New Roman" w:hAnsi="Times New Roman" w:eastAsia="仿宋_GB2312"/>
          <w:sz w:val="32"/>
          <w:szCs w:val="11"/>
        </w:rPr>
      </w:pPr>
    </w:p>
    <w:p w14:paraId="08EBBED5">
      <w:pPr>
        <w:pStyle w:val="8"/>
        <w:spacing w:line="560" w:lineRule="exact"/>
        <w:ind w:firstLine="643" w:firstLineChars="200"/>
        <w:rPr>
          <w:rStyle w:val="12"/>
          <w:rFonts w:ascii="Times New Roman" w:hAnsi="Times New Roman" w:eastAsia="仿宋_GB2312"/>
          <w:sz w:val="32"/>
          <w:szCs w:val="11"/>
        </w:rPr>
      </w:pPr>
    </w:p>
    <w:p w14:paraId="3CF17816">
      <w:pPr>
        <w:pStyle w:val="8"/>
        <w:spacing w:line="560" w:lineRule="exact"/>
        <w:ind w:firstLine="643" w:firstLineChars="200"/>
        <w:rPr>
          <w:rStyle w:val="12"/>
          <w:rFonts w:ascii="Times New Roman" w:hAnsi="Times New Roman" w:eastAsia="仿宋_GB2312"/>
          <w:sz w:val="32"/>
          <w:szCs w:val="11"/>
        </w:rPr>
      </w:pPr>
    </w:p>
    <w:p w14:paraId="417EE3A2">
      <w:pPr>
        <w:pStyle w:val="8"/>
        <w:spacing w:line="560" w:lineRule="exact"/>
        <w:ind w:firstLine="643" w:firstLineChars="200"/>
        <w:rPr>
          <w:rStyle w:val="12"/>
          <w:rFonts w:ascii="Times New Roman" w:hAnsi="Times New Roman" w:eastAsia="仿宋_GB2312"/>
          <w:sz w:val="32"/>
          <w:szCs w:val="11"/>
        </w:rPr>
      </w:pPr>
    </w:p>
    <w:p w14:paraId="5F62DE5E">
      <w:pPr>
        <w:pStyle w:val="8"/>
        <w:spacing w:line="560" w:lineRule="exact"/>
        <w:ind w:firstLine="643" w:firstLineChars="200"/>
        <w:rPr>
          <w:rStyle w:val="12"/>
          <w:rFonts w:ascii="Times New Roman" w:hAnsi="Times New Roman" w:eastAsia="仿宋_GB2312"/>
          <w:sz w:val="32"/>
          <w:szCs w:val="11"/>
        </w:rPr>
      </w:pPr>
    </w:p>
    <w:p w14:paraId="3DE7A59C">
      <w:pPr>
        <w:pStyle w:val="8"/>
        <w:spacing w:line="560" w:lineRule="exact"/>
        <w:ind w:firstLine="643" w:firstLineChars="200"/>
        <w:rPr>
          <w:rFonts w:ascii="Times New Roman" w:hAnsi="Times New Roman" w:eastAsia="仿宋_GB2312"/>
          <w:b/>
          <w:bCs/>
          <w:sz w:val="32"/>
          <w:szCs w:val="11"/>
        </w:rPr>
      </w:pPr>
      <w:r>
        <w:rPr>
          <w:rStyle w:val="12"/>
          <w:rFonts w:hint="eastAsia" w:ascii="Times New Roman" w:hAnsi="Times New Roman" w:eastAsia="仿宋_GB2312"/>
          <w:sz w:val="32"/>
          <w:szCs w:val="11"/>
        </w:rPr>
        <w:t>1</w:t>
      </w:r>
      <w:r>
        <w:rPr>
          <w:rStyle w:val="12"/>
          <w:rFonts w:hint="eastAsia" w:ascii="Times New Roman" w:eastAsia="仿宋_GB2312"/>
          <w:sz w:val="32"/>
          <w:szCs w:val="11"/>
        </w:rPr>
        <w:t>．收入支出与预算对比分析。</w:t>
      </w:r>
    </w:p>
    <w:p w14:paraId="4813E0E2">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w:t>
      </w:r>
      <w:r>
        <w:rPr>
          <w:rFonts w:hint="eastAsia" w:ascii="Times New Roman" w:hAnsi="Times New Roman" w:eastAsia="仿宋_GB2312"/>
          <w:sz w:val="32"/>
          <w:szCs w:val="11"/>
        </w:rPr>
        <w:t>1</w:t>
      </w:r>
      <w:r>
        <w:rPr>
          <w:rFonts w:hint="eastAsia" w:ascii="Times New Roman" w:eastAsia="仿宋_GB2312"/>
          <w:sz w:val="32"/>
          <w:szCs w:val="11"/>
        </w:rPr>
        <w:t>）预、决算差异情况，可分收入支出功能科目、分单位、分收入支出具体项目逐项对比。</w:t>
      </w:r>
    </w:p>
    <w:p w14:paraId="648D4222">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不存在差异。</w:t>
      </w:r>
    </w:p>
    <w:p w14:paraId="07895BDA">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w:t>
      </w:r>
      <w:r>
        <w:rPr>
          <w:rFonts w:hint="eastAsia" w:ascii="Times New Roman" w:hAnsi="Times New Roman" w:eastAsia="仿宋_GB2312"/>
          <w:sz w:val="32"/>
          <w:szCs w:val="11"/>
        </w:rPr>
        <w:t>2</w:t>
      </w:r>
      <w:r>
        <w:rPr>
          <w:rFonts w:hint="eastAsia" w:ascii="Times New Roman" w:eastAsia="仿宋_GB2312"/>
          <w:sz w:val="32"/>
          <w:szCs w:val="11"/>
        </w:rPr>
        <w:t>）差异原因分析。差异较大的应分析到具体收入支出功能科目和具体单位。</w:t>
      </w:r>
    </w:p>
    <w:p w14:paraId="421A98BC">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不存在差异。</w:t>
      </w:r>
    </w:p>
    <w:p w14:paraId="3B0B0722">
      <w:pPr>
        <w:pStyle w:val="8"/>
        <w:spacing w:line="560" w:lineRule="exact"/>
        <w:ind w:firstLine="643" w:firstLineChars="200"/>
        <w:rPr>
          <w:rFonts w:ascii="Times New Roman" w:hAnsi="Times New Roman" w:eastAsia="仿宋_GB2312"/>
          <w:sz w:val="32"/>
        </w:rPr>
      </w:pPr>
      <w:r>
        <w:rPr>
          <w:rStyle w:val="12"/>
          <w:rFonts w:hint="eastAsia" w:ascii="Times New Roman" w:hAnsi="Times New Roman" w:eastAsia="仿宋_GB2312"/>
          <w:sz w:val="32"/>
          <w:szCs w:val="11"/>
        </w:rPr>
        <w:t>2</w:t>
      </w:r>
      <w:r>
        <w:rPr>
          <w:rStyle w:val="12"/>
          <w:rFonts w:hint="eastAsia" w:ascii="Times New Roman" w:eastAsia="仿宋_GB2312"/>
          <w:sz w:val="32"/>
          <w:szCs w:val="11"/>
        </w:rPr>
        <w:t>．收入支出结构分析。</w:t>
      </w:r>
    </w:p>
    <w:p w14:paraId="403C050E">
      <w:pPr>
        <w:pStyle w:val="8"/>
        <w:spacing w:line="560" w:lineRule="exact"/>
        <w:ind w:firstLine="640" w:firstLineChars="200"/>
        <w:rPr>
          <w:rStyle w:val="12"/>
          <w:rFonts w:hint="default" w:ascii="Times New Roman" w:hAnsi="Times New Roman" w:eastAsia="仿宋_GB2312"/>
          <w:sz w:val="32"/>
          <w:szCs w:val="11"/>
          <w:lang w:val="en-US" w:eastAsia="zh-CN"/>
        </w:rPr>
      </w:pPr>
      <w:r>
        <w:rPr>
          <w:rFonts w:hint="eastAsia" w:ascii="Times New Roman" w:eastAsia="仿宋_GB2312"/>
          <w:sz w:val="32"/>
          <w:szCs w:val="11"/>
        </w:rPr>
        <w:t>（</w:t>
      </w:r>
      <w:r>
        <w:rPr>
          <w:rFonts w:hint="eastAsia" w:ascii="Times New Roman" w:hAnsi="Times New Roman" w:eastAsia="仿宋_GB2312"/>
          <w:sz w:val="32"/>
          <w:szCs w:val="11"/>
        </w:rPr>
        <w:t>1</w:t>
      </w:r>
      <w:r>
        <w:rPr>
          <w:rFonts w:hint="eastAsia" w:ascii="Times New Roman" w:eastAsia="仿宋_GB2312"/>
          <w:sz w:val="32"/>
          <w:szCs w:val="11"/>
        </w:rPr>
        <w:t>）</w:t>
      </w:r>
      <w:r>
        <w:rPr>
          <w:rFonts w:hint="eastAsia" w:ascii="Times New Roman" w:hAnsi="Times New Roman" w:eastAsia="仿宋_GB2312"/>
          <w:sz w:val="32"/>
          <w:szCs w:val="11"/>
        </w:rPr>
        <w:t xml:space="preserve"> </w:t>
      </w:r>
      <w:r>
        <w:rPr>
          <w:rFonts w:hint="eastAsia" w:ascii="Times New Roman" w:eastAsia="仿宋_GB2312"/>
          <w:sz w:val="32"/>
          <w:szCs w:val="11"/>
        </w:rPr>
        <w:t>本单位本年度总收入为</w:t>
      </w:r>
      <w:r>
        <w:rPr>
          <w:rFonts w:hint="eastAsia" w:ascii="Times New Roman" w:eastAsia="仿宋_GB2312"/>
          <w:sz w:val="32"/>
          <w:szCs w:val="11"/>
          <w:lang w:val="en-US" w:eastAsia="zh-CN"/>
        </w:rPr>
        <w:t>5518.97</w:t>
      </w:r>
      <w:r>
        <w:rPr>
          <w:rFonts w:hint="eastAsia" w:ascii="Times New Roman" w:eastAsia="仿宋_GB2312"/>
          <w:sz w:val="32"/>
          <w:szCs w:val="11"/>
        </w:rPr>
        <w:t>万元。其中：一般公共预算财政拨款收入为</w:t>
      </w:r>
      <w:r>
        <w:rPr>
          <w:rFonts w:hint="eastAsia" w:ascii="Times New Roman" w:eastAsia="仿宋_GB2312"/>
          <w:sz w:val="32"/>
          <w:szCs w:val="11"/>
          <w:lang w:val="en-US" w:eastAsia="zh-CN"/>
        </w:rPr>
        <w:t>5518.97</w:t>
      </w:r>
      <w:r>
        <w:rPr>
          <w:rFonts w:hint="eastAsia" w:ascii="Times New Roman" w:eastAsia="仿宋_GB2312"/>
          <w:sz w:val="32"/>
          <w:szCs w:val="11"/>
        </w:rPr>
        <w:t>万元，占比</w:t>
      </w:r>
      <w:r>
        <w:rPr>
          <w:rFonts w:hint="eastAsia" w:ascii="Times New Roman" w:hAnsi="Times New Roman" w:eastAsia="仿宋_GB2312"/>
          <w:sz w:val="32"/>
          <w:szCs w:val="11"/>
        </w:rPr>
        <w:t>100.00%</w:t>
      </w:r>
      <w:r>
        <w:rPr>
          <w:rFonts w:hint="eastAsia" w:ascii="Times New Roman" w:eastAsia="仿宋_GB2312"/>
          <w:sz w:val="32"/>
          <w:szCs w:val="11"/>
        </w:rPr>
        <w:t>；本年度总支出为</w:t>
      </w:r>
      <w:r>
        <w:rPr>
          <w:rFonts w:hint="eastAsia" w:ascii="Times New Roman" w:eastAsia="仿宋_GB2312"/>
          <w:sz w:val="32"/>
          <w:szCs w:val="11"/>
          <w:lang w:val="en-US" w:eastAsia="zh-CN"/>
        </w:rPr>
        <w:t>5518.97</w:t>
      </w:r>
      <w:r>
        <w:rPr>
          <w:rFonts w:hint="eastAsia" w:ascii="Times New Roman" w:eastAsia="仿宋_GB2312"/>
          <w:sz w:val="32"/>
          <w:szCs w:val="11"/>
        </w:rPr>
        <w:t>万元。其中：一般公共服务支出为</w:t>
      </w:r>
      <w:r>
        <w:rPr>
          <w:rFonts w:hint="eastAsia" w:ascii="Times New Roman" w:hAnsi="Times New Roman" w:eastAsia="仿宋_GB2312"/>
          <w:sz w:val="32"/>
          <w:szCs w:val="11"/>
          <w:lang w:val="en-US" w:eastAsia="zh-CN"/>
        </w:rPr>
        <w:t>4770.56</w:t>
      </w:r>
      <w:r>
        <w:rPr>
          <w:rFonts w:hint="eastAsia" w:ascii="Times New Roman" w:eastAsia="仿宋_GB2312"/>
          <w:sz w:val="32"/>
          <w:szCs w:val="11"/>
        </w:rPr>
        <w:t>万元，占比</w:t>
      </w:r>
      <w:r>
        <w:rPr>
          <w:rFonts w:hint="eastAsia" w:ascii="Times New Roman" w:hAnsi="Times New Roman" w:eastAsia="仿宋_GB2312"/>
          <w:sz w:val="32"/>
          <w:szCs w:val="11"/>
        </w:rPr>
        <w:t>8</w:t>
      </w:r>
      <w:r>
        <w:rPr>
          <w:rFonts w:hint="eastAsia" w:ascii="Times New Roman" w:hAnsi="Times New Roman" w:eastAsia="仿宋_GB2312"/>
          <w:sz w:val="32"/>
          <w:szCs w:val="11"/>
          <w:lang w:val="en-US" w:eastAsia="zh-CN"/>
        </w:rPr>
        <w:t>6.6</w:t>
      </w:r>
      <w:r>
        <w:rPr>
          <w:rFonts w:hint="eastAsia" w:ascii="Times New Roman" w:hAnsi="Times New Roman" w:eastAsia="仿宋_GB2312"/>
          <w:sz w:val="32"/>
          <w:szCs w:val="11"/>
        </w:rPr>
        <w:t>%</w:t>
      </w:r>
      <w:r>
        <w:rPr>
          <w:rFonts w:hint="eastAsia" w:ascii="Times New Roman" w:eastAsia="仿宋_GB2312"/>
          <w:sz w:val="32"/>
          <w:szCs w:val="11"/>
        </w:rPr>
        <w:t>；</w:t>
      </w:r>
      <w:r>
        <w:rPr>
          <w:rFonts w:hint="eastAsia" w:ascii="Times New Roman" w:eastAsia="仿宋_GB2312"/>
          <w:sz w:val="32"/>
          <w:szCs w:val="11"/>
          <w:lang w:eastAsia="zh-CN"/>
        </w:rPr>
        <w:t>文化旅游体育与传媒支</w:t>
      </w:r>
      <w:r>
        <w:rPr>
          <w:rFonts w:hint="eastAsia" w:ascii="Times New Roman" w:eastAsia="仿宋_GB2312"/>
          <w:sz w:val="32"/>
          <w:szCs w:val="11"/>
          <w:lang w:val="en-US" w:eastAsia="zh-CN"/>
        </w:rPr>
        <w:t>0.5万元，</w:t>
      </w:r>
      <w:r>
        <w:rPr>
          <w:rFonts w:hint="eastAsia" w:ascii="Times New Roman" w:eastAsia="仿宋_GB2312"/>
          <w:sz w:val="32"/>
          <w:szCs w:val="11"/>
        </w:rPr>
        <w:t>社会保障和就业支出为</w:t>
      </w:r>
      <w:r>
        <w:rPr>
          <w:rFonts w:hint="eastAsia" w:ascii="Times New Roman" w:hAnsi="Times New Roman" w:eastAsia="仿宋_GB2312"/>
          <w:sz w:val="32"/>
          <w:szCs w:val="11"/>
          <w:lang w:val="en-US" w:eastAsia="zh-CN"/>
        </w:rPr>
        <w:t>372.27</w:t>
      </w:r>
      <w:r>
        <w:rPr>
          <w:rFonts w:hint="eastAsia" w:ascii="Times New Roman" w:eastAsia="仿宋_GB2312"/>
          <w:sz w:val="32"/>
          <w:szCs w:val="11"/>
        </w:rPr>
        <w:t>万元，占比</w:t>
      </w:r>
      <w:r>
        <w:rPr>
          <w:rFonts w:hint="eastAsia" w:ascii="Times New Roman" w:eastAsia="仿宋_GB2312"/>
          <w:sz w:val="32"/>
          <w:szCs w:val="11"/>
          <w:lang w:val="en-US" w:eastAsia="zh-CN"/>
        </w:rPr>
        <w:t>6.44</w:t>
      </w:r>
      <w:r>
        <w:rPr>
          <w:rFonts w:hint="eastAsia" w:ascii="Times New Roman" w:hAnsi="Times New Roman" w:eastAsia="仿宋_GB2312"/>
          <w:sz w:val="32"/>
          <w:szCs w:val="11"/>
        </w:rPr>
        <w:t>%</w:t>
      </w:r>
      <w:r>
        <w:rPr>
          <w:rFonts w:hint="eastAsia" w:ascii="Times New Roman" w:eastAsia="仿宋_GB2312"/>
          <w:sz w:val="32"/>
          <w:szCs w:val="11"/>
        </w:rPr>
        <w:t>；卫生健康支出为</w:t>
      </w:r>
      <w:r>
        <w:rPr>
          <w:rFonts w:hint="eastAsia" w:ascii="Times New Roman" w:hAnsi="Times New Roman" w:eastAsia="仿宋_GB2312"/>
          <w:sz w:val="32"/>
          <w:szCs w:val="11"/>
          <w:lang w:val="en-US" w:eastAsia="zh-CN"/>
        </w:rPr>
        <w:t>167.08</w:t>
      </w:r>
      <w:r>
        <w:rPr>
          <w:rFonts w:hint="eastAsia" w:ascii="Times New Roman" w:eastAsia="仿宋_GB2312"/>
          <w:sz w:val="32"/>
          <w:szCs w:val="11"/>
        </w:rPr>
        <w:t>万元，占比</w:t>
      </w:r>
      <w:r>
        <w:rPr>
          <w:rFonts w:hint="eastAsia" w:ascii="Times New Roman" w:eastAsia="仿宋_GB2312"/>
          <w:sz w:val="32"/>
          <w:szCs w:val="11"/>
          <w:lang w:val="en-US" w:eastAsia="zh-CN"/>
        </w:rPr>
        <w:t>3.51</w:t>
      </w:r>
      <w:r>
        <w:rPr>
          <w:rFonts w:hint="eastAsia" w:ascii="Times New Roman" w:hAnsi="Times New Roman" w:eastAsia="仿宋_GB2312"/>
          <w:sz w:val="32"/>
          <w:szCs w:val="11"/>
        </w:rPr>
        <w:t>%</w:t>
      </w:r>
      <w:r>
        <w:rPr>
          <w:rFonts w:hint="eastAsia" w:ascii="Times New Roman" w:eastAsia="仿宋_GB2312"/>
          <w:sz w:val="32"/>
          <w:szCs w:val="11"/>
        </w:rPr>
        <w:t>；住房保障支出为</w:t>
      </w:r>
      <w:r>
        <w:rPr>
          <w:rFonts w:hint="eastAsia" w:ascii="Times New Roman" w:hAnsi="Times New Roman" w:eastAsia="仿宋_GB2312"/>
          <w:sz w:val="32"/>
          <w:szCs w:val="11"/>
          <w:lang w:val="en-US" w:eastAsia="zh-CN"/>
        </w:rPr>
        <w:t>203.29</w:t>
      </w:r>
      <w:r>
        <w:rPr>
          <w:rFonts w:hint="eastAsia" w:ascii="Times New Roman" w:eastAsia="仿宋_GB2312"/>
          <w:sz w:val="32"/>
          <w:szCs w:val="11"/>
        </w:rPr>
        <w:t>万元，占比</w:t>
      </w:r>
      <w:r>
        <w:rPr>
          <w:rFonts w:hint="eastAsia" w:ascii="Times New Roman" w:hAnsi="Times New Roman" w:eastAsia="仿宋_GB2312"/>
          <w:sz w:val="32"/>
          <w:szCs w:val="11"/>
          <w:lang w:val="en-US" w:eastAsia="zh-CN"/>
        </w:rPr>
        <w:t>3.51</w:t>
      </w:r>
      <w:r>
        <w:rPr>
          <w:rFonts w:hint="eastAsia" w:ascii="Times New Roman" w:hAnsi="Times New Roman" w:eastAsia="仿宋_GB2312"/>
          <w:sz w:val="32"/>
          <w:szCs w:val="11"/>
        </w:rPr>
        <w:t>%</w:t>
      </w:r>
      <w:r>
        <w:rPr>
          <w:rFonts w:hint="eastAsia" w:ascii="Times New Roman" w:eastAsia="仿宋_GB2312"/>
          <w:sz w:val="32"/>
          <w:szCs w:val="11"/>
        </w:rPr>
        <w:t>.</w:t>
      </w:r>
      <w:r>
        <w:rPr>
          <w:rFonts w:hint="eastAsia" w:ascii="Times New Roman" w:eastAsia="仿宋_GB2312"/>
          <w:sz w:val="32"/>
          <w:szCs w:val="11"/>
          <w:lang w:eastAsia="zh-CN"/>
        </w:rPr>
        <w:t>国有资本经营预算支出</w:t>
      </w:r>
      <w:r>
        <w:rPr>
          <w:rFonts w:hint="eastAsia" w:ascii="Times New Roman" w:eastAsia="仿宋_GB2312"/>
          <w:sz w:val="32"/>
          <w:szCs w:val="11"/>
          <w:lang w:val="en-US" w:eastAsia="zh-CN"/>
        </w:rPr>
        <w:t>36. 8万元，占比0.63%.</w:t>
      </w:r>
    </w:p>
    <w:p w14:paraId="2770513C">
      <w:pPr>
        <w:pStyle w:val="8"/>
        <w:spacing w:line="560" w:lineRule="exact"/>
        <w:ind w:firstLine="640" w:firstLineChars="200"/>
        <w:rPr>
          <w:rFonts w:ascii="Times New Roman" w:hAnsi="Times New Roman" w:eastAsia="仿宋_GB2312"/>
          <w:sz w:val="32"/>
        </w:rPr>
      </w:pPr>
      <w:r>
        <w:rPr>
          <w:rFonts w:ascii="Times New Roman" w:hAnsi="Times New Roman" w:eastAsia="仿宋_GB2312"/>
          <w:sz w:val="32"/>
        </w:rPr>
        <w:drawing>
          <wp:anchor distT="0" distB="0" distL="114300" distR="114300" simplePos="0" relativeHeight="251660288" behindDoc="0" locked="0" layoutInCell="1" allowOverlap="1">
            <wp:simplePos x="0" y="0"/>
            <wp:positionH relativeFrom="column">
              <wp:posOffset>149225</wp:posOffset>
            </wp:positionH>
            <wp:positionV relativeFrom="paragraph">
              <wp:posOffset>31115</wp:posOffset>
            </wp:positionV>
            <wp:extent cx="5487035" cy="3202940"/>
            <wp:effectExtent l="19050" t="0" r="18415" b="0"/>
            <wp:wrapNone/>
            <wp:docPr id="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8616A3F">
      <w:pPr>
        <w:pStyle w:val="8"/>
        <w:spacing w:line="560" w:lineRule="exact"/>
        <w:ind w:firstLine="640" w:firstLineChars="200"/>
        <w:rPr>
          <w:rFonts w:ascii="Times New Roman" w:hAnsi="Times New Roman" w:eastAsia="仿宋_GB2312"/>
          <w:sz w:val="32"/>
        </w:rPr>
      </w:pPr>
    </w:p>
    <w:p w14:paraId="3996771B">
      <w:pPr>
        <w:pStyle w:val="8"/>
        <w:spacing w:line="560" w:lineRule="exact"/>
        <w:ind w:firstLine="640" w:firstLineChars="200"/>
        <w:rPr>
          <w:rFonts w:ascii="Times New Roman" w:hAnsi="Times New Roman" w:eastAsia="仿宋_GB2312"/>
          <w:sz w:val="32"/>
          <w:szCs w:val="11"/>
        </w:rPr>
      </w:pPr>
    </w:p>
    <w:p w14:paraId="3A075D1E">
      <w:pPr>
        <w:pStyle w:val="8"/>
        <w:spacing w:line="560" w:lineRule="exact"/>
        <w:ind w:firstLine="640" w:firstLineChars="200"/>
        <w:rPr>
          <w:rFonts w:ascii="Times New Roman" w:hAnsi="Times New Roman" w:eastAsia="仿宋_GB2312"/>
          <w:sz w:val="32"/>
          <w:szCs w:val="11"/>
        </w:rPr>
      </w:pPr>
    </w:p>
    <w:p w14:paraId="4F4A69B6">
      <w:pPr>
        <w:pStyle w:val="8"/>
        <w:spacing w:line="560" w:lineRule="exact"/>
        <w:ind w:firstLine="640" w:firstLineChars="200"/>
        <w:rPr>
          <w:rFonts w:ascii="Times New Roman" w:hAnsi="Times New Roman" w:eastAsia="仿宋_GB2312"/>
          <w:sz w:val="32"/>
          <w:szCs w:val="11"/>
        </w:rPr>
      </w:pPr>
    </w:p>
    <w:p w14:paraId="03AAC83F">
      <w:pPr>
        <w:pStyle w:val="8"/>
        <w:spacing w:line="560" w:lineRule="exact"/>
        <w:ind w:firstLine="640" w:firstLineChars="200"/>
        <w:rPr>
          <w:rFonts w:ascii="Times New Roman" w:hAnsi="Times New Roman" w:eastAsia="仿宋_GB2312"/>
          <w:sz w:val="32"/>
          <w:szCs w:val="11"/>
        </w:rPr>
      </w:pPr>
    </w:p>
    <w:p w14:paraId="6FC701CC">
      <w:pPr>
        <w:pStyle w:val="8"/>
        <w:spacing w:line="560" w:lineRule="exact"/>
        <w:ind w:firstLine="640" w:firstLineChars="200"/>
        <w:rPr>
          <w:rFonts w:ascii="Times New Roman" w:hAnsi="Times New Roman" w:eastAsia="仿宋_GB2312"/>
          <w:sz w:val="32"/>
          <w:szCs w:val="11"/>
        </w:rPr>
      </w:pPr>
    </w:p>
    <w:p w14:paraId="393423B5">
      <w:pPr>
        <w:pStyle w:val="8"/>
        <w:spacing w:line="560" w:lineRule="exact"/>
        <w:ind w:firstLine="640" w:firstLineChars="200"/>
        <w:rPr>
          <w:rFonts w:ascii="Times New Roman" w:hAnsi="Times New Roman" w:eastAsia="仿宋_GB2312"/>
          <w:sz w:val="32"/>
          <w:szCs w:val="11"/>
        </w:rPr>
      </w:pPr>
      <w:r>
        <w:rPr>
          <w:rFonts w:ascii="Times New Roman" w:hAnsi="Times New Roman" w:eastAsia="仿宋_GB2312"/>
          <w:sz w:val="32"/>
          <w:szCs w:val="11"/>
        </w:rPr>
        <w:drawing>
          <wp:anchor distT="0" distB="0" distL="114300" distR="114300" simplePos="0" relativeHeight="251661312" behindDoc="0" locked="0" layoutInCell="1" allowOverlap="1">
            <wp:simplePos x="0" y="0"/>
            <wp:positionH relativeFrom="column">
              <wp:posOffset>160020</wp:posOffset>
            </wp:positionH>
            <wp:positionV relativeFrom="paragraph">
              <wp:posOffset>175260</wp:posOffset>
            </wp:positionV>
            <wp:extent cx="5257165" cy="3492500"/>
            <wp:effectExtent l="5080" t="4445" r="10795" b="8255"/>
            <wp:wrapNone/>
            <wp:docPr id="1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FD1A71C">
      <w:pPr>
        <w:pStyle w:val="8"/>
        <w:spacing w:line="560" w:lineRule="exact"/>
        <w:ind w:firstLine="640" w:firstLineChars="200"/>
        <w:rPr>
          <w:rFonts w:ascii="Times New Roman" w:hAnsi="Times New Roman" w:eastAsia="仿宋_GB2312"/>
          <w:sz w:val="32"/>
          <w:szCs w:val="11"/>
        </w:rPr>
      </w:pPr>
    </w:p>
    <w:p w14:paraId="4ED04DFD">
      <w:pPr>
        <w:pStyle w:val="8"/>
        <w:spacing w:line="560" w:lineRule="exact"/>
        <w:ind w:firstLine="640" w:firstLineChars="200"/>
        <w:rPr>
          <w:rFonts w:ascii="Times New Roman" w:hAnsi="Times New Roman" w:eastAsia="仿宋_GB2312"/>
          <w:sz w:val="32"/>
          <w:szCs w:val="11"/>
        </w:rPr>
      </w:pPr>
    </w:p>
    <w:p w14:paraId="5E4E4B9A">
      <w:pPr>
        <w:pStyle w:val="8"/>
        <w:spacing w:line="560" w:lineRule="exact"/>
        <w:ind w:firstLine="640" w:firstLineChars="200"/>
        <w:rPr>
          <w:rFonts w:ascii="Times New Roman" w:hAnsi="Times New Roman" w:eastAsia="仿宋_GB2312"/>
          <w:sz w:val="32"/>
          <w:szCs w:val="11"/>
        </w:rPr>
      </w:pPr>
    </w:p>
    <w:p w14:paraId="4930960C">
      <w:pPr>
        <w:pStyle w:val="8"/>
        <w:spacing w:line="560" w:lineRule="exact"/>
        <w:ind w:firstLine="640" w:firstLineChars="200"/>
        <w:rPr>
          <w:rFonts w:ascii="Times New Roman" w:hAnsi="Times New Roman" w:eastAsia="仿宋_GB2312"/>
          <w:sz w:val="32"/>
          <w:szCs w:val="11"/>
        </w:rPr>
      </w:pPr>
    </w:p>
    <w:p w14:paraId="498E1175">
      <w:pPr>
        <w:pStyle w:val="8"/>
        <w:spacing w:line="560" w:lineRule="exact"/>
        <w:ind w:firstLine="640" w:firstLineChars="200"/>
        <w:rPr>
          <w:rFonts w:hint="eastAsia" w:ascii="Times New Roman" w:eastAsia="仿宋_GB2312"/>
          <w:sz w:val="32"/>
          <w:szCs w:val="11"/>
        </w:rPr>
      </w:pPr>
    </w:p>
    <w:p w14:paraId="6290D55A">
      <w:pPr>
        <w:pStyle w:val="8"/>
        <w:spacing w:line="560" w:lineRule="exact"/>
        <w:ind w:firstLine="640" w:firstLineChars="200"/>
        <w:rPr>
          <w:rFonts w:hint="eastAsia" w:ascii="Times New Roman" w:eastAsia="仿宋_GB2312"/>
          <w:sz w:val="32"/>
          <w:szCs w:val="11"/>
        </w:rPr>
      </w:pPr>
    </w:p>
    <w:p w14:paraId="11FF5116">
      <w:pPr>
        <w:pStyle w:val="8"/>
        <w:spacing w:line="560" w:lineRule="exact"/>
        <w:ind w:firstLine="640" w:firstLineChars="200"/>
        <w:rPr>
          <w:rFonts w:hint="eastAsia" w:ascii="Times New Roman" w:eastAsia="仿宋_GB2312"/>
          <w:sz w:val="32"/>
          <w:szCs w:val="11"/>
        </w:rPr>
      </w:pPr>
    </w:p>
    <w:p w14:paraId="028DA1FE">
      <w:pPr>
        <w:pStyle w:val="8"/>
        <w:spacing w:line="560" w:lineRule="exact"/>
        <w:ind w:firstLine="640" w:firstLineChars="200"/>
        <w:rPr>
          <w:rStyle w:val="12"/>
          <w:rFonts w:ascii="Times New Roman" w:hAnsi="Times New Roman" w:eastAsia="仿宋_GB2312"/>
          <w:color w:val="FF0000"/>
          <w:sz w:val="32"/>
          <w:szCs w:val="11"/>
        </w:rPr>
      </w:pPr>
      <w:r>
        <w:rPr>
          <w:rFonts w:hint="eastAsia" w:ascii="Times New Roman" w:eastAsia="仿宋_GB2312"/>
          <w:sz w:val="32"/>
          <w:szCs w:val="11"/>
        </w:rPr>
        <w:t>（</w:t>
      </w:r>
      <w:r>
        <w:rPr>
          <w:rFonts w:hint="eastAsia" w:ascii="Times New Roman" w:hAnsi="Times New Roman" w:eastAsia="仿宋_GB2312"/>
          <w:sz w:val="32"/>
          <w:szCs w:val="11"/>
        </w:rPr>
        <w:t>2</w:t>
      </w:r>
      <w:r>
        <w:rPr>
          <w:rFonts w:hint="eastAsia" w:ascii="Times New Roman" w:eastAsia="仿宋_GB2312"/>
          <w:sz w:val="32"/>
          <w:szCs w:val="11"/>
        </w:rPr>
        <w:t>）本年度一般公共预算财政拨款收入</w:t>
      </w:r>
      <w:r>
        <w:rPr>
          <w:rStyle w:val="12"/>
          <w:rFonts w:hint="eastAsia" w:ascii="Times New Roman" w:eastAsia="仿宋_GB2312"/>
          <w:sz w:val="32"/>
          <w:szCs w:val="11"/>
        </w:rPr>
        <w:t>为</w:t>
      </w:r>
      <w:r>
        <w:rPr>
          <w:rFonts w:hint="eastAsia" w:ascii="Times New Roman" w:hAnsi="Times New Roman" w:eastAsia="仿宋_GB2312"/>
          <w:sz w:val="32"/>
          <w:szCs w:val="11"/>
          <w:lang w:val="en-US" w:eastAsia="zh-CN"/>
        </w:rPr>
        <w:t>5518.97</w:t>
      </w:r>
      <w:r>
        <w:rPr>
          <w:rFonts w:hint="eastAsia" w:ascii="Times New Roman" w:eastAsia="仿宋_GB2312"/>
          <w:sz w:val="32"/>
          <w:szCs w:val="11"/>
        </w:rPr>
        <w:t>万元相比上年度</w:t>
      </w:r>
      <w:r>
        <w:rPr>
          <w:rFonts w:hint="eastAsia" w:ascii="Times New Roman" w:eastAsia="仿宋_GB2312"/>
          <w:sz w:val="32"/>
          <w:szCs w:val="11"/>
          <w:lang w:eastAsia="zh-CN"/>
        </w:rPr>
        <w:t>减少</w:t>
      </w:r>
      <w:r>
        <w:rPr>
          <w:rFonts w:hint="eastAsia" w:ascii="Times New Roman" w:eastAsia="仿宋_GB2312"/>
          <w:sz w:val="32"/>
          <w:szCs w:val="11"/>
          <w:lang w:val="en-US" w:eastAsia="zh-CN"/>
        </w:rPr>
        <w:t>205.27</w:t>
      </w:r>
      <w:r>
        <w:rPr>
          <w:rFonts w:hint="eastAsia" w:ascii="Times New Roman" w:eastAsia="仿宋_GB2312"/>
          <w:sz w:val="32"/>
          <w:szCs w:val="11"/>
        </w:rPr>
        <w:t>万元，</w:t>
      </w:r>
      <w:r>
        <w:rPr>
          <w:rStyle w:val="12"/>
          <w:rFonts w:hint="eastAsia" w:ascii="Times New Roman" w:eastAsia="仿宋_GB2312"/>
          <w:sz w:val="32"/>
          <w:szCs w:val="11"/>
        </w:rPr>
        <w:t>主要原因</w:t>
      </w:r>
      <w:r>
        <w:rPr>
          <w:rStyle w:val="12"/>
          <w:rFonts w:hint="eastAsia" w:ascii="Times New Roman" w:eastAsia="仿宋_GB2312"/>
          <w:sz w:val="32"/>
          <w:szCs w:val="11"/>
          <w:lang w:eastAsia="zh-CN"/>
        </w:rPr>
        <w:t>项目就减少</w:t>
      </w:r>
      <w:r>
        <w:rPr>
          <w:rFonts w:hint="eastAsia" w:ascii="Times New Roman" w:eastAsia="仿宋_GB2312"/>
          <w:sz w:val="32"/>
          <w:szCs w:val="11"/>
        </w:rPr>
        <w:t>；</w:t>
      </w:r>
      <w:r>
        <w:rPr>
          <w:rFonts w:hint="eastAsia" w:ascii="Times New Roman" w:eastAsia="仿宋_GB2312"/>
          <w:sz w:val="32"/>
          <w:szCs w:val="11"/>
          <w:lang w:eastAsia="zh-CN"/>
        </w:rPr>
        <w:t>本年度</w:t>
      </w:r>
      <w:r>
        <w:rPr>
          <w:rFonts w:hint="eastAsia" w:ascii="Times New Roman" w:eastAsia="仿宋_GB2312"/>
          <w:sz w:val="32"/>
          <w:szCs w:val="11"/>
        </w:rPr>
        <w:t>一般公共服务支出</w:t>
      </w:r>
      <w:r>
        <w:rPr>
          <w:rFonts w:hint="eastAsia" w:ascii="Times New Roman" w:hAnsi="Times New Roman" w:eastAsia="仿宋_GB2312"/>
          <w:sz w:val="32"/>
          <w:szCs w:val="11"/>
          <w:lang w:val="en-US" w:eastAsia="zh-CN"/>
        </w:rPr>
        <w:t>4770.56</w:t>
      </w:r>
      <w:r>
        <w:rPr>
          <w:rFonts w:hint="eastAsia" w:ascii="Times New Roman" w:eastAsia="仿宋_GB2312"/>
          <w:sz w:val="32"/>
          <w:szCs w:val="11"/>
        </w:rPr>
        <w:t>万元</w:t>
      </w:r>
      <w:r>
        <w:rPr>
          <w:rFonts w:hint="eastAsia" w:ascii="Times New Roman" w:eastAsia="仿宋_GB2312"/>
          <w:sz w:val="32"/>
          <w:szCs w:val="11"/>
          <w:lang w:eastAsia="zh-CN"/>
        </w:rPr>
        <w:t>，</w:t>
      </w:r>
      <w:r>
        <w:rPr>
          <w:rFonts w:hint="eastAsia" w:ascii="Times New Roman" w:eastAsia="仿宋_GB2312"/>
          <w:sz w:val="32"/>
          <w:szCs w:val="11"/>
        </w:rPr>
        <w:t>相比上年度</w:t>
      </w:r>
      <w:r>
        <w:rPr>
          <w:rFonts w:hint="eastAsia" w:ascii="Times New Roman" w:eastAsia="仿宋_GB2312"/>
          <w:sz w:val="32"/>
          <w:szCs w:val="11"/>
          <w:lang w:eastAsia="zh-CN"/>
        </w:rPr>
        <w:t>减少</w:t>
      </w:r>
      <w:r>
        <w:rPr>
          <w:rFonts w:hint="eastAsia" w:ascii="Times New Roman" w:eastAsia="仿宋_GB2312"/>
          <w:sz w:val="32"/>
          <w:szCs w:val="11"/>
          <w:lang w:val="en-US" w:eastAsia="zh-CN"/>
        </w:rPr>
        <w:t>228.54</w:t>
      </w:r>
      <w:r>
        <w:rPr>
          <w:rFonts w:hint="eastAsia" w:ascii="Times New Roman" w:eastAsia="仿宋_GB2312"/>
          <w:sz w:val="32"/>
          <w:szCs w:val="11"/>
        </w:rPr>
        <w:t>万元，</w:t>
      </w:r>
      <w:r>
        <w:rPr>
          <w:rFonts w:hint="eastAsia" w:ascii="Times New Roman" w:eastAsia="仿宋_GB2312"/>
          <w:sz w:val="32"/>
          <w:szCs w:val="11"/>
          <w:lang w:eastAsia="zh-CN"/>
        </w:rPr>
        <w:t>主要原因为</w:t>
      </w:r>
      <w:r>
        <w:rPr>
          <w:rStyle w:val="12"/>
          <w:rFonts w:hint="eastAsia" w:ascii="Times New Roman" w:eastAsia="仿宋_GB2312"/>
          <w:sz w:val="32"/>
          <w:szCs w:val="11"/>
          <w:lang w:eastAsia="zh-CN"/>
        </w:rPr>
        <w:t>遵循统筹兼顾、勤俭节约、量力而行，讲求绩效和收支平衡的原则，例行节约。</w:t>
      </w:r>
      <w:r>
        <w:rPr>
          <w:rFonts w:hint="eastAsia" w:ascii="Times New Roman" w:eastAsia="仿宋_GB2312"/>
          <w:sz w:val="32"/>
          <w:szCs w:val="11"/>
        </w:rPr>
        <w:t>社会保障和就业支出为</w:t>
      </w:r>
      <w:r>
        <w:rPr>
          <w:rFonts w:hint="eastAsia" w:ascii="Times New Roman" w:hAnsi="Times New Roman" w:eastAsia="仿宋_GB2312"/>
          <w:sz w:val="32"/>
          <w:szCs w:val="11"/>
          <w:lang w:val="en-US" w:eastAsia="zh-CN"/>
        </w:rPr>
        <w:t>377.19</w:t>
      </w:r>
      <w:r>
        <w:rPr>
          <w:rFonts w:hint="eastAsia" w:ascii="Times New Roman" w:eastAsia="仿宋_GB2312"/>
          <w:sz w:val="32"/>
          <w:szCs w:val="11"/>
        </w:rPr>
        <w:t>万元</w:t>
      </w:r>
      <w:r>
        <w:rPr>
          <w:rFonts w:hint="eastAsia" w:ascii="Times New Roman" w:eastAsia="仿宋_GB2312"/>
          <w:sz w:val="32"/>
          <w:szCs w:val="11"/>
          <w:lang w:val="en-US" w:eastAsia="zh-CN"/>
        </w:rPr>
        <w:t>,</w:t>
      </w:r>
      <w:r>
        <w:rPr>
          <w:rFonts w:hint="eastAsia" w:ascii="Times New Roman" w:eastAsia="仿宋_GB2312"/>
          <w:sz w:val="32"/>
          <w:szCs w:val="11"/>
        </w:rPr>
        <w:t>相比上年度</w:t>
      </w:r>
      <w:r>
        <w:rPr>
          <w:rFonts w:hint="eastAsia" w:ascii="Times New Roman" w:eastAsia="仿宋_GB2312"/>
          <w:sz w:val="32"/>
          <w:szCs w:val="11"/>
          <w:lang w:eastAsia="zh-CN"/>
        </w:rPr>
        <w:t>增加</w:t>
      </w:r>
      <w:r>
        <w:rPr>
          <w:rFonts w:hint="eastAsia" w:ascii="Times New Roman" w:eastAsia="仿宋_GB2312"/>
          <w:sz w:val="32"/>
          <w:szCs w:val="11"/>
          <w:lang w:val="en-US" w:eastAsia="zh-CN"/>
        </w:rPr>
        <w:t>4.92</w:t>
      </w:r>
      <w:r>
        <w:rPr>
          <w:rFonts w:hint="eastAsia" w:ascii="Times New Roman" w:eastAsia="仿宋_GB2312"/>
          <w:sz w:val="32"/>
          <w:szCs w:val="11"/>
        </w:rPr>
        <w:t>万元，</w:t>
      </w:r>
      <w:r>
        <w:rPr>
          <w:rStyle w:val="12"/>
          <w:rFonts w:hint="eastAsia" w:ascii="Times New Roman" w:eastAsia="仿宋_GB2312"/>
          <w:sz w:val="32"/>
          <w:szCs w:val="11"/>
        </w:rPr>
        <w:t>主要原因为</w:t>
      </w:r>
      <w:r>
        <w:rPr>
          <w:rStyle w:val="12"/>
          <w:rFonts w:hint="eastAsia" w:ascii="Times New Roman" w:hAnsi="Times New Roman" w:eastAsia="仿宋_GB2312"/>
          <w:sz w:val="32"/>
          <w:szCs w:val="11"/>
          <w:lang w:eastAsia="zh-CN"/>
        </w:rPr>
        <w:t>2025</w:t>
      </w:r>
      <w:r>
        <w:rPr>
          <w:rStyle w:val="12"/>
          <w:rFonts w:hint="eastAsia" w:ascii="Times New Roman" w:eastAsia="仿宋_GB2312"/>
          <w:sz w:val="32"/>
          <w:szCs w:val="11"/>
        </w:rPr>
        <w:t>年我部门</w:t>
      </w:r>
      <w:r>
        <w:rPr>
          <w:rStyle w:val="12"/>
          <w:rFonts w:hint="eastAsia" w:ascii="Times New Roman" w:eastAsia="仿宋_GB2312"/>
          <w:sz w:val="32"/>
          <w:szCs w:val="11"/>
          <w:lang w:eastAsia="zh-CN"/>
        </w:rPr>
        <w:t>较上年增加</w:t>
      </w:r>
      <w:r>
        <w:rPr>
          <w:rStyle w:val="12"/>
          <w:rFonts w:hint="eastAsia" w:ascii="Times New Roman" w:eastAsia="仿宋_GB2312"/>
          <w:sz w:val="32"/>
          <w:szCs w:val="11"/>
          <w:lang w:val="en-US" w:eastAsia="zh-CN"/>
        </w:rPr>
        <w:t>3名人员</w:t>
      </w:r>
      <w:r>
        <w:rPr>
          <w:rFonts w:hint="eastAsia" w:ascii="Times New Roman" w:eastAsia="仿宋_GB2312"/>
          <w:sz w:val="32"/>
          <w:szCs w:val="11"/>
        </w:rPr>
        <w:t>；卫生健康支出为</w:t>
      </w:r>
      <w:r>
        <w:rPr>
          <w:rFonts w:hint="eastAsia" w:ascii="Times New Roman" w:hAnsi="Times New Roman" w:eastAsia="仿宋_GB2312"/>
          <w:sz w:val="32"/>
          <w:szCs w:val="11"/>
          <w:lang w:val="en-US" w:eastAsia="zh-CN"/>
        </w:rPr>
        <w:t>153.1</w:t>
      </w:r>
      <w:r>
        <w:rPr>
          <w:rFonts w:hint="eastAsia" w:ascii="Times New Roman" w:eastAsia="仿宋_GB2312"/>
          <w:sz w:val="32"/>
          <w:szCs w:val="11"/>
        </w:rPr>
        <w:t>万元</w:t>
      </w:r>
      <w:r>
        <w:rPr>
          <w:rFonts w:hint="eastAsia" w:ascii="Times New Roman" w:eastAsia="仿宋_GB2312"/>
          <w:sz w:val="32"/>
          <w:szCs w:val="11"/>
          <w:lang w:eastAsia="zh-CN"/>
        </w:rPr>
        <w:t>，</w:t>
      </w:r>
      <w:r>
        <w:rPr>
          <w:rFonts w:hint="eastAsia" w:ascii="Times New Roman" w:eastAsia="仿宋_GB2312"/>
          <w:sz w:val="32"/>
          <w:szCs w:val="11"/>
        </w:rPr>
        <w:t>相比上年度增</w:t>
      </w:r>
      <w:r>
        <w:rPr>
          <w:rFonts w:hint="eastAsia" w:ascii="Times New Roman" w:eastAsia="仿宋_GB2312"/>
          <w:sz w:val="32"/>
          <w:szCs w:val="11"/>
          <w:lang w:eastAsia="zh-CN"/>
        </w:rPr>
        <w:t>减少</w:t>
      </w:r>
      <w:r>
        <w:rPr>
          <w:rFonts w:hint="eastAsia" w:ascii="Times New Roman" w:eastAsia="仿宋_GB2312"/>
          <w:sz w:val="32"/>
          <w:szCs w:val="11"/>
          <w:lang w:val="en-US" w:eastAsia="zh-CN"/>
        </w:rPr>
        <w:t>13.97</w:t>
      </w:r>
      <w:r>
        <w:rPr>
          <w:rFonts w:hint="eastAsia" w:ascii="Times New Roman" w:eastAsia="仿宋_GB2312"/>
          <w:sz w:val="32"/>
          <w:szCs w:val="11"/>
        </w:rPr>
        <w:t>万元，</w:t>
      </w:r>
      <w:r>
        <w:rPr>
          <w:rStyle w:val="12"/>
          <w:rFonts w:hint="eastAsia" w:ascii="Times New Roman" w:eastAsia="仿宋_GB2312"/>
          <w:sz w:val="32"/>
          <w:szCs w:val="11"/>
        </w:rPr>
        <w:t>主要原因</w:t>
      </w:r>
      <w:r>
        <w:rPr>
          <w:rStyle w:val="12"/>
          <w:rFonts w:hint="eastAsia" w:ascii="Times New Roman" w:hAnsi="Times New Roman" w:eastAsia="仿宋_GB2312"/>
          <w:sz w:val="32"/>
          <w:szCs w:val="11"/>
          <w:lang w:eastAsia="zh-CN"/>
        </w:rPr>
        <w:t>2025</w:t>
      </w:r>
      <w:r>
        <w:rPr>
          <w:rStyle w:val="12"/>
          <w:rFonts w:hint="eastAsia" w:ascii="Times New Roman" w:eastAsia="仿宋_GB2312"/>
          <w:sz w:val="32"/>
          <w:szCs w:val="11"/>
        </w:rPr>
        <w:t>年我部门</w:t>
      </w:r>
      <w:r>
        <w:rPr>
          <w:rStyle w:val="12"/>
          <w:rFonts w:hint="eastAsia" w:ascii="Times New Roman" w:eastAsia="仿宋_GB2312"/>
          <w:sz w:val="32"/>
          <w:szCs w:val="11"/>
          <w:lang w:eastAsia="zh-CN"/>
        </w:rPr>
        <w:t>较上年增加少</w:t>
      </w:r>
      <w:r>
        <w:rPr>
          <w:rStyle w:val="12"/>
          <w:rFonts w:hint="eastAsia" w:ascii="Times New Roman" w:eastAsia="仿宋_GB2312"/>
          <w:sz w:val="32"/>
          <w:szCs w:val="11"/>
          <w:lang w:val="en-US" w:eastAsia="zh-CN"/>
        </w:rPr>
        <w:t>3名人员</w:t>
      </w:r>
      <w:r>
        <w:rPr>
          <w:rFonts w:hint="eastAsia" w:ascii="Times New Roman" w:eastAsia="仿宋_GB2312"/>
          <w:sz w:val="32"/>
          <w:szCs w:val="11"/>
        </w:rPr>
        <w:t>；住房保障支出为</w:t>
      </w:r>
      <w:r>
        <w:rPr>
          <w:rFonts w:hint="eastAsia" w:ascii="Times New Roman" w:hAnsi="Times New Roman" w:eastAsia="仿宋_GB2312"/>
          <w:sz w:val="32"/>
          <w:szCs w:val="11"/>
          <w:lang w:val="en-US" w:eastAsia="zh-CN"/>
        </w:rPr>
        <w:t>203.29</w:t>
      </w:r>
      <w:r>
        <w:rPr>
          <w:rFonts w:hint="eastAsia" w:ascii="Times New Roman" w:eastAsia="仿宋_GB2312"/>
          <w:sz w:val="32"/>
          <w:szCs w:val="11"/>
        </w:rPr>
        <w:t>万元</w:t>
      </w:r>
      <w:r>
        <w:rPr>
          <w:rFonts w:hint="eastAsia" w:ascii="Times New Roman" w:eastAsia="仿宋_GB2312"/>
          <w:sz w:val="32"/>
          <w:szCs w:val="11"/>
          <w:lang w:val="en-US" w:eastAsia="zh-CN"/>
        </w:rPr>
        <w:t>,</w:t>
      </w:r>
      <w:r>
        <w:rPr>
          <w:rFonts w:hint="eastAsia" w:ascii="Times New Roman" w:eastAsia="仿宋_GB2312"/>
          <w:sz w:val="32"/>
          <w:szCs w:val="11"/>
        </w:rPr>
        <w:t>相比上年度增加</w:t>
      </w:r>
      <w:r>
        <w:rPr>
          <w:rFonts w:hint="eastAsia" w:ascii="Times New Roman" w:eastAsia="仿宋_GB2312"/>
          <w:sz w:val="32"/>
          <w:szCs w:val="11"/>
          <w:lang w:val="en-US" w:eastAsia="zh-CN"/>
        </w:rPr>
        <w:t>15.07</w:t>
      </w:r>
      <w:r>
        <w:rPr>
          <w:rFonts w:hint="eastAsia" w:ascii="Times New Roman" w:eastAsia="仿宋_GB2312"/>
          <w:sz w:val="32"/>
          <w:szCs w:val="11"/>
        </w:rPr>
        <w:t>万元，</w:t>
      </w:r>
      <w:r>
        <w:rPr>
          <w:rStyle w:val="12"/>
          <w:rFonts w:hint="eastAsia" w:ascii="Times New Roman" w:eastAsia="仿宋_GB2312"/>
          <w:sz w:val="32"/>
          <w:szCs w:val="11"/>
        </w:rPr>
        <w:t>主要原因为</w:t>
      </w:r>
      <w:r>
        <w:rPr>
          <w:rStyle w:val="12"/>
          <w:rFonts w:hint="eastAsia" w:ascii="Times New Roman" w:hAnsi="Times New Roman" w:eastAsia="仿宋_GB2312"/>
          <w:sz w:val="32"/>
          <w:szCs w:val="11"/>
          <w:lang w:eastAsia="zh-CN"/>
        </w:rPr>
        <w:t>2025</w:t>
      </w:r>
      <w:r>
        <w:rPr>
          <w:rStyle w:val="12"/>
          <w:rFonts w:hint="eastAsia" w:ascii="Times New Roman" w:eastAsia="仿宋_GB2312"/>
          <w:sz w:val="32"/>
          <w:szCs w:val="11"/>
        </w:rPr>
        <w:t>年计算基数上调</w:t>
      </w:r>
      <w:r>
        <w:rPr>
          <w:rFonts w:hint="eastAsia" w:ascii="Times New Roman" w:eastAsia="仿宋_GB2312"/>
          <w:sz w:val="32"/>
          <w:szCs w:val="11"/>
        </w:rPr>
        <w:t>；</w:t>
      </w:r>
      <w:r>
        <w:rPr>
          <w:rStyle w:val="12"/>
          <w:rFonts w:hint="eastAsia" w:ascii="Times New Roman" w:hAnsi="Times New Roman" w:eastAsia="仿宋_GB2312"/>
          <w:color w:val="FF0000"/>
          <w:sz w:val="32"/>
          <w:szCs w:val="11"/>
        </w:rPr>
        <w:t xml:space="preserve"> (</w:t>
      </w:r>
      <w:r>
        <w:rPr>
          <w:rStyle w:val="12"/>
          <w:rFonts w:hint="eastAsia" w:ascii="Times New Roman" w:eastAsia="仿宋_GB2312"/>
          <w:color w:val="FF0000"/>
          <w:sz w:val="32"/>
          <w:szCs w:val="11"/>
        </w:rPr>
        <w:t>可用柱形图或折线图</w:t>
      </w:r>
      <w:r>
        <w:rPr>
          <w:rStyle w:val="12"/>
          <w:rFonts w:hint="eastAsia" w:ascii="Times New Roman" w:hAnsi="Times New Roman" w:eastAsia="仿宋_GB2312"/>
          <w:color w:val="FF0000"/>
          <w:sz w:val="32"/>
          <w:szCs w:val="11"/>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0"/>
      </w:tblGrid>
      <w:tr w14:paraId="249C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154BA7B3">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rPr>
              <w:t>分类</w:t>
            </w:r>
          </w:p>
        </w:tc>
        <w:tc>
          <w:tcPr>
            <w:tcW w:w="3020" w:type="dxa"/>
          </w:tcPr>
          <w:p w14:paraId="7A72DBC9">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eastAsia="zh-CN"/>
              </w:rPr>
              <w:t>2024</w:t>
            </w:r>
            <w:r>
              <w:rPr>
                <w:rFonts w:hint="eastAsia" w:ascii="Times New Roman" w:hAnsi="Times New Roman" w:eastAsia="仿宋_GB2312"/>
                <w:b/>
                <w:bCs/>
                <w:color w:val="FF0000"/>
                <w:sz w:val="32"/>
                <w:szCs w:val="11"/>
              </w:rPr>
              <w:t>年</w:t>
            </w:r>
          </w:p>
        </w:tc>
        <w:tc>
          <w:tcPr>
            <w:tcW w:w="3020" w:type="dxa"/>
          </w:tcPr>
          <w:p w14:paraId="7CF05CF2">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eastAsia="zh-CN"/>
              </w:rPr>
              <w:t>2025</w:t>
            </w:r>
            <w:r>
              <w:rPr>
                <w:rFonts w:hint="eastAsia" w:ascii="Times New Roman" w:hAnsi="Times New Roman" w:eastAsia="仿宋_GB2312"/>
                <w:b/>
                <w:bCs/>
                <w:color w:val="FF0000"/>
                <w:sz w:val="32"/>
                <w:szCs w:val="11"/>
              </w:rPr>
              <w:t>年</w:t>
            </w:r>
          </w:p>
        </w:tc>
      </w:tr>
      <w:tr w14:paraId="259F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070E864C">
            <w:pPr>
              <w:pStyle w:val="8"/>
              <w:spacing w:before="0" w:after="0" w:line="560" w:lineRule="exact"/>
              <w:rPr>
                <w:rFonts w:ascii="Times New Roman" w:hAnsi="Times New Roman" w:eastAsia="仿宋_GB2312"/>
                <w:b/>
                <w:bCs/>
                <w:color w:val="FF0000"/>
                <w:sz w:val="32"/>
                <w:szCs w:val="11"/>
              </w:rPr>
            </w:pPr>
            <w:r>
              <w:rPr>
                <w:rFonts w:hint="eastAsia" w:ascii="Times New Roman" w:eastAsia="仿宋_GB2312"/>
                <w:sz w:val="32"/>
                <w:szCs w:val="11"/>
              </w:rPr>
              <w:t>一般公共预算财政拨款收入</w:t>
            </w:r>
          </w:p>
        </w:tc>
        <w:tc>
          <w:tcPr>
            <w:tcW w:w="3020" w:type="dxa"/>
            <w:vAlign w:val="top"/>
          </w:tcPr>
          <w:p w14:paraId="010AFD94">
            <w:pPr>
              <w:pStyle w:val="8"/>
              <w:spacing w:before="0" w:after="0" w:line="560" w:lineRule="exact"/>
              <w:ind w:firstLine="0" w:firstLineChars="0"/>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4999.10</w:t>
            </w:r>
          </w:p>
        </w:tc>
        <w:tc>
          <w:tcPr>
            <w:tcW w:w="3020" w:type="dxa"/>
          </w:tcPr>
          <w:p w14:paraId="09A42351">
            <w:pPr>
              <w:pStyle w:val="8"/>
              <w:spacing w:before="0" w:after="0" w:line="560" w:lineRule="exact"/>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4770.56</w:t>
            </w:r>
          </w:p>
        </w:tc>
      </w:tr>
      <w:tr w14:paraId="55EE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2BDB4724">
            <w:pPr>
              <w:pStyle w:val="8"/>
              <w:spacing w:before="0" w:after="0" w:line="560" w:lineRule="exact"/>
              <w:rPr>
                <w:rFonts w:ascii="Times New Roman" w:hAnsi="Times New Roman" w:eastAsia="仿宋_GB2312"/>
                <w:b/>
                <w:bCs/>
                <w:color w:val="FF0000"/>
                <w:sz w:val="32"/>
                <w:szCs w:val="11"/>
              </w:rPr>
            </w:pPr>
            <w:r>
              <w:rPr>
                <w:rFonts w:hint="eastAsia" w:ascii="Times New Roman" w:eastAsia="仿宋_GB2312"/>
                <w:sz w:val="32"/>
                <w:szCs w:val="11"/>
              </w:rPr>
              <w:t>一般公共服务支出</w:t>
            </w:r>
          </w:p>
        </w:tc>
        <w:tc>
          <w:tcPr>
            <w:tcW w:w="3020" w:type="dxa"/>
            <w:vAlign w:val="top"/>
          </w:tcPr>
          <w:p w14:paraId="395844A7">
            <w:pPr>
              <w:pStyle w:val="8"/>
              <w:spacing w:before="0" w:after="0" w:line="560" w:lineRule="exact"/>
              <w:ind w:firstLine="0" w:firstLineChars="0"/>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4999.10</w:t>
            </w:r>
          </w:p>
        </w:tc>
        <w:tc>
          <w:tcPr>
            <w:tcW w:w="3020" w:type="dxa"/>
          </w:tcPr>
          <w:p w14:paraId="46164CBF">
            <w:pPr>
              <w:pStyle w:val="8"/>
              <w:spacing w:before="0" w:after="0" w:line="560" w:lineRule="exact"/>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4770.56</w:t>
            </w:r>
          </w:p>
        </w:tc>
      </w:tr>
      <w:tr w14:paraId="69F5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1CCA0D6B">
            <w:pPr>
              <w:pStyle w:val="8"/>
              <w:spacing w:before="0" w:after="0" w:line="560" w:lineRule="exact"/>
              <w:rPr>
                <w:rFonts w:ascii="Times New Roman" w:hAnsi="Times New Roman" w:eastAsia="仿宋_GB2312"/>
                <w:b/>
                <w:bCs/>
                <w:color w:val="FF0000"/>
                <w:sz w:val="32"/>
                <w:szCs w:val="11"/>
              </w:rPr>
            </w:pPr>
            <w:r>
              <w:rPr>
                <w:rFonts w:hint="eastAsia" w:ascii="Times New Roman" w:eastAsia="仿宋_GB2312"/>
                <w:sz w:val="32"/>
                <w:szCs w:val="11"/>
              </w:rPr>
              <w:t>社会保障和就业支出</w:t>
            </w:r>
          </w:p>
        </w:tc>
        <w:tc>
          <w:tcPr>
            <w:tcW w:w="3020" w:type="dxa"/>
            <w:vAlign w:val="top"/>
          </w:tcPr>
          <w:p w14:paraId="0A3B995E">
            <w:pPr>
              <w:pStyle w:val="8"/>
              <w:spacing w:before="0" w:after="0" w:line="560" w:lineRule="exact"/>
              <w:ind w:firstLine="0" w:firstLineChars="0"/>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372.27</w:t>
            </w:r>
          </w:p>
        </w:tc>
        <w:tc>
          <w:tcPr>
            <w:tcW w:w="3020" w:type="dxa"/>
          </w:tcPr>
          <w:p w14:paraId="2A580D8A">
            <w:pPr>
              <w:pStyle w:val="8"/>
              <w:spacing w:before="0" w:after="0" w:line="560" w:lineRule="exact"/>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377.19</w:t>
            </w:r>
          </w:p>
        </w:tc>
      </w:tr>
      <w:tr w14:paraId="23AD3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40F31E5A">
            <w:pPr>
              <w:pStyle w:val="8"/>
              <w:spacing w:before="0" w:after="0" w:line="560" w:lineRule="exact"/>
              <w:rPr>
                <w:rFonts w:ascii="Times New Roman" w:hAnsi="Times New Roman" w:eastAsia="仿宋_GB2312"/>
                <w:b/>
                <w:bCs/>
                <w:color w:val="FF0000"/>
                <w:sz w:val="32"/>
                <w:szCs w:val="11"/>
              </w:rPr>
            </w:pPr>
            <w:r>
              <w:rPr>
                <w:rFonts w:hint="eastAsia" w:ascii="Times New Roman" w:eastAsia="仿宋_GB2312"/>
                <w:sz w:val="32"/>
                <w:szCs w:val="11"/>
              </w:rPr>
              <w:t>卫生健康支出</w:t>
            </w:r>
          </w:p>
        </w:tc>
        <w:tc>
          <w:tcPr>
            <w:tcW w:w="3020" w:type="dxa"/>
            <w:vAlign w:val="top"/>
          </w:tcPr>
          <w:p w14:paraId="2DFB5D26">
            <w:pPr>
              <w:pStyle w:val="8"/>
              <w:spacing w:before="0" w:after="0" w:line="560" w:lineRule="exact"/>
              <w:ind w:firstLine="0" w:firstLineChars="0"/>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167.07</w:t>
            </w:r>
          </w:p>
        </w:tc>
        <w:tc>
          <w:tcPr>
            <w:tcW w:w="3020" w:type="dxa"/>
          </w:tcPr>
          <w:p w14:paraId="20928955">
            <w:pPr>
              <w:pStyle w:val="8"/>
              <w:spacing w:before="0" w:after="0" w:line="560" w:lineRule="exact"/>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153.10</w:t>
            </w:r>
          </w:p>
        </w:tc>
      </w:tr>
      <w:tr w14:paraId="044E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6FF09D6F">
            <w:pPr>
              <w:pStyle w:val="8"/>
              <w:spacing w:before="0" w:after="0" w:line="560" w:lineRule="exact"/>
              <w:rPr>
                <w:rFonts w:hint="eastAsia" w:ascii="Times New Roman" w:hAnsi="Times New Roman" w:eastAsia="仿宋_GB2312"/>
                <w:b/>
                <w:bCs/>
                <w:color w:val="FF0000"/>
                <w:sz w:val="32"/>
                <w:szCs w:val="11"/>
                <w:lang w:eastAsia="zh-CN"/>
              </w:rPr>
            </w:pPr>
            <w:r>
              <w:rPr>
                <w:rFonts w:hint="eastAsia" w:ascii="Times New Roman" w:eastAsia="仿宋_GB2312"/>
                <w:sz w:val="32"/>
                <w:szCs w:val="11"/>
                <w:lang w:eastAsia="zh-CN"/>
              </w:rPr>
              <w:t>国有资本经营预算</w:t>
            </w:r>
          </w:p>
        </w:tc>
        <w:tc>
          <w:tcPr>
            <w:tcW w:w="3020" w:type="dxa"/>
            <w:vAlign w:val="top"/>
          </w:tcPr>
          <w:p w14:paraId="34D26623">
            <w:pPr>
              <w:pStyle w:val="8"/>
              <w:spacing w:before="0" w:after="0" w:line="560" w:lineRule="exact"/>
              <w:ind w:firstLine="0" w:firstLineChars="0"/>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val="en-US" w:eastAsia="zh-CN"/>
              </w:rPr>
              <w:t>36.8</w:t>
            </w:r>
          </w:p>
        </w:tc>
        <w:tc>
          <w:tcPr>
            <w:tcW w:w="3020" w:type="dxa"/>
          </w:tcPr>
          <w:p w14:paraId="7468A3E9">
            <w:pPr>
              <w:pStyle w:val="8"/>
              <w:spacing w:before="0" w:after="0" w:line="560" w:lineRule="exact"/>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0</w:t>
            </w:r>
          </w:p>
        </w:tc>
      </w:tr>
      <w:tr w14:paraId="784E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40286451">
            <w:pPr>
              <w:pStyle w:val="8"/>
              <w:spacing w:before="0" w:after="0" w:line="560" w:lineRule="exact"/>
              <w:rPr>
                <w:rFonts w:ascii="Times New Roman" w:hAnsi="Times New Roman" w:eastAsia="仿宋_GB2312"/>
                <w:b/>
                <w:bCs/>
                <w:color w:val="FF0000"/>
                <w:sz w:val="32"/>
                <w:szCs w:val="11"/>
              </w:rPr>
            </w:pPr>
            <w:r>
              <w:rPr>
                <w:rFonts w:hint="eastAsia" w:ascii="Times New Roman" w:eastAsia="仿宋_GB2312"/>
                <w:sz w:val="32"/>
                <w:szCs w:val="11"/>
              </w:rPr>
              <w:t>住房保障支出</w:t>
            </w:r>
          </w:p>
        </w:tc>
        <w:tc>
          <w:tcPr>
            <w:tcW w:w="3020" w:type="dxa"/>
            <w:vAlign w:val="top"/>
          </w:tcPr>
          <w:p w14:paraId="718A914C">
            <w:pPr>
              <w:pStyle w:val="8"/>
              <w:spacing w:before="0" w:after="0" w:line="560" w:lineRule="exact"/>
              <w:ind w:firstLine="0" w:firstLineChars="0"/>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203.29</w:t>
            </w:r>
          </w:p>
        </w:tc>
        <w:tc>
          <w:tcPr>
            <w:tcW w:w="3020" w:type="dxa"/>
          </w:tcPr>
          <w:p w14:paraId="1AAE291D">
            <w:pPr>
              <w:pStyle w:val="8"/>
              <w:spacing w:before="0" w:after="0" w:line="560" w:lineRule="exact"/>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218.12</w:t>
            </w:r>
          </w:p>
        </w:tc>
      </w:tr>
    </w:tbl>
    <w:p w14:paraId="53142E9D">
      <w:pPr>
        <w:pStyle w:val="8"/>
        <w:spacing w:line="560" w:lineRule="exact"/>
        <w:ind w:firstLine="643" w:firstLineChars="200"/>
        <w:rPr>
          <w:rFonts w:ascii="Times New Roman" w:hAnsi="Times New Roman" w:eastAsia="仿宋_GB2312"/>
          <w:sz w:val="32"/>
        </w:rPr>
      </w:pPr>
      <w:r>
        <w:rPr>
          <w:rStyle w:val="12"/>
          <w:rFonts w:hint="eastAsia" w:ascii="Times New Roman" w:hAnsi="Times New Roman" w:eastAsia="仿宋_GB2312"/>
          <w:sz w:val="32"/>
          <w:szCs w:val="11"/>
        </w:rPr>
        <w:t>3</w:t>
      </w:r>
      <w:r>
        <w:rPr>
          <w:rStyle w:val="12"/>
          <w:rFonts w:hint="eastAsia" w:ascii="Times New Roman" w:eastAsia="仿宋_GB2312"/>
          <w:sz w:val="32"/>
          <w:szCs w:val="11"/>
        </w:rPr>
        <w:t>．支出按经济分类科目分析。</w:t>
      </w:r>
    </w:p>
    <w:p w14:paraId="75960E03">
      <w:pPr>
        <w:pStyle w:val="8"/>
        <w:spacing w:line="560" w:lineRule="exact"/>
        <w:ind w:firstLine="640" w:firstLineChars="200"/>
        <w:rPr>
          <w:rStyle w:val="12"/>
          <w:rFonts w:ascii="Times New Roman" w:eastAsia="仿宋_GB2312"/>
          <w:color w:val="FF0000"/>
          <w:sz w:val="32"/>
          <w:szCs w:val="11"/>
        </w:rPr>
      </w:pPr>
      <w:r>
        <w:rPr>
          <w:rFonts w:hint="eastAsia" w:ascii="Times New Roman" w:eastAsia="仿宋_GB2312"/>
          <w:sz w:val="32"/>
          <w:szCs w:val="11"/>
        </w:rPr>
        <w:t>（</w:t>
      </w:r>
      <w:r>
        <w:rPr>
          <w:rFonts w:hint="eastAsia" w:ascii="Times New Roman" w:hAnsi="Times New Roman" w:eastAsia="仿宋_GB2312"/>
          <w:sz w:val="32"/>
          <w:szCs w:val="11"/>
        </w:rPr>
        <w:t>1</w:t>
      </w:r>
      <w:r>
        <w:rPr>
          <w:rFonts w:hint="eastAsia" w:ascii="Times New Roman" w:eastAsia="仿宋_GB2312"/>
          <w:sz w:val="32"/>
          <w:szCs w:val="11"/>
        </w:rPr>
        <w:t>）</w:t>
      </w:r>
      <w:r>
        <w:rPr>
          <w:rFonts w:hint="eastAsia" w:ascii="Times New Roman" w:hAnsi="Times New Roman" w:eastAsia="仿宋_GB2312"/>
          <w:sz w:val="32"/>
          <w:szCs w:val="11"/>
        </w:rPr>
        <w:t xml:space="preserve"> “</w:t>
      </w:r>
      <w:r>
        <w:rPr>
          <w:rFonts w:hint="eastAsia" w:ascii="Times New Roman" w:eastAsia="仿宋_GB2312"/>
          <w:sz w:val="32"/>
          <w:szCs w:val="11"/>
        </w:rPr>
        <w:t>三公</w:t>
      </w:r>
      <w:r>
        <w:rPr>
          <w:rFonts w:hint="eastAsia" w:ascii="Times New Roman" w:hAnsi="Times New Roman" w:eastAsia="仿宋_GB2312"/>
          <w:sz w:val="32"/>
          <w:szCs w:val="11"/>
        </w:rPr>
        <w:t>”</w:t>
      </w:r>
      <w:r>
        <w:rPr>
          <w:rFonts w:hint="eastAsia" w:ascii="Times New Roman" w:eastAsia="仿宋_GB2312"/>
          <w:sz w:val="32"/>
          <w:szCs w:val="11"/>
        </w:rPr>
        <w:t>经费支出情况：本单位本年度</w:t>
      </w:r>
      <w:r>
        <w:rPr>
          <w:rFonts w:hint="eastAsia" w:ascii="Times New Roman" w:hAnsi="Times New Roman" w:eastAsia="仿宋_GB2312"/>
          <w:sz w:val="32"/>
          <w:szCs w:val="11"/>
        </w:rPr>
        <w:t>“</w:t>
      </w:r>
      <w:r>
        <w:rPr>
          <w:rFonts w:hint="eastAsia" w:ascii="Times New Roman" w:eastAsia="仿宋_GB2312"/>
          <w:sz w:val="32"/>
          <w:szCs w:val="11"/>
        </w:rPr>
        <w:t>三公</w:t>
      </w:r>
      <w:r>
        <w:rPr>
          <w:rFonts w:hint="eastAsia" w:ascii="Times New Roman" w:hAnsi="Times New Roman" w:eastAsia="仿宋_GB2312"/>
          <w:sz w:val="32"/>
          <w:szCs w:val="11"/>
        </w:rPr>
        <w:t>”</w:t>
      </w:r>
      <w:r>
        <w:rPr>
          <w:rFonts w:hint="eastAsia" w:ascii="Times New Roman" w:eastAsia="仿宋_GB2312"/>
          <w:sz w:val="32"/>
          <w:szCs w:val="11"/>
        </w:rPr>
        <w:t>经费支出决算数为</w:t>
      </w:r>
      <w:r>
        <w:rPr>
          <w:rFonts w:hint="eastAsia" w:ascii="Times New Roman" w:hAnsi="Times New Roman" w:eastAsia="仿宋_GB2312"/>
          <w:sz w:val="32"/>
          <w:szCs w:val="11"/>
          <w:lang w:val="en-US" w:eastAsia="zh-CN"/>
        </w:rPr>
        <w:t>87.19</w:t>
      </w:r>
      <w:r>
        <w:rPr>
          <w:rFonts w:hint="eastAsia" w:ascii="Times New Roman" w:eastAsia="仿宋_GB2312"/>
          <w:sz w:val="32"/>
          <w:szCs w:val="11"/>
        </w:rPr>
        <w:t>万元。其中</w:t>
      </w:r>
      <w:r>
        <w:rPr>
          <w:rFonts w:hint="eastAsia" w:ascii="Times New Roman" w:hAnsi="Times New Roman" w:eastAsia="仿宋_GB2312"/>
          <w:sz w:val="32"/>
          <w:szCs w:val="11"/>
        </w:rPr>
        <w:t>:</w:t>
      </w:r>
      <w:r>
        <w:rPr>
          <w:rFonts w:hint="eastAsia" w:ascii="Times New Roman" w:eastAsia="仿宋_GB2312"/>
          <w:sz w:val="32"/>
          <w:szCs w:val="11"/>
        </w:rPr>
        <w:t>因公出国（境）费支出决算数为</w:t>
      </w:r>
      <w:r>
        <w:rPr>
          <w:rFonts w:hint="eastAsia" w:ascii="Times New Roman" w:hAnsi="Times New Roman" w:eastAsia="仿宋_GB2312"/>
          <w:sz w:val="32"/>
          <w:szCs w:val="11"/>
        </w:rPr>
        <w:t>0.00</w:t>
      </w:r>
      <w:r>
        <w:rPr>
          <w:rFonts w:hint="eastAsia" w:ascii="Times New Roman" w:eastAsia="仿宋_GB2312"/>
          <w:sz w:val="32"/>
          <w:szCs w:val="11"/>
        </w:rPr>
        <w:t>万元，相比上年度增加</w:t>
      </w:r>
      <w:r>
        <w:rPr>
          <w:rFonts w:hint="eastAsia" w:ascii="Times New Roman" w:hAnsi="Times New Roman" w:eastAsia="仿宋_GB2312"/>
          <w:sz w:val="32"/>
          <w:szCs w:val="11"/>
        </w:rPr>
        <w:t>0.00</w:t>
      </w:r>
      <w:r>
        <w:rPr>
          <w:rFonts w:hint="eastAsia" w:ascii="Times New Roman" w:eastAsia="仿宋_GB2312"/>
          <w:sz w:val="32"/>
          <w:szCs w:val="11"/>
        </w:rPr>
        <w:t>万元，公务用车购置</w:t>
      </w:r>
      <w:r>
        <w:rPr>
          <w:rFonts w:hint="eastAsia" w:ascii="Times New Roman" w:eastAsia="仿宋_GB2312"/>
          <w:sz w:val="32"/>
          <w:szCs w:val="11"/>
          <w:lang w:eastAsia="zh-CN"/>
        </w:rPr>
        <w:t>费</w:t>
      </w:r>
      <w:r>
        <w:rPr>
          <w:rFonts w:hint="eastAsia" w:ascii="Times New Roman" w:eastAsia="仿宋_GB2312"/>
          <w:sz w:val="32"/>
          <w:szCs w:val="11"/>
          <w:lang w:val="en-US" w:eastAsia="zh-CN"/>
        </w:rPr>
        <w:t>0万元你，较上年增加0%。公务用车</w:t>
      </w:r>
      <w:r>
        <w:rPr>
          <w:rFonts w:hint="eastAsia" w:ascii="Times New Roman" w:eastAsia="仿宋_GB2312"/>
          <w:sz w:val="32"/>
          <w:szCs w:val="11"/>
        </w:rPr>
        <w:t>运行维护费支出决算数为</w:t>
      </w:r>
      <w:r>
        <w:rPr>
          <w:rFonts w:hint="eastAsia" w:ascii="Times New Roman" w:hAnsi="Times New Roman" w:eastAsia="仿宋_GB2312"/>
          <w:sz w:val="32"/>
          <w:szCs w:val="11"/>
          <w:lang w:val="en-US" w:eastAsia="zh-CN"/>
        </w:rPr>
        <w:t>87.19</w:t>
      </w:r>
      <w:r>
        <w:rPr>
          <w:rFonts w:hint="eastAsia" w:ascii="Times New Roman" w:eastAsia="仿宋_GB2312"/>
          <w:sz w:val="32"/>
          <w:szCs w:val="11"/>
        </w:rPr>
        <w:t>万元；公务接待费支出决算数为</w:t>
      </w:r>
      <w:r>
        <w:rPr>
          <w:rFonts w:hint="eastAsia" w:ascii="Times New Roman" w:hAnsi="Times New Roman" w:eastAsia="仿宋_GB2312"/>
          <w:sz w:val="32"/>
          <w:szCs w:val="11"/>
          <w:lang w:val="en-US" w:eastAsia="zh-CN"/>
        </w:rPr>
        <w:t>0</w:t>
      </w:r>
      <w:r>
        <w:rPr>
          <w:rFonts w:hint="eastAsia" w:ascii="Times New Roman" w:eastAsia="仿宋_GB2312"/>
          <w:sz w:val="32"/>
          <w:szCs w:val="11"/>
        </w:rPr>
        <w:t>万元，相比上年度</w:t>
      </w:r>
      <w:r>
        <w:rPr>
          <w:rFonts w:hint="eastAsia" w:ascii="Times New Roman" w:eastAsia="仿宋_GB2312"/>
          <w:sz w:val="32"/>
          <w:szCs w:val="11"/>
          <w:lang w:eastAsia="zh-CN"/>
        </w:rPr>
        <w:t>见增加</w:t>
      </w:r>
      <w:r>
        <w:rPr>
          <w:rFonts w:hint="eastAsia" w:ascii="Times New Roman" w:eastAsia="仿宋_GB2312"/>
          <w:sz w:val="32"/>
          <w:szCs w:val="11"/>
          <w:lang w:val="en-US" w:eastAsia="zh-CN"/>
        </w:rPr>
        <w:t>0</w:t>
      </w:r>
      <w:r>
        <w:rPr>
          <w:rFonts w:hint="eastAsia" w:ascii="Times New Roman" w:eastAsia="仿宋_GB2312"/>
          <w:sz w:val="32"/>
          <w:szCs w:val="11"/>
        </w:rPr>
        <w:t>万元，</w:t>
      </w:r>
      <w:r>
        <w:rPr>
          <w:rStyle w:val="12"/>
          <w:rFonts w:hint="eastAsia" w:ascii="Times New Roman" w:eastAsia="仿宋_GB2312"/>
          <w:sz w:val="32"/>
          <w:szCs w:val="11"/>
        </w:rPr>
        <w:t>主要原因为</w:t>
      </w:r>
      <w:r>
        <w:rPr>
          <w:rStyle w:val="12"/>
          <w:rFonts w:hint="eastAsia" w:ascii="Times New Roman" w:eastAsia="仿宋_GB2312"/>
          <w:sz w:val="32"/>
          <w:szCs w:val="11"/>
          <w:lang w:eastAsia="zh-CN"/>
        </w:rPr>
        <w:t>接待人次增加</w:t>
      </w:r>
      <w:r>
        <w:rPr>
          <w:rFonts w:hint="eastAsia" w:ascii="Times New Roman" w:eastAsia="仿宋_GB2312"/>
          <w:sz w:val="32"/>
          <w:szCs w:val="11"/>
        </w:rPr>
        <w:t>。</w:t>
      </w:r>
      <w:r>
        <w:rPr>
          <w:rFonts w:hint="eastAsia" w:ascii="Times New Roman" w:hAnsi="Times New Roman" w:eastAsia="仿宋_GB2312"/>
          <w:sz w:val="32"/>
          <w:szCs w:val="11"/>
        </w:rPr>
        <w:t xml:space="preserve"> </w:t>
      </w:r>
      <w:r>
        <w:rPr>
          <w:rFonts w:hint="eastAsia" w:ascii="Times New Roman" w:eastAsia="仿宋_GB2312"/>
          <w:sz w:val="32"/>
          <w:szCs w:val="11"/>
        </w:rPr>
        <w:t>本年度</w:t>
      </w:r>
      <w:r>
        <w:rPr>
          <w:rFonts w:hint="eastAsia" w:ascii="Times New Roman" w:hAnsi="Times New Roman" w:eastAsia="仿宋_GB2312"/>
          <w:sz w:val="32"/>
          <w:szCs w:val="11"/>
        </w:rPr>
        <w:t>“</w:t>
      </w:r>
      <w:r>
        <w:rPr>
          <w:rFonts w:hint="eastAsia" w:ascii="Times New Roman" w:eastAsia="仿宋_GB2312"/>
          <w:sz w:val="32"/>
          <w:szCs w:val="11"/>
        </w:rPr>
        <w:t>三公</w:t>
      </w:r>
      <w:r>
        <w:rPr>
          <w:rFonts w:hint="eastAsia" w:ascii="Times New Roman" w:hAnsi="Times New Roman" w:eastAsia="仿宋_GB2312"/>
          <w:sz w:val="32"/>
          <w:szCs w:val="11"/>
        </w:rPr>
        <w:t>”</w:t>
      </w:r>
      <w:r>
        <w:rPr>
          <w:rFonts w:hint="eastAsia" w:ascii="Times New Roman" w:eastAsia="仿宋_GB2312"/>
          <w:sz w:val="32"/>
          <w:szCs w:val="11"/>
        </w:rPr>
        <w:t>经费支出预算数为</w:t>
      </w:r>
      <w:r>
        <w:rPr>
          <w:rFonts w:hint="eastAsia" w:ascii="Times New Roman" w:eastAsia="仿宋_GB2312"/>
          <w:sz w:val="32"/>
          <w:szCs w:val="11"/>
          <w:lang w:val="en-US" w:eastAsia="zh-CN"/>
        </w:rPr>
        <w:t>87.19</w:t>
      </w:r>
      <w:r>
        <w:rPr>
          <w:rFonts w:hint="eastAsia" w:ascii="Times New Roman" w:eastAsia="仿宋_GB2312"/>
          <w:sz w:val="32"/>
          <w:szCs w:val="11"/>
        </w:rPr>
        <w:t>万元，决算数为</w:t>
      </w:r>
      <w:r>
        <w:rPr>
          <w:rFonts w:hint="eastAsia" w:ascii="Times New Roman" w:hAnsi="Times New Roman" w:eastAsia="仿宋_GB2312"/>
          <w:sz w:val="32"/>
          <w:szCs w:val="11"/>
          <w:lang w:val="en-US" w:eastAsia="zh-CN"/>
        </w:rPr>
        <w:t>87.19</w:t>
      </w:r>
      <w:r>
        <w:rPr>
          <w:rFonts w:hint="eastAsia" w:ascii="Times New Roman" w:eastAsia="仿宋_GB2312"/>
          <w:sz w:val="32"/>
          <w:szCs w:val="11"/>
        </w:rPr>
        <w:t>万元，预算完成度为</w:t>
      </w:r>
      <w:r>
        <w:rPr>
          <w:rFonts w:hint="eastAsia" w:ascii="Times New Roman" w:hAnsi="Times New Roman" w:eastAsia="仿宋_GB2312"/>
          <w:sz w:val="32"/>
          <w:szCs w:val="11"/>
        </w:rPr>
        <w:t>100.00%</w:t>
      </w:r>
      <w:r>
        <w:rPr>
          <w:rFonts w:hint="eastAsia" w:ascii="Times New Roman" w:eastAsia="仿宋_GB2312"/>
          <w:sz w:val="32"/>
          <w:szCs w:val="11"/>
        </w:rPr>
        <w:t>，本年度因公出国（境）费人均支出为</w:t>
      </w:r>
      <w:r>
        <w:rPr>
          <w:rFonts w:hint="eastAsia" w:ascii="Times New Roman" w:hAnsi="Times New Roman" w:eastAsia="仿宋_GB2312"/>
          <w:sz w:val="32"/>
          <w:szCs w:val="11"/>
        </w:rPr>
        <w:t>0.00</w:t>
      </w:r>
      <w:r>
        <w:rPr>
          <w:rFonts w:hint="eastAsia" w:ascii="Times New Roman" w:eastAsia="仿宋_GB2312"/>
          <w:sz w:val="32"/>
          <w:szCs w:val="11"/>
        </w:rPr>
        <w:t>万元，公务用车购置及运行维护费人均支出为</w:t>
      </w:r>
      <w:r>
        <w:rPr>
          <w:rFonts w:hint="eastAsia" w:ascii="Times New Roman" w:hAnsi="Times New Roman" w:eastAsia="仿宋_GB2312"/>
          <w:sz w:val="32"/>
          <w:szCs w:val="11"/>
        </w:rPr>
        <w:t>0.90</w:t>
      </w:r>
      <w:r>
        <w:rPr>
          <w:rFonts w:hint="eastAsia" w:ascii="Times New Roman" w:eastAsia="仿宋_GB2312"/>
          <w:sz w:val="32"/>
          <w:szCs w:val="11"/>
        </w:rPr>
        <w:t>万元，公务接待费人均支出为</w:t>
      </w:r>
      <w:r>
        <w:rPr>
          <w:rFonts w:hint="eastAsia" w:ascii="Times New Roman" w:hAnsi="Times New Roman" w:eastAsia="仿宋_GB2312"/>
          <w:sz w:val="32"/>
          <w:szCs w:val="11"/>
        </w:rPr>
        <w:t>0.00</w:t>
      </w:r>
      <w:r>
        <w:rPr>
          <w:rFonts w:hint="eastAsia" w:ascii="Times New Roman" w:eastAsia="仿宋_GB2312"/>
          <w:sz w:val="32"/>
          <w:szCs w:val="11"/>
        </w:rPr>
        <w:t>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0"/>
      </w:tblGrid>
      <w:tr w14:paraId="3809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6A7495A9">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rPr>
              <w:t>分类</w:t>
            </w:r>
          </w:p>
        </w:tc>
        <w:tc>
          <w:tcPr>
            <w:tcW w:w="3020" w:type="dxa"/>
          </w:tcPr>
          <w:p w14:paraId="14B187E6">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eastAsia="zh-CN"/>
              </w:rPr>
              <w:t>2024</w:t>
            </w:r>
            <w:r>
              <w:rPr>
                <w:rFonts w:hint="eastAsia" w:ascii="Times New Roman" w:hAnsi="Times New Roman" w:eastAsia="仿宋_GB2312"/>
                <w:b/>
                <w:bCs/>
                <w:color w:val="FF0000"/>
                <w:sz w:val="32"/>
                <w:szCs w:val="11"/>
              </w:rPr>
              <w:t>年</w:t>
            </w:r>
          </w:p>
        </w:tc>
        <w:tc>
          <w:tcPr>
            <w:tcW w:w="3020" w:type="dxa"/>
          </w:tcPr>
          <w:p w14:paraId="768DD71E">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eastAsia="zh-CN"/>
              </w:rPr>
              <w:t>2025</w:t>
            </w:r>
            <w:r>
              <w:rPr>
                <w:rFonts w:hint="eastAsia" w:ascii="Times New Roman" w:hAnsi="Times New Roman" w:eastAsia="仿宋_GB2312"/>
                <w:b/>
                <w:bCs/>
                <w:color w:val="FF0000"/>
                <w:sz w:val="32"/>
                <w:szCs w:val="11"/>
              </w:rPr>
              <w:t>年</w:t>
            </w:r>
          </w:p>
        </w:tc>
      </w:tr>
      <w:tr w14:paraId="3D49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1CE1EC46">
            <w:pPr>
              <w:pStyle w:val="8"/>
              <w:spacing w:before="0" w:after="0" w:line="560" w:lineRule="exact"/>
              <w:rPr>
                <w:rFonts w:ascii="Times New Roman" w:hAnsi="Times New Roman" w:eastAsia="仿宋_GB2312"/>
                <w:b/>
                <w:bCs/>
                <w:color w:val="FF0000"/>
                <w:sz w:val="32"/>
                <w:szCs w:val="11"/>
              </w:rPr>
            </w:pPr>
            <w:r>
              <w:rPr>
                <w:rFonts w:hint="eastAsia" w:ascii="Times New Roman" w:eastAsia="仿宋_GB2312"/>
                <w:sz w:val="32"/>
                <w:szCs w:val="11"/>
              </w:rPr>
              <w:t>因公出国（境）费支出决算数</w:t>
            </w:r>
          </w:p>
        </w:tc>
        <w:tc>
          <w:tcPr>
            <w:tcW w:w="3020" w:type="dxa"/>
            <w:vAlign w:val="top"/>
          </w:tcPr>
          <w:p w14:paraId="56024F30">
            <w:pPr>
              <w:pStyle w:val="8"/>
              <w:spacing w:before="0" w:after="0" w:line="560" w:lineRule="exact"/>
              <w:ind w:firstLine="0" w:firstLineChars="0"/>
              <w:rPr>
                <w:rFonts w:ascii="Times New Roman" w:hAnsi="Times New Roman" w:eastAsia="仿宋_GB2312"/>
                <w:b/>
                <w:bCs/>
                <w:color w:val="FF0000"/>
                <w:sz w:val="32"/>
                <w:szCs w:val="11"/>
              </w:rPr>
            </w:pPr>
          </w:p>
        </w:tc>
        <w:tc>
          <w:tcPr>
            <w:tcW w:w="3020" w:type="dxa"/>
          </w:tcPr>
          <w:p w14:paraId="4D5C56AC">
            <w:pPr>
              <w:pStyle w:val="8"/>
              <w:spacing w:before="0" w:after="0" w:line="560" w:lineRule="exact"/>
              <w:rPr>
                <w:rFonts w:ascii="Times New Roman" w:hAnsi="Times New Roman" w:eastAsia="仿宋_GB2312"/>
                <w:b/>
                <w:bCs/>
                <w:color w:val="FF0000"/>
                <w:sz w:val="32"/>
                <w:szCs w:val="11"/>
              </w:rPr>
            </w:pPr>
          </w:p>
        </w:tc>
      </w:tr>
      <w:tr w14:paraId="1A65C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69105C43">
            <w:pPr>
              <w:pStyle w:val="8"/>
              <w:spacing w:before="0" w:after="0" w:line="560" w:lineRule="exact"/>
              <w:rPr>
                <w:rFonts w:ascii="Times New Roman" w:hAnsi="Times New Roman" w:eastAsia="仿宋_GB2312"/>
                <w:b/>
                <w:bCs/>
                <w:color w:val="FF0000"/>
                <w:sz w:val="32"/>
                <w:szCs w:val="11"/>
              </w:rPr>
            </w:pPr>
            <w:r>
              <w:rPr>
                <w:rFonts w:hint="eastAsia" w:ascii="Times New Roman" w:eastAsia="仿宋_GB2312"/>
                <w:sz w:val="32"/>
                <w:szCs w:val="11"/>
              </w:rPr>
              <w:t>公务用车购置及运行维护费</w:t>
            </w:r>
          </w:p>
        </w:tc>
        <w:tc>
          <w:tcPr>
            <w:tcW w:w="3020" w:type="dxa"/>
            <w:vAlign w:val="top"/>
          </w:tcPr>
          <w:p w14:paraId="601A9560">
            <w:pPr>
              <w:pStyle w:val="8"/>
              <w:spacing w:before="0" w:after="0" w:line="560" w:lineRule="exact"/>
              <w:ind w:firstLine="0" w:firstLineChars="0"/>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val="en-US" w:eastAsia="zh-CN"/>
              </w:rPr>
              <w:t>79.51</w:t>
            </w:r>
          </w:p>
        </w:tc>
        <w:tc>
          <w:tcPr>
            <w:tcW w:w="3020" w:type="dxa"/>
          </w:tcPr>
          <w:p w14:paraId="3E087922">
            <w:pPr>
              <w:pStyle w:val="8"/>
              <w:spacing w:before="0" w:after="0" w:line="560" w:lineRule="exact"/>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87.19</w:t>
            </w:r>
          </w:p>
        </w:tc>
      </w:tr>
      <w:tr w14:paraId="7831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20" w:type="dxa"/>
          </w:tcPr>
          <w:p w14:paraId="12BCF42E">
            <w:pPr>
              <w:pStyle w:val="8"/>
              <w:spacing w:before="0" w:after="0" w:line="560" w:lineRule="exact"/>
              <w:rPr>
                <w:rFonts w:ascii="Times New Roman" w:hAnsi="Times New Roman" w:eastAsia="仿宋_GB2312"/>
                <w:b/>
                <w:bCs/>
                <w:color w:val="FF0000"/>
                <w:sz w:val="32"/>
                <w:szCs w:val="11"/>
              </w:rPr>
            </w:pPr>
            <w:r>
              <w:rPr>
                <w:rFonts w:hint="eastAsia" w:ascii="Times New Roman" w:eastAsia="仿宋_GB2312"/>
                <w:sz w:val="32"/>
                <w:szCs w:val="11"/>
              </w:rPr>
              <w:t>公务接待费支出</w:t>
            </w:r>
          </w:p>
        </w:tc>
        <w:tc>
          <w:tcPr>
            <w:tcW w:w="3020" w:type="dxa"/>
            <w:vAlign w:val="top"/>
          </w:tcPr>
          <w:p w14:paraId="6A51EC5B">
            <w:pPr>
              <w:pStyle w:val="8"/>
              <w:spacing w:before="0" w:after="0" w:line="560" w:lineRule="exact"/>
              <w:ind w:firstLine="0" w:firstLineChars="0"/>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val="en-US" w:eastAsia="zh-CN"/>
              </w:rPr>
              <w:t>0.4</w:t>
            </w:r>
          </w:p>
        </w:tc>
        <w:tc>
          <w:tcPr>
            <w:tcW w:w="3020" w:type="dxa"/>
          </w:tcPr>
          <w:p w14:paraId="29A18954">
            <w:pPr>
              <w:pStyle w:val="8"/>
              <w:spacing w:before="0" w:after="0" w:line="560" w:lineRule="exact"/>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0</w:t>
            </w:r>
          </w:p>
        </w:tc>
      </w:tr>
    </w:tbl>
    <w:p w14:paraId="0B3F5CCB">
      <w:pPr>
        <w:pStyle w:val="8"/>
        <w:spacing w:line="560" w:lineRule="exact"/>
        <w:ind w:firstLine="640"/>
        <w:rPr>
          <w:rStyle w:val="12"/>
          <w:rFonts w:ascii="Times New Roman" w:eastAsia="仿宋_GB2312"/>
          <w:color w:val="FF0000"/>
          <w:sz w:val="32"/>
          <w:szCs w:val="11"/>
        </w:rPr>
      </w:pPr>
      <w:r>
        <w:rPr>
          <w:rFonts w:hint="eastAsia" w:ascii="Times New Roman" w:eastAsia="仿宋_GB2312"/>
          <w:sz w:val="32"/>
          <w:szCs w:val="11"/>
        </w:rPr>
        <w:t>（</w:t>
      </w:r>
      <w:r>
        <w:rPr>
          <w:rFonts w:hint="eastAsia" w:ascii="Times New Roman" w:hAnsi="Times New Roman" w:eastAsia="仿宋_GB2312"/>
          <w:sz w:val="32"/>
          <w:szCs w:val="11"/>
        </w:rPr>
        <w:t>2</w:t>
      </w:r>
      <w:r>
        <w:rPr>
          <w:rFonts w:hint="eastAsia" w:ascii="Times New Roman" w:eastAsia="仿宋_GB2312"/>
          <w:sz w:val="32"/>
          <w:szCs w:val="11"/>
        </w:rPr>
        <w:t>）</w:t>
      </w:r>
      <w:r>
        <w:rPr>
          <w:rFonts w:hint="eastAsia" w:ascii="Times New Roman" w:hAnsi="Times New Roman" w:eastAsia="仿宋_GB2312"/>
          <w:sz w:val="32"/>
          <w:szCs w:val="11"/>
        </w:rPr>
        <w:t xml:space="preserve"> </w:t>
      </w:r>
      <w:r>
        <w:rPr>
          <w:rFonts w:hint="eastAsia" w:ascii="Times New Roman" w:eastAsia="仿宋_GB2312"/>
          <w:sz w:val="32"/>
          <w:szCs w:val="11"/>
        </w:rPr>
        <w:t>会议费支出情况：本单位本年度会议费支出决算数为</w:t>
      </w:r>
      <w:r>
        <w:rPr>
          <w:rFonts w:hint="eastAsia" w:ascii="Times New Roman" w:hAnsi="Times New Roman" w:eastAsia="仿宋_GB2312"/>
          <w:sz w:val="32"/>
          <w:szCs w:val="11"/>
        </w:rPr>
        <w:t>0.00</w:t>
      </w:r>
      <w:r>
        <w:rPr>
          <w:rFonts w:hint="eastAsia" w:ascii="Times New Roman" w:eastAsia="仿宋_GB2312"/>
          <w:sz w:val="32"/>
          <w:szCs w:val="11"/>
        </w:rPr>
        <w:t>万元，相比上年度</w:t>
      </w:r>
      <w:r>
        <w:rPr>
          <w:rFonts w:hint="eastAsia" w:ascii="Times New Roman" w:eastAsia="仿宋_GB2312"/>
          <w:sz w:val="32"/>
          <w:szCs w:val="11"/>
          <w:lang w:eastAsia="zh-CN"/>
        </w:rPr>
        <w:t>无变化</w:t>
      </w:r>
      <w:r>
        <w:rPr>
          <w:rFonts w:hint="eastAsia" w:ascii="Times New Roman" w:eastAsia="仿宋_GB2312"/>
          <w:sz w:val="32"/>
          <w:szCs w:val="11"/>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0"/>
      </w:tblGrid>
      <w:tr w14:paraId="32FC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22A8A4E4">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rPr>
              <w:t>分类</w:t>
            </w:r>
          </w:p>
        </w:tc>
        <w:tc>
          <w:tcPr>
            <w:tcW w:w="3020" w:type="dxa"/>
          </w:tcPr>
          <w:p w14:paraId="2E006E36">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eastAsia="zh-CN"/>
              </w:rPr>
              <w:t>2024</w:t>
            </w:r>
            <w:r>
              <w:rPr>
                <w:rFonts w:hint="eastAsia" w:ascii="Times New Roman" w:hAnsi="Times New Roman" w:eastAsia="仿宋_GB2312"/>
                <w:b/>
                <w:bCs/>
                <w:color w:val="FF0000"/>
                <w:sz w:val="32"/>
                <w:szCs w:val="11"/>
              </w:rPr>
              <w:t>年</w:t>
            </w:r>
          </w:p>
        </w:tc>
        <w:tc>
          <w:tcPr>
            <w:tcW w:w="3020" w:type="dxa"/>
          </w:tcPr>
          <w:p w14:paraId="2F1EF502">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eastAsia="zh-CN"/>
              </w:rPr>
              <w:t>2025</w:t>
            </w:r>
            <w:r>
              <w:rPr>
                <w:rFonts w:hint="eastAsia" w:ascii="Times New Roman" w:hAnsi="Times New Roman" w:eastAsia="仿宋_GB2312"/>
                <w:b/>
                <w:bCs/>
                <w:color w:val="FF0000"/>
                <w:sz w:val="32"/>
                <w:szCs w:val="11"/>
              </w:rPr>
              <w:t>年</w:t>
            </w:r>
          </w:p>
        </w:tc>
      </w:tr>
      <w:tr w14:paraId="190E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1D356F3F">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rPr>
              <w:t>会议费</w:t>
            </w:r>
          </w:p>
        </w:tc>
        <w:tc>
          <w:tcPr>
            <w:tcW w:w="3020" w:type="dxa"/>
          </w:tcPr>
          <w:p w14:paraId="27B3959E">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rPr>
              <w:t>0</w:t>
            </w:r>
          </w:p>
        </w:tc>
        <w:tc>
          <w:tcPr>
            <w:tcW w:w="3020" w:type="dxa"/>
          </w:tcPr>
          <w:p w14:paraId="7C4C64B2">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rPr>
              <w:t>0</w:t>
            </w:r>
          </w:p>
        </w:tc>
      </w:tr>
    </w:tbl>
    <w:p w14:paraId="60D98599">
      <w:pPr>
        <w:pStyle w:val="8"/>
        <w:spacing w:line="560" w:lineRule="exact"/>
        <w:rPr>
          <w:rFonts w:ascii="Times New Roman" w:hAnsi="Times New Roman" w:eastAsia="仿宋_GB2312"/>
          <w:sz w:val="32"/>
          <w:szCs w:val="11"/>
        </w:rPr>
      </w:pPr>
      <w:r>
        <w:rPr>
          <w:rFonts w:hint="eastAsia" w:ascii="Times New Roman" w:hAnsi="Times New Roman" w:eastAsia="仿宋_GB2312"/>
          <w:sz w:val="32"/>
        </w:rPr>
        <w:t xml:space="preserve">    </w:t>
      </w:r>
      <w:r>
        <w:rPr>
          <w:rFonts w:hint="eastAsia" w:ascii="Times New Roman" w:eastAsia="仿宋_GB2312"/>
          <w:sz w:val="32"/>
          <w:szCs w:val="11"/>
        </w:rPr>
        <w:t>（</w:t>
      </w:r>
      <w:r>
        <w:rPr>
          <w:rFonts w:hint="eastAsia" w:ascii="Times New Roman" w:hAnsi="Times New Roman" w:eastAsia="仿宋_GB2312"/>
          <w:sz w:val="32"/>
          <w:szCs w:val="11"/>
        </w:rPr>
        <w:t>3</w:t>
      </w:r>
      <w:r>
        <w:rPr>
          <w:rFonts w:hint="eastAsia" w:ascii="Times New Roman" w:eastAsia="仿宋_GB2312"/>
          <w:sz w:val="32"/>
          <w:szCs w:val="11"/>
        </w:rPr>
        <w:t>）</w:t>
      </w:r>
      <w:r>
        <w:rPr>
          <w:rFonts w:hint="eastAsia" w:ascii="Times New Roman" w:hAnsi="Times New Roman" w:eastAsia="仿宋_GB2312"/>
          <w:sz w:val="32"/>
          <w:szCs w:val="11"/>
        </w:rPr>
        <w:t xml:space="preserve"> </w:t>
      </w:r>
      <w:r>
        <w:rPr>
          <w:rFonts w:hint="eastAsia" w:ascii="Times New Roman" w:eastAsia="仿宋_GB2312"/>
          <w:sz w:val="32"/>
          <w:szCs w:val="11"/>
        </w:rPr>
        <w:t>培训费支出情况：本单位本年度培训费支出决算数为</w:t>
      </w:r>
      <w:r>
        <w:rPr>
          <w:rFonts w:hint="eastAsia" w:ascii="Times New Roman" w:hAnsi="Times New Roman" w:eastAsia="仿宋_GB2312"/>
          <w:sz w:val="32"/>
          <w:szCs w:val="11"/>
          <w:lang w:val="en-US" w:eastAsia="zh-CN"/>
        </w:rPr>
        <w:t>49.05</w:t>
      </w:r>
      <w:r>
        <w:rPr>
          <w:rFonts w:hint="eastAsia" w:ascii="Times New Roman" w:eastAsia="仿宋_GB2312"/>
          <w:sz w:val="32"/>
          <w:szCs w:val="11"/>
        </w:rPr>
        <w:t>万元，相比上年度</w:t>
      </w:r>
      <w:r>
        <w:rPr>
          <w:rFonts w:hint="eastAsia" w:ascii="Times New Roman" w:eastAsia="仿宋_GB2312"/>
          <w:sz w:val="32"/>
          <w:szCs w:val="11"/>
          <w:lang w:eastAsia="zh-CN"/>
        </w:rPr>
        <w:t>减少</w:t>
      </w:r>
      <w:r>
        <w:rPr>
          <w:rFonts w:hint="eastAsia" w:ascii="Times New Roman" w:eastAsia="仿宋_GB2312"/>
          <w:sz w:val="32"/>
          <w:szCs w:val="11"/>
          <w:lang w:val="en-US" w:eastAsia="zh-CN"/>
        </w:rPr>
        <w:t>7.3</w:t>
      </w:r>
      <w:r>
        <w:rPr>
          <w:rFonts w:hint="eastAsia" w:ascii="Times New Roman" w:eastAsia="仿宋_GB2312"/>
          <w:sz w:val="32"/>
          <w:szCs w:val="11"/>
        </w:rPr>
        <w:t>万元，</w:t>
      </w:r>
      <w:r>
        <w:rPr>
          <w:rStyle w:val="12"/>
          <w:rFonts w:hint="eastAsia" w:ascii="Times New Roman" w:eastAsia="仿宋_GB2312"/>
          <w:sz w:val="32"/>
          <w:szCs w:val="11"/>
        </w:rPr>
        <w:t>主要原因为</w:t>
      </w:r>
      <w:r>
        <w:rPr>
          <w:rStyle w:val="12"/>
          <w:rFonts w:hint="eastAsia" w:ascii="Times New Roman" w:hAnsi="Times New Roman" w:eastAsia="仿宋_GB2312"/>
          <w:sz w:val="32"/>
          <w:szCs w:val="11"/>
          <w:lang w:eastAsia="zh-CN"/>
        </w:rPr>
        <w:t>2025</w:t>
      </w:r>
      <w:r>
        <w:rPr>
          <w:rStyle w:val="12"/>
          <w:rFonts w:hint="eastAsia" w:ascii="Times New Roman" w:eastAsia="仿宋_GB2312"/>
          <w:sz w:val="32"/>
          <w:szCs w:val="11"/>
        </w:rPr>
        <w:t>年</w:t>
      </w:r>
      <w:r>
        <w:rPr>
          <w:rStyle w:val="12"/>
          <w:rFonts w:hint="eastAsia" w:ascii="Times New Roman" w:eastAsia="仿宋_GB2312"/>
          <w:sz w:val="32"/>
          <w:szCs w:val="11"/>
          <w:lang w:eastAsia="zh-CN"/>
        </w:rPr>
        <w:t>培训整合，减少开支</w:t>
      </w:r>
      <w:r>
        <w:rPr>
          <w:rFonts w:hint="eastAsia" w:ascii="Times New Roman" w:eastAsia="仿宋_GB2312"/>
          <w:sz w:val="32"/>
          <w:szCs w:val="11"/>
        </w:rPr>
        <w:t>；培训费人均支出为</w:t>
      </w:r>
      <w:r>
        <w:rPr>
          <w:rFonts w:hint="eastAsia" w:ascii="Times New Roman" w:hAnsi="Times New Roman" w:eastAsia="仿宋_GB2312"/>
          <w:sz w:val="32"/>
          <w:szCs w:val="11"/>
          <w:lang w:val="en-US" w:eastAsia="zh-CN"/>
        </w:rPr>
        <w:t>0.51</w:t>
      </w:r>
      <w:r>
        <w:rPr>
          <w:rFonts w:hint="eastAsia" w:ascii="Times New Roman" w:eastAsia="仿宋_GB2312"/>
          <w:sz w:val="32"/>
          <w:szCs w:val="11"/>
        </w:rPr>
        <w:t>万元。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0"/>
      </w:tblGrid>
      <w:tr w14:paraId="1F4C7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6D5A3676">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rPr>
              <w:t>分类</w:t>
            </w:r>
          </w:p>
        </w:tc>
        <w:tc>
          <w:tcPr>
            <w:tcW w:w="3020" w:type="dxa"/>
          </w:tcPr>
          <w:p w14:paraId="3A53F1ED">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eastAsia="zh-CN"/>
              </w:rPr>
              <w:t>2024</w:t>
            </w:r>
            <w:r>
              <w:rPr>
                <w:rFonts w:hint="eastAsia" w:ascii="Times New Roman" w:hAnsi="Times New Roman" w:eastAsia="仿宋_GB2312"/>
                <w:b/>
                <w:bCs/>
                <w:color w:val="FF0000"/>
                <w:sz w:val="32"/>
                <w:szCs w:val="11"/>
              </w:rPr>
              <w:t>年</w:t>
            </w:r>
          </w:p>
        </w:tc>
        <w:tc>
          <w:tcPr>
            <w:tcW w:w="3020" w:type="dxa"/>
          </w:tcPr>
          <w:p w14:paraId="5EA93056">
            <w:pPr>
              <w:pStyle w:val="8"/>
              <w:spacing w:before="0" w:after="0" w:line="560" w:lineRule="exact"/>
              <w:rPr>
                <w:rFonts w:ascii="Times New Roman" w:hAnsi="Times New Roman" w:eastAsia="仿宋_GB2312"/>
                <w:b/>
                <w:bCs/>
                <w:color w:val="FF0000"/>
                <w:sz w:val="32"/>
                <w:szCs w:val="11"/>
              </w:rPr>
            </w:pPr>
            <w:r>
              <w:rPr>
                <w:rFonts w:hint="eastAsia" w:ascii="Times New Roman" w:hAnsi="Times New Roman" w:eastAsia="仿宋_GB2312"/>
                <w:b/>
                <w:bCs/>
                <w:color w:val="FF0000"/>
                <w:sz w:val="32"/>
                <w:szCs w:val="11"/>
                <w:lang w:eastAsia="zh-CN"/>
              </w:rPr>
              <w:t>2025</w:t>
            </w:r>
            <w:r>
              <w:rPr>
                <w:rFonts w:hint="eastAsia" w:ascii="Times New Roman" w:hAnsi="Times New Roman" w:eastAsia="仿宋_GB2312"/>
                <w:b/>
                <w:bCs/>
                <w:color w:val="FF0000"/>
                <w:sz w:val="32"/>
                <w:szCs w:val="11"/>
              </w:rPr>
              <w:t>年</w:t>
            </w:r>
          </w:p>
        </w:tc>
      </w:tr>
      <w:tr w14:paraId="4D83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14:paraId="649B90E6">
            <w:pPr>
              <w:pStyle w:val="8"/>
              <w:spacing w:before="0" w:after="0" w:line="560" w:lineRule="exact"/>
              <w:rPr>
                <w:rFonts w:ascii="Times New Roman" w:hAnsi="Times New Roman" w:eastAsia="仿宋_GB2312"/>
                <w:b/>
                <w:bCs/>
                <w:color w:val="FF0000"/>
                <w:sz w:val="32"/>
                <w:szCs w:val="11"/>
              </w:rPr>
            </w:pPr>
            <w:r>
              <w:rPr>
                <w:rFonts w:hint="eastAsia" w:ascii="Times New Roman" w:eastAsia="仿宋_GB2312"/>
                <w:sz w:val="32"/>
                <w:szCs w:val="11"/>
              </w:rPr>
              <w:t>培训费</w:t>
            </w:r>
          </w:p>
        </w:tc>
        <w:tc>
          <w:tcPr>
            <w:tcW w:w="3020" w:type="dxa"/>
          </w:tcPr>
          <w:p w14:paraId="08861564">
            <w:pPr>
              <w:pStyle w:val="8"/>
              <w:spacing w:before="0" w:after="0" w:line="560" w:lineRule="exact"/>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49.05</w:t>
            </w:r>
          </w:p>
        </w:tc>
        <w:tc>
          <w:tcPr>
            <w:tcW w:w="3020" w:type="dxa"/>
          </w:tcPr>
          <w:p w14:paraId="24F3B151">
            <w:pPr>
              <w:pStyle w:val="8"/>
              <w:spacing w:before="0" w:after="0" w:line="560" w:lineRule="exact"/>
              <w:rPr>
                <w:rFonts w:hint="default" w:ascii="Times New Roman" w:hAnsi="Times New Roman" w:eastAsia="仿宋_GB2312"/>
                <w:b/>
                <w:bCs/>
                <w:color w:val="FF0000"/>
                <w:sz w:val="32"/>
                <w:szCs w:val="11"/>
                <w:lang w:val="en-US" w:eastAsia="zh-CN"/>
              </w:rPr>
            </w:pPr>
            <w:r>
              <w:rPr>
                <w:rFonts w:hint="eastAsia" w:ascii="Times New Roman" w:hAnsi="Times New Roman" w:eastAsia="仿宋_GB2312"/>
                <w:b/>
                <w:bCs/>
                <w:color w:val="FF0000"/>
                <w:sz w:val="32"/>
                <w:szCs w:val="11"/>
                <w:lang w:val="en-US" w:eastAsia="zh-CN"/>
              </w:rPr>
              <w:t>41.58</w:t>
            </w:r>
          </w:p>
        </w:tc>
      </w:tr>
    </w:tbl>
    <w:p w14:paraId="0CD32735">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w:t>
      </w:r>
      <w:r>
        <w:rPr>
          <w:rFonts w:hint="eastAsia" w:ascii="Times New Roman" w:hAnsi="Times New Roman" w:eastAsia="仿宋_GB2312"/>
          <w:sz w:val="32"/>
          <w:szCs w:val="11"/>
        </w:rPr>
        <w:t>4</w:t>
      </w:r>
      <w:r>
        <w:rPr>
          <w:rFonts w:hint="eastAsia" w:ascii="Times New Roman" w:eastAsia="仿宋_GB2312"/>
          <w:sz w:val="32"/>
          <w:szCs w:val="11"/>
        </w:rPr>
        <w:t>）其他对单位影响较大的支出情况。</w:t>
      </w:r>
    </w:p>
    <w:p w14:paraId="322A0A63">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无。</w:t>
      </w:r>
    </w:p>
    <w:p w14:paraId="28454E5C">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w:t>
      </w:r>
      <w:r>
        <w:rPr>
          <w:rFonts w:hint="eastAsia" w:ascii="Times New Roman" w:hAnsi="Times New Roman" w:eastAsia="仿宋_GB2312"/>
          <w:sz w:val="32"/>
          <w:szCs w:val="11"/>
        </w:rPr>
        <w:t>5</w:t>
      </w:r>
      <w:r>
        <w:rPr>
          <w:rFonts w:hint="eastAsia" w:ascii="Times New Roman" w:eastAsia="仿宋_GB2312"/>
          <w:sz w:val="32"/>
          <w:szCs w:val="11"/>
        </w:rPr>
        <w:t>）重点经济分类支出中存在的问题及改进措施。</w:t>
      </w:r>
    </w:p>
    <w:p w14:paraId="0C6CE358">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无。</w:t>
      </w:r>
    </w:p>
    <w:p w14:paraId="41C40DAB">
      <w:pPr>
        <w:pStyle w:val="8"/>
        <w:spacing w:line="560" w:lineRule="exact"/>
        <w:ind w:firstLine="643" w:firstLineChars="200"/>
        <w:rPr>
          <w:rFonts w:ascii="Times New Roman" w:hAnsi="Times New Roman" w:eastAsia="仿宋_GB2312"/>
          <w:sz w:val="32"/>
        </w:rPr>
      </w:pPr>
      <w:r>
        <w:rPr>
          <w:rStyle w:val="12"/>
          <w:rFonts w:hint="eastAsia" w:ascii="Times New Roman" w:hAnsi="Times New Roman" w:eastAsia="仿宋_GB2312"/>
          <w:sz w:val="32"/>
          <w:szCs w:val="11"/>
        </w:rPr>
        <w:t>4.</w:t>
      </w:r>
      <w:r>
        <w:rPr>
          <w:rStyle w:val="12"/>
          <w:rFonts w:hint="eastAsia" w:ascii="Times New Roman" w:eastAsia="仿宋_GB2312"/>
          <w:sz w:val="32"/>
          <w:szCs w:val="11"/>
        </w:rPr>
        <w:t>财政拨款收入、支出分析。</w:t>
      </w:r>
    </w:p>
    <w:p w14:paraId="6A1B3191">
      <w:pPr>
        <w:pStyle w:val="8"/>
        <w:spacing w:line="560" w:lineRule="exact"/>
        <w:ind w:firstLine="640" w:firstLineChars="200"/>
        <w:rPr>
          <w:rFonts w:hint="default" w:ascii="Times New Roman" w:eastAsia="仿宋_GB2312"/>
          <w:sz w:val="32"/>
          <w:szCs w:val="11"/>
          <w:lang w:val="en-US" w:eastAsia="zh-CN"/>
        </w:rPr>
      </w:pPr>
      <w:r>
        <w:rPr>
          <w:rFonts w:hint="eastAsia" w:ascii="Times New Roman" w:eastAsia="仿宋_GB2312"/>
          <w:sz w:val="32"/>
          <w:szCs w:val="11"/>
        </w:rPr>
        <w:t>本单位本年度财政拨款收入为</w:t>
      </w:r>
      <w:r>
        <w:rPr>
          <w:rFonts w:hint="eastAsia" w:ascii="Times New Roman" w:hAnsi="Times New Roman" w:eastAsia="仿宋_GB2312"/>
          <w:sz w:val="32"/>
          <w:szCs w:val="11"/>
          <w:lang w:val="en-US" w:eastAsia="zh-CN"/>
        </w:rPr>
        <w:t>5518.97</w:t>
      </w:r>
      <w:r>
        <w:rPr>
          <w:rFonts w:hint="eastAsia" w:ascii="Times New Roman" w:eastAsia="仿宋_GB2312"/>
          <w:sz w:val="32"/>
          <w:szCs w:val="11"/>
        </w:rPr>
        <w:t>万元，财政拨款支出为</w:t>
      </w:r>
      <w:r>
        <w:rPr>
          <w:rFonts w:hint="eastAsia" w:ascii="Times New Roman" w:hAnsi="Times New Roman" w:eastAsia="仿宋_GB2312"/>
          <w:sz w:val="32"/>
          <w:szCs w:val="11"/>
          <w:lang w:val="en-US" w:eastAsia="zh-CN"/>
        </w:rPr>
        <w:t>5518.97</w:t>
      </w:r>
      <w:r>
        <w:rPr>
          <w:rFonts w:hint="eastAsia" w:ascii="Times New Roman" w:eastAsia="仿宋_GB2312"/>
          <w:sz w:val="32"/>
          <w:szCs w:val="11"/>
        </w:rPr>
        <w:t>万元，其中：基本支出中人员经费支出为</w:t>
      </w:r>
      <w:r>
        <w:rPr>
          <w:rFonts w:hint="eastAsia" w:ascii="Times New Roman" w:hAnsi="Times New Roman" w:eastAsia="仿宋_GB2312"/>
          <w:sz w:val="32"/>
          <w:szCs w:val="11"/>
          <w:lang w:val="en-US" w:eastAsia="zh-CN"/>
        </w:rPr>
        <w:t>2895.66</w:t>
      </w:r>
      <w:r>
        <w:rPr>
          <w:rFonts w:hint="eastAsia" w:ascii="Times New Roman" w:eastAsia="仿宋_GB2312"/>
          <w:sz w:val="32"/>
          <w:szCs w:val="11"/>
        </w:rPr>
        <w:t>万元，公用经费支出为</w:t>
      </w:r>
      <w:r>
        <w:rPr>
          <w:rFonts w:hint="eastAsia" w:ascii="Times New Roman" w:hAnsi="Times New Roman" w:eastAsia="仿宋_GB2312"/>
          <w:sz w:val="32"/>
          <w:szCs w:val="11"/>
          <w:lang w:val="en-US" w:eastAsia="zh-CN"/>
        </w:rPr>
        <w:t>1588.56</w:t>
      </w:r>
      <w:r>
        <w:rPr>
          <w:rFonts w:hint="eastAsia" w:ascii="Times New Roman" w:eastAsia="仿宋_GB2312"/>
          <w:sz w:val="32"/>
          <w:szCs w:val="11"/>
        </w:rPr>
        <w:t>万元。</w:t>
      </w:r>
      <w:r>
        <w:rPr>
          <w:rFonts w:hint="eastAsia" w:ascii="Times New Roman" w:eastAsia="仿宋_GB2312"/>
          <w:sz w:val="32"/>
          <w:szCs w:val="11"/>
          <w:lang w:eastAsia="zh-CN"/>
        </w:rPr>
        <w:t>项目支出为</w:t>
      </w:r>
      <w:r>
        <w:rPr>
          <w:rFonts w:hint="eastAsia" w:ascii="Times New Roman" w:eastAsia="仿宋_GB2312"/>
          <w:sz w:val="32"/>
          <w:szCs w:val="11"/>
          <w:lang w:val="en-US" w:eastAsia="zh-CN"/>
        </w:rPr>
        <w:t>1294.81万元，其中</w:t>
      </w:r>
      <w:r>
        <w:rPr>
          <w:rFonts w:hint="eastAsia" w:ascii="Times New Roman" w:eastAsia="仿宋_GB2312"/>
          <w:sz w:val="32"/>
          <w:szCs w:val="11"/>
        </w:rPr>
        <w:t>项目支出中基本建设类项目支出为</w:t>
      </w:r>
      <w:r>
        <w:rPr>
          <w:rFonts w:hint="eastAsia" w:ascii="Times New Roman" w:hAnsi="Times New Roman" w:eastAsia="仿宋_GB2312"/>
          <w:sz w:val="32"/>
          <w:szCs w:val="11"/>
        </w:rPr>
        <w:t>0.00</w:t>
      </w:r>
      <w:r>
        <w:rPr>
          <w:rFonts w:hint="eastAsia" w:ascii="Times New Roman" w:eastAsia="仿宋_GB2312"/>
          <w:sz w:val="32"/>
          <w:szCs w:val="11"/>
        </w:rPr>
        <w:t>万元</w:t>
      </w:r>
      <w:r>
        <w:rPr>
          <w:rFonts w:hint="eastAsia" w:ascii="Times New Roman" w:eastAsia="仿宋_GB2312"/>
          <w:sz w:val="32"/>
          <w:szCs w:val="11"/>
          <w:lang w:eastAsia="zh-CN"/>
        </w:rPr>
        <w:t>。</w:t>
      </w:r>
      <w:r>
        <w:rPr>
          <w:rFonts w:hint="eastAsia" w:ascii="Times New Roman" w:hAnsi="Times New Roman" w:eastAsia="仿宋_GB2312"/>
          <w:sz w:val="32"/>
          <w:szCs w:val="11"/>
        </w:rPr>
        <w:t xml:space="preserve"> </w:t>
      </w:r>
      <w:r>
        <w:rPr>
          <w:rFonts w:hint="eastAsia" w:ascii="Times New Roman" w:eastAsia="仿宋_GB2312"/>
          <w:sz w:val="32"/>
          <w:szCs w:val="11"/>
        </w:rPr>
        <w:t>一般行政管理事务</w:t>
      </w:r>
      <w:r>
        <w:rPr>
          <w:rFonts w:hint="eastAsia" w:ascii="Times New Roman" w:eastAsia="仿宋_GB2312"/>
          <w:sz w:val="32"/>
          <w:szCs w:val="11"/>
          <w:lang w:val="en-US" w:eastAsia="zh-CN"/>
        </w:rPr>
        <w:t>511.91万元，</w:t>
      </w:r>
      <w:r>
        <w:rPr>
          <w:rFonts w:hint="eastAsia" w:ascii="Times New Roman" w:eastAsia="仿宋_GB2312"/>
          <w:sz w:val="32"/>
          <w:szCs w:val="11"/>
          <w:lang w:eastAsia="zh-CN"/>
        </w:rPr>
        <w:t>预算改革业务</w:t>
      </w:r>
      <w:r>
        <w:rPr>
          <w:rFonts w:hint="eastAsia" w:ascii="Times New Roman" w:eastAsia="仿宋_GB2312"/>
          <w:sz w:val="32"/>
          <w:szCs w:val="11"/>
          <w:lang w:val="en-US" w:eastAsia="zh-CN"/>
        </w:rPr>
        <w:t>24.57万元。财政国库业务23万元，信息化建设103.56万元，财政委托业务373.31万元，事业运行1972.33万元，其他文化旅游体育与传媒支出0.5万元，机关事业单位基本养老保险缴费支出242.85万元，机关事业单位职业年金缴费支出129.42万元，行政单位医疗93.33万元，事业单位医疗补助39.10万元。公务员医疗补助25.33万元，其他行政运行事业单位医疗补助9.03万元，住房公积金200.85万元，购房补助2.4万元。</w:t>
      </w:r>
      <w:bookmarkStart w:id="0" w:name="_GoBack"/>
      <w:bookmarkEnd w:id="0"/>
    </w:p>
    <w:p w14:paraId="07C0B82C">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rPr>
        <w:t>基本支出中，基本工资</w:t>
      </w:r>
      <w:r>
        <w:rPr>
          <w:rFonts w:hint="eastAsia" w:ascii="Times New Roman" w:hAnsi="Times New Roman" w:eastAsia="仿宋_GB2312"/>
          <w:sz w:val="32"/>
          <w:lang w:val="en-US" w:eastAsia="zh-CN"/>
        </w:rPr>
        <w:t>3571703.5</w:t>
      </w:r>
      <w:r>
        <w:rPr>
          <w:rFonts w:hint="eastAsia" w:ascii="Times New Roman" w:hAnsi="Times New Roman" w:eastAsia="仿宋_GB2312"/>
          <w:sz w:val="32"/>
        </w:rPr>
        <w:t>元，津贴补贴</w:t>
      </w:r>
      <w:r>
        <w:rPr>
          <w:rFonts w:hint="eastAsia" w:ascii="Times New Roman" w:hAnsi="Times New Roman" w:eastAsia="仿宋_GB2312"/>
          <w:sz w:val="32"/>
          <w:lang w:val="en-US" w:eastAsia="zh-CN"/>
        </w:rPr>
        <w:t>7173619.08</w:t>
      </w:r>
      <w:r>
        <w:rPr>
          <w:rFonts w:hint="eastAsia" w:ascii="Times New Roman" w:hAnsi="Times New Roman" w:eastAsia="仿宋_GB2312"/>
          <w:sz w:val="32"/>
        </w:rPr>
        <w:t>元，奖金</w:t>
      </w:r>
      <w:r>
        <w:rPr>
          <w:rFonts w:hint="eastAsia" w:ascii="Times New Roman" w:hAnsi="Times New Roman" w:eastAsia="仿宋_GB2312"/>
          <w:sz w:val="32"/>
          <w:lang w:val="en-US" w:eastAsia="zh-CN"/>
        </w:rPr>
        <w:t>1450145</w:t>
      </w:r>
      <w:r>
        <w:rPr>
          <w:rFonts w:hint="eastAsia" w:ascii="Times New Roman" w:hAnsi="Times New Roman" w:eastAsia="仿宋_GB2312"/>
          <w:sz w:val="32"/>
        </w:rPr>
        <w:t>元，伙食补助费</w:t>
      </w:r>
      <w:r>
        <w:rPr>
          <w:rFonts w:hint="eastAsia" w:ascii="Times New Roman" w:hAnsi="Times New Roman" w:eastAsia="仿宋_GB2312"/>
          <w:sz w:val="32"/>
          <w:lang w:val="en-US" w:eastAsia="zh-CN"/>
        </w:rPr>
        <w:t>736847.5</w:t>
      </w:r>
      <w:r>
        <w:rPr>
          <w:rFonts w:hint="eastAsia" w:ascii="Times New Roman" w:hAnsi="Times New Roman" w:eastAsia="仿宋_GB2312"/>
          <w:sz w:val="32"/>
        </w:rPr>
        <w:t>元，机关事业单位基本养老保险缴费</w:t>
      </w:r>
      <w:r>
        <w:rPr>
          <w:rFonts w:hint="eastAsia" w:ascii="Times New Roman" w:hAnsi="Times New Roman" w:eastAsia="仿宋_GB2312"/>
          <w:sz w:val="32"/>
          <w:lang w:val="en-US" w:eastAsia="zh-CN"/>
        </w:rPr>
        <w:t>1534861.66</w:t>
      </w:r>
      <w:r>
        <w:rPr>
          <w:rFonts w:hint="eastAsia" w:ascii="Times New Roman" w:hAnsi="Times New Roman" w:eastAsia="仿宋_GB2312"/>
          <w:sz w:val="32"/>
        </w:rPr>
        <w:t>元，职业年金缴费</w:t>
      </w:r>
      <w:r>
        <w:rPr>
          <w:rFonts w:hint="eastAsia" w:ascii="Times New Roman" w:hAnsi="Times New Roman" w:eastAsia="仿宋_GB2312"/>
          <w:sz w:val="32"/>
          <w:lang w:val="en-US" w:eastAsia="zh-CN"/>
        </w:rPr>
        <w:t>888167.92</w:t>
      </w:r>
      <w:r>
        <w:rPr>
          <w:rFonts w:hint="eastAsia" w:ascii="Times New Roman" w:hAnsi="Times New Roman" w:eastAsia="仿宋_GB2312"/>
          <w:sz w:val="32"/>
        </w:rPr>
        <w:t>元，职工基本医疗保险缴费</w:t>
      </w:r>
      <w:r>
        <w:rPr>
          <w:rFonts w:hint="eastAsia" w:ascii="Times New Roman" w:hAnsi="Times New Roman" w:eastAsia="仿宋_GB2312"/>
          <w:sz w:val="32"/>
          <w:lang w:val="en-US" w:eastAsia="zh-CN"/>
        </w:rPr>
        <w:t>933353.61</w:t>
      </w:r>
      <w:r>
        <w:rPr>
          <w:rFonts w:hint="eastAsia" w:ascii="Times New Roman" w:hAnsi="Times New Roman" w:eastAsia="仿宋_GB2312"/>
          <w:sz w:val="32"/>
        </w:rPr>
        <w:t>元，公务员医疗补助</w:t>
      </w:r>
      <w:r>
        <w:rPr>
          <w:rFonts w:hint="eastAsia" w:ascii="Times New Roman" w:hAnsi="Times New Roman" w:eastAsia="仿宋_GB2312"/>
          <w:sz w:val="32"/>
          <w:lang w:val="en-US" w:eastAsia="zh-CN"/>
        </w:rPr>
        <w:t>253382.55</w:t>
      </w:r>
      <w:r>
        <w:rPr>
          <w:rFonts w:hint="eastAsia" w:ascii="Times New Roman" w:hAnsi="Times New Roman" w:eastAsia="仿宋_GB2312"/>
          <w:sz w:val="32"/>
        </w:rPr>
        <w:t>元，其他社会保障缴费</w:t>
      </w:r>
      <w:r>
        <w:rPr>
          <w:rFonts w:hint="eastAsia" w:ascii="Times New Roman" w:hAnsi="Times New Roman" w:eastAsia="仿宋_GB2312"/>
          <w:sz w:val="32"/>
          <w:lang w:val="en-US" w:eastAsia="zh-CN"/>
        </w:rPr>
        <w:t>127076.95</w:t>
      </w:r>
      <w:r>
        <w:rPr>
          <w:rFonts w:hint="eastAsia" w:ascii="Times New Roman" w:hAnsi="Times New Roman" w:eastAsia="仿宋_GB2312"/>
          <w:sz w:val="32"/>
        </w:rPr>
        <w:t>元，住房公积</w:t>
      </w:r>
      <w:r>
        <w:rPr>
          <w:rFonts w:hint="eastAsia" w:ascii="Times New Roman" w:hAnsi="Times New Roman" w:eastAsia="仿宋_GB2312"/>
          <w:sz w:val="32"/>
          <w:lang w:val="en-US" w:eastAsia="zh-CN"/>
        </w:rPr>
        <w:t>1476284</w:t>
      </w:r>
      <w:r>
        <w:rPr>
          <w:rFonts w:hint="eastAsia" w:ascii="Times New Roman" w:hAnsi="Times New Roman" w:eastAsia="仿宋_GB2312"/>
          <w:sz w:val="32"/>
        </w:rPr>
        <w:t>元，</w:t>
      </w:r>
      <w:r>
        <w:rPr>
          <w:rFonts w:hint="eastAsia" w:ascii="Times New Roman" w:hAnsi="Times New Roman" w:eastAsia="仿宋_GB2312"/>
          <w:sz w:val="32"/>
          <w:lang w:eastAsia="zh-CN"/>
        </w:rPr>
        <w:t>其他工资福利</w:t>
      </w:r>
      <w:r>
        <w:rPr>
          <w:rFonts w:hint="eastAsia" w:ascii="Times New Roman" w:hAnsi="Times New Roman" w:eastAsia="仿宋_GB2312"/>
          <w:sz w:val="32"/>
          <w:lang w:val="en-US" w:eastAsia="zh-CN"/>
        </w:rPr>
        <w:t>580825.07元，</w:t>
      </w:r>
      <w:r>
        <w:rPr>
          <w:rFonts w:hint="eastAsia" w:ascii="Times New Roman" w:hAnsi="Times New Roman" w:eastAsia="仿宋_GB2312"/>
          <w:sz w:val="32"/>
        </w:rPr>
        <w:t>办公费</w:t>
      </w:r>
      <w:r>
        <w:rPr>
          <w:rFonts w:hint="eastAsia" w:ascii="Times New Roman" w:hAnsi="Times New Roman" w:eastAsia="仿宋_GB2312"/>
          <w:sz w:val="32"/>
          <w:lang w:val="en-US" w:eastAsia="zh-CN"/>
        </w:rPr>
        <w:t>216580.71</w:t>
      </w:r>
      <w:r>
        <w:rPr>
          <w:rFonts w:hint="eastAsia" w:ascii="Times New Roman" w:hAnsi="Times New Roman" w:eastAsia="仿宋_GB2312"/>
          <w:sz w:val="32"/>
        </w:rPr>
        <w:t>元，水费</w:t>
      </w:r>
      <w:r>
        <w:rPr>
          <w:rFonts w:hint="eastAsia" w:ascii="Times New Roman" w:hAnsi="Times New Roman" w:eastAsia="仿宋_GB2312"/>
          <w:sz w:val="32"/>
          <w:lang w:val="en-US" w:eastAsia="zh-CN"/>
        </w:rPr>
        <w:t>11152</w:t>
      </w:r>
      <w:r>
        <w:rPr>
          <w:rFonts w:hint="eastAsia" w:ascii="Times New Roman" w:hAnsi="Times New Roman" w:eastAsia="仿宋_GB2312"/>
          <w:sz w:val="32"/>
        </w:rPr>
        <w:t>元，</w:t>
      </w:r>
      <w:r>
        <w:rPr>
          <w:rFonts w:hint="eastAsia" w:ascii="Times New Roman" w:hAnsi="Times New Roman" w:eastAsia="仿宋_GB2312"/>
          <w:sz w:val="32"/>
          <w:lang w:eastAsia="zh-CN"/>
        </w:rPr>
        <w:t>电费</w:t>
      </w:r>
      <w:r>
        <w:rPr>
          <w:rFonts w:hint="eastAsia" w:ascii="Times New Roman" w:hAnsi="Times New Roman" w:eastAsia="仿宋_GB2312"/>
          <w:sz w:val="32"/>
          <w:lang w:val="en-US" w:eastAsia="zh-CN"/>
        </w:rPr>
        <w:t>130414.25元，</w:t>
      </w:r>
      <w:r>
        <w:rPr>
          <w:rFonts w:hint="eastAsia" w:ascii="Times New Roman" w:hAnsi="Times New Roman" w:eastAsia="仿宋_GB2312"/>
          <w:sz w:val="32"/>
        </w:rPr>
        <w:t>邮电费</w:t>
      </w:r>
      <w:r>
        <w:rPr>
          <w:rFonts w:hint="eastAsia" w:ascii="Times New Roman" w:hAnsi="Times New Roman" w:eastAsia="仿宋_GB2312"/>
          <w:sz w:val="32"/>
          <w:lang w:val="en-US" w:eastAsia="zh-CN"/>
        </w:rPr>
        <w:t>196536.46</w:t>
      </w:r>
      <w:r>
        <w:rPr>
          <w:rFonts w:hint="eastAsia" w:ascii="Times New Roman" w:hAnsi="Times New Roman" w:eastAsia="仿宋_GB2312"/>
          <w:sz w:val="32"/>
        </w:rPr>
        <w:t>元，物业管理费</w:t>
      </w:r>
      <w:r>
        <w:rPr>
          <w:rFonts w:hint="eastAsia" w:ascii="Times New Roman" w:hAnsi="Times New Roman" w:eastAsia="仿宋_GB2312"/>
          <w:sz w:val="32"/>
          <w:lang w:val="en-US" w:eastAsia="zh-CN"/>
        </w:rPr>
        <w:t>127023.8</w:t>
      </w:r>
      <w:r>
        <w:rPr>
          <w:rFonts w:hint="eastAsia" w:ascii="Times New Roman" w:hAnsi="Times New Roman" w:eastAsia="仿宋_GB2312"/>
          <w:sz w:val="32"/>
        </w:rPr>
        <w:t>元，差旅费</w:t>
      </w:r>
      <w:r>
        <w:rPr>
          <w:rFonts w:hint="eastAsia" w:ascii="Times New Roman" w:hAnsi="Times New Roman" w:eastAsia="仿宋_GB2312"/>
          <w:sz w:val="32"/>
          <w:lang w:val="en-US" w:eastAsia="zh-CN"/>
        </w:rPr>
        <w:t>556411</w:t>
      </w:r>
      <w:r>
        <w:rPr>
          <w:rFonts w:hint="eastAsia" w:ascii="Times New Roman" w:hAnsi="Times New Roman" w:eastAsia="仿宋_GB2312"/>
          <w:sz w:val="32"/>
        </w:rPr>
        <w:t>元，维修（护）费</w:t>
      </w:r>
      <w:r>
        <w:rPr>
          <w:rFonts w:hint="eastAsia" w:ascii="Times New Roman" w:hAnsi="Times New Roman" w:eastAsia="仿宋_GB2312"/>
          <w:sz w:val="32"/>
          <w:lang w:val="en-US" w:eastAsia="zh-CN"/>
        </w:rPr>
        <w:t>32258</w:t>
      </w:r>
      <w:r>
        <w:rPr>
          <w:rFonts w:hint="eastAsia" w:ascii="Times New Roman" w:hAnsi="Times New Roman" w:eastAsia="仿宋_GB2312"/>
          <w:sz w:val="32"/>
        </w:rPr>
        <w:t>元，培训费</w:t>
      </w:r>
      <w:r>
        <w:rPr>
          <w:rFonts w:hint="eastAsia" w:ascii="Times New Roman" w:hAnsi="Times New Roman" w:eastAsia="仿宋_GB2312"/>
          <w:sz w:val="32"/>
          <w:lang w:val="en-US" w:eastAsia="zh-CN"/>
        </w:rPr>
        <w:t>95379.82</w:t>
      </w:r>
      <w:r>
        <w:rPr>
          <w:rFonts w:hint="eastAsia" w:ascii="Times New Roman" w:hAnsi="Times New Roman" w:eastAsia="仿宋_GB2312"/>
          <w:sz w:val="32"/>
        </w:rPr>
        <w:t>元，</w:t>
      </w:r>
      <w:r>
        <w:rPr>
          <w:rFonts w:hint="eastAsia" w:ascii="Times New Roman" w:hAnsi="Times New Roman" w:eastAsia="仿宋_GB2312"/>
          <w:sz w:val="32"/>
          <w:lang w:eastAsia="zh-CN"/>
        </w:rPr>
        <w:t>公务接待费</w:t>
      </w:r>
      <w:r>
        <w:rPr>
          <w:rFonts w:hint="eastAsia" w:ascii="Times New Roman" w:hAnsi="Times New Roman" w:eastAsia="仿宋_GB2312"/>
          <w:sz w:val="32"/>
          <w:lang w:val="en-US" w:eastAsia="zh-CN"/>
        </w:rPr>
        <w:t>7200元，工会经费180000元，福利费286818.62元，</w:t>
      </w:r>
      <w:r>
        <w:rPr>
          <w:rFonts w:hint="eastAsia" w:ascii="Times New Roman" w:hAnsi="Times New Roman" w:eastAsia="仿宋_GB2312"/>
          <w:sz w:val="32"/>
        </w:rPr>
        <w:t>公务用车运行维护费</w:t>
      </w:r>
      <w:r>
        <w:rPr>
          <w:rFonts w:hint="eastAsia" w:ascii="Times New Roman" w:hAnsi="Times New Roman" w:eastAsia="仿宋_GB2312"/>
          <w:sz w:val="32"/>
          <w:lang w:val="en-US" w:eastAsia="zh-CN"/>
        </w:rPr>
        <w:t>752356</w:t>
      </w:r>
      <w:r>
        <w:rPr>
          <w:rFonts w:hint="eastAsia" w:ascii="Times New Roman" w:hAnsi="Times New Roman" w:eastAsia="仿宋_GB2312"/>
          <w:sz w:val="32"/>
        </w:rPr>
        <w:t>元，</w:t>
      </w:r>
      <w:r>
        <w:rPr>
          <w:rFonts w:hint="eastAsia" w:ascii="Times New Roman" w:hAnsi="Times New Roman" w:eastAsia="仿宋_GB2312"/>
          <w:sz w:val="32"/>
          <w:lang w:eastAsia="zh-CN"/>
        </w:rPr>
        <w:t>其他商品服务支出</w:t>
      </w:r>
      <w:r>
        <w:rPr>
          <w:rFonts w:hint="eastAsia" w:ascii="Times New Roman" w:hAnsi="Times New Roman" w:eastAsia="仿宋_GB2312"/>
          <w:sz w:val="32"/>
          <w:lang w:val="en-US" w:eastAsia="zh-CN"/>
        </w:rPr>
        <w:t>27100元，</w:t>
      </w:r>
      <w:r>
        <w:rPr>
          <w:rFonts w:hint="eastAsia" w:ascii="Times New Roman" w:hAnsi="Times New Roman" w:eastAsia="仿宋_GB2312"/>
          <w:sz w:val="32"/>
        </w:rPr>
        <w:t>生活补助</w:t>
      </w:r>
      <w:r>
        <w:rPr>
          <w:rFonts w:hint="eastAsia" w:ascii="Times New Roman" w:hAnsi="Times New Roman" w:eastAsia="仿宋_GB2312"/>
          <w:sz w:val="32"/>
          <w:lang w:val="en-US" w:eastAsia="zh-CN"/>
        </w:rPr>
        <w:t>859079.92</w:t>
      </w:r>
      <w:r>
        <w:rPr>
          <w:rFonts w:hint="eastAsia" w:ascii="Times New Roman" w:hAnsi="Times New Roman" w:eastAsia="仿宋_GB2312"/>
          <w:sz w:val="32"/>
        </w:rPr>
        <w:t>元。</w:t>
      </w:r>
    </w:p>
    <w:p w14:paraId="200E2CD0">
      <w:pPr>
        <w:pStyle w:val="8"/>
        <w:spacing w:line="560" w:lineRule="exact"/>
        <w:ind w:firstLine="640" w:firstLineChars="200"/>
        <w:rPr>
          <w:rFonts w:hint="eastAsia" w:ascii="仿宋_GB2312" w:hAnsi="仿宋_GB2312" w:eastAsia="仿宋_GB2312" w:cs="仿宋_GB2312"/>
          <w:sz w:val="32"/>
          <w:szCs w:val="32"/>
        </w:rPr>
      </w:pPr>
      <w:r>
        <w:rPr>
          <w:rFonts w:hint="eastAsia" w:ascii="Times New Roman" w:eastAsia="仿宋_GB2312"/>
          <w:sz w:val="32"/>
          <w:szCs w:val="11"/>
        </w:rPr>
        <w:t>事业运行</w:t>
      </w:r>
      <w:r>
        <w:rPr>
          <w:rFonts w:hint="eastAsia" w:ascii="仿宋_GB2312" w:hAnsi="仿宋_GB2312" w:eastAsia="仿宋_GB2312" w:cs="仿宋_GB2312"/>
          <w:sz w:val="32"/>
          <w:szCs w:val="32"/>
        </w:rPr>
        <w:t>基本工资</w:t>
      </w:r>
      <w:r>
        <w:rPr>
          <w:rFonts w:hint="eastAsia" w:ascii="仿宋_GB2312" w:hAnsi="仿宋_GB2312" w:eastAsia="仿宋_GB2312" w:cs="仿宋_GB2312"/>
          <w:sz w:val="32"/>
          <w:szCs w:val="32"/>
          <w:lang w:val="en-US" w:eastAsia="zh-CN"/>
        </w:rPr>
        <w:t>1623636.5</w:t>
      </w:r>
      <w:r>
        <w:rPr>
          <w:rFonts w:hint="eastAsia" w:ascii="仿宋_GB2312" w:hAnsi="仿宋_GB2312" w:eastAsia="仿宋_GB2312" w:cs="仿宋_GB2312"/>
          <w:sz w:val="32"/>
          <w:szCs w:val="32"/>
        </w:rPr>
        <w:t>元，津贴补贴</w:t>
      </w:r>
      <w:r>
        <w:rPr>
          <w:rFonts w:hint="eastAsia" w:ascii="仿宋_GB2312" w:hAnsi="仿宋_GB2312" w:eastAsia="仿宋_GB2312" w:cs="仿宋_GB2312"/>
          <w:sz w:val="32"/>
          <w:szCs w:val="32"/>
          <w:lang w:val="en-US" w:eastAsia="zh-CN"/>
        </w:rPr>
        <w:t>86485.5</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奖金</w:t>
      </w:r>
      <w:r>
        <w:rPr>
          <w:rFonts w:hint="eastAsia" w:ascii="仿宋_GB2312" w:hAnsi="仿宋_GB2312" w:eastAsia="仿宋_GB2312" w:cs="仿宋_GB2312"/>
          <w:sz w:val="32"/>
          <w:szCs w:val="32"/>
          <w:lang w:val="en-US" w:eastAsia="zh-CN"/>
        </w:rPr>
        <w:t>1320101.5元，</w:t>
      </w:r>
      <w:r>
        <w:rPr>
          <w:rFonts w:hint="eastAsia" w:ascii="仿宋_GB2312" w:hAnsi="仿宋_GB2312" w:eastAsia="仿宋_GB2312" w:cs="仿宋_GB2312"/>
          <w:sz w:val="32"/>
          <w:szCs w:val="32"/>
        </w:rPr>
        <w:t>伙食补助费</w:t>
      </w:r>
      <w:r>
        <w:rPr>
          <w:rFonts w:hint="eastAsia" w:ascii="仿宋_GB2312" w:hAnsi="仿宋_GB2312" w:eastAsia="仿宋_GB2312" w:cs="仿宋_GB2312"/>
          <w:sz w:val="32"/>
          <w:szCs w:val="32"/>
          <w:lang w:val="en-US" w:eastAsia="zh-CN"/>
        </w:rPr>
        <w:t>563653.5</w:t>
      </w:r>
      <w:r>
        <w:rPr>
          <w:rFonts w:hint="eastAsia" w:ascii="仿宋_GB2312" w:hAnsi="仿宋_GB2312" w:eastAsia="仿宋_GB2312" w:cs="仿宋_GB2312"/>
          <w:sz w:val="32"/>
          <w:szCs w:val="32"/>
        </w:rPr>
        <w:t>元，绩效工资</w:t>
      </w:r>
      <w:r>
        <w:rPr>
          <w:rFonts w:hint="eastAsia" w:ascii="仿宋_GB2312" w:hAnsi="仿宋_GB2312" w:eastAsia="仿宋_GB2312" w:cs="仿宋_GB2312"/>
          <w:sz w:val="32"/>
          <w:szCs w:val="32"/>
          <w:lang w:val="en-US" w:eastAsia="zh-CN"/>
        </w:rPr>
        <w:t>3170575</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893642.4</w:t>
      </w:r>
      <w:r>
        <w:rPr>
          <w:rFonts w:hint="eastAsia" w:ascii="仿宋_GB2312" w:hAnsi="仿宋_GB2312" w:eastAsia="仿宋_GB2312" w:cs="仿宋_GB2312"/>
          <w:sz w:val="32"/>
          <w:szCs w:val="32"/>
        </w:rPr>
        <w:t>元，职业年金缴费</w:t>
      </w:r>
      <w:r>
        <w:rPr>
          <w:rFonts w:hint="eastAsia" w:ascii="仿宋_GB2312" w:hAnsi="仿宋_GB2312" w:eastAsia="仿宋_GB2312" w:cs="仿宋_GB2312"/>
          <w:sz w:val="32"/>
          <w:szCs w:val="32"/>
          <w:lang w:val="en-US" w:eastAsia="zh-CN"/>
        </w:rPr>
        <w:t>406033.56</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职工基本医疗保险缴费</w:t>
      </w:r>
      <w:r>
        <w:rPr>
          <w:rFonts w:hint="eastAsia" w:ascii="仿宋_GB2312" w:hAnsi="仿宋_GB2312" w:eastAsia="仿宋_GB2312" w:cs="仿宋_GB2312"/>
          <w:sz w:val="32"/>
          <w:szCs w:val="32"/>
          <w:lang w:val="en-US" w:eastAsia="zh-CN"/>
        </w:rPr>
        <w:t>391006.35</w:t>
      </w:r>
      <w:r>
        <w:rPr>
          <w:rFonts w:hint="eastAsia" w:ascii="仿宋_GB2312" w:hAnsi="仿宋_GB2312" w:eastAsia="仿宋_GB2312" w:cs="仿宋_GB2312"/>
          <w:sz w:val="32"/>
          <w:szCs w:val="32"/>
        </w:rPr>
        <w:t>元，其他社会保障缴费</w:t>
      </w:r>
      <w:r>
        <w:rPr>
          <w:rFonts w:hint="eastAsia" w:ascii="仿宋_GB2312" w:hAnsi="仿宋_GB2312" w:eastAsia="仿宋_GB2312" w:cs="仿宋_GB2312"/>
          <w:sz w:val="32"/>
          <w:szCs w:val="32"/>
          <w:lang w:val="en-US" w:eastAsia="zh-CN"/>
        </w:rPr>
        <w:t>135548.46</w:t>
      </w:r>
      <w:r>
        <w:rPr>
          <w:rFonts w:hint="eastAsia" w:ascii="仿宋_GB2312" w:hAnsi="仿宋_GB2312" w:eastAsia="仿宋_GB2312" w:cs="仿宋_GB2312"/>
          <w:sz w:val="32"/>
          <w:szCs w:val="32"/>
        </w:rPr>
        <w:t>元，住房公积金</w:t>
      </w:r>
      <w:r>
        <w:rPr>
          <w:rFonts w:hint="eastAsia" w:ascii="仿宋_GB2312" w:hAnsi="仿宋_GB2312" w:eastAsia="仿宋_GB2312" w:cs="仿宋_GB2312"/>
          <w:sz w:val="32"/>
          <w:szCs w:val="32"/>
          <w:lang w:val="en-US" w:eastAsia="zh-CN"/>
        </w:rPr>
        <w:t>532570</w:t>
      </w:r>
      <w:r>
        <w:rPr>
          <w:rFonts w:hint="eastAsia" w:ascii="仿宋_GB2312" w:hAnsi="仿宋_GB2312" w:eastAsia="仿宋_GB2312" w:cs="仿宋_GB2312"/>
          <w:sz w:val="32"/>
          <w:szCs w:val="32"/>
        </w:rPr>
        <w:t>元，办公费</w:t>
      </w:r>
      <w:r>
        <w:rPr>
          <w:rFonts w:hint="eastAsia" w:ascii="仿宋_GB2312" w:hAnsi="仿宋_GB2312" w:eastAsia="仿宋_GB2312" w:cs="仿宋_GB2312"/>
          <w:sz w:val="32"/>
          <w:szCs w:val="32"/>
          <w:lang w:val="en-US" w:eastAsia="zh-CN"/>
        </w:rPr>
        <w:t>47651</w:t>
      </w:r>
      <w:r>
        <w:rPr>
          <w:rFonts w:hint="eastAsia" w:ascii="仿宋_GB2312" w:hAnsi="仿宋_GB2312" w:eastAsia="仿宋_GB2312" w:cs="仿宋_GB2312"/>
          <w:sz w:val="32"/>
          <w:szCs w:val="32"/>
        </w:rPr>
        <w:t>元，差旅费</w:t>
      </w:r>
      <w:r>
        <w:rPr>
          <w:rFonts w:hint="eastAsia" w:ascii="仿宋_GB2312" w:hAnsi="仿宋_GB2312" w:eastAsia="仿宋_GB2312" w:cs="仿宋_GB2312"/>
          <w:sz w:val="32"/>
          <w:szCs w:val="32"/>
          <w:lang w:val="en-US" w:eastAsia="zh-CN"/>
        </w:rPr>
        <w:t>232000.2</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eastAsia="zh-CN"/>
        </w:rPr>
        <w:t>维修费</w:t>
      </w:r>
      <w:r>
        <w:rPr>
          <w:rFonts w:hint="eastAsia" w:ascii="仿宋_GB2312" w:hAnsi="仿宋_GB2312" w:eastAsia="仿宋_GB2312" w:cs="仿宋_GB2312"/>
          <w:sz w:val="32"/>
          <w:szCs w:val="32"/>
          <w:lang w:val="en-US" w:eastAsia="zh-CN"/>
        </w:rPr>
        <w:t>127894.01元，</w:t>
      </w:r>
      <w:r>
        <w:rPr>
          <w:rFonts w:hint="eastAsia" w:ascii="仿宋_GB2312" w:hAnsi="仿宋_GB2312" w:eastAsia="仿宋_GB2312" w:cs="仿宋_GB2312"/>
          <w:sz w:val="32"/>
          <w:szCs w:val="32"/>
        </w:rPr>
        <w:t>培训费</w:t>
      </w:r>
      <w:r>
        <w:rPr>
          <w:rFonts w:hint="eastAsia" w:ascii="仿宋_GB2312" w:hAnsi="仿宋_GB2312" w:eastAsia="仿宋_GB2312" w:cs="仿宋_GB2312"/>
          <w:sz w:val="32"/>
          <w:szCs w:val="32"/>
          <w:lang w:val="en-US" w:eastAsia="zh-CN"/>
        </w:rPr>
        <w:t>40531</w:t>
      </w:r>
      <w:r>
        <w:rPr>
          <w:rFonts w:hint="eastAsia" w:ascii="仿宋_GB2312" w:hAnsi="仿宋_GB2312" w:eastAsia="仿宋_GB2312" w:cs="仿宋_GB2312"/>
          <w:sz w:val="32"/>
          <w:szCs w:val="32"/>
        </w:rPr>
        <w:t>元，其他商品和服务支出</w:t>
      </w:r>
      <w:r>
        <w:rPr>
          <w:rFonts w:hint="eastAsia" w:ascii="仿宋_GB2312" w:hAnsi="仿宋_GB2312" w:eastAsia="仿宋_GB2312" w:cs="仿宋_GB2312"/>
          <w:sz w:val="32"/>
          <w:szCs w:val="32"/>
          <w:lang w:val="en-US" w:eastAsia="zh-CN"/>
        </w:rPr>
        <w:t>35876</w:t>
      </w:r>
      <w:r>
        <w:rPr>
          <w:rFonts w:hint="eastAsia" w:ascii="仿宋_GB2312" w:hAnsi="仿宋_GB2312" w:eastAsia="仿宋_GB2312" w:cs="仿宋_GB2312"/>
          <w:sz w:val="32"/>
          <w:szCs w:val="32"/>
        </w:rPr>
        <w:t>元，生活补助</w:t>
      </w:r>
      <w:r>
        <w:rPr>
          <w:rFonts w:hint="eastAsia" w:ascii="仿宋_GB2312" w:hAnsi="仿宋_GB2312" w:eastAsia="仿宋_GB2312" w:cs="仿宋_GB2312"/>
          <w:sz w:val="32"/>
          <w:szCs w:val="32"/>
          <w:lang w:val="en-US" w:eastAsia="zh-CN"/>
        </w:rPr>
        <w:t>242100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14:paraId="2E03F3D9">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（三）年末结转和结余情况。</w:t>
      </w:r>
    </w:p>
    <w:p w14:paraId="437835B3">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1</w:t>
      </w:r>
      <w:r>
        <w:rPr>
          <w:rFonts w:hint="eastAsia" w:ascii="Times New Roman" w:eastAsia="仿宋_GB2312"/>
          <w:sz w:val="32"/>
          <w:szCs w:val="11"/>
        </w:rPr>
        <w:t>．分资金来源、资金性质结转和结余情况，特别是项目经费结转和结余情况。</w:t>
      </w:r>
    </w:p>
    <w:p w14:paraId="2EF10552">
      <w:pPr>
        <w:pStyle w:val="8"/>
        <w:spacing w:line="560" w:lineRule="exact"/>
        <w:ind w:firstLine="640" w:firstLineChars="200"/>
        <w:rPr>
          <w:rFonts w:hint="eastAsia" w:ascii="Times New Roman" w:hAnsi="Times New Roman" w:eastAsia="仿宋_GB2312"/>
          <w:sz w:val="32"/>
          <w:szCs w:val="11"/>
          <w:lang w:eastAsia="zh-CN"/>
        </w:rPr>
      </w:pPr>
      <w:r>
        <w:rPr>
          <w:rFonts w:hint="eastAsia" w:ascii="Times New Roman" w:hAnsi="Times New Roman" w:eastAsia="仿宋_GB2312"/>
          <w:sz w:val="32"/>
          <w:szCs w:val="11"/>
          <w:lang w:eastAsia="zh-CN"/>
        </w:rPr>
        <w:t>无</w:t>
      </w:r>
    </w:p>
    <w:p w14:paraId="07F16ADC">
      <w:pPr>
        <w:pStyle w:val="8"/>
        <w:spacing w:line="560" w:lineRule="exact"/>
        <w:ind w:firstLine="640" w:firstLineChars="200"/>
        <w:rPr>
          <w:rFonts w:ascii="Times New Roman" w:hAnsi="Times New Roman" w:eastAsia="仿宋_GB2312"/>
          <w:sz w:val="32"/>
          <w:szCs w:val="11"/>
        </w:rPr>
      </w:pPr>
      <w:r>
        <w:rPr>
          <w:rFonts w:hint="eastAsia" w:ascii="Times New Roman" w:hAnsi="Times New Roman" w:eastAsia="仿宋_GB2312"/>
          <w:sz w:val="32"/>
          <w:szCs w:val="11"/>
        </w:rPr>
        <w:t>2</w:t>
      </w:r>
      <w:r>
        <w:rPr>
          <w:rFonts w:hint="eastAsia" w:ascii="Times New Roman" w:eastAsia="仿宋_GB2312"/>
          <w:sz w:val="32"/>
          <w:szCs w:val="11"/>
        </w:rPr>
        <w:t>．结转和结余规模较大的原因分析及消化结转和结余的对策。</w:t>
      </w:r>
    </w:p>
    <w:p w14:paraId="2C46FB27">
      <w:pPr>
        <w:pStyle w:val="8"/>
        <w:spacing w:line="560" w:lineRule="exact"/>
        <w:ind w:firstLine="640" w:firstLineChars="200"/>
        <w:rPr>
          <w:rFonts w:hint="eastAsia" w:ascii="Times New Roman" w:hAnsi="Times New Roman" w:eastAsia="仿宋_GB2312"/>
          <w:sz w:val="32"/>
          <w:szCs w:val="11"/>
          <w:lang w:eastAsia="zh-CN"/>
        </w:rPr>
      </w:pPr>
      <w:r>
        <w:rPr>
          <w:rFonts w:hint="eastAsia" w:ascii="Times New Roman" w:eastAsia="仿宋_GB2312"/>
          <w:sz w:val="32"/>
          <w:szCs w:val="11"/>
          <w:lang w:eastAsia="zh-CN"/>
        </w:rPr>
        <w:t>无</w:t>
      </w:r>
    </w:p>
    <w:p w14:paraId="0F784B74">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（四）与预算支出相关的其他指标分析。</w:t>
      </w:r>
    </w:p>
    <w:p w14:paraId="50A4E030">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对资产、负债信息进行分析，主要分析与上年度对比情况，包括增减绝对值与幅度，增减变动主要原因</w:t>
      </w:r>
      <w:r>
        <w:rPr>
          <w:rFonts w:hint="eastAsia" w:ascii="Times New Roman" w:hAnsi="Times New Roman" w:eastAsia="仿宋_GB2312"/>
          <w:sz w:val="32"/>
          <w:szCs w:val="11"/>
        </w:rPr>
        <w:t>(</w:t>
      </w:r>
      <w:r>
        <w:rPr>
          <w:rFonts w:hint="eastAsia" w:ascii="Times New Roman" w:eastAsia="仿宋_GB2312"/>
          <w:sz w:val="32"/>
          <w:szCs w:val="11"/>
        </w:rPr>
        <w:t>可用柱形图或折线图</w:t>
      </w:r>
      <w:r>
        <w:rPr>
          <w:rFonts w:hint="eastAsia" w:ascii="Times New Roman" w:hAnsi="Times New Roman" w:eastAsia="仿宋_GB2312"/>
          <w:sz w:val="32"/>
          <w:szCs w:val="11"/>
        </w:rPr>
        <w:t>)</w:t>
      </w:r>
      <w:r>
        <w:rPr>
          <w:rFonts w:hint="eastAsia" w:ascii="Times New Roman" w:eastAsia="仿宋_GB2312"/>
          <w:sz w:val="32"/>
          <w:szCs w:val="11"/>
        </w:rPr>
        <w:t>，对预算编制和执行的影响等。</w:t>
      </w:r>
    </w:p>
    <w:p w14:paraId="6C427A74">
      <w:pPr>
        <w:pStyle w:val="8"/>
        <w:spacing w:line="560" w:lineRule="exact"/>
        <w:ind w:firstLine="640" w:firstLineChars="200"/>
        <w:rPr>
          <w:rFonts w:ascii="Times New Roman" w:hAnsi="Times New Roman" w:eastAsia="仿宋_GB2312"/>
          <w:sz w:val="32"/>
          <w:szCs w:val="11"/>
        </w:rPr>
      </w:pPr>
      <w:r>
        <w:rPr>
          <w:rFonts w:hint="eastAsia" w:ascii="Times New Roman" w:hAnsi="Times New Roman" w:eastAsia="仿宋_GB2312"/>
          <w:sz w:val="32"/>
          <w:szCs w:val="11"/>
          <w:lang w:eastAsia="zh-CN"/>
        </w:rPr>
        <w:t>无</w:t>
      </w:r>
      <w:r>
        <w:rPr>
          <w:rFonts w:hint="eastAsia" w:ascii="Times New Roman" w:eastAsia="仿宋_GB2312"/>
          <w:sz w:val="32"/>
          <w:szCs w:val="11"/>
        </w:rPr>
        <w:t>。</w:t>
      </w:r>
    </w:p>
    <w:p w14:paraId="43C90216">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（五）绩效目标完成情况。</w:t>
      </w:r>
    </w:p>
    <w:p w14:paraId="33DFAE9B">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1.</w:t>
      </w:r>
      <w:r>
        <w:rPr>
          <w:rFonts w:hint="eastAsia" w:ascii="Times New Roman" w:eastAsia="仿宋_GB2312"/>
          <w:sz w:val="32"/>
          <w:szCs w:val="11"/>
        </w:rPr>
        <w:t>概述项目绩效目标完成情况。</w:t>
      </w:r>
    </w:p>
    <w:p w14:paraId="62179D24">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lang w:eastAsia="zh-CN"/>
        </w:rPr>
        <w:t>2025</w:t>
      </w:r>
      <w:r>
        <w:rPr>
          <w:rFonts w:hint="eastAsia" w:ascii="Times New Roman" w:eastAsia="仿宋_GB2312"/>
          <w:sz w:val="32"/>
        </w:rPr>
        <w:t>年我单位完成，行政事业单位内控报告编报工作，州财政局机关维修维护、本年公务用车大修、资产管理培训及报表编报、会计培训、预算一体化培训、年度全州各项财政资金拨付，监控等，安排紧密，顺利实现职能职责。</w:t>
      </w:r>
    </w:p>
    <w:p w14:paraId="35AD8C9A">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2.</w:t>
      </w:r>
      <w:r>
        <w:rPr>
          <w:rFonts w:hint="eastAsia" w:ascii="Times New Roman" w:eastAsia="仿宋_GB2312"/>
          <w:sz w:val="32"/>
          <w:szCs w:val="11"/>
        </w:rPr>
        <w:t>概述本单位整体支出绩效目标实现情况（如有）。</w:t>
      </w:r>
    </w:p>
    <w:p w14:paraId="3E96663C">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无。</w:t>
      </w:r>
    </w:p>
    <w:p w14:paraId="4492CB5C">
      <w:pPr>
        <w:pStyle w:val="8"/>
        <w:spacing w:line="560" w:lineRule="exact"/>
        <w:ind w:firstLine="643" w:firstLineChars="200"/>
        <w:rPr>
          <w:rFonts w:ascii="Times New Roman" w:hAnsi="Times New Roman" w:eastAsia="仿宋_GB2312"/>
          <w:sz w:val="32"/>
        </w:rPr>
      </w:pPr>
      <w:r>
        <w:rPr>
          <w:rStyle w:val="12"/>
          <w:rFonts w:hint="eastAsia" w:ascii="Times New Roman" w:eastAsia="仿宋_GB2312"/>
          <w:sz w:val="32"/>
          <w:szCs w:val="11"/>
        </w:rPr>
        <w:t>（六）当年预算执行及绩效管理中存在问题、原因及改进措施。</w:t>
      </w:r>
    </w:p>
    <w:p w14:paraId="3A7C7EE5">
      <w:pPr>
        <w:pStyle w:val="8"/>
        <w:spacing w:line="560" w:lineRule="exact"/>
        <w:ind w:firstLine="640" w:firstLineChars="200"/>
        <w:rPr>
          <w:rFonts w:ascii="Times New Roman" w:hAnsi="Times New Roman" w:eastAsia="仿宋_GB2312"/>
          <w:sz w:val="32"/>
        </w:rPr>
      </w:pPr>
      <w:r>
        <w:rPr>
          <w:rFonts w:hint="eastAsia" w:ascii="Times New Roman" w:eastAsia="仿宋_GB2312"/>
          <w:sz w:val="32"/>
        </w:rPr>
        <w:t>支付进度在全州为中等水平，加快支付进度，强化资金支出监督。</w:t>
      </w:r>
    </w:p>
    <w:p w14:paraId="760701A0">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三、本年度部门决算等财务工作开展情况</w:t>
      </w:r>
    </w:p>
    <w:p w14:paraId="5086B173">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（一）本单位财务管理、绩效管理、决算组织、编报、审核情况。</w:t>
      </w:r>
    </w:p>
    <w:p w14:paraId="23062A63">
      <w:pPr>
        <w:pStyle w:val="8"/>
        <w:spacing w:line="560" w:lineRule="exact"/>
        <w:ind w:firstLine="640" w:firstLineChars="200"/>
        <w:rPr>
          <w:rFonts w:ascii="Times New Roman" w:hAnsi="Times New Roman" w:eastAsia="仿宋_GB2312"/>
          <w:sz w:val="32"/>
        </w:rPr>
      </w:pPr>
      <w:r>
        <w:rPr>
          <w:rFonts w:hint="eastAsia" w:ascii="Times New Roman" w:eastAsia="仿宋_GB2312"/>
          <w:sz w:val="32"/>
        </w:rPr>
        <w:t>按规范程序审核，扎实开展财务决算工作。</w:t>
      </w:r>
    </w:p>
    <w:p w14:paraId="4F53A914">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（二）本单位决算及绩效信息公开工作开展情况。</w:t>
      </w:r>
    </w:p>
    <w:p w14:paraId="1C447344">
      <w:pPr>
        <w:pStyle w:val="8"/>
        <w:spacing w:line="560" w:lineRule="exact"/>
        <w:ind w:firstLine="640" w:firstLineChars="200"/>
        <w:rPr>
          <w:rFonts w:ascii="Times New Roman" w:hAnsi="Times New Roman" w:eastAsia="仿宋_GB2312"/>
          <w:sz w:val="32"/>
        </w:rPr>
      </w:pPr>
      <w:r>
        <w:rPr>
          <w:rFonts w:hint="eastAsia" w:ascii="Times New Roman" w:eastAsia="仿宋_GB2312"/>
          <w:sz w:val="32"/>
        </w:rPr>
        <w:t>按要求公开。</w:t>
      </w:r>
    </w:p>
    <w:p w14:paraId="5A1FEEB1">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（三）对单位决算管理及报表设计的意见建议。</w:t>
      </w:r>
    </w:p>
    <w:p w14:paraId="7403D2FD">
      <w:pPr>
        <w:pStyle w:val="8"/>
        <w:spacing w:line="560" w:lineRule="exact"/>
        <w:ind w:firstLine="640" w:firstLineChars="200"/>
        <w:rPr>
          <w:rFonts w:ascii="Times New Roman" w:hAnsi="Times New Roman" w:eastAsia="仿宋_GB2312"/>
          <w:sz w:val="32"/>
        </w:rPr>
      </w:pPr>
      <w:r>
        <w:rPr>
          <w:rFonts w:hint="eastAsia" w:ascii="Times New Roman" w:eastAsia="仿宋_GB2312"/>
          <w:sz w:val="32"/>
        </w:rPr>
        <w:t>无。</w:t>
      </w:r>
    </w:p>
    <w:p w14:paraId="41D5DF30">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（四）对加强部门决算数据分析利用工作的建议。</w:t>
      </w:r>
    </w:p>
    <w:p w14:paraId="0021210B">
      <w:pPr>
        <w:pStyle w:val="8"/>
        <w:spacing w:line="560" w:lineRule="exact"/>
        <w:ind w:firstLine="640" w:firstLineChars="200"/>
        <w:rPr>
          <w:rFonts w:ascii="Times New Roman" w:hAnsi="Times New Roman" w:eastAsia="仿宋_GB2312"/>
          <w:sz w:val="32"/>
        </w:rPr>
      </w:pPr>
      <w:r>
        <w:rPr>
          <w:rFonts w:hint="eastAsia" w:ascii="Times New Roman" w:eastAsia="仿宋_GB2312"/>
          <w:sz w:val="32"/>
        </w:rPr>
        <w:t>无。</w:t>
      </w:r>
    </w:p>
    <w:p w14:paraId="1B9C8203">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注：收入支出预算执行情况分析可参考部门决算分析评价表（见软件查询模板）及行政事业单位财务分析指标（附后）。</w:t>
      </w:r>
    </w:p>
    <w:p w14:paraId="163E1AFD">
      <w:pPr>
        <w:pStyle w:val="8"/>
        <w:spacing w:line="560" w:lineRule="exact"/>
        <w:ind w:firstLine="640" w:firstLineChars="200"/>
        <w:rPr>
          <w:rFonts w:ascii="Times New Roman" w:hAnsi="Times New Roman" w:eastAsia="仿宋_GB2312"/>
          <w:sz w:val="32"/>
        </w:rPr>
      </w:pPr>
      <w:r>
        <w:rPr>
          <w:rFonts w:ascii="Times New Roman" w:hAnsi="Times New Roman" w:eastAsia="仿宋_GB2312"/>
          <w:sz w:val="32"/>
        </w:rPr>
        <w:br w:type="textWrapping"/>
      </w:r>
      <w:r>
        <w:rPr>
          <w:rFonts w:hint="eastAsia" w:ascii="Times New Roman" w:eastAsia="仿宋_GB2312"/>
          <w:sz w:val="32"/>
          <w:szCs w:val="11"/>
        </w:rPr>
        <w:t>附：</w:t>
      </w:r>
    </w:p>
    <w:p w14:paraId="5CF9EEDA">
      <w:pPr>
        <w:pStyle w:val="8"/>
        <w:spacing w:line="560" w:lineRule="exact"/>
        <w:ind w:firstLine="640" w:firstLineChars="200"/>
        <w:jc w:val="center"/>
        <w:rPr>
          <w:rFonts w:ascii="Times New Roman" w:hAnsi="Times New Roman" w:eastAsia="仿宋_GB2312"/>
          <w:sz w:val="32"/>
        </w:rPr>
      </w:pPr>
      <w:r>
        <w:rPr>
          <w:rFonts w:ascii="Times New Roman" w:hAnsi="Times New Roman" w:eastAsia="仿宋_GB2312"/>
          <w:sz w:val="32"/>
        </w:rPr>
        <w:t> </w:t>
      </w:r>
    </w:p>
    <w:p w14:paraId="57E1AAFE">
      <w:pPr>
        <w:pStyle w:val="8"/>
        <w:spacing w:line="560" w:lineRule="exact"/>
        <w:ind w:firstLine="640" w:firstLineChars="200"/>
        <w:jc w:val="center"/>
        <w:rPr>
          <w:rFonts w:ascii="Times New Roman" w:hAnsi="Times New Roman" w:eastAsia="仿宋_GB2312"/>
          <w:sz w:val="32"/>
        </w:rPr>
      </w:pPr>
      <w:r>
        <w:rPr>
          <w:rFonts w:hint="eastAsia" w:ascii="Times New Roman" w:eastAsia="仿宋_GB2312"/>
          <w:sz w:val="32"/>
          <w:szCs w:val="11"/>
        </w:rPr>
        <w:t>行政事业单位财务分析指标</w:t>
      </w:r>
    </w:p>
    <w:p w14:paraId="2155DFF0">
      <w:pPr>
        <w:pStyle w:val="8"/>
        <w:spacing w:line="560" w:lineRule="exact"/>
        <w:ind w:firstLine="640" w:firstLineChars="200"/>
        <w:rPr>
          <w:rFonts w:ascii="Times New Roman" w:hAnsi="Times New Roman" w:eastAsia="仿宋_GB2312"/>
          <w:sz w:val="32"/>
        </w:rPr>
      </w:pPr>
      <w:r>
        <w:rPr>
          <w:rFonts w:ascii="Times New Roman" w:hAnsi="Times New Roman" w:eastAsia="仿宋_GB2312"/>
          <w:sz w:val="32"/>
        </w:rPr>
        <w:t> </w:t>
      </w:r>
    </w:p>
    <w:p w14:paraId="54D6C185">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一、行政单位财务分析指标</w:t>
      </w:r>
    </w:p>
    <w:p w14:paraId="51A44DF6">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1.</w:t>
      </w:r>
      <w:r>
        <w:rPr>
          <w:rFonts w:hint="eastAsia" w:ascii="Times New Roman" w:eastAsia="仿宋_GB2312"/>
          <w:sz w:val="32"/>
          <w:szCs w:val="11"/>
        </w:rPr>
        <w:t>支出增长率，衡量行政单位支出的增长水平。计算公式为：</w:t>
      </w:r>
    </w:p>
    <w:p w14:paraId="4D9E3299">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支出增长率＝</w:t>
      </w:r>
      <w:r>
        <w:rPr>
          <w:rFonts w:hint="eastAsia" w:ascii="Times New Roman" w:hAnsi="Times New Roman" w:eastAsia="仿宋_GB2312"/>
          <w:sz w:val="32"/>
          <w:szCs w:val="11"/>
        </w:rPr>
        <w:t>(</w:t>
      </w:r>
      <w:r>
        <w:rPr>
          <w:rFonts w:hint="eastAsia" w:ascii="Times New Roman" w:eastAsia="仿宋_GB2312"/>
          <w:sz w:val="32"/>
          <w:szCs w:val="11"/>
        </w:rPr>
        <w:t>本期支出总额</w:t>
      </w:r>
      <w:r>
        <w:rPr>
          <w:rFonts w:hint="eastAsia" w:ascii="Times New Roman" w:hAnsi="Times New Roman" w:eastAsia="仿宋_GB2312"/>
          <w:sz w:val="32"/>
          <w:szCs w:val="11"/>
        </w:rPr>
        <w:t>÷</w:t>
      </w:r>
      <w:r>
        <w:rPr>
          <w:rFonts w:hint="eastAsia" w:ascii="Times New Roman" w:eastAsia="仿宋_GB2312"/>
          <w:sz w:val="32"/>
          <w:szCs w:val="11"/>
        </w:rPr>
        <w:t>上期支出总额</w:t>
      </w:r>
      <w:r>
        <w:rPr>
          <w:rFonts w:hint="eastAsia" w:ascii="Times New Roman" w:hAnsi="Times New Roman" w:eastAsia="仿宋_GB2312"/>
          <w:sz w:val="32"/>
          <w:szCs w:val="11"/>
        </w:rPr>
        <w:t>-1)×100%=</w:t>
      </w:r>
      <w:r>
        <w:rPr>
          <w:rFonts w:hint="eastAsia" w:ascii="Times New Roman" w:hAnsi="Times New Roman" w:eastAsia="仿宋_GB2312"/>
          <w:sz w:val="32"/>
          <w:szCs w:val="11"/>
          <w:lang w:val="en-US" w:eastAsia="zh-CN"/>
        </w:rPr>
        <w:t>-1.7</w:t>
      </w:r>
      <w:r>
        <w:rPr>
          <w:rFonts w:hint="eastAsia" w:ascii="Times New Roman" w:hAnsi="Times New Roman" w:eastAsia="仿宋_GB2312"/>
          <w:sz w:val="32"/>
          <w:szCs w:val="11"/>
        </w:rPr>
        <w:t>%</w:t>
      </w:r>
    </w:p>
    <w:p w14:paraId="54E39063">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2.</w:t>
      </w:r>
      <w:r>
        <w:rPr>
          <w:rFonts w:hint="eastAsia" w:ascii="Times New Roman" w:eastAsia="仿宋_GB2312"/>
          <w:sz w:val="32"/>
          <w:szCs w:val="11"/>
        </w:rPr>
        <w:t>当年预算支出完成率，衡量行政单位当年支出总预算及分项预算完成的程度。计算公式为：</w:t>
      </w:r>
    </w:p>
    <w:p w14:paraId="1295142F">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当年预算支出完成率＝年终执行数</w:t>
      </w:r>
      <w:r>
        <w:rPr>
          <w:rFonts w:hint="eastAsia" w:ascii="Times New Roman" w:hAnsi="Times New Roman" w:eastAsia="仿宋_GB2312"/>
          <w:sz w:val="32"/>
          <w:szCs w:val="11"/>
        </w:rPr>
        <w:t>÷</w:t>
      </w:r>
      <w:r>
        <w:rPr>
          <w:rFonts w:hint="eastAsia" w:ascii="Times New Roman" w:eastAsia="仿宋_GB2312"/>
          <w:sz w:val="32"/>
          <w:szCs w:val="11"/>
        </w:rPr>
        <w:t>调整预算数</w:t>
      </w:r>
      <w:r>
        <w:rPr>
          <w:rFonts w:hint="eastAsia" w:ascii="Times New Roman" w:hAnsi="Times New Roman" w:eastAsia="仿宋_GB2312"/>
          <w:sz w:val="32"/>
          <w:szCs w:val="11"/>
        </w:rPr>
        <w:t>×100%=100.00%</w:t>
      </w:r>
    </w:p>
    <w:p w14:paraId="6A5194A8">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3.</w:t>
      </w:r>
      <w:r>
        <w:rPr>
          <w:rFonts w:hint="eastAsia" w:ascii="Times New Roman" w:eastAsia="仿宋_GB2312"/>
          <w:sz w:val="32"/>
          <w:szCs w:val="11"/>
        </w:rPr>
        <w:t>人均开支，衡量行政单位人均年消耗经费水平。计算公式为：</w:t>
      </w:r>
    </w:p>
    <w:p w14:paraId="7E282651">
      <w:pPr>
        <w:pStyle w:val="8"/>
        <w:spacing w:line="560" w:lineRule="exact"/>
        <w:ind w:firstLine="640" w:firstLineChars="200"/>
        <w:rPr>
          <w:rFonts w:hint="default" w:ascii="Times New Roman" w:hAnsi="Times New Roman" w:eastAsia="仿宋_GB2312"/>
          <w:sz w:val="32"/>
          <w:lang w:val="en-US" w:eastAsia="zh-CN"/>
        </w:rPr>
      </w:pPr>
      <w:r>
        <w:rPr>
          <w:rFonts w:hint="eastAsia" w:ascii="Times New Roman" w:eastAsia="仿宋_GB2312"/>
          <w:sz w:val="32"/>
          <w:szCs w:val="11"/>
        </w:rPr>
        <w:t>人均开支＝本期支出数</w:t>
      </w:r>
      <w:r>
        <w:rPr>
          <w:rFonts w:hint="eastAsia" w:ascii="Times New Roman" w:hAnsi="Times New Roman" w:eastAsia="仿宋_GB2312"/>
          <w:sz w:val="32"/>
          <w:szCs w:val="11"/>
        </w:rPr>
        <w:t>÷</w:t>
      </w:r>
      <w:r>
        <w:rPr>
          <w:rFonts w:hint="eastAsia" w:ascii="Times New Roman" w:eastAsia="仿宋_GB2312"/>
          <w:sz w:val="32"/>
          <w:szCs w:val="11"/>
        </w:rPr>
        <w:t>本期平均在职人员数</w:t>
      </w:r>
      <w:r>
        <w:rPr>
          <w:rFonts w:hint="eastAsia" w:ascii="Times New Roman" w:hAnsi="Times New Roman" w:eastAsia="仿宋_GB2312"/>
          <w:sz w:val="32"/>
          <w:szCs w:val="11"/>
        </w:rPr>
        <w:t>=</w:t>
      </w:r>
      <w:r>
        <w:rPr>
          <w:rFonts w:hint="eastAsia" w:ascii="Times New Roman" w:hAnsi="Times New Roman" w:eastAsia="仿宋_GB2312"/>
          <w:sz w:val="32"/>
          <w:szCs w:val="11"/>
          <w:lang w:val="en-US" w:eastAsia="zh-CN"/>
        </w:rPr>
        <w:t>45.12</w:t>
      </w:r>
    </w:p>
    <w:p w14:paraId="08A1AD51">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4.</w:t>
      </w:r>
      <w:r>
        <w:rPr>
          <w:rFonts w:hint="eastAsia" w:ascii="Times New Roman" w:eastAsia="仿宋_GB2312"/>
          <w:sz w:val="32"/>
          <w:szCs w:val="11"/>
        </w:rPr>
        <w:t>项目支出占总支出的比率，衡量行政单位的支出结构。计算公式为：</w:t>
      </w:r>
    </w:p>
    <w:p w14:paraId="229A6DD3">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项目支出比率</w:t>
      </w:r>
      <w:r>
        <w:rPr>
          <w:rFonts w:hint="eastAsia" w:ascii="Times New Roman" w:hAnsi="Times New Roman" w:eastAsia="仿宋_GB2312"/>
          <w:sz w:val="32"/>
          <w:szCs w:val="11"/>
        </w:rPr>
        <w:t>=</w:t>
      </w:r>
      <w:r>
        <w:rPr>
          <w:rFonts w:hint="eastAsia" w:ascii="Times New Roman" w:eastAsia="仿宋_GB2312"/>
          <w:sz w:val="32"/>
          <w:szCs w:val="11"/>
        </w:rPr>
        <w:t>本期项目支出数</w:t>
      </w:r>
      <w:r>
        <w:rPr>
          <w:rFonts w:hint="eastAsia" w:ascii="Times New Roman" w:hAnsi="Times New Roman" w:eastAsia="仿宋_GB2312"/>
          <w:sz w:val="32"/>
          <w:szCs w:val="11"/>
        </w:rPr>
        <w:t>÷</w:t>
      </w:r>
      <w:r>
        <w:rPr>
          <w:rFonts w:hint="eastAsia" w:ascii="Times New Roman" w:eastAsia="仿宋_GB2312"/>
          <w:sz w:val="32"/>
          <w:szCs w:val="11"/>
        </w:rPr>
        <w:t>本期支出总数</w:t>
      </w:r>
      <w:r>
        <w:rPr>
          <w:rFonts w:hint="eastAsia" w:ascii="Times New Roman" w:hAnsi="Times New Roman" w:eastAsia="仿宋_GB2312"/>
          <w:sz w:val="32"/>
          <w:szCs w:val="11"/>
        </w:rPr>
        <w:t>×100%=</w:t>
      </w:r>
      <w:r>
        <w:rPr>
          <w:rFonts w:hint="eastAsia" w:ascii="Times New Roman" w:hAnsi="Times New Roman" w:eastAsia="仿宋_GB2312"/>
          <w:sz w:val="32"/>
          <w:szCs w:val="11"/>
          <w:lang w:val="en-US" w:eastAsia="zh-CN"/>
        </w:rPr>
        <w:t>17.32</w:t>
      </w:r>
      <w:r>
        <w:rPr>
          <w:rFonts w:hint="eastAsia" w:ascii="Times New Roman" w:hAnsi="Times New Roman" w:eastAsia="仿宋_GB2312"/>
          <w:sz w:val="32"/>
          <w:szCs w:val="11"/>
        </w:rPr>
        <w:t>%</w:t>
      </w:r>
    </w:p>
    <w:p w14:paraId="1161A97A">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5.</w:t>
      </w:r>
      <w:r>
        <w:rPr>
          <w:rFonts w:hint="eastAsia" w:ascii="Times New Roman" w:eastAsia="仿宋_GB2312"/>
          <w:sz w:val="32"/>
          <w:szCs w:val="11"/>
        </w:rPr>
        <w:t>人员支出、公用支出占总支出的比率，衡量行政单位的支出结构。计算公式为：</w:t>
      </w:r>
    </w:p>
    <w:p w14:paraId="57B5659F">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人员支出比率</w:t>
      </w:r>
      <w:r>
        <w:rPr>
          <w:rFonts w:hint="eastAsia" w:ascii="Times New Roman" w:hAnsi="Times New Roman" w:eastAsia="仿宋_GB2312"/>
          <w:sz w:val="32"/>
          <w:szCs w:val="11"/>
        </w:rPr>
        <w:t>=</w:t>
      </w:r>
      <w:r>
        <w:rPr>
          <w:rFonts w:hint="eastAsia" w:ascii="Times New Roman" w:eastAsia="仿宋_GB2312"/>
          <w:sz w:val="32"/>
          <w:szCs w:val="11"/>
        </w:rPr>
        <w:t>本期人员支出数</w:t>
      </w:r>
      <w:r>
        <w:rPr>
          <w:rFonts w:hint="eastAsia" w:ascii="Times New Roman" w:hAnsi="Times New Roman" w:eastAsia="仿宋_GB2312"/>
          <w:sz w:val="32"/>
          <w:szCs w:val="11"/>
        </w:rPr>
        <w:t>÷</w:t>
      </w:r>
      <w:r>
        <w:rPr>
          <w:rFonts w:hint="eastAsia" w:ascii="Times New Roman" w:eastAsia="仿宋_GB2312"/>
          <w:sz w:val="32"/>
          <w:szCs w:val="11"/>
        </w:rPr>
        <w:t>本期支出总数</w:t>
      </w:r>
      <w:r>
        <w:rPr>
          <w:rFonts w:hint="eastAsia" w:ascii="Times New Roman" w:hAnsi="Times New Roman" w:eastAsia="仿宋_GB2312"/>
          <w:sz w:val="32"/>
          <w:szCs w:val="11"/>
        </w:rPr>
        <w:t>×100%=</w:t>
      </w:r>
      <w:r>
        <w:rPr>
          <w:rFonts w:hint="eastAsia" w:ascii="Times New Roman" w:hAnsi="Times New Roman" w:eastAsia="仿宋_GB2312"/>
          <w:sz w:val="32"/>
          <w:szCs w:val="11"/>
          <w:lang w:val="en-US" w:eastAsia="zh-CN"/>
        </w:rPr>
        <w:t>55.41</w:t>
      </w:r>
      <w:r>
        <w:rPr>
          <w:rFonts w:hint="eastAsia" w:ascii="Times New Roman" w:hAnsi="Times New Roman" w:eastAsia="仿宋_GB2312"/>
          <w:sz w:val="32"/>
          <w:szCs w:val="11"/>
        </w:rPr>
        <w:t>%</w:t>
      </w:r>
    </w:p>
    <w:p w14:paraId="7BF345EA">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公用支出比率</w:t>
      </w:r>
      <w:r>
        <w:rPr>
          <w:rFonts w:hint="eastAsia" w:ascii="Times New Roman" w:hAnsi="Times New Roman" w:eastAsia="仿宋_GB2312"/>
          <w:sz w:val="32"/>
          <w:szCs w:val="11"/>
        </w:rPr>
        <w:t>=</w:t>
      </w:r>
      <w:r>
        <w:rPr>
          <w:rFonts w:hint="eastAsia" w:ascii="Times New Roman" w:eastAsia="仿宋_GB2312"/>
          <w:sz w:val="32"/>
          <w:szCs w:val="11"/>
        </w:rPr>
        <w:t>本期公用支出数</w:t>
      </w:r>
      <w:r>
        <w:rPr>
          <w:rFonts w:hint="eastAsia" w:ascii="Times New Roman" w:hAnsi="Times New Roman" w:eastAsia="仿宋_GB2312"/>
          <w:sz w:val="32"/>
          <w:szCs w:val="11"/>
        </w:rPr>
        <w:t>÷</w:t>
      </w:r>
      <w:r>
        <w:rPr>
          <w:rFonts w:hint="eastAsia" w:ascii="Times New Roman" w:eastAsia="仿宋_GB2312"/>
          <w:sz w:val="32"/>
          <w:szCs w:val="11"/>
        </w:rPr>
        <w:t>本期支出总数</w:t>
      </w:r>
      <w:r>
        <w:rPr>
          <w:rFonts w:hint="eastAsia" w:ascii="Times New Roman" w:hAnsi="Times New Roman" w:eastAsia="仿宋_GB2312"/>
          <w:sz w:val="32"/>
          <w:szCs w:val="11"/>
        </w:rPr>
        <w:t>×100%=</w:t>
      </w:r>
      <w:r>
        <w:rPr>
          <w:rFonts w:hint="eastAsia" w:ascii="Times New Roman" w:hAnsi="Times New Roman" w:eastAsia="仿宋_GB2312"/>
          <w:sz w:val="32"/>
          <w:szCs w:val="11"/>
          <w:lang w:val="en-US" w:eastAsia="zh-CN"/>
        </w:rPr>
        <w:t>27.30</w:t>
      </w:r>
      <w:r>
        <w:rPr>
          <w:rFonts w:hint="eastAsia" w:ascii="Times New Roman" w:hAnsi="Times New Roman" w:eastAsia="仿宋_GB2312"/>
          <w:sz w:val="32"/>
          <w:szCs w:val="11"/>
        </w:rPr>
        <w:t>%</w:t>
      </w:r>
    </w:p>
    <w:p w14:paraId="600DF443">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6.</w:t>
      </w:r>
      <w:r>
        <w:rPr>
          <w:rFonts w:hint="eastAsia" w:ascii="Times New Roman" w:eastAsia="仿宋_GB2312"/>
          <w:sz w:val="32"/>
          <w:szCs w:val="11"/>
        </w:rPr>
        <w:t>人均办公使用面积，衡量行政单位办公用房配备情况。计算公式为：</w:t>
      </w:r>
    </w:p>
    <w:p w14:paraId="45D3E228">
      <w:pPr>
        <w:pStyle w:val="8"/>
        <w:spacing w:line="560" w:lineRule="exact"/>
        <w:ind w:firstLine="640" w:firstLineChars="200"/>
        <w:rPr>
          <w:rFonts w:hint="default" w:ascii="Times New Roman" w:hAnsi="Times New Roman" w:eastAsia="仿宋_GB2312"/>
          <w:sz w:val="32"/>
          <w:lang w:val="en-US" w:eastAsia="zh-CN"/>
        </w:rPr>
      </w:pPr>
      <w:r>
        <w:rPr>
          <w:rFonts w:hint="eastAsia" w:ascii="Times New Roman" w:eastAsia="仿宋_GB2312"/>
          <w:sz w:val="32"/>
          <w:szCs w:val="11"/>
        </w:rPr>
        <w:t>人均办公使用面积</w:t>
      </w:r>
      <w:r>
        <w:rPr>
          <w:rFonts w:hint="eastAsia" w:ascii="Times New Roman" w:hAnsi="Times New Roman" w:eastAsia="仿宋_GB2312"/>
          <w:sz w:val="32"/>
          <w:szCs w:val="11"/>
        </w:rPr>
        <w:t>=</w:t>
      </w:r>
      <w:r>
        <w:rPr>
          <w:rFonts w:hint="eastAsia" w:ascii="Times New Roman" w:eastAsia="仿宋_GB2312"/>
          <w:sz w:val="32"/>
          <w:szCs w:val="11"/>
        </w:rPr>
        <w:t>本期末单位办公用房使用面积</w:t>
      </w:r>
      <w:r>
        <w:rPr>
          <w:rFonts w:hint="eastAsia" w:ascii="Times New Roman" w:hAnsi="Times New Roman" w:eastAsia="仿宋_GB2312"/>
          <w:sz w:val="32"/>
          <w:szCs w:val="11"/>
        </w:rPr>
        <w:t>÷</w:t>
      </w:r>
      <w:r>
        <w:rPr>
          <w:rFonts w:hint="eastAsia" w:ascii="Times New Roman" w:eastAsia="仿宋_GB2312"/>
          <w:sz w:val="32"/>
          <w:szCs w:val="11"/>
        </w:rPr>
        <w:t>本期末在职人员数</w:t>
      </w:r>
      <w:r>
        <w:rPr>
          <w:rFonts w:hint="eastAsia" w:ascii="Times New Roman" w:hAnsi="Times New Roman" w:eastAsia="仿宋_GB2312"/>
          <w:sz w:val="32"/>
          <w:szCs w:val="11"/>
        </w:rPr>
        <w:t>=</w:t>
      </w:r>
      <w:r>
        <w:rPr>
          <w:rFonts w:hint="eastAsia" w:ascii="Times New Roman" w:hAnsi="Times New Roman" w:eastAsia="仿宋_GB2312"/>
          <w:sz w:val="32"/>
          <w:szCs w:val="11"/>
          <w:lang w:val="en-US" w:eastAsia="zh-CN"/>
        </w:rPr>
        <w:t>39.18</w:t>
      </w:r>
    </w:p>
    <w:p w14:paraId="35AB50AC">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7.</w:t>
      </w:r>
      <w:r>
        <w:rPr>
          <w:rFonts w:hint="eastAsia" w:ascii="Times New Roman" w:eastAsia="仿宋_GB2312"/>
          <w:sz w:val="32"/>
          <w:szCs w:val="11"/>
        </w:rPr>
        <w:t>人车比例，衡量行政单位公务用车配备情况。计算公式为：</w:t>
      </w:r>
    </w:p>
    <w:p w14:paraId="6C3E7995">
      <w:pPr>
        <w:pStyle w:val="8"/>
        <w:spacing w:line="560" w:lineRule="exact"/>
        <w:ind w:firstLine="640" w:firstLineChars="200"/>
        <w:rPr>
          <w:rFonts w:hint="default" w:ascii="Times New Roman" w:hAnsi="Times New Roman" w:eastAsia="仿宋_GB2312"/>
          <w:sz w:val="32"/>
          <w:lang w:val="en-US" w:eastAsia="zh-CN"/>
        </w:rPr>
      </w:pPr>
      <w:r>
        <w:rPr>
          <w:rFonts w:hint="eastAsia" w:ascii="Times New Roman" w:eastAsia="仿宋_GB2312"/>
          <w:sz w:val="32"/>
          <w:szCs w:val="11"/>
        </w:rPr>
        <w:t>人车比例</w:t>
      </w:r>
      <w:r>
        <w:rPr>
          <w:rFonts w:hint="eastAsia" w:ascii="Times New Roman" w:hAnsi="Times New Roman" w:eastAsia="仿宋_GB2312"/>
          <w:sz w:val="32"/>
          <w:szCs w:val="11"/>
        </w:rPr>
        <w:t>=</w:t>
      </w:r>
      <w:r>
        <w:rPr>
          <w:rFonts w:hint="eastAsia" w:ascii="Times New Roman" w:eastAsia="仿宋_GB2312"/>
          <w:sz w:val="32"/>
          <w:szCs w:val="11"/>
        </w:rPr>
        <w:t>本期末在职人员数</w:t>
      </w:r>
      <w:r>
        <w:rPr>
          <w:rFonts w:hint="eastAsia" w:ascii="Times New Roman" w:hAnsi="Times New Roman" w:eastAsia="仿宋_GB2312"/>
          <w:sz w:val="32"/>
          <w:szCs w:val="11"/>
        </w:rPr>
        <w:t>÷</w:t>
      </w:r>
      <w:r>
        <w:rPr>
          <w:rFonts w:hint="eastAsia" w:ascii="Times New Roman" w:eastAsia="仿宋_GB2312"/>
          <w:sz w:val="32"/>
          <w:szCs w:val="11"/>
        </w:rPr>
        <w:t>本期末公务用车实有数</w:t>
      </w:r>
      <w:r>
        <w:rPr>
          <w:rFonts w:hint="eastAsia" w:ascii="Times New Roman" w:hAnsi="Times New Roman" w:eastAsia="仿宋_GB2312"/>
          <w:sz w:val="32"/>
          <w:szCs w:val="11"/>
        </w:rPr>
        <w:t>=1</w:t>
      </w:r>
      <w:r>
        <w:rPr>
          <w:rFonts w:hint="eastAsia" w:ascii="Times New Roman" w:hAnsi="Times New Roman" w:eastAsia="仿宋_GB2312"/>
          <w:sz w:val="32"/>
          <w:szCs w:val="11"/>
          <w:lang w:val="en-US" w:eastAsia="zh-CN"/>
        </w:rPr>
        <w:t>2.33</w:t>
      </w:r>
    </w:p>
    <w:p w14:paraId="5494FD01">
      <w:pPr>
        <w:pStyle w:val="8"/>
        <w:spacing w:line="560" w:lineRule="exact"/>
        <w:ind w:firstLine="640" w:firstLineChars="200"/>
        <w:rPr>
          <w:rFonts w:ascii="Times New Roman" w:hAnsi="Times New Roman" w:eastAsia="仿宋_GB2312"/>
          <w:sz w:val="32"/>
        </w:rPr>
      </w:pPr>
      <w:r>
        <w:rPr>
          <w:rFonts w:ascii="Times New Roman" w:hAnsi="Times New Roman" w:eastAsia="仿宋_GB2312"/>
          <w:sz w:val="32"/>
        </w:rPr>
        <w:t> </w:t>
      </w:r>
    </w:p>
    <w:p w14:paraId="4A2D0EFE">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二、事业单位财务分析指标</w:t>
      </w:r>
    </w:p>
    <w:p w14:paraId="44E32C1B">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1.</w:t>
      </w:r>
      <w:r>
        <w:rPr>
          <w:rFonts w:hint="eastAsia" w:ascii="Times New Roman" w:eastAsia="仿宋_GB2312"/>
          <w:sz w:val="32"/>
          <w:szCs w:val="11"/>
        </w:rPr>
        <w:t>预算收入和支出完成率，衡量事业单位收入和支出总预算及分项预算完成的程度。计算公式为：</w:t>
      </w:r>
    </w:p>
    <w:p w14:paraId="33B9B859">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预算收入完成率＝年终执行数</w:t>
      </w:r>
      <w:r>
        <w:rPr>
          <w:rFonts w:hint="eastAsia" w:ascii="Times New Roman" w:hAnsi="Times New Roman" w:eastAsia="仿宋_GB2312"/>
          <w:sz w:val="32"/>
          <w:szCs w:val="11"/>
        </w:rPr>
        <w:t>÷</w:t>
      </w:r>
      <w:r>
        <w:rPr>
          <w:rFonts w:hint="eastAsia" w:ascii="Times New Roman" w:eastAsia="仿宋_GB2312"/>
          <w:sz w:val="32"/>
          <w:szCs w:val="11"/>
        </w:rPr>
        <w:t>调整预算数</w:t>
      </w:r>
      <w:r>
        <w:rPr>
          <w:rFonts w:hint="eastAsia" w:ascii="Times New Roman" w:hAnsi="Times New Roman" w:eastAsia="仿宋_GB2312"/>
          <w:sz w:val="32"/>
          <w:szCs w:val="11"/>
        </w:rPr>
        <w:t>×100%=100.00%</w:t>
      </w:r>
    </w:p>
    <w:p w14:paraId="34087041">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预算支出完成率＝年终执行数</w:t>
      </w:r>
      <w:r>
        <w:rPr>
          <w:rFonts w:hint="eastAsia" w:ascii="Times New Roman" w:hAnsi="Times New Roman" w:eastAsia="仿宋_GB2312"/>
          <w:sz w:val="32"/>
          <w:szCs w:val="11"/>
        </w:rPr>
        <w:t>÷</w:t>
      </w:r>
      <w:r>
        <w:rPr>
          <w:rFonts w:hint="eastAsia" w:ascii="Times New Roman" w:eastAsia="仿宋_GB2312"/>
          <w:sz w:val="32"/>
          <w:szCs w:val="11"/>
        </w:rPr>
        <w:t>调整预算数</w:t>
      </w:r>
      <w:r>
        <w:rPr>
          <w:rFonts w:hint="eastAsia" w:ascii="Times New Roman" w:hAnsi="Times New Roman" w:eastAsia="仿宋_GB2312"/>
          <w:sz w:val="32"/>
          <w:szCs w:val="11"/>
        </w:rPr>
        <w:t>×100%=100.00%</w:t>
      </w:r>
    </w:p>
    <w:p w14:paraId="40FC7005">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2.</w:t>
      </w:r>
      <w:r>
        <w:rPr>
          <w:rFonts w:hint="eastAsia" w:ascii="Times New Roman" w:eastAsia="仿宋_GB2312"/>
          <w:sz w:val="32"/>
          <w:szCs w:val="11"/>
        </w:rPr>
        <w:t>人员支出、公用支出占事业支出的比率，衡量事业单位事业支出结构。计算公式为：</w:t>
      </w:r>
    </w:p>
    <w:p w14:paraId="216C5913">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人员支出比率＝人员支出</w:t>
      </w:r>
      <w:r>
        <w:rPr>
          <w:rFonts w:hint="eastAsia" w:ascii="Times New Roman" w:hAnsi="Times New Roman" w:eastAsia="仿宋_GB2312"/>
          <w:sz w:val="32"/>
          <w:szCs w:val="11"/>
        </w:rPr>
        <w:t>÷</w:t>
      </w:r>
      <w:r>
        <w:rPr>
          <w:rFonts w:hint="eastAsia" w:ascii="Times New Roman" w:eastAsia="仿宋_GB2312"/>
          <w:sz w:val="32"/>
          <w:szCs w:val="11"/>
        </w:rPr>
        <w:t>事业支出</w:t>
      </w:r>
      <w:r>
        <w:rPr>
          <w:rFonts w:hint="eastAsia" w:ascii="Times New Roman" w:hAnsi="Times New Roman" w:eastAsia="仿宋_GB2312"/>
          <w:sz w:val="32"/>
          <w:szCs w:val="11"/>
        </w:rPr>
        <w:t>×100%=5</w:t>
      </w:r>
      <w:r>
        <w:rPr>
          <w:rFonts w:hint="eastAsia" w:ascii="Times New Roman" w:hAnsi="Times New Roman" w:eastAsia="仿宋_GB2312"/>
          <w:sz w:val="32"/>
          <w:szCs w:val="11"/>
          <w:lang w:val="en-US" w:eastAsia="zh-CN"/>
        </w:rPr>
        <w:t>5.41</w:t>
      </w:r>
      <w:r>
        <w:rPr>
          <w:rFonts w:hint="eastAsia" w:ascii="Times New Roman" w:hAnsi="Times New Roman" w:eastAsia="仿宋_GB2312"/>
          <w:sz w:val="32"/>
          <w:szCs w:val="11"/>
        </w:rPr>
        <w:t>%</w:t>
      </w:r>
    </w:p>
    <w:p w14:paraId="1D6B56CF">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公用支出比率＝公用支出</w:t>
      </w:r>
      <w:r>
        <w:rPr>
          <w:rFonts w:hint="eastAsia" w:ascii="Times New Roman" w:hAnsi="Times New Roman" w:eastAsia="仿宋_GB2312"/>
          <w:sz w:val="32"/>
          <w:szCs w:val="11"/>
        </w:rPr>
        <w:t>÷</w:t>
      </w:r>
      <w:r>
        <w:rPr>
          <w:rFonts w:hint="eastAsia" w:ascii="Times New Roman" w:eastAsia="仿宋_GB2312"/>
          <w:sz w:val="32"/>
          <w:szCs w:val="11"/>
        </w:rPr>
        <w:t>事业支出</w:t>
      </w:r>
      <w:r>
        <w:rPr>
          <w:rFonts w:hint="eastAsia" w:ascii="Times New Roman" w:hAnsi="Times New Roman" w:eastAsia="仿宋_GB2312"/>
          <w:sz w:val="32"/>
          <w:szCs w:val="11"/>
        </w:rPr>
        <w:t>×100%=</w:t>
      </w:r>
      <w:r>
        <w:rPr>
          <w:rFonts w:hint="eastAsia" w:ascii="Times New Roman" w:hAnsi="Times New Roman" w:eastAsia="仿宋_GB2312"/>
          <w:sz w:val="32"/>
          <w:szCs w:val="11"/>
          <w:lang w:val="en-US" w:eastAsia="zh-CN"/>
        </w:rPr>
        <w:t>32.54</w:t>
      </w:r>
      <w:r>
        <w:rPr>
          <w:rFonts w:hint="eastAsia" w:ascii="Times New Roman" w:hAnsi="Times New Roman" w:eastAsia="仿宋_GB2312"/>
          <w:sz w:val="32"/>
          <w:szCs w:val="11"/>
        </w:rPr>
        <w:t>%</w:t>
      </w:r>
    </w:p>
    <w:p w14:paraId="45D66BA8">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3.</w:t>
      </w:r>
      <w:r>
        <w:rPr>
          <w:rFonts w:hint="eastAsia" w:ascii="Times New Roman" w:eastAsia="仿宋_GB2312"/>
          <w:sz w:val="32"/>
          <w:szCs w:val="11"/>
        </w:rPr>
        <w:t>人均基本支出，衡量事业单位按照实际在编人数平均的基本支出水平。计算公式为：</w:t>
      </w:r>
    </w:p>
    <w:p w14:paraId="502DD9E6">
      <w:pPr>
        <w:pStyle w:val="8"/>
        <w:spacing w:line="560" w:lineRule="exact"/>
        <w:ind w:firstLine="640" w:firstLineChars="200"/>
        <w:rPr>
          <w:rFonts w:hint="default" w:ascii="Times New Roman" w:hAnsi="Times New Roman" w:eastAsia="仿宋_GB2312"/>
          <w:sz w:val="32"/>
          <w:lang w:val="en-US" w:eastAsia="zh-CN"/>
        </w:rPr>
      </w:pPr>
      <w:r>
        <w:rPr>
          <w:rFonts w:hint="eastAsia" w:ascii="Times New Roman" w:eastAsia="仿宋_GB2312"/>
          <w:sz w:val="32"/>
          <w:szCs w:val="11"/>
        </w:rPr>
        <w:t>人均基本支出＝（基本支出</w:t>
      </w:r>
      <w:r>
        <w:rPr>
          <w:rFonts w:hint="eastAsia" w:ascii="Times New Roman" w:hAnsi="Times New Roman" w:eastAsia="仿宋_GB2312"/>
          <w:sz w:val="32"/>
          <w:szCs w:val="11"/>
        </w:rPr>
        <w:t>-</w:t>
      </w:r>
      <w:r>
        <w:rPr>
          <w:rFonts w:hint="eastAsia" w:ascii="Times New Roman" w:eastAsia="仿宋_GB2312"/>
          <w:sz w:val="32"/>
          <w:szCs w:val="11"/>
        </w:rPr>
        <w:t>离退休人员支出）</w:t>
      </w:r>
      <w:r>
        <w:rPr>
          <w:rFonts w:hint="eastAsia" w:ascii="Times New Roman" w:hAnsi="Times New Roman" w:eastAsia="仿宋_GB2312"/>
          <w:sz w:val="32"/>
          <w:szCs w:val="11"/>
        </w:rPr>
        <w:t>÷</w:t>
      </w:r>
      <w:r>
        <w:rPr>
          <w:rFonts w:hint="eastAsia" w:ascii="Times New Roman" w:eastAsia="仿宋_GB2312"/>
          <w:sz w:val="32"/>
          <w:szCs w:val="11"/>
        </w:rPr>
        <w:t>实际在编人数</w:t>
      </w:r>
      <w:r>
        <w:rPr>
          <w:rFonts w:hint="eastAsia" w:ascii="Times New Roman" w:hAnsi="Times New Roman" w:eastAsia="仿宋_GB2312"/>
          <w:sz w:val="32"/>
          <w:szCs w:val="11"/>
        </w:rPr>
        <w:t>=</w:t>
      </w:r>
      <w:r>
        <w:rPr>
          <w:rFonts w:hint="eastAsia" w:ascii="Times New Roman" w:hAnsi="Times New Roman" w:eastAsia="仿宋_GB2312"/>
          <w:sz w:val="32"/>
          <w:szCs w:val="11"/>
          <w:lang w:val="en-US" w:eastAsia="zh-CN"/>
        </w:rPr>
        <w:t>237604.77</w:t>
      </w:r>
    </w:p>
    <w:p w14:paraId="5F821722">
      <w:pPr>
        <w:pStyle w:val="8"/>
        <w:spacing w:line="560" w:lineRule="exact"/>
        <w:ind w:firstLine="640" w:firstLineChars="200"/>
        <w:rPr>
          <w:rFonts w:ascii="Times New Roman" w:hAnsi="Times New Roman" w:eastAsia="仿宋_GB2312"/>
          <w:sz w:val="32"/>
        </w:rPr>
      </w:pPr>
      <w:r>
        <w:rPr>
          <w:rFonts w:ascii="Times New Roman" w:hAnsi="Times New Roman" w:eastAsia="仿宋_GB2312"/>
          <w:sz w:val="32"/>
        </w:rPr>
        <w:t> </w:t>
      </w:r>
    </w:p>
    <w:p w14:paraId="02A1D9B0">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此外，行业事业单位还可根据相关财务制度规定和分析需要增加相关分析指标，如：</w:t>
      </w:r>
    </w:p>
    <w:p w14:paraId="476179DF">
      <w:pPr>
        <w:pStyle w:val="8"/>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szCs w:val="11"/>
        </w:rPr>
        <w:t>1.</w:t>
      </w:r>
      <w:r>
        <w:rPr>
          <w:rFonts w:hint="eastAsia" w:ascii="Times New Roman" w:eastAsia="仿宋_GB2312"/>
          <w:sz w:val="32"/>
          <w:szCs w:val="11"/>
        </w:rPr>
        <w:t>财政拨款依存度</w:t>
      </w:r>
      <w:r>
        <w:rPr>
          <w:rFonts w:hint="eastAsia" w:ascii="Times New Roman" w:hAnsi="Times New Roman" w:eastAsia="仿宋_GB2312"/>
          <w:sz w:val="32"/>
          <w:szCs w:val="11"/>
        </w:rPr>
        <w:t xml:space="preserve">, </w:t>
      </w:r>
      <w:r>
        <w:rPr>
          <w:rFonts w:hint="eastAsia" w:ascii="Times New Roman" w:eastAsia="仿宋_GB2312"/>
          <w:sz w:val="32"/>
          <w:szCs w:val="11"/>
        </w:rPr>
        <w:t>衡量部门（单位）对财政拨款的依赖程度。</w:t>
      </w:r>
    </w:p>
    <w:p w14:paraId="1173B0CB">
      <w:pPr>
        <w:pStyle w:val="8"/>
        <w:spacing w:line="560" w:lineRule="exact"/>
        <w:ind w:firstLine="640" w:firstLineChars="200"/>
        <w:rPr>
          <w:rFonts w:ascii="Times New Roman" w:hAnsi="Times New Roman" w:eastAsia="仿宋_GB2312"/>
          <w:sz w:val="32"/>
        </w:rPr>
      </w:pPr>
      <w:r>
        <w:rPr>
          <w:rFonts w:hint="eastAsia" w:ascii="Times New Roman" w:eastAsia="仿宋_GB2312"/>
          <w:sz w:val="32"/>
          <w:szCs w:val="11"/>
        </w:rPr>
        <w:t>财政拨款依存度＝财政拨款收入</w:t>
      </w:r>
      <w:r>
        <w:rPr>
          <w:rFonts w:hint="eastAsia" w:ascii="Times New Roman" w:hAnsi="Times New Roman" w:eastAsia="仿宋_GB2312"/>
          <w:sz w:val="32"/>
          <w:szCs w:val="11"/>
        </w:rPr>
        <w:t>÷</w:t>
      </w:r>
      <w:r>
        <w:rPr>
          <w:rFonts w:hint="eastAsia" w:ascii="Times New Roman" w:eastAsia="仿宋_GB2312"/>
          <w:sz w:val="32"/>
          <w:szCs w:val="11"/>
        </w:rPr>
        <w:t>收入总额</w:t>
      </w:r>
      <w:r>
        <w:rPr>
          <w:rFonts w:hint="eastAsia" w:ascii="Times New Roman" w:hAnsi="Times New Roman" w:eastAsia="仿宋_GB2312"/>
          <w:sz w:val="32"/>
          <w:szCs w:val="11"/>
        </w:rPr>
        <w:t>×100%=100.00%</w:t>
      </w:r>
    </w:p>
    <w:p w14:paraId="3D3CAE1E">
      <w:pPr>
        <w:ind w:firstLine="640"/>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2B526">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1B8A4">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DE694">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710B0">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F2F41">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AA3E8">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NkYzc1NzFiOWI5NmUwNjJhMzNjZDM5YzdhY2E3ZWQifQ=="/>
  </w:docVars>
  <w:rsids>
    <w:rsidRoot w:val="00D67694"/>
    <w:rsid w:val="00006184"/>
    <w:rsid w:val="00015745"/>
    <w:rsid w:val="00017C4B"/>
    <w:rsid w:val="00041A98"/>
    <w:rsid w:val="00062307"/>
    <w:rsid w:val="00065906"/>
    <w:rsid w:val="0007356A"/>
    <w:rsid w:val="000C5730"/>
    <w:rsid w:val="000C780D"/>
    <w:rsid w:val="0011288A"/>
    <w:rsid w:val="00113900"/>
    <w:rsid w:val="00115EE0"/>
    <w:rsid w:val="001224DA"/>
    <w:rsid w:val="001536DE"/>
    <w:rsid w:val="0016060C"/>
    <w:rsid w:val="00160F93"/>
    <w:rsid w:val="001D4D49"/>
    <w:rsid w:val="001F5DF4"/>
    <w:rsid w:val="00237C93"/>
    <w:rsid w:val="00245BA7"/>
    <w:rsid w:val="00264851"/>
    <w:rsid w:val="00276388"/>
    <w:rsid w:val="002829AE"/>
    <w:rsid w:val="00285F87"/>
    <w:rsid w:val="002C72F2"/>
    <w:rsid w:val="002E1B2D"/>
    <w:rsid w:val="002F6A9C"/>
    <w:rsid w:val="0031012F"/>
    <w:rsid w:val="003C38BC"/>
    <w:rsid w:val="003C73C7"/>
    <w:rsid w:val="003D60D3"/>
    <w:rsid w:val="003F10F0"/>
    <w:rsid w:val="00425FDC"/>
    <w:rsid w:val="00464523"/>
    <w:rsid w:val="004A4FA5"/>
    <w:rsid w:val="004E1A6C"/>
    <w:rsid w:val="00522435"/>
    <w:rsid w:val="0053489F"/>
    <w:rsid w:val="00546ED6"/>
    <w:rsid w:val="00570422"/>
    <w:rsid w:val="005A0632"/>
    <w:rsid w:val="005A4F43"/>
    <w:rsid w:val="005A654F"/>
    <w:rsid w:val="005B0747"/>
    <w:rsid w:val="005D7792"/>
    <w:rsid w:val="006001F5"/>
    <w:rsid w:val="00630AA7"/>
    <w:rsid w:val="006666AF"/>
    <w:rsid w:val="00686888"/>
    <w:rsid w:val="00686F11"/>
    <w:rsid w:val="006B3DD9"/>
    <w:rsid w:val="006C1E13"/>
    <w:rsid w:val="006C4DF8"/>
    <w:rsid w:val="006E6DA9"/>
    <w:rsid w:val="007165B7"/>
    <w:rsid w:val="007222A7"/>
    <w:rsid w:val="00744F97"/>
    <w:rsid w:val="00770E16"/>
    <w:rsid w:val="00786EF3"/>
    <w:rsid w:val="007A0571"/>
    <w:rsid w:val="007A6C68"/>
    <w:rsid w:val="007C2939"/>
    <w:rsid w:val="007E03C8"/>
    <w:rsid w:val="00850C68"/>
    <w:rsid w:val="008A764A"/>
    <w:rsid w:val="008B5EE2"/>
    <w:rsid w:val="008D32F1"/>
    <w:rsid w:val="008E2A23"/>
    <w:rsid w:val="008E7FFA"/>
    <w:rsid w:val="00900FEB"/>
    <w:rsid w:val="00922337"/>
    <w:rsid w:val="00936FDE"/>
    <w:rsid w:val="00990B62"/>
    <w:rsid w:val="009A058E"/>
    <w:rsid w:val="009B45B3"/>
    <w:rsid w:val="009C5F16"/>
    <w:rsid w:val="009E2639"/>
    <w:rsid w:val="00A01435"/>
    <w:rsid w:val="00A20377"/>
    <w:rsid w:val="00A55935"/>
    <w:rsid w:val="00A952BC"/>
    <w:rsid w:val="00B07439"/>
    <w:rsid w:val="00B07DD2"/>
    <w:rsid w:val="00B23D3F"/>
    <w:rsid w:val="00B300FA"/>
    <w:rsid w:val="00B40983"/>
    <w:rsid w:val="00B47221"/>
    <w:rsid w:val="00BA096C"/>
    <w:rsid w:val="00BB240A"/>
    <w:rsid w:val="00BB3CC6"/>
    <w:rsid w:val="00BB57E1"/>
    <w:rsid w:val="00C14BD8"/>
    <w:rsid w:val="00C23055"/>
    <w:rsid w:val="00C44123"/>
    <w:rsid w:val="00C647EB"/>
    <w:rsid w:val="00CB632C"/>
    <w:rsid w:val="00D37CA2"/>
    <w:rsid w:val="00D664CB"/>
    <w:rsid w:val="00D67694"/>
    <w:rsid w:val="00D854F6"/>
    <w:rsid w:val="00DA11C1"/>
    <w:rsid w:val="00DC41EE"/>
    <w:rsid w:val="00E36299"/>
    <w:rsid w:val="00E42422"/>
    <w:rsid w:val="00E53128"/>
    <w:rsid w:val="00EA2EA1"/>
    <w:rsid w:val="00EC1080"/>
    <w:rsid w:val="00EC5E9F"/>
    <w:rsid w:val="00EC6820"/>
    <w:rsid w:val="00F214A4"/>
    <w:rsid w:val="00F7684C"/>
    <w:rsid w:val="00FA7068"/>
    <w:rsid w:val="00FB364A"/>
    <w:rsid w:val="00FC1738"/>
    <w:rsid w:val="00FE6546"/>
    <w:rsid w:val="00FF613C"/>
    <w:rsid w:val="25B03973"/>
    <w:rsid w:val="3D0B074D"/>
    <w:rsid w:val="6A061B03"/>
    <w:rsid w:val="6BF6321D"/>
    <w:rsid w:val="7CD76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00" w:beforeAutospacing="1" w:after="100" w:afterAutospacing="1" w:line="560" w:lineRule="exact"/>
      <w:ind w:firstLine="200" w:firstLineChars="200"/>
    </w:pPr>
    <w:rPr>
      <w:rFonts w:ascii="Times New Roman" w:hAnsi="Times New Roman" w:eastAsia="仿宋_GB2312" w:cs="宋体"/>
      <w:sz w:val="32"/>
      <w:szCs w:val="19"/>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spacing w:after="120"/>
      <w:ind w:left="420" w:leftChars="200"/>
    </w:pPr>
  </w:style>
  <w:style w:type="paragraph" w:styleId="3">
    <w:name w:val="Body Text First Indent 2"/>
    <w:basedOn w:val="2"/>
    <w:next w:val="4"/>
    <w:qFormat/>
    <w:uiPriority w:val="99"/>
    <w:pPr>
      <w:spacing w:after="0"/>
      <w:ind w:left="0" w:leftChars="0" w:firstLine="420" w:firstLineChars="200"/>
    </w:pPr>
  </w:style>
  <w:style w:type="paragraph" w:styleId="4">
    <w:name w:val="Plain Text"/>
    <w:basedOn w:val="1"/>
    <w:qFormat/>
    <w:uiPriority w:val="0"/>
    <w:pPr>
      <w:widowControl w:val="0"/>
      <w:suppressAutoHyphens/>
      <w:bidi w:val="0"/>
      <w:jc w:val="both"/>
    </w:pPr>
    <w:rPr>
      <w:rFonts w:ascii="宋体" w:eastAsia="宋体" w:cs="Courier New"/>
      <w:color w:val="auto"/>
      <w:kern w:val="2"/>
      <w:sz w:val="32"/>
      <w:szCs w:val="22"/>
      <w:lang w:val="en-US" w:eastAsia="zh-CN" w:bidi="ar-SA"/>
    </w:rPr>
  </w:style>
  <w:style w:type="paragraph" w:styleId="5">
    <w:name w:val="Balloon Text"/>
    <w:basedOn w:val="1"/>
    <w:link w:val="15"/>
    <w:semiHidden/>
    <w:unhideWhenUsed/>
    <w:qFormat/>
    <w:uiPriority w:val="99"/>
    <w:pPr>
      <w:spacing w:before="0" w:after="0" w:line="240" w:lineRule="auto"/>
    </w:pPr>
    <w:rPr>
      <w:sz w:val="18"/>
      <w:szCs w:val="18"/>
    </w:rPr>
  </w:style>
  <w:style w:type="paragraph" w:styleId="6">
    <w:name w:val="footer"/>
    <w:basedOn w:val="1"/>
    <w:link w:val="14"/>
    <w:semiHidden/>
    <w:unhideWhenUsed/>
    <w:qFormat/>
    <w:uiPriority w:val="99"/>
    <w:pPr>
      <w:tabs>
        <w:tab w:val="center" w:pos="4153"/>
        <w:tab w:val="right" w:pos="8306"/>
      </w:tabs>
      <w:snapToGrid w:val="0"/>
      <w:spacing w:line="240" w:lineRule="atLeas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8">
    <w:name w:val="Normal (Web)"/>
    <w:basedOn w:val="1"/>
    <w:autoRedefine/>
    <w:unhideWhenUsed/>
    <w:qFormat/>
    <w:uiPriority w:val="99"/>
    <w:pPr>
      <w:widowControl/>
      <w:spacing w:line="240" w:lineRule="auto"/>
      <w:ind w:firstLine="0" w:firstLineChars="0"/>
    </w:pPr>
    <w:rPr>
      <w:rFonts w:ascii="宋体" w:hAnsi="宋体" w:eastAsia="宋体"/>
      <w:sz w:val="24"/>
      <w:szCs w:val="24"/>
    </w:rPr>
  </w:style>
  <w:style w:type="table" w:styleId="10">
    <w:name w:val="Table Grid"/>
    <w:basedOn w:val="9"/>
    <w:qFormat/>
    <w:uiPriority w:val="59"/>
    <w:pPr>
      <w:spacing w:before="0"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Strong"/>
    <w:basedOn w:val="11"/>
    <w:autoRedefine/>
    <w:qFormat/>
    <w:uiPriority w:val="22"/>
    <w:rPr>
      <w:b/>
      <w:bCs/>
    </w:rPr>
  </w:style>
  <w:style w:type="character" w:customStyle="1" w:styleId="13">
    <w:name w:val="页眉 Char"/>
    <w:basedOn w:val="11"/>
    <w:link w:val="7"/>
    <w:semiHidden/>
    <w:qFormat/>
    <w:uiPriority w:val="99"/>
    <w:rPr>
      <w:sz w:val="18"/>
      <w:szCs w:val="18"/>
    </w:rPr>
  </w:style>
  <w:style w:type="character" w:customStyle="1" w:styleId="14">
    <w:name w:val="页脚 Char"/>
    <w:basedOn w:val="11"/>
    <w:link w:val="6"/>
    <w:semiHidden/>
    <w:qFormat/>
    <w:uiPriority w:val="99"/>
    <w:rPr>
      <w:sz w:val="18"/>
      <w:szCs w:val="18"/>
    </w:rPr>
  </w:style>
  <w:style w:type="character" w:customStyle="1" w:styleId="15">
    <w:name w:val="批注框文本 Char"/>
    <w:basedOn w:val="11"/>
    <w:link w:val="5"/>
    <w:semiHidden/>
    <w:qFormat/>
    <w:uiPriority w:val="99"/>
    <w:rPr>
      <w:sz w:val="18"/>
      <w:szCs w:val="18"/>
    </w:rPr>
  </w:style>
  <w:style w:type="paragraph" w:customStyle="1" w:styleId="16">
    <w:name w:val="文档正文"/>
    <w:qFormat/>
    <w:uiPriority w:val="0"/>
    <w:pPr>
      <w:widowControl w:val="0"/>
      <w:adjustRightInd w:val="0"/>
      <w:spacing w:line="480" w:lineRule="atLeast"/>
      <w:jc w:val="both"/>
      <w:textAlignment w:val="baseline"/>
    </w:pPr>
    <w:rPr>
      <w:rFonts w:ascii="Arial" w:hAnsi="Arial" w:eastAsia="宋体" w:cs="Arial"/>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预算收入支出变动表</a:t>
            </a:r>
            <a:endParaRPr lang="en-US" altLang="zh-CN"/>
          </a:p>
        </c:rich>
      </c:tx>
      <c:layout/>
      <c:overlay val="0"/>
      <c:spPr>
        <a:noFill/>
        <a:ln>
          <a:noFill/>
        </a:ln>
        <a:effectLst/>
      </c:spPr>
    </c:title>
    <c:autoTitleDeleted val="0"/>
    <c:plotArea>
      <c:layout>
        <c:manualLayout>
          <c:layoutTarget val="inner"/>
          <c:xMode val="edge"/>
          <c:yMode val="edge"/>
          <c:x val="0.0869292099540952"/>
          <c:y val="0.142796430089248"/>
          <c:w val="0.89736651365064"/>
          <c:h val="0.63905652358691"/>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收入年初预算数</c:v>
                </c:pt>
                <c:pt idx="1">
                  <c:v>支出年初预算数</c:v>
                </c:pt>
              </c:strCache>
            </c:strRef>
          </c:cat>
          <c:val>
            <c:numRef>
              <c:f>Sheet1!$B$2:$B$3</c:f>
              <c:numCache>
                <c:formatCode>General</c:formatCode>
                <c:ptCount val="2"/>
                <c:pt idx="0">
                  <c:v>5779.03</c:v>
                </c:pt>
                <c:pt idx="1">
                  <c:v>5779.03</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收入年初预算数</c:v>
                </c:pt>
                <c:pt idx="1">
                  <c:v>支出年初预算数</c:v>
                </c:pt>
              </c:strCache>
            </c:strRef>
          </c:cat>
          <c:val>
            <c:numRef>
              <c:f>Sheet1!$C$2:$C$3</c:f>
              <c:numCache>
                <c:formatCode>General</c:formatCode>
                <c:ptCount val="2"/>
                <c:pt idx="0">
                  <c:v>5518.97</c:v>
                </c:pt>
                <c:pt idx="1">
                  <c:v>5518.97</c:v>
                </c:pt>
              </c:numCache>
            </c:numRef>
          </c:val>
        </c:ser>
        <c:dLbls>
          <c:showLegendKey val="0"/>
          <c:showVal val="0"/>
          <c:showCatName val="0"/>
          <c:showSerName val="0"/>
          <c:showPercent val="0"/>
          <c:showBubbleSize val="0"/>
        </c:dLbls>
        <c:gapWidth val="246"/>
        <c:overlap val="-28"/>
        <c:axId val="564247917"/>
        <c:axId val="885096921"/>
      </c:barChart>
      <c:catAx>
        <c:axId val="5642479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096921"/>
        <c:crosses val="autoZero"/>
        <c:auto val="1"/>
        <c:lblAlgn val="ctr"/>
        <c:lblOffset val="100"/>
        <c:noMultiLvlLbl val="0"/>
      </c:catAx>
      <c:valAx>
        <c:axId val="88509692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2479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93695d1-c237-4cf9-b2d2-21a91a2e0e9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202</a:t>
            </a:r>
            <a:r>
              <a:rPr lang="en-US" altLang="zh-CN"/>
              <a:t>3</a:t>
            </a:r>
            <a:r>
              <a:rPr altLang="en-US"/>
              <a:t>年收入支出预算数</a:t>
            </a:r>
            <a:endParaRPr altLang="en-US"/>
          </a:p>
        </c:rich>
      </c:tx>
      <c:layout/>
      <c:overlay val="0"/>
    </c:title>
    <c:autoTitleDeleted val="0"/>
    <c:plotArea>
      <c:layout>
        <c:manualLayout>
          <c:layoutTarget val="inner"/>
          <c:xMode val="edge"/>
          <c:yMode val="edge"/>
          <c:x val="0.101472710769599"/>
          <c:y val="0.181508443132151"/>
          <c:w val="0.779095585866731"/>
          <c:h val="0.709473557663847"/>
        </c:manualLayout>
      </c:layout>
      <c:barChart>
        <c:barDir val="col"/>
        <c:grouping val="stacked"/>
        <c:varyColors val="0"/>
        <c:ser>
          <c:idx val="0"/>
          <c:order val="0"/>
          <c:tx>
            <c:strRef>
              <c:f>Sheet1!$B$1</c:f>
              <c:strCache>
                <c:ptCount val="1"/>
                <c:pt idx="0">
                  <c:v>2025</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收入预算数</c:v>
                </c:pt>
                <c:pt idx="1">
                  <c:v>收入决算数</c:v>
                </c:pt>
                <c:pt idx="2">
                  <c:v>支出预算数</c:v>
                </c:pt>
                <c:pt idx="3">
                  <c:v>支出决算数</c:v>
                </c:pt>
              </c:strCache>
            </c:strRef>
          </c:cat>
          <c:val>
            <c:numRef>
              <c:f>Sheet1!$B$2:$B$5</c:f>
              <c:numCache>
                <c:formatCode>General</c:formatCode>
                <c:ptCount val="4"/>
                <c:pt idx="0">
                  <c:v>5518.97</c:v>
                </c:pt>
                <c:pt idx="1">
                  <c:v>5518.97</c:v>
                </c:pt>
                <c:pt idx="2">
                  <c:v>5518.97</c:v>
                </c:pt>
                <c:pt idx="3">
                  <c:v>5518.97</c:v>
                </c:pt>
              </c:numCache>
            </c:numRef>
          </c:val>
        </c:ser>
        <c:dLbls>
          <c:showLegendKey val="0"/>
          <c:showVal val="1"/>
          <c:showCatName val="0"/>
          <c:showSerName val="0"/>
          <c:showPercent val="0"/>
          <c:showBubbleSize val="0"/>
        </c:dLbls>
        <c:gapWidth val="150"/>
        <c:overlap val="100"/>
        <c:axId val="136839552"/>
        <c:axId val="136841088"/>
      </c:barChart>
      <c:catAx>
        <c:axId val="13683955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6841088"/>
        <c:crosses val="autoZero"/>
        <c:auto val="1"/>
        <c:lblAlgn val="ctr"/>
        <c:lblOffset val="100"/>
        <c:noMultiLvlLbl val="0"/>
      </c:catAx>
      <c:valAx>
        <c:axId val="13684108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6839552"/>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1f1fc73-ac5e-4c7c-b08d-910127258ec9}"/>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manualLayout>
          <c:layoutTarget val="inner"/>
          <c:xMode val="edge"/>
          <c:yMode val="edge"/>
          <c:x val="0.103490084572762"/>
          <c:y val="0.192063492063492"/>
          <c:w val="0.457407407407407"/>
          <c:h val="0.784126984126984"/>
        </c:manualLayout>
      </c:layout>
      <c:pieChart>
        <c:varyColors val="1"/>
        <c:ser>
          <c:idx val="0"/>
          <c:order val="0"/>
          <c:tx>
            <c:strRef>
              <c:f>Sheet1!$B$1</c:f>
              <c:strCache>
                <c:ptCount val="1"/>
                <c:pt idx="0">
                  <c:v>本年度总收入</c:v>
                </c:pt>
              </c:strCache>
            </c:strRef>
          </c:tx>
          <c:explosion val="0"/>
          <c:dPt>
            <c:idx val="0"/>
            <c:bubble3D val="0"/>
          </c:dPt>
          <c:dLbls>
            <c:delete val="1"/>
          </c:dLbls>
          <c:cat>
            <c:strRef>
              <c:f>Sheet1!$A$2</c:f>
              <c:strCache>
                <c:ptCount val="1"/>
                <c:pt idx="0">
                  <c:v>一般公共预算财政拨款收入</c:v>
                </c:pt>
              </c:strCache>
            </c:strRef>
          </c:cat>
          <c:val>
            <c:numRef>
              <c:f>Sheet1!$B$2</c:f>
              <c:numCache>
                <c:formatCode>General</c:formatCode>
                <c:ptCount val="1"/>
                <c:pt idx="0">
                  <c:v>5047.38</c:v>
                </c:pt>
              </c:numCache>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64f6578-a759-420e-a2d1-21abdc2abcf3}"/>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本年总支出</c:v>
                </c:pt>
              </c:strCache>
            </c:strRef>
          </c:tx>
          <c:explosion val="0"/>
          <c:dPt>
            <c:idx val="0"/>
            <c:bubble3D val="0"/>
            <c:explosion val="3"/>
          </c:dPt>
          <c:dPt>
            <c:idx val="1"/>
            <c:bubble3D val="0"/>
          </c:dPt>
          <c:dPt>
            <c:idx val="2"/>
            <c:bubble3D val="0"/>
          </c:dPt>
          <c:dPt>
            <c:idx val="3"/>
            <c:bubble3D val="0"/>
          </c:dPt>
          <c:dPt>
            <c:idx val="4"/>
            <c:bubble3D val="0"/>
          </c:dPt>
          <c:dLbls>
            <c:dLbl>
              <c:idx val="0"/>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dLblPos val="bestFit"/>
              <c:showLegendKey val="0"/>
              <c:showVal val="1"/>
              <c:showCatName val="0"/>
              <c:showSerName val="0"/>
              <c:showPercent val="0"/>
              <c:showBubbleSize val="0"/>
              <c:extLst>
                <c:ext xmlns:c15="http://schemas.microsoft.com/office/drawing/2012/chart" uri="{CE6537A1-D6FC-4f65-9D91-7224C49458BB}"/>
              </c:extLst>
            </c:dLbl>
            <c:dLbl>
              <c:idx val="2"/>
              <c:layout/>
              <c:dLblPos val="bestFit"/>
              <c:showLegendKey val="0"/>
              <c:showVal val="1"/>
              <c:showCatName val="0"/>
              <c:showSerName val="0"/>
              <c:showPercent val="0"/>
              <c:showBubbleSize val="0"/>
              <c:extLst>
                <c:ext xmlns:c15="http://schemas.microsoft.com/office/drawing/2012/chart" uri="{CE6537A1-D6FC-4f65-9D91-7224C49458BB}"/>
              </c:extLst>
            </c:dLbl>
            <c:dLbl>
              <c:idx val="3"/>
              <c:layout/>
              <c:dLblPos val="bestFit"/>
              <c:showLegendKey val="0"/>
              <c:showVal val="1"/>
              <c:showCatName val="0"/>
              <c:showSerName val="0"/>
              <c:showPercent val="0"/>
              <c:showBubbleSize val="0"/>
              <c:extLst>
                <c:ext xmlns:c15="http://schemas.microsoft.com/office/drawing/2012/chart" uri="{CE6537A1-D6FC-4f65-9D91-7224C49458BB}"/>
              </c:extLst>
            </c:dLbl>
            <c:dLbl>
              <c:idx val="4"/>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Sheet1!$A$2:$A$6</c:f>
              <c:strCache>
                <c:ptCount val="5"/>
                <c:pt idx="0">
                  <c:v>一般公共服务支出</c:v>
                </c:pt>
                <c:pt idx="1">
                  <c:v>社会保障和就业支出</c:v>
                </c:pt>
                <c:pt idx="2">
                  <c:v>卫生健康支出</c:v>
                </c:pt>
                <c:pt idx="3">
                  <c:v>住房保障支出</c:v>
                </c:pt>
                <c:pt idx="4">
                  <c:v>国有资本经营预算</c:v>
                </c:pt>
              </c:strCache>
            </c:strRef>
          </c:cat>
          <c:val>
            <c:numRef>
              <c:f>Sheet1!$B$2:$B$6</c:f>
              <c:numCache>
                <c:formatCode>#,##0.00</c:formatCode>
                <c:ptCount val="5"/>
                <c:pt idx="0">
                  <c:v>4999.91</c:v>
                </c:pt>
                <c:pt idx="1" c:formatCode="General">
                  <c:v>372.27</c:v>
                </c:pt>
                <c:pt idx="2" c:formatCode="General">
                  <c:v>167.08</c:v>
                </c:pt>
                <c:pt idx="3" c:formatCode="General">
                  <c:v>203.29</c:v>
                </c:pt>
                <c:pt idx="4" c:formatCode="General">
                  <c:v>36.8</c:v>
                </c:pt>
              </c:numCache>
            </c:numRef>
          </c:val>
        </c:ser>
        <c:dLbls>
          <c:showLegendKey val="0"/>
          <c:showVal val="0"/>
          <c:showCatName val="0"/>
          <c:showSerName val="0"/>
          <c:showPercent val="0"/>
          <c:showBubbleSize val="0"/>
          <c:showLeaderLines val="1"/>
        </c:dLbls>
        <c:firstSliceAng val="0"/>
      </c:pieChart>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0fa295c-786f-438f-8a8a-9e92521248a9}"/>
      </c:ext>
    </c:extLst>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8194</Words>
  <Characters>9369</Characters>
  <Lines>65</Lines>
  <Paragraphs>18</Paragraphs>
  <TotalTime>38</TotalTime>
  <ScaleCrop>false</ScaleCrop>
  <LinksUpToDate>false</LinksUpToDate>
  <CharactersWithSpaces>9397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2024-01-29T08:06:00Z</dcterms:created>
  <dc:creator>DELL</dc:creator>
  <cp:lastModifiedBy>FAAH</cp:lastModifiedBy>
  <dcterms:modified xsi:type="dcterms:W3CDTF">2026-02-05T07:50:13Z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895F3881083A428FBF032C392F0D71A7_12</vt:lpwstr>
  </property>
  <property fmtid="{D5CDD505-2E9C-101B-9397-08002B2CF9AE}" pid="4" name="KSOTemplateDocerSaveRecord">
    <vt:lpwstr>eyJoZGlkIjoiZjNkYzc1NzFiOWI5NmUwNjJhMzNjZDM5YzdhY2E3ZWQiLCJ1c2VySWQiOiIzNjk4Nzc5MDQifQ==</vt:lpwstr>
  </property>
</Properties>
</file>