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F54947">
      <w:pPr>
        <w:spacing w:line="600" w:lineRule="exact"/>
        <w:jc w:val="left"/>
        <w:outlineLvl w:val="0"/>
        <w:rPr>
          <w:rFonts w:ascii="方正小标宋简体" w:hAnsi="宋体" w:eastAsia="方正小标宋简体"/>
          <w:szCs w:val="21"/>
        </w:rPr>
      </w:pPr>
      <w:bookmarkStart w:id="0" w:name="_Toc15306267"/>
    </w:p>
    <w:p w14:paraId="3685B589">
      <w:pPr>
        <w:pStyle w:val="5"/>
        <w:spacing w:before="93"/>
      </w:pPr>
    </w:p>
    <w:p w14:paraId="40E217F2">
      <w:pPr>
        <w:spacing w:line="600" w:lineRule="exact"/>
        <w:jc w:val="center"/>
        <w:outlineLvl w:val="0"/>
        <w:rPr>
          <w:rFonts w:ascii="方正小标宋简体" w:hAnsi="宋体" w:eastAsia="方正小标宋简体"/>
          <w:sz w:val="72"/>
          <w:szCs w:val="72"/>
        </w:rPr>
      </w:pPr>
    </w:p>
    <w:p w14:paraId="0E5FD40C">
      <w:pPr>
        <w:spacing w:line="600" w:lineRule="exact"/>
        <w:jc w:val="center"/>
        <w:outlineLvl w:val="0"/>
        <w:rPr>
          <w:rFonts w:ascii="方正小标宋简体" w:hAnsi="宋体" w:eastAsia="方正小标宋简体"/>
          <w:sz w:val="72"/>
          <w:szCs w:val="72"/>
        </w:rPr>
      </w:pPr>
    </w:p>
    <w:p w14:paraId="7911EF76">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15396597"/>
      <w:bookmarkStart w:id="2" w:name="_Toc15378441"/>
      <w:bookmarkStart w:id="3" w:name="_Toc15396475"/>
      <w:bookmarkStart w:id="4" w:name="_Toc15377425"/>
      <w:bookmarkStart w:id="5" w:name="_Toc15377193"/>
      <w:r>
        <w:rPr>
          <w:rFonts w:hint="eastAsia" w:ascii="方正小标宋简体" w:hAnsi="方正小标宋简体" w:eastAsia="方正小标宋简体" w:cs="方正小标宋简体"/>
          <w:sz w:val="72"/>
          <w:szCs w:val="72"/>
          <w:lang w:eastAsia="zh-CN"/>
        </w:rPr>
        <w:t>2024</w:t>
      </w:r>
      <w:r>
        <w:rPr>
          <w:rFonts w:hint="eastAsia" w:ascii="方正小标宋简体" w:hAnsi="方正小标宋简体" w:eastAsia="方正小标宋简体" w:cs="方正小标宋简体"/>
          <w:sz w:val="72"/>
          <w:szCs w:val="72"/>
        </w:rPr>
        <w:t>年度</w:t>
      </w:r>
      <w:bookmarkEnd w:id="1"/>
      <w:bookmarkEnd w:id="2"/>
      <w:bookmarkEnd w:id="3"/>
      <w:bookmarkEnd w:id="4"/>
      <w:bookmarkEnd w:id="5"/>
    </w:p>
    <w:p w14:paraId="77A88347">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6" w:name="_Toc15377426"/>
      <w:bookmarkStart w:id="7" w:name="_Toc15377194"/>
      <w:bookmarkStart w:id="8" w:name="_Toc15378442"/>
      <w:bookmarkStart w:id="9" w:name="_Toc15396476"/>
      <w:bookmarkStart w:id="10" w:name="_Toc15396598"/>
      <w:r>
        <w:rPr>
          <w:rFonts w:hint="eastAsia" w:ascii="方正小标宋简体" w:hAnsi="方正小标宋简体" w:eastAsia="方正小标宋简体" w:cs="方正小标宋简体"/>
          <w:sz w:val="72"/>
          <w:szCs w:val="72"/>
        </w:rPr>
        <w:t>四川省</w:t>
      </w:r>
      <w:bookmarkEnd w:id="0"/>
      <w:bookmarkStart w:id="11" w:name="_Toc15306268"/>
      <w:r>
        <w:rPr>
          <w:rFonts w:hint="eastAsia" w:ascii="方正小标宋简体" w:hAnsi="方正小标宋简体" w:eastAsia="方正小标宋简体" w:cs="方正小标宋简体"/>
          <w:sz w:val="72"/>
          <w:szCs w:val="72"/>
          <w:lang w:eastAsia="zh-CN"/>
        </w:rPr>
        <w:t>阿坝州财政局投资评审中心</w:t>
      </w:r>
      <w:r>
        <w:rPr>
          <w:rFonts w:hint="eastAsia" w:ascii="方正小标宋简体" w:hAnsi="方正小标宋简体" w:eastAsia="方正小标宋简体" w:cs="方正小标宋简体"/>
          <w:sz w:val="72"/>
          <w:szCs w:val="72"/>
        </w:rPr>
        <w:t>单位决算</w:t>
      </w:r>
      <w:bookmarkEnd w:id="6"/>
      <w:bookmarkEnd w:id="7"/>
      <w:bookmarkEnd w:id="8"/>
      <w:bookmarkEnd w:id="9"/>
      <w:bookmarkEnd w:id="10"/>
      <w:bookmarkEnd w:id="11"/>
    </w:p>
    <w:p w14:paraId="2BB44A68">
      <w:pPr>
        <w:adjustRightInd w:val="0"/>
        <w:snapToGrid w:val="0"/>
        <w:spacing w:line="360" w:lineRule="auto"/>
        <w:jc w:val="center"/>
        <w:outlineLvl w:val="0"/>
        <w:rPr>
          <w:rFonts w:ascii="方正小标宋简体" w:hAnsi="宋体" w:eastAsia="方正小标宋简体"/>
          <w:sz w:val="52"/>
          <w:szCs w:val="52"/>
        </w:rPr>
      </w:pPr>
      <w:r>
        <w:rPr>
          <w:rFonts w:hint="eastAsia" w:ascii="方正小标宋简体" w:hAnsi="宋体" w:eastAsia="方正小标宋简体"/>
          <w:sz w:val="52"/>
          <w:szCs w:val="52"/>
        </w:rPr>
        <w:t>(单位公开范本)</w:t>
      </w:r>
    </w:p>
    <w:p w14:paraId="389920FC">
      <w:pPr>
        <w:widowControl/>
        <w:jc w:val="center"/>
        <w:rPr>
          <w:rFonts w:ascii="黑体" w:hAnsi="黑体" w:eastAsia="黑体"/>
          <w:sz w:val="48"/>
          <w:szCs w:val="48"/>
        </w:rPr>
      </w:pPr>
      <w:r>
        <w:rPr>
          <w:rFonts w:ascii="方正小标宋简体" w:hAnsi="宋体" w:eastAsia="方正小标宋简体"/>
          <w:sz w:val="36"/>
          <w:szCs w:val="36"/>
        </w:rPr>
        <w:br w:type="page"/>
      </w:r>
      <w:r>
        <w:rPr>
          <w:rFonts w:hint="eastAsia" w:ascii="黑体" w:hAnsi="黑体" w:eastAsia="黑体"/>
          <w:sz w:val="48"/>
          <w:szCs w:val="48"/>
        </w:rPr>
        <w:t>目录</w:t>
      </w:r>
    </w:p>
    <w:p w14:paraId="27FD5A7E">
      <w:pPr>
        <w:widowControl/>
        <w:jc w:val="center"/>
        <w:rPr>
          <w:rFonts w:ascii="黑体" w:hAnsi="黑体" w:eastAsia="黑体" w:cstheme="minorBidi"/>
          <w:sz w:val="28"/>
          <w:szCs w:val="28"/>
        </w:rPr>
      </w:pPr>
    </w:p>
    <w:p w14:paraId="137E141A">
      <w:pPr>
        <w:pStyle w:val="11"/>
      </w:pPr>
      <w:r>
        <w:rPr>
          <w:rFonts w:hint="eastAsia"/>
        </w:rPr>
        <w:t>公开时间：</w:t>
      </w:r>
      <w:r>
        <w:rPr>
          <w:rFonts w:hint="eastAsia"/>
          <w:lang w:eastAsia="zh-CN"/>
        </w:rPr>
        <w:t>2024</w:t>
      </w:r>
      <w:r>
        <w:rPr>
          <w:rFonts w:hint="eastAsia"/>
        </w:rPr>
        <w:t>年9月</w:t>
      </w:r>
      <w:r>
        <w:rPr>
          <w:rFonts w:hint="eastAsia"/>
          <w:lang w:val="en-US" w:eastAsia="zh-CN"/>
        </w:rPr>
        <w:t>18</w:t>
      </w:r>
      <w:r>
        <w:rPr>
          <w:rFonts w:hint="eastAsia"/>
        </w:rPr>
        <w:t>日</w:t>
      </w:r>
    </w:p>
    <w:p w14:paraId="01E974E1"/>
    <w:p w14:paraId="6E84B2EB">
      <w:pPr>
        <w:pStyle w:val="11"/>
        <w:adjustRightInd w:val="0"/>
        <w:snapToGrid w:val="0"/>
        <w:spacing w:before="0" w:line="440" w:lineRule="exact"/>
        <w:jc w:val="left"/>
        <w:rPr>
          <w:rFonts w:cstheme="minorBidi"/>
          <w:sz w:val="24"/>
          <w:szCs w:val="24"/>
        </w:rPr>
      </w:pPr>
      <w:r>
        <w:rPr>
          <w:rFonts w:hint="eastAsia"/>
          <w:sz w:val="24"/>
        </w:rPr>
        <w:t>第一部分</w:t>
      </w:r>
      <w:r>
        <w:rPr>
          <w:sz w:val="24"/>
        </w:rPr>
        <w:t xml:space="preserve"> </w:t>
      </w:r>
      <w:r>
        <w:rPr>
          <w:rFonts w:hint="eastAsia"/>
          <w:sz w:val="24"/>
        </w:rPr>
        <w:t>单位概况</w:t>
      </w:r>
    </w:p>
    <w:p w14:paraId="1C309C17">
      <w:pPr>
        <w:pStyle w:val="12"/>
        <w:adjustRightInd w:val="0"/>
        <w:snapToGrid w:val="0"/>
        <w:spacing w:line="440" w:lineRule="exact"/>
        <w:jc w:val="left"/>
        <w:rPr>
          <w:sz w:val="24"/>
        </w:rPr>
      </w:pPr>
      <w:r>
        <w:rPr>
          <w:rFonts w:hint="eastAsia"/>
          <w:sz w:val="24"/>
        </w:rPr>
        <w:t>一、主要职责</w:t>
      </w:r>
    </w:p>
    <w:p w14:paraId="4CF77CD5">
      <w:pPr>
        <w:pStyle w:val="12"/>
        <w:adjustRightInd w:val="0"/>
        <w:snapToGrid w:val="0"/>
        <w:spacing w:line="440" w:lineRule="exact"/>
        <w:jc w:val="left"/>
      </w:pPr>
      <w:r>
        <w:rPr>
          <w:rFonts w:hint="eastAsia"/>
          <w:sz w:val="24"/>
        </w:rPr>
        <w:t>二、机构设置</w:t>
      </w:r>
    </w:p>
    <w:p w14:paraId="15B6C9BF">
      <w:pPr>
        <w:pStyle w:val="11"/>
        <w:adjustRightInd w:val="0"/>
        <w:snapToGrid w:val="0"/>
        <w:spacing w:before="0" w:line="440" w:lineRule="exact"/>
        <w:jc w:val="left"/>
        <w:rPr>
          <w:sz w:val="24"/>
          <w:szCs w:val="24"/>
        </w:rPr>
      </w:pPr>
      <w:r>
        <w:rPr>
          <w:rFonts w:hint="eastAsia"/>
          <w:sz w:val="24"/>
        </w:rPr>
        <w:t xml:space="preserve">第二部分 </w:t>
      </w:r>
      <w:r>
        <w:rPr>
          <w:rFonts w:hint="eastAsia"/>
          <w:sz w:val="24"/>
          <w:lang w:eastAsia="zh-CN"/>
        </w:rPr>
        <w:t>2024</w:t>
      </w:r>
      <w:r>
        <w:rPr>
          <w:rFonts w:hint="eastAsia"/>
          <w:sz w:val="24"/>
        </w:rPr>
        <w:t>年度单位决算情况说明</w:t>
      </w:r>
    </w:p>
    <w:p w14:paraId="6D22A523">
      <w:pPr>
        <w:pStyle w:val="12"/>
        <w:adjustRightInd w:val="0"/>
        <w:snapToGrid w:val="0"/>
        <w:spacing w:line="440" w:lineRule="exact"/>
        <w:jc w:val="left"/>
        <w:rPr>
          <w:rFonts w:ascii="仿宋" w:hAnsi="仿宋" w:eastAsia="仿宋" w:cstheme="minorBidi"/>
          <w:sz w:val="24"/>
        </w:rPr>
      </w:pPr>
      <w:r>
        <w:rPr>
          <w:rFonts w:hint="eastAsia"/>
          <w:sz w:val="24"/>
        </w:rPr>
        <w:t>一、收入支出决算总体情况说明</w:t>
      </w:r>
    </w:p>
    <w:p w14:paraId="5800701F">
      <w:pPr>
        <w:pStyle w:val="12"/>
        <w:adjustRightInd w:val="0"/>
        <w:snapToGrid w:val="0"/>
        <w:spacing w:line="440" w:lineRule="exact"/>
        <w:jc w:val="left"/>
        <w:rPr>
          <w:rFonts w:ascii="仿宋" w:hAnsi="仿宋" w:eastAsia="仿宋" w:cstheme="minorBidi"/>
          <w:sz w:val="24"/>
        </w:rPr>
      </w:pPr>
      <w:r>
        <w:rPr>
          <w:rFonts w:hint="eastAsia"/>
          <w:sz w:val="24"/>
        </w:rPr>
        <w:t>二、收入决算情况说明</w:t>
      </w:r>
    </w:p>
    <w:p w14:paraId="0F61822A">
      <w:pPr>
        <w:pStyle w:val="12"/>
        <w:adjustRightInd w:val="0"/>
        <w:snapToGrid w:val="0"/>
        <w:spacing w:line="440" w:lineRule="exact"/>
        <w:jc w:val="left"/>
        <w:rPr>
          <w:rFonts w:ascii="仿宋" w:hAnsi="仿宋" w:eastAsia="仿宋" w:cstheme="minorBidi"/>
          <w:sz w:val="24"/>
        </w:rPr>
      </w:pPr>
      <w:r>
        <w:rPr>
          <w:rFonts w:hint="eastAsia"/>
          <w:sz w:val="24"/>
        </w:rPr>
        <w:t>三、支出决算情况说明</w:t>
      </w:r>
    </w:p>
    <w:p w14:paraId="2A075D72">
      <w:pPr>
        <w:pStyle w:val="12"/>
        <w:adjustRightInd w:val="0"/>
        <w:snapToGrid w:val="0"/>
        <w:spacing w:line="440" w:lineRule="exact"/>
        <w:jc w:val="left"/>
        <w:rPr>
          <w:rFonts w:ascii="仿宋" w:hAnsi="仿宋" w:eastAsia="仿宋" w:cstheme="minorBidi"/>
          <w:sz w:val="24"/>
        </w:rPr>
      </w:pPr>
      <w:r>
        <w:rPr>
          <w:rFonts w:hint="eastAsia"/>
          <w:sz w:val="24"/>
        </w:rPr>
        <w:t>四、财政拨款收入支出决算总体情况说明</w:t>
      </w:r>
    </w:p>
    <w:p w14:paraId="6692DDDA">
      <w:pPr>
        <w:pStyle w:val="12"/>
        <w:adjustRightInd w:val="0"/>
        <w:snapToGrid w:val="0"/>
        <w:spacing w:line="440" w:lineRule="exact"/>
        <w:jc w:val="left"/>
        <w:rPr>
          <w:rFonts w:ascii="仿宋" w:hAnsi="仿宋" w:eastAsia="仿宋" w:cstheme="minorBidi"/>
          <w:sz w:val="24"/>
        </w:rPr>
      </w:pPr>
      <w:r>
        <w:rPr>
          <w:rFonts w:hint="eastAsia"/>
          <w:sz w:val="24"/>
        </w:rPr>
        <w:t>五、一般公共预算财政拨款支出决算情况说明</w:t>
      </w:r>
    </w:p>
    <w:p w14:paraId="3904693D">
      <w:pPr>
        <w:pStyle w:val="12"/>
        <w:adjustRightInd w:val="0"/>
        <w:snapToGrid w:val="0"/>
        <w:spacing w:line="440" w:lineRule="exact"/>
        <w:jc w:val="left"/>
        <w:rPr>
          <w:rFonts w:ascii="仿宋" w:hAnsi="仿宋" w:eastAsia="仿宋" w:cstheme="minorBidi"/>
          <w:sz w:val="24"/>
        </w:rPr>
      </w:pPr>
      <w:r>
        <w:rPr>
          <w:rFonts w:hint="eastAsia"/>
          <w:sz w:val="24"/>
        </w:rPr>
        <w:t>六、一般公共预算财政拨款基本支出决算情况说明</w:t>
      </w:r>
    </w:p>
    <w:p w14:paraId="783BA9CB">
      <w:pPr>
        <w:pStyle w:val="12"/>
        <w:adjustRightInd w:val="0"/>
        <w:snapToGrid w:val="0"/>
        <w:spacing w:line="440" w:lineRule="exact"/>
        <w:jc w:val="left"/>
        <w:rPr>
          <w:rFonts w:ascii="仿宋" w:hAnsi="仿宋" w:eastAsia="仿宋" w:cstheme="minorBidi"/>
          <w:sz w:val="24"/>
        </w:rPr>
      </w:pPr>
      <w:r>
        <w:rPr>
          <w:rFonts w:hint="eastAsia"/>
          <w:sz w:val="24"/>
        </w:rPr>
        <w:t>七、财政拨款“三公”经费支出决算情况说明</w:t>
      </w:r>
    </w:p>
    <w:p w14:paraId="3CDA3665">
      <w:pPr>
        <w:pStyle w:val="12"/>
        <w:adjustRightInd w:val="0"/>
        <w:snapToGrid w:val="0"/>
        <w:spacing w:line="440" w:lineRule="exact"/>
        <w:jc w:val="left"/>
        <w:rPr>
          <w:rFonts w:ascii="仿宋" w:hAnsi="仿宋" w:eastAsia="仿宋" w:cstheme="minorBidi"/>
          <w:sz w:val="24"/>
        </w:rPr>
      </w:pPr>
      <w:r>
        <w:rPr>
          <w:rFonts w:hint="eastAsia"/>
          <w:sz w:val="24"/>
        </w:rPr>
        <w:t>八、政府性基金预算支出决算情况说明</w:t>
      </w:r>
    </w:p>
    <w:p w14:paraId="585F1219">
      <w:pPr>
        <w:pStyle w:val="12"/>
        <w:adjustRightInd w:val="0"/>
        <w:snapToGrid w:val="0"/>
        <w:spacing w:line="440" w:lineRule="exact"/>
        <w:jc w:val="left"/>
        <w:rPr>
          <w:sz w:val="24"/>
        </w:rPr>
      </w:pPr>
      <w:r>
        <w:rPr>
          <w:rFonts w:hint="eastAsia"/>
          <w:sz w:val="24"/>
        </w:rPr>
        <w:t>九、国有资本经营预算支出决算情况说明</w:t>
      </w:r>
    </w:p>
    <w:p w14:paraId="48868BCF">
      <w:pPr>
        <w:pStyle w:val="12"/>
        <w:adjustRightInd w:val="0"/>
        <w:snapToGrid w:val="0"/>
        <w:spacing w:line="440" w:lineRule="exact"/>
        <w:jc w:val="left"/>
        <w:rPr>
          <w:sz w:val="24"/>
        </w:rPr>
      </w:pPr>
      <w:r>
        <w:rPr>
          <w:rFonts w:hint="eastAsia"/>
          <w:sz w:val="24"/>
        </w:rPr>
        <w:t>十、其他重要事项的情况说明</w:t>
      </w:r>
    </w:p>
    <w:p w14:paraId="0117A185">
      <w:pPr>
        <w:pStyle w:val="11"/>
        <w:adjustRightInd w:val="0"/>
        <w:snapToGrid w:val="0"/>
        <w:spacing w:before="0" w:line="440" w:lineRule="exact"/>
        <w:jc w:val="left"/>
        <w:rPr>
          <w:rFonts w:cstheme="minorBidi"/>
          <w:sz w:val="24"/>
          <w:szCs w:val="24"/>
        </w:rPr>
      </w:pPr>
      <w:r>
        <w:rPr>
          <w:rFonts w:hint="eastAsia"/>
          <w:sz w:val="24"/>
        </w:rPr>
        <w:t>第三部分</w:t>
      </w:r>
      <w:r>
        <w:rPr>
          <w:sz w:val="24"/>
        </w:rPr>
        <w:t xml:space="preserve"> </w:t>
      </w:r>
      <w:r>
        <w:rPr>
          <w:rFonts w:hint="eastAsia"/>
          <w:sz w:val="24"/>
        </w:rPr>
        <w:t>名词解释</w:t>
      </w:r>
    </w:p>
    <w:p w14:paraId="09CC330E">
      <w:pPr>
        <w:pStyle w:val="11"/>
        <w:adjustRightInd w:val="0"/>
        <w:snapToGrid w:val="0"/>
        <w:spacing w:before="0" w:line="440" w:lineRule="exact"/>
        <w:jc w:val="left"/>
        <w:rPr>
          <w:rFonts w:cstheme="minorBidi"/>
          <w:sz w:val="24"/>
          <w:szCs w:val="24"/>
        </w:rPr>
      </w:pPr>
      <w:r>
        <w:rPr>
          <w:rFonts w:hint="eastAsia"/>
          <w:sz w:val="24"/>
        </w:rPr>
        <w:t>第四部分</w:t>
      </w:r>
      <w:r>
        <w:rPr>
          <w:sz w:val="24"/>
        </w:rPr>
        <w:t xml:space="preserve"> </w:t>
      </w:r>
      <w:r>
        <w:rPr>
          <w:rFonts w:hint="eastAsia"/>
          <w:sz w:val="24"/>
        </w:rPr>
        <w:t>附件</w:t>
      </w:r>
    </w:p>
    <w:p w14:paraId="748BFCEC">
      <w:pPr>
        <w:pStyle w:val="11"/>
        <w:adjustRightInd w:val="0"/>
        <w:snapToGrid w:val="0"/>
        <w:spacing w:before="0" w:line="440" w:lineRule="exact"/>
        <w:jc w:val="left"/>
        <w:rPr>
          <w:rFonts w:cstheme="minorBidi"/>
          <w:sz w:val="24"/>
          <w:szCs w:val="24"/>
        </w:rPr>
      </w:pPr>
      <w:r>
        <w:rPr>
          <w:rFonts w:hint="eastAsia"/>
          <w:sz w:val="24"/>
        </w:rPr>
        <w:t>第五部分</w:t>
      </w:r>
      <w:r>
        <w:rPr>
          <w:sz w:val="24"/>
        </w:rPr>
        <w:t xml:space="preserve"> </w:t>
      </w:r>
      <w:r>
        <w:rPr>
          <w:rFonts w:hint="eastAsia"/>
          <w:sz w:val="24"/>
        </w:rPr>
        <w:t>附表</w:t>
      </w:r>
    </w:p>
    <w:p w14:paraId="7D093B50">
      <w:pPr>
        <w:pStyle w:val="12"/>
        <w:adjustRightInd w:val="0"/>
        <w:snapToGrid w:val="0"/>
        <w:spacing w:line="440" w:lineRule="exact"/>
        <w:jc w:val="left"/>
        <w:rPr>
          <w:sz w:val="24"/>
        </w:rPr>
      </w:pPr>
      <w:r>
        <w:rPr>
          <w:rFonts w:hint="eastAsia"/>
          <w:sz w:val="24"/>
        </w:rPr>
        <w:t>一、收入支出决算总表</w:t>
      </w:r>
    </w:p>
    <w:p w14:paraId="74769D23">
      <w:pPr>
        <w:pStyle w:val="12"/>
        <w:adjustRightInd w:val="0"/>
        <w:snapToGrid w:val="0"/>
        <w:spacing w:line="440" w:lineRule="exact"/>
        <w:jc w:val="left"/>
        <w:rPr>
          <w:sz w:val="24"/>
        </w:rPr>
      </w:pPr>
      <w:r>
        <w:rPr>
          <w:rFonts w:hint="eastAsia"/>
          <w:sz w:val="24"/>
        </w:rPr>
        <w:t>二、收入决算表</w:t>
      </w:r>
    </w:p>
    <w:p w14:paraId="6CCB467D">
      <w:pPr>
        <w:pStyle w:val="12"/>
        <w:adjustRightInd w:val="0"/>
        <w:snapToGrid w:val="0"/>
        <w:spacing w:line="440" w:lineRule="exact"/>
        <w:jc w:val="left"/>
        <w:rPr>
          <w:sz w:val="24"/>
        </w:rPr>
      </w:pPr>
      <w:r>
        <w:rPr>
          <w:rFonts w:hint="eastAsia"/>
          <w:sz w:val="24"/>
        </w:rPr>
        <w:t>三、支出决算表</w:t>
      </w:r>
    </w:p>
    <w:p w14:paraId="5928CD67">
      <w:pPr>
        <w:pStyle w:val="12"/>
        <w:adjustRightInd w:val="0"/>
        <w:snapToGrid w:val="0"/>
        <w:spacing w:line="440" w:lineRule="exact"/>
        <w:jc w:val="left"/>
        <w:rPr>
          <w:sz w:val="24"/>
        </w:rPr>
      </w:pPr>
      <w:r>
        <w:rPr>
          <w:rFonts w:hint="eastAsia"/>
          <w:sz w:val="24"/>
        </w:rPr>
        <w:t>四、财政拨款收入支出决算总表</w:t>
      </w:r>
    </w:p>
    <w:p w14:paraId="00FA3851">
      <w:pPr>
        <w:pStyle w:val="12"/>
        <w:adjustRightInd w:val="0"/>
        <w:snapToGrid w:val="0"/>
        <w:spacing w:line="440" w:lineRule="exact"/>
        <w:jc w:val="left"/>
        <w:rPr>
          <w:sz w:val="24"/>
        </w:rPr>
      </w:pPr>
      <w:r>
        <w:rPr>
          <w:rFonts w:hint="eastAsia"/>
          <w:sz w:val="24"/>
        </w:rPr>
        <w:t>五、财政拨款支出决算明细表</w:t>
      </w:r>
    </w:p>
    <w:p w14:paraId="6843CD98">
      <w:pPr>
        <w:pStyle w:val="12"/>
        <w:adjustRightInd w:val="0"/>
        <w:snapToGrid w:val="0"/>
        <w:spacing w:line="440" w:lineRule="exact"/>
        <w:jc w:val="left"/>
        <w:rPr>
          <w:sz w:val="24"/>
        </w:rPr>
      </w:pPr>
      <w:r>
        <w:rPr>
          <w:rFonts w:hint="eastAsia"/>
          <w:sz w:val="24"/>
        </w:rPr>
        <w:t>六、一般公共预算财政拨款支出决算表</w:t>
      </w:r>
    </w:p>
    <w:p w14:paraId="1A80C20F">
      <w:pPr>
        <w:pStyle w:val="12"/>
        <w:adjustRightInd w:val="0"/>
        <w:snapToGrid w:val="0"/>
        <w:spacing w:line="440" w:lineRule="exact"/>
        <w:jc w:val="left"/>
        <w:rPr>
          <w:sz w:val="24"/>
        </w:rPr>
      </w:pPr>
      <w:r>
        <w:rPr>
          <w:rFonts w:hint="eastAsia"/>
          <w:sz w:val="24"/>
        </w:rPr>
        <w:t>七、一般公共预算财政拨款支出决算明细表</w:t>
      </w:r>
    </w:p>
    <w:p w14:paraId="55479081">
      <w:pPr>
        <w:pStyle w:val="12"/>
        <w:adjustRightInd w:val="0"/>
        <w:snapToGrid w:val="0"/>
        <w:spacing w:line="440" w:lineRule="exact"/>
        <w:jc w:val="left"/>
        <w:rPr>
          <w:sz w:val="24"/>
        </w:rPr>
      </w:pPr>
      <w:r>
        <w:rPr>
          <w:rFonts w:hint="eastAsia"/>
          <w:sz w:val="24"/>
        </w:rPr>
        <w:t>八、一般公共预算财政拨款基本支出决算明细表</w:t>
      </w:r>
    </w:p>
    <w:p w14:paraId="737408C6">
      <w:pPr>
        <w:pStyle w:val="12"/>
        <w:adjustRightInd w:val="0"/>
        <w:snapToGrid w:val="0"/>
        <w:spacing w:line="440" w:lineRule="exact"/>
        <w:jc w:val="left"/>
        <w:rPr>
          <w:sz w:val="24"/>
        </w:rPr>
      </w:pPr>
      <w:r>
        <w:rPr>
          <w:rFonts w:hint="eastAsia"/>
          <w:sz w:val="24"/>
        </w:rPr>
        <w:t>九、一般公共预算财政拨款项目支出决算表</w:t>
      </w:r>
    </w:p>
    <w:p w14:paraId="2E71415A">
      <w:pPr>
        <w:pStyle w:val="12"/>
        <w:adjustRightInd w:val="0"/>
        <w:snapToGrid w:val="0"/>
        <w:spacing w:line="440" w:lineRule="exact"/>
        <w:jc w:val="left"/>
        <w:rPr>
          <w:sz w:val="24"/>
        </w:rPr>
      </w:pPr>
      <w:r>
        <w:rPr>
          <w:rFonts w:hint="eastAsia"/>
          <w:sz w:val="24"/>
        </w:rPr>
        <w:t>十、政府性基金预算财政拨款收入支出决算表</w:t>
      </w:r>
    </w:p>
    <w:p w14:paraId="3C3E4D51">
      <w:pPr>
        <w:pStyle w:val="12"/>
        <w:adjustRightInd w:val="0"/>
        <w:snapToGrid w:val="0"/>
        <w:spacing w:line="440" w:lineRule="exact"/>
        <w:jc w:val="left"/>
        <w:rPr>
          <w:sz w:val="24"/>
        </w:rPr>
      </w:pPr>
      <w:r>
        <w:rPr>
          <w:rFonts w:hint="eastAsia"/>
          <w:sz w:val="24"/>
        </w:rPr>
        <w:t>十一、国有资本经营预算财政拨款收入支出决算表</w:t>
      </w:r>
    </w:p>
    <w:p w14:paraId="1D80F775">
      <w:pPr>
        <w:pStyle w:val="12"/>
        <w:adjustRightInd w:val="0"/>
        <w:snapToGrid w:val="0"/>
        <w:spacing w:line="440" w:lineRule="exact"/>
        <w:jc w:val="left"/>
        <w:rPr>
          <w:sz w:val="24"/>
        </w:rPr>
      </w:pPr>
      <w:r>
        <w:rPr>
          <w:rFonts w:hint="eastAsia"/>
          <w:sz w:val="24"/>
        </w:rPr>
        <w:t>十二、国有资本经营预算财政拨款支出决算表</w:t>
      </w:r>
    </w:p>
    <w:p w14:paraId="1B07EE94">
      <w:pPr>
        <w:pStyle w:val="12"/>
        <w:adjustRightInd w:val="0"/>
        <w:snapToGrid w:val="0"/>
        <w:spacing w:line="440" w:lineRule="exact"/>
        <w:jc w:val="left"/>
        <w:rPr>
          <w:sz w:val="24"/>
        </w:rPr>
      </w:pPr>
      <w:r>
        <w:rPr>
          <w:rFonts w:hint="eastAsia"/>
          <w:sz w:val="24"/>
        </w:rPr>
        <w:t>十三、财政拨款“三公”经费支出决算表</w:t>
      </w:r>
    </w:p>
    <w:p w14:paraId="6E90F1FE">
      <w:pPr>
        <w:widowControl/>
        <w:adjustRightInd w:val="0"/>
        <w:snapToGrid w:val="0"/>
        <w:spacing w:line="440" w:lineRule="exact"/>
        <w:ind w:firstLine="1320" w:firstLineChars="550"/>
        <w:jc w:val="left"/>
        <w:rPr>
          <w:rFonts w:ascii="仿宋" w:hAnsi="仿宋" w:eastAsia="仿宋"/>
          <w:sz w:val="24"/>
        </w:rPr>
      </w:pPr>
      <w:r>
        <w:rPr>
          <w:rFonts w:ascii="仿宋" w:hAnsi="仿宋" w:eastAsia="仿宋"/>
          <w:sz w:val="24"/>
        </w:rPr>
        <w:t>(注：</w:t>
      </w:r>
      <w:r>
        <w:rPr>
          <w:rFonts w:hint="eastAsia" w:ascii="仿宋" w:hAnsi="仿宋" w:eastAsia="仿宋"/>
          <w:sz w:val="24"/>
        </w:rPr>
        <w:t>请单位根据实际注明页码</w:t>
      </w:r>
      <w:r>
        <w:rPr>
          <w:rFonts w:ascii="仿宋" w:hAnsi="仿宋" w:eastAsia="仿宋"/>
          <w:sz w:val="24"/>
        </w:rPr>
        <w:t>)</w:t>
      </w:r>
    </w:p>
    <w:p w14:paraId="631DF2D6">
      <w:pPr>
        <w:widowControl/>
        <w:spacing w:line="440" w:lineRule="exact"/>
        <w:jc w:val="left"/>
        <w:rPr>
          <w:rFonts w:ascii="仿宋" w:hAnsi="仿宋" w:eastAsia="仿宋"/>
          <w:bCs/>
          <w:kern w:val="44"/>
          <w:sz w:val="24"/>
        </w:rPr>
      </w:pPr>
      <w:bookmarkStart w:id="12" w:name="_Toc15377196"/>
      <w:bookmarkStart w:id="13" w:name="_Toc15396599"/>
      <w:r>
        <w:rPr>
          <w:rFonts w:ascii="仿宋" w:hAnsi="仿宋" w:eastAsia="仿宋"/>
          <w:b/>
          <w:sz w:val="24"/>
        </w:rPr>
        <w:br w:type="page"/>
      </w:r>
    </w:p>
    <w:p w14:paraId="7E9AECE5">
      <w:pPr>
        <w:pStyle w:val="2"/>
        <w:jc w:val="center"/>
        <w:rPr>
          <w:rStyle w:val="29"/>
          <w:rFonts w:ascii="黑体" w:hAnsi="黑体" w:eastAsia="黑体"/>
          <w:b/>
          <w:bCs w:val="0"/>
        </w:rPr>
      </w:pPr>
      <w:r>
        <w:rPr>
          <w:rFonts w:hint="eastAsia" w:ascii="黑体" w:hAnsi="黑体" w:eastAsia="黑体"/>
          <w:b w:val="0"/>
        </w:rPr>
        <w:t>第一部分 单位</w:t>
      </w:r>
      <w:r>
        <w:rPr>
          <w:rStyle w:val="29"/>
          <w:rFonts w:hint="eastAsia" w:ascii="黑体" w:hAnsi="黑体" w:eastAsia="黑体"/>
          <w:b w:val="0"/>
          <w:bCs w:val="0"/>
        </w:rPr>
        <w:t>概况</w:t>
      </w:r>
      <w:bookmarkEnd w:id="12"/>
      <w:bookmarkEnd w:id="13"/>
    </w:p>
    <w:p w14:paraId="2580F50D">
      <w:pPr>
        <w:widowControl/>
        <w:jc w:val="left"/>
        <w:rPr>
          <w:rFonts w:ascii="黑体" w:eastAsia="黑体"/>
          <w:sz w:val="32"/>
          <w:szCs w:val="32"/>
        </w:rPr>
      </w:pPr>
    </w:p>
    <w:p w14:paraId="4F1881D8">
      <w:pPr>
        <w:pStyle w:val="3"/>
        <w:numPr>
          <w:ilvl w:val="0"/>
          <w:numId w:val="1"/>
        </w:numPr>
        <w:rPr>
          <w:rStyle w:val="30"/>
          <w:rFonts w:ascii="黑体" w:hAnsi="黑体" w:eastAsia="黑体"/>
          <w:b w:val="0"/>
          <w:bCs w:val="0"/>
        </w:rPr>
      </w:pPr>
      <w:bookmarkStart w:id="14" w:name="_Toc15396600"/>
      <w:bookmarkStart w:id="15" w:name="_Toc15377197"/>
      <w:r>
        <w:rPr>
          <w:rStyle w:val="30"/>
          <w:rFonts w:hint="eastAsia" w:ascii="黑体" w:hAnsi="黑体" w:eastAsia="黑体"/>
          <w:b w:val="0"/>
          <w:bCs w:val="0"/>
        </w:rPr>
        <w:t>主要职责</w:t>
      </w:r>
    </w:p>
    <w:p w14:paraId="7E557AB6">
      <w:pPr>
        <w:pStyle w:val="1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一、明确工程建设类项目评审额度</w:t>
      </w:r>
    </w:p>
    <w:p w14:paraId="5B7FF55C">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为进一步深化财政投资领域“放管服”改革，通过抓“大“小”，促进财政评审力量向重大项目和预算支出类项目倾斜效提高财政投资评审效率，现对工程建设类项目评审额度作调整。</w:t>
      </w:r>
    </w:p>
    <w:p w14:paraId="04108364">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（一）将州本级建设项目招标控制价评审额度由10万元（万元）以上调整为50万元（含50万元）以上。</w:t>
      </w:r>
    </w:p>
    <w:p w14:paraId="46455726">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（二）将州本级建设项目竣工结算价评审额度调整为400（含400万元）以上。</w:t>
      </w:r>
    </w:p>
    <w:p w14:paraId="2913DC96">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二、明确财政投资评审内容</w:t>
      </w:r>
    </w:p>
    <w:p w14:paraId="3951C67F">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（一）工程建设类项目评审主要包括工程量计算是否符合规范计算规则的规定，是否准确。工程计价套用定额是否符执行的定额标准。计税取费是否正确。建筑材料价格是否合理确。</w:t>
      </w:r>
    </w:p>
    <w:p w14:paraId="57C7FD99">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二）预算支出类项目评审主要包括预算完整性、必要性行性和合理性等方面。完整性主要是审核项目申报程序是否项目申报内容填写是否全面，项目申报所需资料是否齐全等要性主要是审核项目立项依据是否充分，与部门职责和宏观衔接是否紧密，与其他项目是否存在交叉重复，是否符合“节约、反对浪费”相关规定等。可行性主要是审核项目立项方案设计是否可行，是否具备执行条件等。合理性主要是审目支出内容是否真实、合规、预算需求与绩效目标设置是否合理等。</w:t>
      </w:r>
    </w:p>
    <w:p w14:paraId="60321826">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三、明确财政投资评审范围</w:t>
      </w:r>
    </w:p>
    <w:p w14:paraId="29B28111">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（一）概算评审范围</w:t>
      </w:r>
    </w:p>
    <w:p w14:paraId="72554E75">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采用 EPC方式承包的政府投资项目，取得初步设计及概算后报送财政部门申请评审，确定项目招标控制价后，进行工承包发包。</w:t>
      </w:r>
    </w:p>
    <w:p w14:paraId="6BF1B9C2">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（二）预算评审范围</w:t>
      </w:r>
    </w:p>
    <w:p w14:paraId="343C7794">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1.凡使用财政预算资金超过50万元以上（含50万元）工设类项目的招标控制价。</w:t>
      </w:r>
    </w:p>
    <w:p w14:paraId="0AD1EE10">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2.已纳入预算管理一体化项目库管理的超过200万元以其他运转类和特定目标类项目。</w:t>
      </w:r>
    </w:p>
    <w:p w14:paraId="207A0136">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（三）结算评审范围</w:t>
      </w:r>
    </w:p>
    <w:p w14:paraId="4BA666B2">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凡使用财政预算资金超过400万元以上（含400万元）且发改委公开招投标程序确定的工程建设类项目。</w:t>
      </w:r>
    </w:p>
    <w:p w14:paraId="38BFF778">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（四）根据工作实际安排，其他需要评审的项目。</w:t>
      </w:r>
    </w:p>
    <w:p w14:paraId="44A21A1F">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以上项目，按规定适用事前绩效评估要求的，应优先纳入绩效评估，已开展重点绩效评估的项目，视同已开展部门预审；同一项目进行了概算评审，就不再进行预算评审。</w:t>
      </w:r>
    </w:p>
    <w:p w14:paraId="7139BE5C">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 xml:space="preserve">四、调整财政投资评审流程 </w:t>
      </w:r>
    </w:p>
    <w:p w14:paraId="7842CE94">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财政投资评审遵循“先评审后招标”和“先预算评审后预排”的原则。项目单位将申报材料报送州财政局对口科室，科室对项目安排的必要性、可行性进行审核，提出是否评审向评审中心下达评审任务。评审中心接收到评审任务后，分管领导审签。评审工作结束后，评审中心出具评审报告，对口科室审定后，批复项目单位。</w:t>
      </w:r>
    </w:p>
    <w:p w14:paraId="19914371">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五、强化财政投资评审结果运用</w:t>
      </w:r>
    </w:p>
    <w:p w14:paraId="7F40E89E">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各支出科室要切实加强评审结果的运用，强化评审约束把评审结论作为项目申报、调整和资金安排、拨付的重要各对口科室要根据评审意见确定项目支出预算是否安排，额度原则上不能高于评审建议数，对申报不实、预算审减率的部门，资金管理科室采取通报、压减部门以后年度预算等予以督促，切实加强部门预算管理的主体责任。</w:t>
      </w:r>
    </w:p>
    <w:p w14:paraId="244E260E">
      <w:pPr>
        <w:pStyle w:val="3"/>
        <w:rPr>
          <w:rFonts w:ascii="黑体" w:hAnsi="黑体" w:eastAsia="黑体"/>
          <w:b w:val="0"/>
        </w:rPr>
      </w:pPr>
      <w:r>
        <w:rPr>
          <w:rFonts w:hint="eastAsia" w:ascii="黑体" w:hAnsi="黑体" w:eastAsia="黑体"/>
          <w:b w:val="0"/>
        </w:rPr>
        <w:t>二、机构设置</w:t>
      </w:r>
    </w:p>
    <w:bookmarkEnd w:id="14"/>
    <w:bookmarkEnd w:id="15"/>
    <w:p w14:paraId="2BF67F90">
      <w:pPr>
        <w:pStyle w:val="1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阿坝州财政局投资评审中心无</w:t>
      </w: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级预算单位。</w:t>
      </w:r>
    </w:p>
    <w:p w14:paraId="57737302">
      <w:pPr>
        <w:widowControl/>
        <w:jc w:val="left"/>
        <w:rPr>
          <w:rFonts w:ascii="仿宋" w:hAnsi="仿宋" w:eastAsia="仿宋"/>
          <w:kern w:val="0"/>
          <w:sz w:val="32"/>
          <w:szCs w:val="32"/>
        </w:rPr>
      </w:pPr>
    </w:p>
    <w:p w14:paraId="152C4806">
      <w:pPr>
        <w:rPr>
          <w:rFonts w:hint="eastAsia" w:ascii="黑体" w:hAnsi="黑体" w:eastAsia="黑体"/>
          <w:b w:val="0"/>
        </w:rPr>
      </w:pPr>
      <w:bookmarkStart w:id="16" w:name="_Toc15377204"/>
      <w:bookmarkStart w:id="17" w:name="_Toc15396602"/>
      <w:r>
        <w:rPr>
          <w:rFonts w:hint="eastAsia" w:ascii="黑体" w:hAnsi="黑体" w:eastAsia="黑体"/>
          <w:b w:val="0"/>
        </w:rPr>
        <w:br w:type="page"/>
      </w:r>
    </w:p>
    <w:p w14:paraId="34F4D2FB">
      <w:pPr>
        <w:pStyle w:val="2"/>
        <w:ind w:right="440"/>
        <w:jc w:val="center"/>
        <w:rPr>
          <w:rStyle w:val="29"/>
          <w:rFonts w:ascii="黑体" w:hAnsi="黑体" w:eastAsia="黑体"/>
          <w:b w:val="0"/>
          <w:bCs/>
        </w:rPr>
      </w:pPr>
      <w:r>
        <w:rPr>
          <w:rFonts w:hint="eastAsia" w:ascii="黑体" w:hAnsi="黑体" w:eastAsia="黑体"/>
          <w:b w:val="0"/>
        </w:rPr>
        <w:t xml:space="preserve">第二部分 </w:t>
      </w:r>
      <w:r>
        <w:rPr>
          <w:rFonts w:hint="eastAsia" w:ascii="黑体" w:hAnsi="黑体" w:eastAsia="黑体"/>
          <w:b w:val="0"/>
          <w:lang w:eastAsia="zh-CN"/>
        </w:rPr>
        <w:t>2024</w:t>
      </w:r>
      <w:r>
        <w:rPr>
          <w:rFonts w:hint="eastAsia" w:ascii="黑体" w:hAnsi="黑体" w:eastAsia="黑体"/>
          <w:b w:val="0"/>
        </w:rPr>
        <w:t>年度</w:t>
      </w:r>
      <w:r>
        <w:rPr>
          <w:rStyle w:val="29"/>
          <w:rFonts w:hint="eastAsia" w:ascii="黑体" w:hAnsi="黑体" w:eastAsia="黑体"/>
          <w:b w:val="0"/>
          <w:bCs/>
        </w:rPr>
        <w:t>单位决算情况说明</w:t>
      </w:r>
      <w:bookmarkEnd w:id="16"/>
      <w:bookmarkEnd w:id="17"/>
    </w:p>
    <w:p w14:paraId="5089D4E4"/>
    <w:p w14:paraId="311EED2E">
      <w:pPr>
        <w:pStyle w:val="28"/>
        <w:numPr>
          <w:ilvl w:val="0"/>
          <w:numId w:val="0"/>
        </w:numPr>
        <w:spacing w:line="600" w:lineRule="exact"/>
        <w:ind w:left="1360" w:leftChars="0" w:hanging="720" w:firstLineChars="0"/>
        <w:outlineLvl w:val="1"/>
        <w:rPr>
          <w:rStyle w:val="30"/>
          <w:rFonts w:ascii="黑体" w:hAnsi="黑体" w:eastAsia="黑体"/>
          <w:b w:val="0"/>
        </w:rPr>
      </w:pPr>
      <w:bookmarkStart w:id="18" w:name="_Toc15396603"/>
      <w:bookmarkStart w:id="19" w:name="_Toc15377205"/>
      <w:r>
        <w:rPr>
          <w:rFonts w:hint="default" w:ascii="黑体" w:hAnsi="黑体" w:eastAsia="黑体" w:cstheme="majorBidi"/>
          <w:b w:val="0"/>
          <w:bCs/>
          <w:kern w:val="2"/>
          <w:sz w:val="32"/>
          <w:szCs w:val="32"/>
          <w:lang w:val="en-US" w:eastAsia="zh-CN" w:bidi="ar-SA"/>
        </w:rPr>
        <w:t>一、</w:t>
      </w:r>
      <w:r>
        <w:rPr>
          <w:rFonts w:hint="eastAsia" w:ascii="黑体" w:hAnsi="黑体" w:eastAsia="黑体"/>
          <w:sz w:val="32"/>
          <w:szCs w:val="32"/>
        </w:rPr>
        <w:t>收</w:t>
      </w:r>
      <w:r>
        <w:rPr>
          <w:rStyle w:val="30"/>
          <w:rFonts w:hint="eastAsia" w:ascii="黑体" w:hAnsi="黑体" w:eastAsia="黑体"/>
          <w:b w:val="0"/>
        </w:rPr>
        <w:t>入支出决算总体情况说明</w:t>
      </w:r>
      <w:bookmarkEnd w:id="18"/>
      <w:bookmarkEnd w:id="19"/>
    </w:p>
    <w:p w14:paraId="6BADD823">
      <w:pPr>
        <w:spacing w:line="60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eastAsia="zh-CN"/>
        </w:rPr>
        <w:t>2024</w:t>
      </w:r>
      <w:r>
        <w:rPr>
          <w:rFonts w:hint="eastAsia" w:ascii="仿宋" w:hAnsi="仿宋" w:eastAsia="仿宋"/>
          <w:sz w:val="32"/>
          <w:szCs w:val="32"/>
        </w:rPr>
        <w:t>年度收、支总计均为</w:t>
      </w:r>
      <w:r>
        <w:rPr>
          <w:rFonts w:hint="eastAsia" w:ascii="仿宋" w:hAnsi="仿宋" w:eastAsia="仿宋"/>
          <w:b/>
          <w:sz w:val="32"/>
          <w:szCs w:val="32"/>
          <w:lang w:val="en-US" w:eastAsia="zh-CN"/>
        </w:rPr>
        <w:t>1627.63</w:t>
      </w:r>
      <w:r>
        <w:rPr>
          <w:rFonts w:hint="eastAsia" w:ascii="仿宋" w:hAnsi="仿宋" w:eastAsia="仿宋"/>
          <w:sz w:val="32"/>
          <w:szCs w:val="32"/>
        </w:rPr>
        <w:t>万元。与</w:t>
      </w:r>
      <w:r>
        <w:rPr>
          <w:rFonts w:hint="eastAsia" w:ascii="仿宋" w:hAnsi="仿宋" w:eastAsia="仿宋"/>
          <w:sz w:val="32"/>
          <w:szCs w:val="32"/>
          <w:lang w:eastAsia="zh-CN"/>
        </w:rPr>
        <w:t>2023</w:t>
      </w:r>
      <w:r>
        <w:rPr>
          <w:rFonts w:hint="eastAsia" w:ascii="仿宋" w:hAnsi="仿宋" w:eastAsia="仿宋"/>
          <w:sz w:val="32"/>
          <w:szCs w:val="32"/>
        </w:rPr>
        <w:t>年度相比，收、支总计各</w:t>
      </w:r>
      <w:r>
        <w:rPr>
          <w:rFonts w:hint="eastAsia" w:ascii="仿宋" w:hAnsi="仿宋" w:eastAsia="仿宋"/>
          <w:sz w:val="32"/>
          <w:szCs w:val="32"/>
          <w:lang w:eastAsia="zh-CN"/>
        </w:rPr>
        <w:t>增加</w:t>
      </w:r>
      <w:r>
        <w:rPr>
          <w:rFonts w:hint="eastAsia" w:ascii="仿宋" w:hAnsi="仿宋" w:eastAsia="仿宋"/>
          <w:sz w:val="32"/>
          <w:szCs w:val="32"/>
          <w:lang w:val="en-US" w:eastAsia="zh-CN"/>
        </w:rPr>
        <w:t>328.07</w:t>
      </w:r>
      <w:r>
        <w:rPr>
          <w:rFonts w:hint="eastAsia" w:ascii="仿宋" w:hAnsi="仿宋" w:eastAsia="仿宋"/>
          <w:sz w:val="32"/>
          <w:szCs w:val="32"/>
        </w:rPr>
        <w:t>万元，</w:t>
      </w:r>
      <w:r>
        <w:rPr>
          <w:rFonts w:hint="eastAsia" w:ascii="仿宋" w:hAnsi="仿宋" w:eastAsia="仿宋"/>
          <w:sz w:val="32"/>
          <w:szCs w:val="32"/>
          <w:lang w:eastAsia="zh-CN"/>
        </w:rPr>
        <w:t>上升</w:t>
      </w:r>
      <w:r>
        <w:rPr>
          <w:rFonts w:hint="eastAsia" w:ascii="仿宋" w:hAnsi="仿宋" w:eastAsia="仿宋"/>
          <w:sz w:val="32"/>
          <w:szCs w:val="32"/>
          <w:lang w:val="en-US" w:eastAsia="zh-CN"/>
        </w:rPr>
        <w:t>20.15</w:t>
      </w:r>
      <w:r>
        <w:rPr>
          <w:rFonts w:ascii="仿宋" w:hAnsi="仿宋" w:eastAsia="仿宋"/>
          <w:sz w:val="32"/>
          <w:szCs w:val="32"/>
        </w:rPr>
        <w:t>%</w:t>
      </w:r>
      <w:r>
        <w:rPr>
          <w:rFonts w:hint="eastAsia" w:ascii="仿宋" w:hAnsi="仿宋" w:eastAsia="仿宋"/>
          <w:sz w:val="32"/>
          <w:szCs w:val="32"/>
        </w:rPr>
        <w:t>。主要</w:t>
      </w:r>
      <w:r>
        <w:rPr>
          <w:rFonts w:hint="eastAsia" w:ascii="仿宋" w:hAnsi="仿宋" w:eastAsia="仿宋"/>
          <w:sz w:val="32"/>
          <w:szCs w:val="32"/>
          <w:lang w:eastAsia="zh-CN"/>
        </w:rPr>
        <w:t>新进</w:t>
      </w:r>
      <w:r>
        <w:rPr>
          <w:rFonts w:hint="eastAsia" w:ascii="仿宋" w:hAnsi="仿宋" w:eastAsia="仿宋"/>
          <w:sz w:val="32"/>
          <w:szCs w:val="32"/>
          <w:lang w:val="en-US" w:eastAsia="zh-CN"/>
        </w:rPr>
        <w:t>5名事业人员，公用经费及人员经费增加。</w:t>
      </w:r>
    </w:p>
    <w:p w14:paraId="2A873239">
      <w:pPr>
        <w:spacing w:line="600" w:lineRule="exact"/>
        <w:ind w:firstLine="640" w:firstLineChars="200"/>
        <w:rPr>
          <w:rFonts w:ascii="仿宋" w:hAnsi="仿宋" w:eastAsia="仿宋"/>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：收、支决算总计变动情况图）（柱状图）</w:t>
      </w:r>
    </w:p>
    <w:p w14:paraId="3DFC5045">
      <w:pPr>
        <w:spacing w:line="600" w:lineRule="exact"/>
        <w:ind w:firstLine="640" w:firstLineChars="200"/>
        <w:jc w:val="left"/>
        <w:rPr>
          <w:rFonts w:hint="eastAsia" w:ascii="仿宋_GB2312" w:eastAsia="仿宋_GB2312"/>
          <w:sz w:val="32"/>
          <w:szCs w:val="32"/>
          <w:lang w:eastAsia="zh-CN"/>
        </w:rPr>
      </w:pPr>
      <w:r>
        <w:rPr>
          <w:rFonts w:hint="eastAsia" w:ascii="仿宋_GB2312" w:eastAsia="仿宋_GB2312"/>
          <w:sz w:val="32"/>
          <w:szCs w:val="32"/>
          <w:lang w:eastAsia="zh-CN"/>
        </w:rPr>
        <w:drawing>
          <wp:anchor distT="0" distB="0" distL="114300" distR="114300" simplePos="0" relativeHeight="251659264" behindDoc="0" locked="0" layoutInCell="1" allowOverlap="1">
            <wp:simplePos x="0" y="0"/>
            <wp:positionH relativeFrom="column">
              <wp:posOffset>-12065</wp:posOffset>
            </wp:positionH>
            <wp:positionV relativeFrom="paragraph">
              <wp:posOffset>287020</wp:posOffset>
            </wp:positionV>
            <wp:extent cx="5256530" cy="2988310"/>
            <wp:effectExtent l="5080" t="4445" r="11430" b="9525"/>
            <wp:wrapNone/>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p>
    <w:p w14:paraId="4EE727A7">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bookmarkStart w:id="20" w:name="_Toc15396604"/>
      <w:bookmarkStart w:id="21" w:name="_Toc15377206"/>
    </w:p>
    <w:p w14:paraId="3F3D2BE4">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p>
    <w:p w14:paraId="79D602DB">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p>
    <w:p w14:paraId="05D74A52">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p>
    <w:p w14:paraId="432A5382">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p>
    <w:p w14:paraId="716622AF">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p>
    <w:p w14:paraId="6E0C7633">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p>
    <w:p w14:paraId="52EA939C">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p>
    <w:p w14:paraId="3B9950CB">
      <w:pPr>
        <w:pStyle w:val="28"/>
        <w:numPr>
          <w:ilvl w:val="0"/>
          <w:numId w:val="0"/>
        </w:numPr>
        <w:spacing w:line="600" w:lineRule="exact"/>
        <w:ind w:left="1360" w:leftChars="0" w:hanging="720" w:firstLineChars="0"/>
        <w:outlineLvl w:val="1"/>
        <w:rPr>
          <w:rStyle w:val="30"/>
          <w:rFonts w:ascii="黑体" w:hAnsi="黑体" w:eastAsia="黑体"/>
          <w:b w:val="0"/>
        </w:rPr>
      </w:pPr>
      <w:r>
        <w:rPr>
          <w:rFonts w:hint="default" w:ascii="黑体" w:hAnsi="黑体" w:eastAsia="黑体" w:cstheme="majorBidi"/>
          <w:b w:val="0"/>
          <w:bCs/>
          <w:kern w:val="2"/>
          <w:sz w:val="32"/>
          <w:szCs w:val="32"/>
          <w:lang w:val="en-US" w:eastAsia="zh-CN" w:bidi="ar-SA"/>
        </w:rPr>
        <w:t>二、</w:t>
      </w:r>
      <w:r>
        <w:rPr>
          <w:rFonts w:hint="eastAsia" w:ascii="黑体" w:hAnsi="黑体" w:eastAsia="黑体"/>
          <w:sz w:val="32"/>
          <w:szCs w:val="32"/>
        </w:rPr>
        <w:t>收</w:t>
      </w:r>
      <w:r>
        <w:rPr>
          <w:rStyle w:val="30"/>
          <w:rFonts w:hint="eastAsia" w:ascii="黑体" w:hAnsi="黑体" w:eastAsia="黑体"/>
          <w:b w:val="0"/>
        </w:rPr>
        <w:t>入决算情况说明</w:t>
      </w:r>
      <w:bookmarkEnd w:id="20"/>
      <w:bookmarkEnd w:id="21"/>
    </w:p>
    <w:p w14:paraId="3F2B5CF4">
      <w:pPr>
        <w:spacing w:line="600" w:lineRule="exact"/>
        <w:ind w:firstLine="640" w:firstLineChars="200"/>
        <w:outlineLvl w:val="1"/>
        <w:rPr>
          <w:rFonts w:ascii="仿宋" w:hAnsi="仿宋" w:eastAsia="仿宋"/>
          <w:sz w:val="32"/>
          <w:szCs w:val="32"/>
        </w:rPr>
      </w:pPr>
      <w:r>
        <w:rPr>
          <w:rFonts w:hint="eastAsia" w:ascii="仿宋" w:hAnsi="仿宋" w:eastAsia="仿宋"/>
          <w:sz w:val="32"/>
          <w:szCs w:val="32"/>
          <w:lang w:eastAsia="zh-CN"/>
        </w:rPr>
        <w:t>2024</w:t>
      </w:r>
      <w:r>
        <w:rPr>
          <w:rFonts w:hint="eastAsia" w:ascii="仿宋" w:hAnsi="仿宋" w:eastAsia="仿宋"/>
          <w:sz w:val="32"/>
          <w:szCs w:val="32"/>
        </w:rPr>
        <w:t>年度本年收入合计</w:t>
      </w:r>
      <w:r>
        <w:rPr>
          <w:rFonts w:hint="eastAsia" w:ascii="仿宋" w:hAnsi="仿宋" w:eastAsia="仿宋"/>
          <w:b/>
          <w:sz w:val="32"/>
          <w:szCs w:val="32"/>
          <w:lang w:val="en-US" w:eastAsia="zh-CN"/>
        </w:rPr>
        <w:t>1627.63</w:t>
      </w:r>
      <w:r>
        <w:rPr>
          <w:rFonts w:hint="eastAsia" w:ascii="仿宋" w:hAnsi="仿宋" w:eastAsia="仿宋"/>
          <w:sz w:val="32"/>
          <w:szCs w:val="32"/>
        </w:rPr>
        <w:t>万元，其中：一般公共预算财政拨款收入</w:t>
      </w:r>
      <w:r>
        <w:rPr>
          <w:rFonts w:hint="eastAsia" w:ascii="仿宋" w:hAnsi="仿宋" w:eastAsia="仿宋"/>
          <w:b/>
          <w:sz w:val="32"/>
          <w:szCs w:val="32"/>
          <w:lang w:val="en-US" w:eastAsia="zh-CN"/>
        </w:rPr>
        <w:t>1627.63</w:t>
      </w:r>
      <w:r>
        <w:rPr>
          <w:rFonts w:hint="eastAsia" w:ascii="仿宋" w:hAnsi="仿宋" w:eastAsia="仿宋"/>
          <w:sz w:val="32"/>
          <w:szCs w:val="32"/>
        </w:rPr>
        <w:t>万元，占</w:t>
      </w:r>
      <w:r>
        <w:rPr>
          <w:rFonts w:ascii="仿宋" w:hAnsi="仿宋" w:eastAsia="仿宋"/>
          <w:b/>
          <w:sz w:val="32"/>
          <w:szCs w:val="32"/>
        </w:rPr>
        <w:t>100%</w:t>
      </w:r>
      <w:r>
        <w:rPr>
          <w:rFonts w:hint="eastAsia" w:ascii="仿宋" w:hAnsi="仿宋" w:eastAsia="仿宋"/>
          <w:sz w:val="32"/>
          <w:szCs w:val="32"/>
        </w:rPr>
        <w:t>；政府性基金预算财政拨款收入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；国有资本经营预算财政拨款收入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；上级补助收入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sz w:val="32"/>
          <w:szCs w:val="32"/>
        </w:rPr>
        <w:t>0%</w:t>
      </w:r>
      <w:r>
        <w:rPr>
          <w:rFonts w:hint="eastAsia" w:ascii="仿宋" w:hAnsi="仿宋" w:eastAsia="仿宋"/>
          <w:sz w:val="32"/>
          <w:szCs w:val="32"/>
        </w:rPr>
        <w:t>；事业收入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；经营收入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；附属单位上缴收入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；其他收入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p>
    <w:p w14:paraId="5D47D77F">
      <w:pPr>
        <w:spacing w:line="600" w:lineRule="exact"/>
        <w:ind w:firstLine="643" w:firstLineChars="200"/>
        <w:outlineLvl w:val="1"/>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01表</w:t>
      </w:r>
      <w:r>
        <w:rPr>
          <w:rFonts w:hint="eastAsia" w:ascii="仿宋" w:hAnsi="仿宋" w:eastAsia="仿宋"/>
          <w:b/>
          <w:sz w:val="32"/>
          <w:szCs w:val="32"/>
        </w:rPr>
        <w:t>，仅罗列本单位涉及的收入。</w:t>
      </w:r>
      <w:r>
        <w:rPr>
          <w:rFonts w:ascii="仿宋" w:hAnsi="仿宋" w:eastAsia="仿宋"/>
          <w:b/>
          <w:sz w:val="32"/>
          <w:szCs w:val="32"/>
        </w:rPr>
        <w:t>）</w:t>
      </w:r>
    </w:p>
    <w:p w14:paraId="0C0DA5DB">
      <w:pPr>
        <w:spacing w:line="600" w:lineRule="exact"/>
        <w:ind w:firstLine="640" w:firstLineChars="200"/>
        <w:rPr>
          <w:rFonts w:ascii="仿宋" w:hAnsi="仿宋" w:eastAsia="仿宋"/>
          <w:sz w:val="32"/>
          <w:szCs w:val="32"/>
        </w:rPr>
      </w:pPr>
      <w:r>
        <w:rPr>
          <w:rFonts w:hint="eastAsia" w:ascii="仿宋" w:hAnsi="仿宋" w:eastAsia="仿宋"/>
          <w:sz w:val="32"/>
          <w:szCs w:val="32"/>
        </w:rPr>
        <w:t>（图2：收入决算结构图）（饼状图）</w:t>
      </w:r>
    </w:p>
    <w:p w14:paraId="6BAC6D73">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drawing>
          <wp:anchor distT="0" distB="0" distL="114300" distR="114300" simplePos="0" relativeHeight="251660288" behindDoc="0" locked="0" layoutInCell="1" allowOverlap="1">
            <wp:simplePos x="0" y="0"/>
            <wp:positionH relativeFrom="column">
              <wp:posOffset>410845</wp:posOffset>
            </wp:positionH>
            <wp:positionV relativeFrom="paragraph">
              <wp:posOffset>229870</wp:posOffset>
            </wp:positionV>
            <wp:extent cx="4477385" cy="2726055"/>
            <wp:effectExtent l="4445" t="4445" r="13970" b="12700"/>
            <wp:wrapNone/>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14:paraId="62C98339">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bookmarkStart w:id="22" w:name="_Toc15377207"/>
      <w:bookmarkStart w:id="23" w:name="_Toc15396605"/>
    </w:p>
    <w:p w14:paraId="74EE0BBC">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p>
    <w:p w14:paraId="08A39675">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p>
    <w:p w14:paraId="36E24AFC">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p>
    <w:p w14:paraId="68C5A713">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p>
    <w:p w14:paraId="7BFC1515">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p>
    <w:p w14:paraId="08762B92">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p>
    <w:p w14:paraId="3FA5B38B">
      <w:pPr>
        <w:pStyle w:val="28"/>
        <w:numPr>
          <w:ilvl w:val="0"/>
          <w:numId w:val="0"/>
        </w:numPr>
        <w:spacing w:line="600" w:lineRule="exact"/>
        <w:ind w:left="1360" w:leftChars="0" w:hanging="720" w:firstLineChars="0"/>
        <w:outlineLvl w:val="1"/>
        <w:rPr>
          <w:rStyle w:val="30"/>
          <w:rFonts w:ascii="黑体" w:hAnsi="黑体" w:eastAsia="黑体"/>
          <w:b w:val="0"/>
        </w:rPr>
      </w:pPr>
      <w:r>
        <w:rPr>
          <w:rFonts w:hint="default" w:ascii="黑体" w:hAnsi="黑体" w:eastAsia="黑体" w:cstheme="majorBidi"/>
          <w:b w:val="0"/>
          <w:bCs/>
          <w:kern w:val="2"/>
          <w:sz w:val="32"/>
          <w:szCs w:val="32"/>
          <w:lang w:val="en-US" w:eastAsia="zh-CN" w:bidi="ar-SA"/>
        </w:rPr>
        <w:t>三、</w:t>
      </w:r>
      <w:r>
        <w:rPr>
          <w:rFonts w:hint="eastAsia" w:ascii="黑体" w:hAnsi="黑体" w:eastAsia="黑体"/>
          <w:sz w:val="32"/>
          <w:szCs w:val="32"/>
        </w:rPr>
        <w:t>支</w:t>
      </w:r>
      <w:r>
        <w:rPr>
          <w:rStyle w:val="30"/>
          <w:rFonts w:hint="eastAsia" w:ascii="黑体" w:hAnsi="黑体" w:eastAsia="黑体"/>
          <w:b w:val="0"/>
        </w:rPr>
        <w:t>出决算情况说明</w:t>
      </w:r>
      <w:bookmarkEnd w:id="22"/>
      <w:bookmarkEnd w:id="23"/>
    </w:p>
    <w:p w14:paraId="12DF429F">
      <w:pPr>
        <w:spacing w:line="600" w:lineRule="exact"/>
        <w:ind w:firstLine="640" w:firstLineChars="200"/>
        <w:outlineLvl w:val="1"/>
        <w:rPr>
          <w:rFonts w:ascii="仿宋" w:hAnsi="仿宋" w:eastAsia="仿宋"/>
          <w:sz w:val="32"/>
          <w:szCs w:val="32"/>
        </w:rPr>
      </w:pPr>
      <w:r>
        <w:rPr>
          <w:rFonts w:hint="eastAsia" w:ascii="仿宋" w:hAnsi="仿宋" w:eastAsia="仿宋"/>
          <w:sz w:val="32"/>
          <w:szCs w:val="32"/>
          <w:lang w:eastAsia="zh-CN"/>
        </w:rPr>
        <w:t>2024</w:t>
      </w:r>
      <w:r>
        <w:rPr>
          <w:rFonts w:hint="eastAsia" w:ascii="仿宋" w:hAnsi="仿宋" w:eastAsia="仿宋"/>
          <w:sz w:val="32"/>
          <w:szCs w:val="32"/>
        </w:rPr>
        <w:t>年度本年支出合计</w:t>
      </w:r>
      <w:r>
        <w:rPr>
          <w:rFonts w:hint="eastAsia" w:ascii="仿宋" w:hAnsi="仿宋" w:eastAsia="仿宋"/>
          <w:b/>
          <w:sz w:val="32"/>
          <w:szCs w:val="32"/>
          <w:lang w:val="en-US" w:eastAsia="zh-CN"/>
        </w:rPr>
        <w:t>1627.63</w:t>
      </w:r>
      <w:r>
        <w:rPr>
          <w:rFonts w:hint="eastAsia" w:ascii="仿宋" w:hAnsi="仿宋" w:eastAsia="仿宋"/>
          <w:sz w:val="32"/>
          <w:szCs w:val="32"/>
        </w:rPr>
        <w:t>万元，其中：基本支出</w:t>
      </w:r>
      <w:r>
        <w:rPr>
          <w:rFonts w:hint="eastAsia" w:ascii="仿宋" w:hAnsi="仿宋" w:eastAsia="仿宋"/>
          <w:b/>
          <w:sz w:val="32"/>
          <w:szCs w:val="32"/>
          <w:lang w:val="en-US" w:eastAsia="zh-CN"/>
        </w:rPr>
        <w:t>985.52</w:t>
      </w:r>
      <w:r>
        <w:rPr>
          <w:rFonts w:hint="eastAsia" w:ascii="仿宋" w:hAnsi="仿宋" w:eastAsia="仿宋"/>
          <w:sz w:val="32"/>
          <w:szCs w:val="32"/>
        </w:rPr>
        <w:t>万元，占</w:t>
      </w:r>
      <w:r>
        <w:rPr>
          <w:rFonts w:hint="eastAsia" w:ascii="仿宋" w:hAnsi="仿宋" w:eastAsia="仿宋"/>
          <w:b/>
          <w:sz w:val="32"/>
          <w:szCs w:val="32"/>
          <w:lang w:val="en-US" w:eastAsia="zh-CN"/>
        </w:rPr>
        <w:t>60.55</w:t>
      </w:r>
      <w:r>
        <w:rPr>
          <w:rFonts w:ascii="仿宋" w:hAnsi="仿宋" w:eastAsia="仿宋"/>
          <w:sz w:val="32"/>
          <w:szCs w:val="32"/>
        </w:rPr>
        <w:t>%</w:t>
      </w:r>
      <w:r>
        <w:rPr>
          <w:rFonts w:hint="eastAsia" w:ascii="仿宋" w:hAnsi="仿宋" w:eastAsia="仿宋"/>
          <w:sz w:val="32"/>
          <w:szCs w:val="32"/>
        </w:rPr>
        <w:t>；项目支出</w:t>
      </w:r>
      <w:r>
        <w:rPr>
          <w:rFonts w:hint="eastAsia" w:ascii="仿宋" w:hAnsi="仿宋" w:eastAsia="仿宋"/>
          <w:b/>
          <w:sz w:val="32"/>
          <w:szCs w:val="32"/>
          <w:lang w:val="en-US" w:eastAsia="zh-CN"/>
        </w:rPr>
        <w:t>642.11</w:t>
      </w:r>
      <w:r>
        <w:rPr>
          <w:rFonts w:hint="eastAsia" w:ascii="仿宋" w:hAnsi="仿宋" w:eastAsia="仿宋"/>
          <w:sz w:val="32"/>
          <w:szCs w:val="32"/>
        </w:rPr>
        <w:t>万元，占</w:t>
      </w:r>
      <w:r>
        <w:rPr>
          <w:rFonts w:hint="eastAsia" w:ascii="仿宋" w:hAnsi="仿宋" w:eastAsia="仿宋"/>
          <w:b/>
          <w:sz w:val="32"/>
          <w:szCs w:val="32"/>
          <w:lang w:val="en-US" w:eastAsia="zh-CN"/>
        </w:rPr>
        <w:t>39.45</w:t>
      </w:r>
      <w:r>
        <w:rPr>
          <w:rFonts w:ascii="仿宋" w:hAnsi="仿宋" w:eastAsia="仿宋"/>
          <w:sz w:val="32"/>
          <w:szCs w:val="32"/>
        </w:rPr>
        <w:t>%</w:t>
      </w:r>
      <w:r>
        <w:rPr>
          <w:rFonts w:hint="eastAsia" w:ascii="仿宋" w:hAnsi="仿宋" w:eastAsia="仿宋"/>
          <w:sz w:val="32"/>
          <w:szCs w:val="32"/>
        </w:rPr>
        <w:t>；上缴上级支出</w:t>
      </w:r>
      <w:r>
        <w:rPr>
          <w:rFonts w:ascii="仿宋" w:hAnsi="仿宋" w:eastAsia="仿宋"/>
          <w:b/>
          <w:sz w:val="32"/>
          <w:szCs w:val="32"/>
        </w:rPr>
        <w:t>0</w:t>
      </w:r>
      <w:r>
        <w:rPr>
          <w:rFonts w:hint="eastAsia" w:ascii="仿宋" w:hAnsi="仿宋" w:eastAsia="仿宋"/>
          <w:sz w:val="32"/>
          <w:szCs w:val="32"/>
        </w:rPr>
        <w:t>万元，占</w:t>
      </w:r>
      <w:r>
        <w:rPr>
          <w:rFonts w:hint="eastAsia"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；经营支出</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；对附属单位补助支出</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w:t>
      </w:r>
    </w:p>
    <w:p w14:paraId="1C3731D5">
      <w:pPr>
        <w:spacing w:line="600" w:lineRule="exact"/>
        <w:ind w:firstLine="643" w:firstLineChars="200"/>
        <w:outlineLvl w:val="1"/>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04</w:t>
      </w:r>
      <w:r>
        <w:rPr>
          <w:rFonts w:hint="eastAsia" w:ascii="仿宋" w:hAnsi="仿宋" w:eastAsia="仿宋"/>
          <w:b/>
          <w:sz w:val="32"/>
          <w:szCs w:val="32"/>
        </w:rPr>
        <w:t>表，仅罗列本单位涉及的支出。）</w:t>
      </w:r>
    </w:p>
    <w:p w14:paraId="6C76848A">
      <w:pPr>
        <w:spacing w:line="600" w:lineRule="exact"/>
        <w:ind w:firstLine="640" w:firstLineChars="200"/>
        <w:rPr>
          <w:rFonts w:ascii="仿宋" w:hAnsi="仿宋" w:eastAsia="仿宋"/>
          <w:sz w:val="32"/>
          <w:szCs w:val="32"/>
        </w:rPr>
      </w:pPr>
      <w:r>
        <w:rPr>
          <w:rFonts w:hint="eastAsia" w:ascii="仿宋" w:hAnsi="仿宋" w:eastAsia="仿宋"/>
          <w:sz w:val="32"/>
          <w:szCs w:val="32"/>
        </w:rPr>
        <w:t>（图3：支出决算结构图）（饼状图）</w:t>
      </w:r>
    </w:p>
    <w:p w14:paraId="32EB3209">
      <w:pPr>
        <w:spacing w:line="600" w:lineRule="exact"/>
        <w:ind w:firstLine="640" w:firstLineChars="200"/>
        <w:rPr>
          <w:rFonts w:ascii="仿宋_GB2312" w:eastAsia="仿宋_GB2312"/>
          <w:sz w:val="32"/>
          <w:szCs w:val="32"/>
        </w:rPr>
      </w:pPr>
    </w:p>
    <w:p w14:paraId="0347DA06">
      <w:pPr>
        <w:spacing w:line="600" w:lineRule="exact"/>
        <w:ind w:firstLine="640" w:firstLineChars="200"/>
        <w:rPr>
          <w:rFonts w:ascii="仿宋_GB2312" w:eastAsia="仿宋_GB2312"/>
          <w:sz w:val="32"/>
          <w:szCs w:val="32"/>
        </w:rPr>
      </w:pPr>
    </w:p>
    <w:p w14:paraId="0619ED73">
      <w:pPr>
        <w:spacing w:line="600" w:lineRule="exact"/>
        <w:ind w:firstLine="640" w:firstLineChars="200"/>
        <w:rPr>
          <w:rFonts w:ascii="仿宋_GB2312" w:eastAsia="仿宋_GB2312"/>
          <w:sz w:val="32"/>
          <w:szCs w:val="32"/>
        </w:rPr>
      </w:pPr>
    </w:p>
    <w:p w14:paraId="267AA481">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drawing>
          <wp:anchor distT="0" distB="0" distL="114300" distR="114300" simplePos="0" relativeHeight="251661312" behindDoc="0" locked="0" layoutInCell="1" allowOverlap="1">
            <wp:simplePos x="0" y="0"/>
            <wp:positionH relativeFrom="column">
              <wp:posOffset>182880</wp:posOffset>
            </wp:positionH>
            <wp:positionV relativeFrom="paragraph">
              <wp:posOffset>270510</wp:posOffset>
            </wp:positionV>
            <wp:extent cx="4554220" cy="2388235"/>
            <wp:effectExtent l="4445" t="4445" r="13335" b="15240"/>
            <wp:wrapNone/>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14:paraId="7C5E15A8">
      <w:pPr>
        <w:spacing w:line="600" w:lineRule="exact"/>
        <w:ind w:firstLine="640" w:firstLineChars="200"/>
        <w:rPr>
          <w:rFonts w:ascii="仿宋_GB2312" w:eastAsia="仿宋_GB2312"/>
          <w:sz w:val="32"/>
          <w:szCs w:val="32"/>
        </w:rPr>
      </w:pPr>
    </w:p>
    <w:p w14:paraId="4219B858">
      <w:pPr>
        <w:spacing w:line="600" w:lineRule="exact"/>
        <w:ind w:firstLine="640" w:firstLineChars="200"/>
        <w:rPr>
          <w:rFonts w:ascii="仿宋_GB2312" w:eastAsia="仿宋_GB2312"/>
          <w:sz w:val="32"/>
          <w:szCs w:val="32"/>
        </w:rPr>
      </w:pPr>
    </w:p>
    <w:p w14:paraId="5F366C11">
      <w:pPr>
        <w:spacing w:line="600" w:lineRule="exact"/>
        <w:ind w:firstLine="640" w:firstLineChars="200"/>
        <w:rPr>
          <w:rFonts w:ascii="仿宋_GB2312" w:eastAsia="仿宋_GB2312"/>
          <w:sz w:val="32"/>
          <w:szCs w:val="32"/>
        </w:rPr>
      </w:pPr>
    </w:p>
    <w:p w14:paraId="4E4C8C08">
      <w:pPr>
        <w:spacing w:line="600" w:lineRule="exact"/>
        <w:ind w:firstLine="640" w:firstLineChars="200"/>
        <w:rPr>
          <w:rFonts w:ascii="仿宋_GB2312" w:eastAsia="仿宋_GB2312"/>
          <w:sz w:val="32"/>
          <w:szCs w:val="32"/>
        </w:rPr>
      </w:pPr>
    </w:p>
    <w:p w14:paraId="53719AFA">
      <w:pPr>
        <w:spacing w:line="600" w:lineRule="exact"/>
        <w:ind w:firstLine="640" w:firstLineChars="200"/>
        <w:outlineLvl w:val="1"/>
        <w:rPr>
          <w:rFonts w:hint="eastAsia" w:ascii="黑体" w:hAnsi="黑体" w:eastAsia="黑体"/>
          <w:sz w:val="32"/>
          <w:szCs w:val="32"/>
        </w:rPr>
      </w:pPr>
      <w:bookmarkStart w:id="24" w:name="_Toc15396606"/>
      <w:bookmarkStart w:id="25" w:name="_Toc15377208"/>
    </w:p>
    <w:p w14:paraId="651D1C75">
      <w:pPr>
        <w:spacing w:line="600" w:lineRule="exact"/>
        <w:ind w:firstLine="640" w:firstLineChars="200"/>
        <w:outlineLvl w:val="1"/>
        <w:rPr>
          <w:rFonts w:hint="eastAsia" w:ascii="黑体" w:hAnsi="黑体" w:eastAsia="黑体"/>
          <w:sz w:val="32"/>
          <w:szCs w:val="32"/>
        </w:rPr>
      </w:pPr>
    </w:p>
    <w:p w14:paraId="6CCEE4E4">
      <w:pPr>
        <w:spacing w:line="600" w:lineRule="exact"/>
        <w:ind w:firstLine="640" w:firstLineChars="200"/>
        <w:outlineLvl w:val="1"/>
        <w:rPr>
          <w:rFonts w:hint="eastAsia" w:ascii="黑体" w:hAnsi="黑体" w:eastAsia="黑体"/>
          <w:sz w:val="32"/>
          <w:szCs w:val="32"/>
        </w:rPr>
      </w:pPr>
    </w:p>
    <w:p w14:paraId="090844E7">
      <w:pPr>
        <w:spacing w:line="600" w:lineRule="exact"/>
        <w:ind w:firstLine="640" w:firstLineChars="200"/>
        <w:outlineLvl w:val="1"/>
        <w:rPr>
          <w:rStyle w:val="30"/>
          <w:rFonts w:ascii="黑体" w:hAnsi="黑体" w:eastAsia="黑体"/>
          <w:b w:val="0"/>
        </w:rPr>
      </w:pPr>
      <w:r>
        <w:rPr>
          <w:rFonts w:hint="eastAsia" w:ascii="黑体" w:hAnsi="黑体" w:eastAsia="黑体"/>
          <w:sz w:val="32"/>
          <w:szCs w:val="32"/>
        </w:rPr>
        <w:t>四、财</w:t>
      </w:r>
      <w:r>
        <w:rPr>
          <w:rStyle w:val="30"/>
          <w:rFonts w:hint="eastAsia" w:ascii="黑体" w:hAnsi="黑体" w:eastAsia="黑体"/>
          <w:b w:val="0"/>
        </w:rPr>
        <w:t>政拨款收入支出决算总体情况说明</w:t>
      </w:r>
      <w:bookmarkEnd w:id="24"/>
      <w:bookmarkEnd w:id="25"/>
    </w:p>
    <w:p w14:paraId="6C2261F0">
      <w:pPr>
        <w:spacing w:line="60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eastAsia="zh-CN"/>
        </w:rPr>
        <w:t>2024</w:t>
      </w:r>
      <w:r>
        <w:rPr>
          <w:rFonts w:hint="eastAsia" w:ascii="仿宋" w:hAnsi="仿宋" w:eastAsia="仿宋"/>
          <w:sz w:val="32"/>
          <w:szCs w:val="32"/>
        </w:rPr>
        <w:t>年度财政拨款收、支总计均为</w:t>
      </w:r>
      <w:r>
        <w:rPr>
          <w:rFonts w:hint="eastAsia" w:ascii="仿宋" w:hAnsi="仿宋" w:eastAsia="仿宋"/>
          <w:b/>
          <w:sz w:val="32"/>
          <w:szCs w:val="32"/>
          <w:lang w:val="en-US" w:eastAsia="zh-CN"/>
        </w:rPr>
        <w:t>1627.63</w:t>
      </w:r>
      <w:r>
        <w:rPr>
          <w:rFonts w:hint="eastAsia" w:ascii="仿宋" w:hAnsi="仿宋" w:eastAsia="仿宋"/>
          <w:sz w:val="32"/>
          <w:szCs w:val="32"/>
        </w:rPr>
        <w:t>万元。与</w:t>
      </w:r>
      <w:r>
        <w:rPr>
          <w:rFonts w:hint="eastAsia" w:ascii="仿宋" w:hAnsi="仿宋" w:eastAsia="仿宋"/>
          <w:sz w:val="32"/>
          <w:szCs w:val="32"/>
          <w:lang w:eastAsia="zh-CN"/>
        </w:rPr>
        <w:t>2023</w:t>
      </w:r>
      <w:r>
        <w:rPr>
          <w:rFonts w:hint="eastAsia" w:ascii="仿宋" w:hAnsi="仿宋" w:eastAsia="仿宋"/>
          <w:sz w:val="32"/>
          <w:szCs w:val="32"/>
        </w:rPr>
        <w:t>年度相比，财政拨款收、支总计各</w:t>
      </w:r>
      <w:r>
        <w:rPr>
          <w:rFonts w:hint="eastAsia" w:ascii="仿宋" w:hAnsi="仿宋" w:eastAsia="仿宋"/>
          <w:sz w:val="32"/>
          <w:szCs w:val="32"/>
          <w:lang w:eastAsia="zh-CN"/>
        </w:rPr>
        <w:t>增加</w:t>
      </w:r>
      <w:r>
        <w:rPr>
          <w:rFonts w:hint="eastAsia" w:ascii="仿宋" w:hAnsi="仿宋" w:eastAsia="仿宋"/>
          <w:sz w:val="32"/>
          <w:szCs w:val="32"/>
          <w:lang w:val="en-US" w:eastAsia="zh-CN"/>
        </w:rPr>
        <w:t>328.07</w:t>
      </w:r>
      <w:r>
        <w:rPr>
          <w:rFonts w:hint="eastAsia" w:ascii="仿宋" w:hAnsi="仿宋" w:eastAsia="仿宋"/>
          <w:sz w:val="32"/>
          <w:szCs w:val="32"/>
        </w:rPr>
        <w:t>万元，</w:t>
      </w:r>
      <w:r>
        <w:rPr>
          <w:rFonts w:hint="eastAsia" w:ascii="仿宋" w:hAnsi="仿宋" w:eastAsia="仿宋"/>
          <w:sz w:val="32"/>
          <w:szCs w:val="32"/>
          <w:lang w:eastAsia="zh-CN"/>
        </w:rPr>
        <w:t>上升</w:t>
      </w:r>
      <w:r>
        <w:rPr>
          <w:rFonts w:hint="eastAsia" w:ascii="仿宋" w:hAnsi="仿宋" w:eastAsia="仿宋"/>
          <w:sz w:val="32"/>
          <w:szCs w:val="32"/>
          <w:lang w:val="en-US" w:eastAsia="zh-CN"/>
        </w:rPr>
        <w:t>20.15</w:t>
      </w:r>
      <w:r>
        <w:rPr>
          <w:rFonts w:ascii="仿宋" w:hAnsi="仿宋" w:eastAsia="仿宋"/>
          <w:sz w:val="32"/>
          <w:szCs w:val="32"/>
        </w:rPr>
        <w:t>%</w:t>
      </w:r>
      <w:r>
        <w:rPr>
          <w:rFonts w:hint="eastAsia" w:ascii="仿宋" w:hAnsi="仿宋" w:eastAsia="仿宋"/>
          <w:sz w:val="32"/>
          <w:szCs w:val="32"/>
        </w:rPr>
        <w:t>。主要</w:t>
      </w:r>
      <w:r>
        <w:rPr>
          <w:rFonts w:hint="eastAsia" w:ascii="仿宋" w:hAnsi="仿宋" w:eastAsia="仿宋"/>
          <w:sz w:val="32"/>
          <w:szCs w:val="32"/>
          <w:lang w:eastAsia="zh-CN"/>
        </w:rPr>
        <w:t>新进</w:t>
      </w:r>
      <w:r>
        <w:rPr>
          <w:rFonts w:hint="eastAsia" w:ascii="仿宋" w:hAnsi="仿宋" w:eastAsia="仿宋"/>
          <w:sz w:val="32"/>
          <w:szCs w:val="32"/>
          <w:lang w:val="en-US" w:eastAsia="zh-CN"/>
        </w:rPr>
        <w:t>5名事业人员，公用经费及人员经费增加。</w:t>
      </w:r>
    </w:p>
    <w:p w14:paraId="7A260808">
      <w:pPr>
        <w:spacing w:line="600" w:lineRule="exact"/>
        <w:ind w:firstLine="640"/>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01-1</w:t>
      </w:r>
      <w:r>
        <w:rPr>
          <w:rFonts w:hint="eastAsia" w:ascii="仿宋" w:hAnsi="仿宋" w:eastAsia="仿宋"/>
          <w:b/>
          <w:sz w:val="32"/>
          <w:szCs w:val="32"/>
        </w:rPr>
        <w:t>表</w:t>
      </w:r>
      <w:r>
        <w:rPr>
          <w:rFonts w:ascii="仿宋" w:hAnsi="仿宋" w:eastAsia="仿宋"/>
          <w:b/>
          <w:sz w:val="32"/>
          <w:szCs w:val="32"/>
        </w:rPr>
        <w:t>）</w:t>
      </w:r>
    </w:p>
    <w:p w14:paraId="3CD7A8A8">
      <w:pPr>
        <w:spacing w:line="600" w:lineRule="exact"/>
        <w:ind w:firstLine="640" w:firstLineChars="200"/>
        <w:rPr>
          <w:rFonts w:ascii="仿宋" w:hAnsi="仿宋" w:eastAsia="仿宋"/>
          <w:sz w:val="32"/>
          <w:szCs w:val="32"/>
        </w:rPr>
      </w:pPr>
      <w:r>
        <w:rPr>
          <w:rFonts w:hint="eastAsia" w:ascii="仿宋" w:hAnsi="仿宋" w:eastAsia="仿宋"/>
          <w:sz w:val="32"/>
          <w:szCs w:val="32"/>
        </w:rPr>
        <w:t>（图4：财政拨款收、支决算总计变动情况）（柱状图）</w:t>
      </w:r>
    </w:p>
    <w:p w14:paraId="6A195AF1">
      <w:pPr>
        <w:spacing w:line="600" w:lineRule="exact"/>
        <w:ind w:firstLine="640"/>
        <w:rPr>
          <w:rFonts w:ascii="仿宋" w:hAnsi="仿宋" w:eastAsia="仿宋"/>
          <w:b/>
          <w:sz w:val="32"/>
          <w:szCs w:val="32"/>
        </w:rPr>
      </w:pPr>
      <w:r>
        <w:rPr>
          <w:rFonts w:hint="eastAsia" w:ascii="仿宋_GB2312" w:eastAsia="仿宋_GB2312"/>
          <w:sz w:val="32"/>
          <w:szCs w:val="32"/>
          <w:lang w:eastAsia="zh-CN"/>
        </w:rPr>
        <w:drawing>
          <wp:anchor distT="0" distB="0" distL="114300" distR="114300" simplePos="0" relativeHeight="251662336" behindDoc="0" locked="0" layoutInCell="1" allowOverlap="1">
            <wp:simplePos x="0" y="0"/>
            <wp:positionH relativeFrom="column">
              <wp:posOffset>144145</wp:posOffset>
            </wp:positionH>
            <wp:positionV relativeFrom="paragraph">
              <wp:posOffset>169545</wp:posOffset>
            </wp:positionV>
            <wp:extent cx="5256530" cy="2988310"/>
            <wp:effectExtent l="5080" t="4445" r="11430" b="9525"/>
            <wp:wrapNone/>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14:paraId="17EFB2F0">
      <w:pPr>
        <w:spacing w:line="600" w:lineRule="exact"/>
        <w:ind w:firstLine="640"/>
        <w:rPr>
          <w:rFonts w:ascii="仿宋" w:hAnsi="仿宋" w:eastAsia="仿宋"/>
          <w:b/>
          <w:sz w:val="32"/>
          <w:szCs w:val="32"/>
        </w:rPr>
      </w:pPr>
    </w:p>
    <w:p w14:paraId="60C6C370">
      <w:pPr>
        <w:spacing w:line="600" w:lineRule="exact"/>
        <w:ind w:firstLine="640"/>
        <w:rPr>
          <w:rFonts w:ascii="仿宋" w:hAnsi="仿宋" w:eastAsia="仿宋"/>
          <w:b/>
          <w:sz w:val="32"/>
          <w:szCs w:val="32"/>
        </w:rPr>
      </w:pPr>
    </w:p>
    <w:p w14:paraId="4ECBCCAA">
      <w:pPr>
        <w:spacing w:line="600" w:lineRule="exact"/>
        <w:ind w:firstLine="640"/>
        <w:rPr>
          <w:rFonts w:ascii="仿宋" w:hAnsi="仿宋" w:eastAsia="仿宋"/>
          <w:b/>
          <w:sz w:val="32"/>
          <w:szCs w:val="32"/>
        </w:rPr>
      </w:pPr>
    </w:p>
    <w:p w14:paraId="0BB5F7A9">
      <w:pPr>
        <w:spacing w:line="600" w:lineRule="exact"/>
        <w:ind w:firstLine="640"/>
        <w:rPr>
          <w:rFonts w:ascii="仿宋" w:hAnsi="仿宋" w:eastAsia="仿宋"/>
          <w:b/>
          <w:sz w:val="32"/>
          <w:szCs w:val="32"/>
        </w:rPr>
      </w:pPr>
    </w:p>
    <w:p w14:paraId="4631E5D5">
      <w:pPr>
        <w:spacing w:line="600" w:lineRule="exact"/>
        <w:ind w:firstLine="640"/>
        <w:rPr>
          <w:rFonts w:ascii="仿宋" w:hAnsi="仿宋" w:eastAsia="仿宋"/>
          <w:b/>
          <w:sz w:val="32"/>
          <w:szCs w:val="32"/>
        </w:rPr>
      </w:pPr>
    </w:p>
    <w:p w14:paraId="5AD6CB78">
      <w:pPr>
        <w:spacing w:line="600" w:lineRule="exact"/>
        <w:ind w:firstLine="640"/>
        <w:rPr>
          <w:rFonts w:ascii="仿宋" w:hAnsi="仿宋" w:eastAsia="仿宋"/>
          <w:b/>
          <w:sz w:val="32"/>
          <w:szCs w:val="32"/>
        </w:rPr>
      </w:pPr>
    </w:p>
    <w:p w14:paraId="6441D0BF">
      <w:pPr>
        <w:spacing w:line="600" w:lineRule="exact"/>
        <w:ind w:firstLine="640"/>
        <w:rPr>
          <w:rFonts w:ascii="仿宋" w:hAnsi="仿宋" w:eastAsia="仿宋"/>
          <w:b/>
          <w:sz w:val="32"/>
          <w:szCs w:val="32"/>
        </w:rPr>
      </w:pPr>
    </w:p>
    <w:p w14:paraId="61BE7306">
      <w:pPr>
        <w:spacing w:line="600" w:lineRule="exact"/>
        <w:ind w:firstLine="640"/>
        <w:rPr>
          <w:rFonts w:ascii="仿宋" w:hAnsi="仿宋" w:eastAsia="仿宋"/>
          <w:b/>
          <w:sz w:val="32"/>
          <w:szCs w:val="32"/>
        </w:rPr>
      </w:pPr>
    </w:p>
    <w:p w14:paraId="2036B560">
      <w:pPr>
        <w:spacing w:line="600" w:lineRule="exact"/>
        <w:ind w:firstLine="640" w:firstLineChars="200"/>
        <w:outlineLvl w:val="1"/>
        <w:rPr>
          <w:rStyle w:val="30"/>
          <w:rFonts w:ascii="黑体" w:hAnsi="黑体" w:eastAsia="黑体"/>
          <w:b w:val="0"/>
        </w:rPr>
      </w:pPr>
      <w:bookmarkStart w:id="26" w:name="_Toc15396607"/>
      <w:bookmarkStart w:id="27" w:name="_Toc15377209"/>
      <w:r>
        <w:rPr>
          <w:rFonts w:hint="eastAsia" w:ascii="黑体" w:hAnsi="黑体" w:eastAsia="黑体"/>
          <w:sz w:val="32"/>
          <w:szCs w:val="32"/>
        </w:rPr>
        <w:t>五、</w:t>
      </w:r>
      <w:r>
        <w:rPr>
          <w:rFonts w:hint="eastAsia" w:ascii="黑体" w:hAnsi="黑体" w:eastAsia="黑体"/>
          <w:b/>
          <w:sz w:val="32"/>
          <w:szCs w:val="32"/>
        </w:rPr>
        <w:t>一</w:t>
      </w:r>
      <w:r>
        <w:rPr>
          <w:rStyle w:val="30"/>
          <w:rFonts w:hint="eastAsia" w:ascii="黑体" w:hAnsi="黑体" w:eastAsia="黑体"/>
          <w:b w:val="0"/>
        </w:rPr>
        <w:t>般公共预算财政拨款支出决算情况说明</w:t>
      </w:r>
      <w:bookmarkEnd w:id="26"/>
      <w:bookmarkEnd w:id="27"/>
    </w:p>
    <w:p w14:paraId="011C5BA8">
      <w:pPr>
        <w:spacing w:line="600" w:lineRule="exact"/>
        <w:ind w:firstLine="643" w:firstLineChars="200"/>
        <w:outlineLvl w:val="2"/>
        <w:rPr>
          <w:rFonts w:ascii="仿宋" w:hAnsi="仿宋" w:eastAsia="仿宋"/>
          <w:b/>
          <w:sz w:val="32"/>
          <w:szCs w:val="32"/>
        </w:rPr>
      </w:pPr>
      <w:bookmarkStart w:id="28" w:name="_Toc15377210"/>
      <w:r>
        <w:rPr>
          <w:rFonts w:hint="eastAsia" w:ascii="仿宋" w:hAnsi="仿宋" w:eastAsia="仿宋"/>
          <w:b/>
          <w:sz w:val="32"/>
          <w:szCs w:val="32"/>
        </w:rPr>
        <w:t>（一）一般公共预算财政拨款支出决算总体情况</w:t>
      </w:r>
      <w:bookmarkEnd w:id="28"/>
    </w:p>
    <w:p w14:paraId="7105EBF0">
      <w:pPr>
        <w:spacing w:line="60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eastAsia="zh-CN"/>
        </w:rPr>
        <w:t>2024</w:t>
      </w:r>
      <w:r>
        <w:rPr>
          <w:rFonts w:hint="eastAsia" w:ascii="仿宋" w:hAnsi="仿宋" w:eastAsia="仿宋"/>
          <w:sz w:val="32"/>
          <w:szCs w:val="32"/>
        </w:rPr>
        <w:t>年度一般公共预算财政拨款支出</w:t>
      </w:r>
      <w:r>
        <w:rPr>
          <w:rFonts w:hint="eastAsia" w:ascii="仿宋" w:hAnsi="仿宋" w:eastAsia="仿宋"/>
          <w:b/>
          <w:sz w:val="32"/>
          <w:szCs w:val="32"/>
          <w:lang w:eastAsia="zh-CN"/>
        </w:rPr>
        <w:t>1627.63</w:t>
      </w:r>
      <w:r>
        <w:rPr>
          <w:rFonts w:hint="eastAsia" w:ascii="仿宋" w:hAnsi="仿宋" w:eastAsia="仿宋"/>
          <w:sz w:val="32"/>
          <w:szCs w:val="32"/>
        </w:rPr>
        <w:t>万元，占本年支出合计的</w:t>
      </w:r>
      <w:r>
        <w:rPr>
          <w:rFonts w:ascii="仿宋" w:hAnsi="仿宋" w:eastAsia="仿宋"/>
          <w:b/>
          <w:sz w:val="32"/>
          <w:szCs w:val="32"/>
        </w:rPr>
        <w:t>100</w:t>
      </w:r>
      <w:r>
        <w:rPr>
          <w:rFonts w:ascii="仿宋" w:hAnsi="仿宋" w:eastAsia="仿宋"/>
          <w:sz w:val="32"/>
          <w:szCs w:val="32"/>
        </w:rPr>
        <w:t>%</w:t>
      </w:r>
      <w:r>
        <w:rPr>
          <w:rFonts w:hint="eastAsia" w:ascii="仿宋" w:hAnsi="仿宋" w:eastAsia="仿宋"/>
          <w:sz w:val="32"/>
          <w:szCs w:val="32"/>
        </w:rPr>
        <w:t>。与</w:t>
      </w:r>
      <w:r>
        <w:rPr>
          <w:rFonts w:hint="eastAsia" w:ascii="仿宋" w:hAnsi="仿宋" w:eastAsia="仿宋"/>
          <w:sz w:val="32"/>
          <w:szCs w:val="32"/>
          <w:lang w:eastAsia="zh-CN"/>
        </w:rPr>
        <w:t>2023</w:t>
      </w:r>
      <w:r>
        <w:rPr>
          <w:rFonts w:hint="eastAsia" w:ascii="仿宋" w:hAnsi="仿宋" w:eastAsia="仿宋"/>
          <w:sz w:val="32"/>
          <w:szCs w:val="32"/>
        </w:rPr>
        <w:t>年度相比，一般公共预算财政拨款支出</w:t>
      </w:r>
      <w:r>
        <w:rPr>
          <w:rFonts w:hint="eastAsia" w:ascii="仿宋" w:hAnsi="仿宋" w:eastAsia="仿宋"/>
          <w:sz w:val="32"/>
          <w:szCs w:val="32"/>
          <w:lang w:eastAsia="zh-CN"/>
        </w:rPr>
        <w:t>增加</w:t>
      </w:r>
      <w:r>
        <w:rPr>
          <w:rFonts w:hint="eastAsia" w:ascii="仿宋" w:hAnsi="仿宋" w:eastAsia="仿宋"/>
          <w:sz w:val="32"/>
          <w:szCs w:val="32"/>
          <w:lang w:val="en-US" w:eastAsia="zh-CN"/>
        </w:rPr>
        <w:t>328.07</w:t>
      </w:r>
      <w:r>
        <w:rPr>
          <w:rFonts w:hint="eastAsia" w:ascii="仿宋" w:hAnsi="仿宋" w:eastAsia="仿宋"/>
          <w:sz w:val="32"/>
          <w:szCs w:val="32"/>
        </w:rPr>
        <w:t>万元，</w:t>
      </w:r>
      <w:r>
        <w:rPr>
          <w:rFonts w:hint="eastAsia" w:ascii="仿宋" w:hAnsi="仿宋" w:eastAsia="仿宋"/>
          <w:sz w:val="32"/>
          <w:szCs w:val="32"/>
          <w:lang w:eastAsia="zh-CN"/>
        </w:rPr>
        <w:t>上升</w:t>
      </w:r>
      <w:r>
        <w:rPr>
          <w:rFonts w:hint="eastAsia" w:ascii="仿宋" w:hAnsi="仿宋" w:eastAsia="仿宋"/>
          <w:sz w:val="32"/>
          <w:szCs w:val="32"/>
          <w:lang w:val="en-US" w:eastAsia="zh-CN"/>
        </w:rPr>
        <w:t>20.15</w:t>
      </w:r>
      <w:r>
        <w:rPr>
          <w:rFonts w:ascii="仿宋" w:hAnsi="仿宋" w:eastAsia="仿宋"/>
          <w:sz w:val="32"/>
          <w:szCs w:val="32"/>
        </w:rPr>
        <w:t>%</w:t>
      </w:r>
      <w:r>
        <w:rPr>
          <w:rFonts w:hint="eastAsia" w:ascii="仿宋" w:hAnsi="仿宋" w:eastAsia="仿宋"/>
          <w:sz w:val="32"/>
          <w:szCs w:val="32"/>
        </w:rPr>
        <w:t>。主要</w:t>
      </w:r>
      <w:r>
        <w:rPr>
          <w:rFonts w:hint="eastAsia" w:ascii="仿宋" w:hAnsi="仿宋" w:eastAsia="仿宋"/>
          <w:sz w:val="32"/>
          <w:szCs w:val="32"/>
          <w:lang w:eastAsia="zh-CN"/>
        </w:rPr>
        <w:t>新进</w:t>
      </w:r>
      <w:r>
        <w:rPr>
          <w:rFonts w:hint="eastAsia" w:ascii="仿宋" w:hAnsi="仿宋" w:eastAsia="仿宋"/>
          <w:sz w:val="32"/>
          <w:szCs w:val="32"/>
          <w:lang w:val="en-US" w:eastAsia="zh-CN"/>
        </w:rPr>
        <w:t>5名事业人员，公用经费及人员经费增加。</w:t>
      </w:r>
    </w:p>
    <w:p w14:paraId="562C1E72">
      <w:pPr>
        <w:spacing w:line="600" w:lineRule="exact"/>
        <w:ind w:firstLine="640" w:firstLineChars="200"/>
        <w:rPr>
          <w:rFonts w:ascii="仿宋" w:hAnsi="仿宋" w:eastAsia="仿宋"/>
          <w:sz w:val="32"/>
          <w:szCs w:val="32"/>
        </w:rPr>
      </w:pPr>
      <w:r>
        <w:rPr>
          <w:rFonts w:hint="eastAsia" w:ascii="仿宋" w:hAnsi="仿宋" w:eastAsia="仿宋"/>
          <w:sz w:val="32"/>
          <w:szCs w:val="32"/>
        </w:rPr>
        <w:t>（图5：一般公共预算财政拨款支出决算变动情况）（柱状图）</w:t>
      </w:r>
    </w:p>
    <w:p w14:paraId="646D9071">
      <w:pPr>
        <w:spacing w:line="600" w:lineRule="exact"/>
        <w:ind w:firstLine="640" w:firstLineChars="200"/>
        <w:rPr>
          <w:rFonts w:ascii="仿宋" w:hAnsi="仿宋" w:eastAsia="仿宋"/>
          <w:sz w:val="32"/>
          <w:szCs w:val="32"/>
        </w:rPr>
      </w:pPr>
      <w:r>
        <w:rPr>
          <w:rFonts w:hint="eastAsia" w:ascii="仿宋_GB2312" w:eastAsia="仿宋_GB2312"/>
          <w:sz w:val="32"/>
          <w:szCs w:val="32"/>
          <w:lang w:eastAsia="zh-CN"/>
        </w:rPr>
        <w:drawing>
          <wp:anchor distT="0" distB="0" distL="114300" distR="114300" simplePos="0" relativeHeight="251663360" behindDoc="0" locked="0" layoutInCell="1" allowOverlap="1">
            <wp:simplePos x="0" y="0"/>
            <wp:positionH relativeFrom="column">
              <wp:posOffset>59055</wp:posOffset>
            </wp:positionH>
            <wp:positionV relativeFrom="paragraph">
              <wp:posOffset>202565</wp:posOffset>
            </wp:positionV>
            <wp:extent cx="5256530" cy="2988310"/>
            <wp:effectExtent l="5080" t="4445" r="11430" b="9525"/>
            <wp:wrapNone/>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14:paraId="706525A2">
      <w:pPr>
        <w:spacing w:line="600" w:lineRule="exact"/>
        <w:ind w:firstLine="640" w:firstLineChars="200"/>
        <w:rPr>
          <w:rFonts w:ascii="仿宋" w:hAnsi="仿宋" w:eastAsia="仿宋"/>
          <w:sz w:val="32"/>
          <w:szCs w:val="32"/>
        </w:rPr>
      </w:pPr>
    </w:p>
    <w:p w14:paraId="33919E3A">
      <w:pPr>
        <w:spacing w:line="600" w:lineRule="exact"/>
        <w:ind w:firstLine="640" w:firstLineChars="200"/>
        <w:rPr>
          <w:rFonts w:ascii="仿宋" w:hAnsi="仿宋" w:eastAsia="仿宋"/>
          <w:sz w:val="32"/>
          <w:szCs w:val="32"/>
        </w:rPr>
      </w:pPr>
    </w:p>
    <w:p w14:paraId="6C6DFE67">
      <w:pPr>
        <w:spacing w:line="600" w:lineRule="exact"/>
        <w:ind w:firstLine="640" w:firstLineChars="200"/>
        <w:rPr>
          <w:rFonts w:ascii="仿宋" w:hAnsi="仿宋" w:eastAsia="仿宋"/>
          <w:sz w:val="32"/>
          <w:szCs w:val="32"/>
        </w:rPr>
      </w:pPr>
    </w:p>
    <w:p w14:paraId="7B44C085">
      <w:pPr>
        <w:spacing w:line="600" w:lineRule="exact"/>
        <w:ind w:firstLine="640" w:firstLineChars="200"/>
        <w:rPr>
          <w:rFonts w:ascii="仿宋" w:hAnsi="仿宋" w:eastAsia="仿宋"/>
          <w:sz w:val="32"/>
          <w:szCs w:val="32"/>
        </w:rPr>
      </w:pPr>
    </w:p>
    <w:p w14:paraId="1C24CCA1">
      <w:pPr>
        <w:spacing w:line="600" w:lineRule="exact"/>
        <w:ind w:firstLine="640" w:firstLineChars="200"/>
        <w:rPr>
          <w:rFonts w:ascii="仿宋" w:hAnsi="仿宋" w:eastAsia="仿宋"/>
          <w:sz w:val="32"/>
          <w:szCs w:val="32"/>
        </w:rPr>
      </w:pPr>
    </w:p>
    <w:p w14:paraId="3F63F3B5">
      <w:pPr>
        <w:spacing w:line="600" w:lineRule="exact"/>
        <w:ind w:firstLine="640" w:firstLineChars="200"/>
        <w:rPr>
          <w:rFonts w:ascii="仿宋" w:hAnsi="仿宋" w:eastAsia="仿宋"/>
          <w:sz w:val="32"/>
          <w:szCs w:val="32"/>
        </w:rPr>
      </w:pPr>
    </w:p>
    <w:p w14:paraId="7674B5B1">
      <w:pPr>
        <w:spacing w:line="600" w:lineRule="exact"/>
        <w:ind w:firstLine="643" w:firstLineChars="200"/>
        <w:outlineLvl w:val="2"/>
        <w:rPr>
          <w:rFonts w:hint="eastAsia" w:ascii="仿宋" w:hAnsi="仿宋" w:eastAsia="仿宋"/>
          <w:b/>
          <w:sz w:val="32"/>
          <w:szCs w:val="32"/>
        </w:rPr>
      </w:pPr>
      <w:bookmarkStart w:id="29" w:name="_Toc15377211"/>
    </w:p>
    <w:p w14:paraId="46C89F07">
      <w:pPr>
        <w:spacing w:line="600" w:lineRule="exact"/>
        <w:ind w:firstLine="643" w:firstLineChars="200"/>
        <w:outlineLvl w:val="2"/>
        <w:rPr>
          <w:rFonts w:hint="eastAsia" w:ascii="仿宋" w:hAnsi="仿宋" w:eastAsia="仿宋"/>
          <w:b/>
          <w:sz w:val="32"/>
          <w:szCs w:val="32"/>
        </w:rPr>
      </w:pPr>
    </w:p>
    <w:p w14:paraId="2AD82622">
      <w:pPr>
        <w:spacing w:line="600" w:lineRule="exact"/>
        <w:ind w:firstLine="643" w:firstLineChars="200"/>
        <w:outlineLvl w:val="2"/>
        <w:rPr>
          <w:rFonts w:ascii="仿宋" w:hAnsi="仿宋" w:eastAsia="仿宋"/>
          <w:b/>
          <w:sz w:val="32"/>
          <w:szCs w:val="32"/>
        </w:rPr>
      </w:pPr>
      <w:r>
        <w:rPr>
          <w:rFonts w:hint="eastAsia" w:ascii="仿宋" w:hAnsi="仿宋" w:eastAsia="仿宋"/>
          <w:b/>
          <w:sz w:val="32"/>
          <w:szCs w:val="32"/>
        </w:rPr>
        <w:t>（二）一般公共预算财政拨款支出决算结构情况</w:t>
      </w:r>
      <w:bookmarkEnd w:id="29"/>
    </w:p>
    <w:p w14:paraId="571BFDEF">
      <w:pPr>
        <w:pStyle w:val="14"/>
        <w:spacing w:line="560" w:lineRule="exact"/>
        <w:ind w:firstLine="640" w:firstLineChars="200"/>
        <w:rPr>
          <w:rFonts w:hint="eastAsia" w:ascii="仿宋_GB2312" w:hAnsi="仿宋_GB2312" w:eastAsia="仿宋_GB2312" w:cs="仿宋_GB2312"/>
          <w:sz w:val="32"/>
          <w:szCs w:val="32"/>
        </w:rPr>
      </w:pPr>
      <w:r>
        <w:rPr>
          <w:rFonts w:hint="eastAsia" w:ascii="仿宋" w:hAnsi="仿宋" w:eastAsia="仿宋"/>
          <w:sz w:val="32"/>
          <w:szCs w:val="32"/>
          <w:lang w:eastAsia="zh-CN"/>
        </w:rPr>
        <w:t>2024</w:t>
      </w:r>
      <w:r>
        <w:rPr>
          <w:rFonts w:hint="eastAsia" w:ascii="仿宋" w:hAnsi="仿宋" w:eastAsia="仿宋"/>
          <w:sz w:val="32"/>
          <w:szCs w:val="32"/>
        </w:rPr>
        <w:t>年度一般公共预算财政拨款支出</w:t>
      </w:r>
      <w:r>
        <w:rPr>
          <w:rFonts w:hint="eastAsia" w:ascii="仿宋" w:hAnsi="仿宋" w:eastAsia="仿宋"/>
          <w:b/>
          <w:sz w:val="32"/>
          <w:szCs w:val="32"/>
          <w:lang w:eastAsia="zh-CN"/>
        </w:rPr>
        <w:t>1627.63</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sz w:val="32"/>
          <w:szCs w:val="32"/>
        </w:rPr>
        <w:t>一般公共服务支出</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val="en-US" w:eastAsia="zh-CN"/>
        </w:rPr>
        <w:t>1396</w:t>
      </w:r>
      <w:r>
        <w:rPr>
          <w:rFonts w:hint="eastAsia" w:ascii="仿宋_GB2312" w:hAnsi="仿宋_GB2312" w:eastAsia="仿宋_GB2312" w:cs="仿宋_GB2312"/>
          <w:sz w:val="32"/>
          <w:szCs w:val="32"/>
        </w:rPr>
        <w:t>万元，占比</w:t>
      </w:r>
      <w:r>
        <w:rPr>
          <w:rFonts w:hint="eastAsia" w:ascii="仿宋_GB2312" w:hAnsi="仿宋_GB2312" w:eastAsia="仿宋_GB2312" w:cs="仿宋_GB2312"/>
          <w:sz w:val="32"/>
          <w:szCs w:val="32"/>
          <w:lang w:val="en-US" w:eastAsia="zh-CN"/>
        </w:rPr>
        <w:t>85.77</w:t>
      </w:r>
      <w:r>
        <w:rPr>
          <w:rFonts w:hint="eastAsia" w:ascii="仿宋_GB2312" w:hAnsi="仿宋_GB2312" w:eastAsia="仿宋_GB2312" w:cs="仿宋_GB2312"/>
          <w:sz w:val="32"/>
          <w:szCs w:val="32"/>
        </w:rPr>
        <w:t>%；</w:t>
      </w:r>
      <w:r>
        <w:rPr>
          <w:rFonts w:hint="eastAsia" w:ascii="仿宋" w:hAnsi="仿宋" w:eastAsia="仿宋"/>
          <w:b/>
          <w:sz w:val="32"/>
          <w:szCs w:val="32"/>
        </w:rPr>
        <w:t>社会保障和就业支出</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val="en-US" w:eastAsia="zh-CN"/>
        </w:rPr>
        <w:t>129.97</w:t>
      </w:r>
      <w:r>
        <w:rPr>
          <w:rFonts w:hint="eastAsia" w:ascii="仿宋_GB2312" w:hAnsi="仿宋_GB2312" w:eastAsia="仿宋_GB2312" w:cs="仿宋_GB2312"/>
          <w:sz w:val="32"/>
          <w:szCs w:val="32"/>
        </w:rPr>
        <w:t>万元，占比</w:t>
      </w:r>
      <w:r>
        <w:rPr>
          <w:rFonts w:hint="eastAsia" w:ascii="仿宋_GB2312" w:hAnsi="仿宋_GB2312" w:eastAsia="仿宋_GB2312" w:cs="仿宋_GB2312"/>
          <w:sz w:val="32"/>
          <w:szCs w:val="32"/>
          <w:lang w:val="en-US" w:eastAsia="zh-CN"/>
        </w:rPr>
        <w:t>7.99</w:t>
      </w:r>
      <w:r>
        <w:rPr>
          <w:rFonts w:hint="eastAsia" w:ascii="仿宋_GB2312" w:hAnsi="仿宋_GB2312" w:eastAsia="仿宋_GB2312" w:cs="仿宋_GB2312"/>
          <w:sz w:val="32"/>
          <w:szCs w:val="32"/>
        </w:rPr>
        <w:t>%；</w:t>
      </w:r>
      <w:r>
        <w:rPr>
          <w:rFonts w:hint="eastAsia" w:ascii="仿宋" w:hAnsi="仿宋" w:eastAsia="仿宋"/>
          <w:b/>
          <w:sz w:val="32"/>
          <w:szCs w:val="32"/>
        </w:rPr>
        <w:t>卫生健康支出</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val="en-US" w:eastAsia="zh-CN"/>
        </w:rPr>
        <w:t>48.4</w:t>
      </w:r>
      <w:r>
        <w:rPr>
          <w:rFonts w:hint="eastAsia" w:ascii="仿宋_GB2312" w:hAnsi="仿宋_GB2312" w:eastAsia="仿宋_GB2312" w:cs="仿宋_GB2312"/>
          <w:sz w:val="32"/>
          <w:szCs w:val="32"/>
        </w:rPr>
        <w:t>万元，占比</w:t>
      </w:r>
      <w:r>
        <w:rPr>
          <w:rFonts w:hint="eastAsia" w:ascii="仿宋_GB2312" w:hAnsi="仿宋_GB2312" w:eastAsia="仿宋_GB2312" w:cs="仿宋_GB2312"/>
          <w:sz w:val="32"/>
          <w:szCs w:val="32"/>
          <w:lang w:val="en-US" w:eastAsia="zh-CN"/>
        </w:rPr>
        <w:t>2.97</w:t>
      </w:r>
      <w:r>
        <w:rPr>
          <w:rFonts w:hint="eastAsia" w:ascii="仿宋_GB2312" w:hAnsi="仿宋_GB2312" w:eastAsia="仿宋_GB2312" w:cs="仿宋_GB2312"/>
          <w:sz w:val="32"/>
          <w:szCs w:val="32"/>
        </w:rPr>
        <w:t>%；</w:t>
      </w:r>
      <w:r>
        <w:rPr>
          <w:rFonts w:hint="eastAsia" w:ascii="仿宋" w:hAnsi="仿宋" w:eastAsia="仿宋"/>
          <w:b/>
          <w:sz w:val="32"/>
          <w:szCs w:val="32"/>
        </w:rPr>
        <w:t>住房保障支出</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val="en-US" w:eastAsia="zh-CN"/>
        </w:rPr>
        <w:t>53.26</w:t>
      </w:r>
      <w:r>
        <w:rPr>
          <w:rFonts w:hint="eastAsia" w:ascii="仿宋_GB2312" w:hAnsi="仿宋_GB2312" w:eastAsia="仿宋_GB2312" w:cs="仿宋_GB2312"/>
          <w:sz w:val="32"/>
          <w:szCs w:val="32"/>
        </w:rPr>
        <w:t>万元，占比</w:t>
      </w:r>
      <w:r>
        <w:rPr>
          <w:rFonts w:hint="eastAsia" w:ascii="仿宋_GB2312" w:hAnsi="仿宋_GB2312" w:eastAsia="仿宋_GB2312" w:cs="仿宋_GB2312"/>
          <w:sz w:val="32"/>
          <w:szCs w:val="32"/>
          <w:lang w:val="en-US" w:eastAsia="zh-CN"/>
        </w:rPr>
        <w:t>3.27</w:t>
      </w:r>
      <w:r>
        <w:rPr>
          <w:rFonts w:hint="eastAsia" w:ascii="仿宋_GB2312" w:hAnsi="仿宋_GB2312" w:eastAsia="仿宋_GB2312" w:cs="仿宋_GB2312"/>
          <w:sz w:val="32"/>
          <w:szCs w:val="32"/>
        </w:rPr>
        <w:t>%；</w:t>
      </w:r>
    </w:p>
    <w:p w14:paraId="0965EBB8">
      <w:pPr>
        <w:spacing w:line="600" w:lineRule="exact"/>
        <w:ind w:firstLine="640"/>
        <w:rPr>
          <w:rFonts w:ascii="仿宋" w:hAnsi="仿宋" w:eastAsia="仿宋"/>
          <w:b/>
          <w:sz w:val="32"/>
          <w:szCs w:val="32"/>
        </w:rPr>
      </w:pPr>
    </w:p>
    <w:p w14:paraId="1430741C">
      <w:pPr>
        <w:spacing w:line="600" w:lineRule="exact"/>
        <w:ind w:firstLine="640"/>
        <w:rPr>
          <w:rFonts w:ascii="仿宋" w:hAnsi="仿宋" w:eastAsia="仿宋"/>
          <w:b/>
          <w:sz w:val="32"/>
          <w:szCs w:val="32"/>
        </w:rPr>
      </w:pPr>
      <w:r>
        <w:rPr>
          <w:rFonts w:hint="eastAsia" w:ascii="仿宋" w:hAnsi="仿宋" w:eastAsia="仿宋"/>
          <w:b/>
          <w:sz w:val="32"/>
          <w:szCs w:val="32"/>
        </w:rPr>
        <w:t>（注：数据来源于财决01-1表，仅罗列本单位涉及的全部功能分类科目，至类级。）</w:t>
      </w:r>
    </w:p>
    <w:p w14:paraId="32BBDC46">
      <w:pPr>
        <w:spacing w:line="600" w:lineRule="exact"/>
        <w:ind w:firstLine="640" w:firstLineChars="200"/>
        <w:rPr>
          <w:rFonts w:ascii="仿宋" w:hAnsi="仿宋" w:eastAsia="仿宋"/>
          <w:sz w:val="32"/>
          <w:szCs w:val="32"/>
        </w:rPr>
      </w:pPr>
      <w:r>
        <w:rPr>
          <w:rFonts w:hint="eastAsia" w:ascii="仿宋" w:hAnsi="仿宋" w:eastAsia="仿宋"/>
          <w:sz w:val="32"/>
          <w:szCs w:val="32"/>
        </w:rPr>
        <w:t>（图6：一般公共预算财政拨款支出决算结构）（饼状图）</w:t>
      </w:r>
    </w:p>
    <w:p w14:paraId="41A750F8">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drawing>
          <wp:anchor distT="0" distB="0" distL="114300" distR="114300" simplePos="0" relativeHeight="251664384" behindDoc="0" locked="0" layoutInCell="1" allowOverlap="1">
            <wp:simplePos x="0" y="0"/>
            <wp:positionH relativeFrom="column">
              <wp:posOffset>116205</wp:posOffset>
            </wp:positionH>
            <wp:positionV relativeFrom="paragraph">
              <wp:posOffset>250190</wp:posOffset>
            </wp:positionV>
            <wp:extent cx="5256530" cy="2988310"/>
            <wp:effectExtent l="5080" t="4445" r="11430" b="9525"/>
            <wp:wrapNone/>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14:paraId="5F0787FE">
      <w:pPr>
        <w:spacing w:line="600" w:lineRule="exact"/>
        <w:ind w:firstLine="640" w:firstLineChars="200"/>
        <w:rPr>
          <w:rFonts w:ascii="仿宋" w:hAnsi="仿宋" w:eastAsia="仿宋"/>
          <w:sz w:val="32"/>
          <w:szCs w:val="32"/>
        </w:rPr>
      </w:pPr>
    </w:p>
    <w:p w14:paraId="3BFAB8E9">
      <w:pPr>
        <w:spacing w:line="600" w:lineRule="exact"/>
        <w:ind w:firstLine="640" w:firstLineChars="200"/>
        <w:rPr>
          <w:rFonts w:ascii="仿宋" w:hAnsi="仿宋" w:eastAsia="仿宋"/>
          <w:sz w:val="32"/>
          <w:szCs w:val="32"/>
        </w:rPr>
      </w:pPr>
    </w:p>
    <w:p w14:paraId="20AC419E">
      <w:pPr>
        <w:spacing w:line="600" w:lineRule="exact"/>
        <w:ind w:firstLine="640" w:firstLineChars="200"/>
        <w:rPr>
          <w:rFonts w:ascii="仿宋" w:hAnsi="仿宋" w:eastAsia="仿宋"/>
          <w:sz w:val="32"/>
          <w:szCs w:val="32"/>
        </w:rPr>
      </w:pPr>
    </w:p>
    <w:p w14:paraId="7F712581">
      <w:pPr>
        <w:spacing w:line="600" w:lineRule="exact"/>
        <w:ind w:firstLine="640" w:firstLineChars="200"/>
        <w:rPr>
          <w:rFonts w:ascii="仿宋" w:hAnsi="仿宋" w:eastAsia="仿宋"/>
          <w:sz w:val="32"/>
          <w:szCs w:val="32"/>
        </w:rPr>
      </w:pPr>
    </w:p>
    <w:p w14:paraId="60E8F926">
      <w:pPr>
        <w:spacing w:line="600" w:lineRule="exact"/>
        <w:ind w:firstLine="643" w:firstLineChars="200"/>
        <w:outlineLvl w:val="2"/>
        <w:rPr>
          <w:rFonts w:hint="eastAsia" w:ascii="仿宋" w:hAnsi="仿宋" w:eastAsia="仿宋"/>
          <w:b/>
          <w:sz w:val="32"/>
          <w:szCs w:val="32"/>
        </w:rPr>
      </w:pPr>
      <w:bookmarkStart w:id="30" w:name="_Toc15377212"/>
    </w:p>
    <w:p w14:paraId="1AA6FC4B">
      <w:pPr>
        <w:spacing w:line="600" w:lineRule="exact"/>
        <w:ind w:firstLine="643" w:firstLineChars="200"/>
        <w:outlineLvl w:val="2"/>
        <w:rPr>
          <w:rFonts w:hint="eastAsia" w:ascii="仿宋" w:hAnsi="仿宋" w:eastAsia="仿宋"/>
          <w:b/>
          <w:sz w:val="32"/>
          <w:szCs w:val="32"/>
        </w:rPr>
      </w:pPr>
    </w:p>
    <w:p w14:paraId="7B3016A9">
      <w:pPr>
        <w:spacing w:line="600" w:lineRule="exact"/>
        <w:ind w:firstLine="643" w:firstLineChars="200"/>
        <w:outlineLvl w:val="2"/>
        <w:rPr>
          <w:rFonts w:hint="eastAsia" w:ascii="仿宋" w:hAnsi="仿宋" w:eastAsia="仿宋"/>
          <w:b/>
          <w:sz w:val="32"/>
          <w:szCs w:val="32"/>
        </w:rPr>
      </w:pPr>
    </w:p>
    <w:p w14:paraId="4EE44967">
      <w:pPr>
        <w:spacing w:line="600" w:lineRule="exact"/>
        <w:ind w:firstLine="643" w:firstLineChars="200"/>
        <w:outlineLvl w:val="2"/>
        <w:rPr>
          <w:rFonts w:hint="eastAsia" w:ascii="仿宋" w:hAnsi="仿宋" w:eastAsia="仿宋"/>
          <w:b/>
          <w:sz w:val="32"/>
          <w:szCs w:val="32"/>
        </w:rPr>
      </w:pPr>
    </w:p>
    <w:p w14:paraId="793C2531">
      <w:pPr>
        <w:spacing w:line="600" w:lineRule="exact"/>
        <w:ind w:firstLine="643" w:firstLineChars="200"/>
        <w:outlineLvl w:val="2"/>
        <w:rPr>
          <w:rFonts w:ascii="仿宋" w:hAnsi="仿宋" w:eastAsia="仿宋"/>
          <w:b/>
          <w:sz w:val="32"/>
          <w:szCs w:val="32"/>
        </w:rPr>
      </w:pPr>
      <w:r>
        <w:rPr>
          <w:rFonts w:hint="eastAsia" w:ascii="仿宋" w:hAnsi="仿宋" w:eastAsia="仿宋"/>
          <w:b/>
          <w:sz w:val="32"/>
          <w:szCs w:val="32"/>
        </w:rPr>
        <w:t>（三）一般公共预算财政拨款支出决算具体情况</w:t>
      </w:r>
      <w:bookmarkEnd w:id="30"/>
    </w:p>
    <w:p w14:paraId="6CE21BC9">
      <w:pPr>
        <w:spacing w:line="600" w:lineRule="exact"/>
        <w:ind w:firstLine="643" w:firstLineChars="200"/>
        <w:outlineLvl w:val="2"/>
        <w:rPr>
          <w:rFonts w:ascii="仿宋" w:hAnsi="仿宋" w:eastAsia="仿宋"/>
          <w:sz w:val="32"/>
          <w:szCs w:val="32"/>
        </w:rPr>
      </w:pPr>
      <w:bookmarkStart w:id="31" w:name="_Toc15377213"/>
      <w:bookmarkStart w:id="32" w:name="_Toc15378460"/>
      <w:bookmarkStart w:id="33" w:name="_Toc15377444"/>
      <w:r>
        <w:rPr>
          <w:rFonts w:hint="eastAsia" w:ascii="仿宋" w:hAnsi="仿宋" w:eastAsia="仿宋"/>
          <w:b/>
          <w:sz w:val="32"/>
          <w:szCs w:val="32"/>
          <w:lang w:eastAsia="zh-CN"/>
        </w:rPr>
        <w:t>2024</w:t>
      </w:r>
      <w:r>
        <w:rPr>
          <w:rFonts w:hint="eastAsia" w:ascii="仿宋" w:hAnsi="仿宋" w:eastAsia="仿宋"/>
          <w:b/>
          <w:sz w:val="32"/>
          <w:szCs w:val="32"/>
        </w:rPr>
        <w:t>年度一般公共预算支出决算数为</w:t>
      </w:r>
      <w:r>
        <w:rPr>
          <w:rFonts w:hint="eastAsia" w:ascii="仿宋" w:hAnsi="仿宋" w:eastAsia="仿宋"/>
          <w:b/>
          <w:sz w:val="32"/>
          <w:szCs w:val="32"/>
          <w:lang w:eastAsia="zh-CN"/>
        </w:rPr>
        <w:t>1627.63</w:t>
      </w:r>
      <w:r>
        <w:rPr>
          <w:rFonts w:hint="eastAsia" w:ascii="仿宋" w:hAnsi="仿宋" w:eastAsia="仿宋"/>
          <w:sz w:val="32"/>
          <w:szCs w:val="32"/>
        </w:rPr>
        <w:t>，</w:t>
      </w:r>
      <w:r>
        <w:rPr>
          <w:rStyle w:val="18"/>
          <w:rFonts w:hint="eastAsia" w:ascii="仿宋" w:hAnsi="仿宋" w:eastAsia="仿宋"/>
          <w:bCs/>
          <w:sz w:val="32"/>
          <w:szCs w:val="32"/>
        </w:rPr>
        <w:t>完成预算</w:t>
      </w:r>
      <w:r>
        <w:rPr>
          <w:rStyle w:val="18"/>
          <w:rFonts w:hint="eastAsia" w:ascii="仿宋" w:hAnsi="仿宋" w:eastAsia="仿宋"/>
          <w:bCs/>
          <w:sz w:val="32"/>
          <w:szCs w:val="32"/>
          <w:lang w:val="en-US" w:eastAsia="zh-CN"/>
        </w:rPr>
        <w:t>100</w:t>
      </w:r>
      <w:r>
        <w:rPr>
          <w:rStyle w:val="18"/>
          <w:rFonts w:ascii="仿宋" w:hAnsi="仿宋" w:eastAsia="仿宋"/>
          <w:bCs/>
          <w:sz w:val="32"/>
          <w:szCs w:val="32"/>
        </w:rPr>
        <w:t>%</w:t>
      </w:r>
      <w:r>
        <w:rPr>
          <w:rStyle w:val="18"/>
          <w:rFonts w:hint="eastAsia" w:ascii="仿宋" w:hAnsi="仿宋" w:eastAsia="仿宋"/>
          <w:bCs/>
          <w:sz w:val="32"/>
          <w:szCs w:val="32"/>
        </w:rPr>
        <w:t>。其中：</w:t>
      </w:r>
      <w:bookmarkEnd w:id="31"/>
      <w:bookmarkEnd w:id="32"/>
      <w:bookmarkEnd w:id="33"/>
    </w:p>
    <w:p w14:paraId="0191F565">
      <w:pPr>
        <w:spacing w:line="600" w:lineRule="exact"/>
        <w:ind w:firstLine="643" w:firstLineChars="200"/>
        <w:rPr>
          <w:rFonts w:ascii="仿宋" w:hAnsi="仿宋" w:eastAsia="仿宋"/>
          <w:b/>
          <w:sz w:val="32"/>
          <w:szCs w:val="32"/>
        </w:rPr>
      </w:pPr>
      <w:r>
        <w:rPr>
          <w:rStyle w:val="18"/>
          <w:rFonts w:ascii="仿宋" w:hAnsi="仿宋" w:eastAsia="仿宋"/>
          <w:bCs/>
          <w:sz w:val="32"/>
          <w:szCs w:val="32"/>
        </w:rPr>
        <w:t>1.</w:t>
      </w:r>
      <w:r>
        <w:rPr>
          <w:rStyle w:val="18"/>
          <w:rFonts w:hint="eastAsia" w:ascii="仿宋" w:hAnsi="仿宋" w:eastAsia="仿宋"/>
          <w:bCs/>
          <w:sz w:val="32"/>
          <w:szCs w:val="32"/>
        </w:rPr>
        <w:t>一般公共服务</w:t>
      </w:r>
      <w:r>
        <w:rPr>
          <w:rStyle w:val="18"/>
          <w:rFonts w:hint="eastAsia" w:ascii="仿宋" w:hAnsi="仿宋" w:eastAsia="仿宋"/>
          <w:bCs/>
          <w:sz w:val="32"/>
          <w:szCs w:val="32"/>
          <w:lang w:val="en-US" w:eastAsia="zh-CN"/>
        </w:rPr>
        <w:t>201</w:t>
      </w:r>
      <w:r>
        <w:rPr>
          <w:rStyle w:val="18"/>
          <w:rFonts w:hint="eastAsia" w:ascii="仿宋" w:hAnsi="仿宋" w:eastAsia="仿宋"/>
          <w:bCs/>
          <w:sz w:val="32"/>
          <w:szCs w:val="32"/>
        </w:rPr>
        <w:t>（类）</w:t>
      </w:r>
      <w:r>
        <w:rPr>
          <w:rStyle w:val="18"/>
          <w:rFonts w:hint="eastAsia" w:ascii="仿宋" w:hAnsi="仿宋" w:eastAsia="仿宋"/>
          <w:bCs/>
          <w:sz w:val="32"/>
          <w:szCs w:val="32"/>
          <w:lang w:val="en-US" w:eastAsia="zh-CN"/>
        </w:rPr>
        <w:t>06</w:t>
      </w:r>
      <w:r>
        <w:rPr>
          <w:rStyle w:val="18"/>
          <w:rFonts w:hint="eastAsia" w:ascii="仿宋" w:hAnsi="仿宋" w:eastAsia="仿宋"/>
          <w:bCs/>
          <w:sz w:val="32"/>
          <w:szCs w:val="32"/>
        </w:rPr>
        <w:t>（款）</w:t>
      </w:r>
      <w:r>
        <w:rPr>
          <w:rStyle w:val="18"/>
          <w:rFonts w:hint="eastAsia" w:ascii="仿宋" w:hAnsi="仿宋" w:eastAsia="仿宋"/>
          <w:bCs/>
          <w:sz w:val="32"/>
          <w:szCs w:val="32"/>
          <w:lang w:val="en-US" w:eastAsia="zh-CN"/>
        </w:rPr>
        <w:t>02</w:t>
      </w:r>
      <w:r>
        <w:rPr>
          <w:rStyle w:val="18"/>
          <w:rFonts w:hint="eastAsia" w:ascii="仿宋" w:hAnsi="仿宋" w:eastAsia="仿宋"/>
          <w:bCs/>
          <w:sz w:val="32"/>
          <w:szCs w:val="32"/>
        </w:rPr>
        <w:t>（项）</w:t>
      </w:r>
      <w:r>
        <w:rPr>
          <w:rStyle w:val="18"/>
          <w:rFonts w:ascii="仿宋" w:hAnsi="仿宋" w:eastAsia="仿宋"/>
          <w:bCs/>
          <w:sz w:val="32"/>
          <w:szCs w:val="32"/>
        </w:rPr>
        <w:t>:</w:t>
      </w:r>
      <w:r>
        <w:rPr>
          <w:rStyle w:val="18"/>
          <w:rFonts w:ascii="仿宋" w:hAnsi="仿宋" w:eastAsia="仿宋"/>
          <w:b w:val="0"/>
          <w:bCs/>
          <w:sz w:val="32"/>
          <w:szCs w:val="32"/>
        </w:rPr>
        <w:t xml:space="preserve"> </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78.76</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，决算数</w:t>
      </w:r>
      <w:r>
        <w:rPr>
          <w:rStyle w:val="18"/>
          <w:rFonts w:hint="eastAsia" w:ascii="仿宋" w:hAnsi="仿宋" w:eastAsia="仿宋"/>
          <w:b w:val="0"/>
          <w:bCs/>
          <w:sz w:val="32"/>
          <w:szCs w:val="32"/>
          <w:lang w:eastAsia="zh-CN"/>
        </w:rPr>
        <w:t>与</w:t>
      </w:r>
      <w:r>
        <w:rPr>
          <w:rStyle w:val="18"/>
          <w:rFonts w:hint="eastAsia" w:ascii="仿宋" w:hAnsi="仿宋" w:eastAsia="仿宋"/>
          <w:b w:val="0"/>
          <w:bCs/>
          <w:sz w:val="32"/>
          <w:szCs w:val="32"/>
        </w:rPr>
        <w:t>预算数</w:t>
      </w:r>
      <w:r>
        <w:rPr>
          <w:rStyle w:val="18"/>
          <w:rFonts w:hint="eastAsia" w:ascii="仿宋" w:hAnsi="仿宋" w:eastAsia="仿宋"/>
          <w:b w:val="0"/>
          <w:bCs/>
          <w:sz w:val="32"/>
          <w:szCs w:val="32"/>
          <w:lang w:eastAsia="zh-CN"/>
        </w:rPr>
        <w:t>持平</w:t>
      </w:r>
      <w:r>
        <w:rPr>
          <w:rStyle w:val="18"/>
          <w:rFonts w:hint="eastAsia" w:ascii="仿宋" w:hAnsi="仿宋" w:eastAsia="仿宋"/>
          <w:b w:val="0"/>
          <w:bCs/>
          <w:sz w:val="32"/>
          <w:szCs w:val="32"/>
        </w:rPr>
        <w:t>。</w:t>
      </w:r>
    </w:p>
    <w:p w14:paraId="011F86F7">
      <w:pPr>
        <w:spacing w:line="600" w:lineRule="exact"/>
        <w:ind w:firstLine="643" w:firstLineChars="200"/>
        <w:rPr>
          <w:rStyle w:val="18"/>
          <w:rFonts w:hint="eastAsia" w:ascii="仿宋" w:hAnsi="仿宋" w:eastAsia="仿宋"/>
          <w:b w:val="0"/>
          <w:bCs/>
          <w:sz w:val="32"/>
          <w:szCs w:val="32"/>
        </w:rPr>
      </w:pPr>
      <w:r>
        <w:rPr>
          <w:rStyle w:val="18"/>
          <w:rFonts w:hint="eastAsia" w:ascii="仿宋" w:hAnsi="仿宋" w:eastAsia="仿宋"/>
          <w:bCs/>
          <w:sz w:val="32"/>
          <w:szCs w:val="32"/>
          <w:lang w:val="en-US" w:eastAsia="zh-CN"/>
        </w:rPr>
        <w:t>2.</w:t>
      </w:r>
      <w:r>
        <w:rPr>
          <w:rStyle w:val="18"/>
          <w:rFonts w:hint="eastAsia" w:ascii="仿宋" w:hAnsi="仿宋" w:eastAsia="仿宋"/>
          <w:bCs/>
          <w:sz w:val="32"/>
          <w:szCs w:val="32"/>
        </w:rPr>
        <w:t>一般公共服务</w:t>
      </w:r>
      <w:r>
        <w:rPr>
          <w:rStyle w:val="18"/>
          <w:rFonts w:hint="eastAsia" w:ascii="仿宋" w:hAnsi="仿宋" w:eastAsia="仿宋"/>
          <w:bCs/>
          <w:sz w:val="32"/>
          <w:szCs w:val="32"/>
          <w:lang w:val="en-US" w:eastAsia="zh-CN"/>
        </w:rPr>
        <w:t>201</w:t>
      </w:r>
      <w:r>
        <w:rPr>
          <w:rStyle w:val="18"/>
          <w:rFonts w:hint="eastAsia" w:ascii="仿宋" w:hAnsi="仿宋" w:eastAsia="仿宋"/>
          <w:bCs/>
          <w:sz w:val="32"/>
          <w:szCs w:val="32"/>
        </w:rPr>
        <w:t>（类）</w:t>
      </w:r>
      <w:r>
        <w:rPr>
          <w:rStyle w:val="18"/>
          <w:rFonts w:hint="eastAsia" w:ascii="仿宋" w:hAnsi="仿宋" w:eastAsia="仿宋"/>
          <w:bCs/>
          <w:sz w:val="32"/>
          <w:szCs w:val="32"/>
          <w:lang w:val="en-US" w:eastAsia="zh-CN"/>
        </w:rPr>
        <w:t>06</w:t>
      </w:r>
      <w:r>
        <w:rPr>
          <w:rStyle w:val="18"/>
          <w:rFonts w:hint="eastAsia" w:ascii="仿宋" w:hAnsi="仿宋" w:eastAsia="仿宋"/>
          <w:bCs/>
          <w:sz w:val="32"/>
          <w:szCs w:val="32"/>
        </w:rPr>
        <w:t>（款）</w:t>
      </w:r>
      <w:r>
        <w:rPr>
          <w:rStyle w:val="18"/>
          <w:rFonts w:hint="eastAsia" w:ascii="仿宋" w:hAnsi="仿宋" w:eastAsia="仿宋"/>
          <w:bCs/>
          <w:sz w:val="32"/>
          <w:szCs w:val="32"/>
          <w:lang w:val="en-US" w:eastAsia="zh-CN"/>
        </w:rPr>
        <w:t>04</w:t>
      </w:r>
      <w:r>
        <w:rPr>
          <w:rStyle w:val="18"/>
          <w:rFonts w:hint="eastAsia" w:ascii="仿宋" w:hAnsi="仿宋" w:eastAsia="仿宋"/>
          <w:bCs/>
          <w:sz w:val="32"/>
          <w:szCs w:val="32"/>
        </w:rPr>
        <w:t>（项）</w:t>
      </w:r>
      <w:r>
        <w:rPr>
          <w:rStyle w:val="18"/>
          <w:rFonts w:ascii="仿宋" w:hAnsi="仿宋" w:eastAsia="仿宋"/>
          <w:bCs/>
          <w:sz w:val="32"/>
          <w:szCs w:val="32"/>
        </w:rPr>
        <w:t>:</w:t>
      </w:r>
      <w:r>
        <w:rPr>
          <w:rStyle w:val="18"/>
          <w:rFonts w:ascii="仿宋" w:hAnsi="仿宋" w:eastAsia="仿宋"/>
          <w:b w:val="0"/>
          <w:bCs/>
          <w:sz w:val="32"/>
          <w:szCs w:val="32"/>
        </w:rPr>
        <w:t xml:space="preserve"> </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245.74</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，决算数</w:t>
      </w:r>
      <w:r>
        <w:rPr>
          <w:rStyle w:val="18"/>
          <w:rFonts w:hint="eastAsia" w:ascii="仿宋" w:hAnsi="仿宋" w:eastAsia="仿宋"/>
          <w:b w:val="0"/>
          <w:bCs/>
          <w:sz w:val="32"/>
          <w:szCs w:val="32"/>
          <w:lang w:eastAsia="zh-CN"/>
        </w:rPr>
        <w:t>与</w:t>
      </w:r>
      <w:r>
        <w:rPr>
          <w:rStyle w:val="18"/>
          <w:rFonts w:hint="eastAsia" w:ascii="仿宋" w:hAnsi="仿宋" w:eastAsia="仿宋"/>
          <w:b w:val="0"/>
          <w:bCs/>
          <w:sz w:val="32"/>
          <w:szCs w:val="32"/>
        </w:rPr>
        <w:t>预算数</w:t>
      </w:r>
      <w:r>
        <w:rPr>
          <w:rStyle w:val="18"/>
          <w:rFonts w:hint="eastAsia" w:ascii="仿宋" w:hAnsi="仿宋" w:eastAsia="仿宋"/>
          <w:b w:val="0"/>
          <w:bCs/>
          <w:sz w:val="32"/>
          <w:szCs w:val="32"/>
          <w:lang w:eastAsia="zh-CN"/>
        </w:rPr>
        <w:t>持平</w:t>
      </w:r>
      <w:r>
        <w:rPr>
          <w:rStyle w:val="18"/>
          <w:rFonts w:hint="eastAsia" w:ascii="仿宋" w:hAnsi="仿宋" w:eastAsia="仿宋"/>
          <w:b w:val="0"/>
          <w:bCs/>
          <w:sz w:val="32"/>
          <w:szCs w:val="32"/>
        </w:rPr>
        <w:t>。</w:t>
      </w:r>
    </w:p>
    <w:p w14:paraId="16F085AD">
      <w:pPr>
        <w:spacing w:line="600" w:lineRule="exact"/>
        <w:ind w:firstLine="643" w:firstLineChars="200"/>
        <w:rPr>
          <w:rStyle w:val="18"/>
          <w:rFonts w:hint="eastAsia" w:ascii="仿宋" w:hAnsi="仿宋" w:eastAsia="仿宋" w:cstheme="minorBidi"/>
          <w:b w:val="0"/>
          <w:bCs/>
          <w:sz w:val="32"/>
          <w:szCs w:val="32"/>
        </w:rPr>
      </w:pPr>
      <w:r>
        <w:rPr>
          <w:rStyle w:val="18"/>
          <w:rFonts w:hint="eastAsia" w:ascii="仿宋" w:hAnsi="仿宋" w:eastAsia="仿宋" w:cstheme="minorBidi"/>
          <w:bCs/>
          <w:sz w:val="32"/>
          <w:szCs w:val="32"/>
          <w:lang w:val="en-US" w:eastAsia="zh-CN"/>
        </w:rPr>
        <w:t>3</w:t>
      </w:r>
      <w:r>
        <w:rPr>
          <w:rStyle w:val="18"/>
          <w:rFonts w:hint="eastAsia" w:ascii="仿宋" w:hAnsi="仿宋" w:eastAsia="仿宋" w:cstheme="minorBidi"/>
          <w:bCs/>
          <w:sz w:val="32"/>
          <w:szCs w:val="32"/>
        </w:rPr>
        <w:t xml:space="preserve">. 一般公共服务201（类）06（款）07（项）: </w:t>
      </w:r>
      <w:r>
        <w:rPr>
          <w:rStyle w:val="18"/>
          <w:rFonts w:hint="eastAsia" w:ascii="仿宋" w:hAnsi="仿宋" w:eastAsia="仿宋" w:cstheme="minorBidi"/>
          <w:b w:val="0"/>
          <w:bCs/>
          <w:sz w:val="32"/>
          <w:szCs w:val="32"/>
        </w:rPr>
        <w:t>支出决算为</w:t>
      </w:r>
      <w:r>
        <w:rPr>
          <w:rStyle w:val="18"/>
          <w:rFonts w:hint="eastAsia" w:ascii="仿宋" w:hAnsi="仿宋" w:eastAsia="仿宋" w:cstheme="minorBidi"/>
          <w:b w:val="0"/>
          <w:bCs/>
          <w:sz w:val="32"/>
          <w:szCs w:val="32"/>
          <w:lang w:val="en-US" w:eastAsia="zh-CN"/>
        </w:rPr>
        <w:t>19.76</w:t>
      </w:r>
      <w:r>
        <w:rPr>
          <w:rStyle w:val="18"/>
          <w:rFonts w:hint="eastAsia" w:ascii="仿宋" w:hAnsi="仿宋" w:eastAsia="仿宋" w:cstheme="minorBidi"/>
          <w:b w:val="0"/>
          <w:bCs/>
          <w:sz w:val="32"/>
          <w:szCs w:val="32"/>
        </w:rPr>
        <w:t>万元，完成预算100%。</w:t>
      </w:r>
      <w:r>
        <w:rPr>
          <w:rStyle w:val="18"/>
          <w:rFonts w:hint="eastAsia" w:ascii="仿宋" w:hAnsi="仿宋" w:eastAsia="仿宋"/>
          <w:b w:val="0"/>
          <w:bCs/>
          <w:sz w:val="32"/>
          <w:szCs w:val="32"/>
        </w:rPr>
        <w:t>决算数</w:t>
      </w:r>
      <w:r>
        <w:rPr>
          <w:rStyle w:val="18"/>
          <w:rFonts w:hint="eastAsia" w:ascii="仿宋" w:hAnsi="仿宋" w:eastAsia="仿宋"/>
          <w:b w:val="0"/>
          <w:bCs/>
          <w:sz w:val="32"/>
          <w:szCs w:val="32"/>
          <w:lang w:eastAsia="zh-CN"/>
        </w:rPr>
        <w:t>与</w:t>
      </w:r>
      <w:r>
        <w:rPr>
          <w:rStyle w:val="18"/>
          <w:rFonts w:hint="eastAsia" w:ascii="仿宋" w:hAnsi="仿宋" w:eastAsia="仿宋"/>
          <w:b w:val="0"/>
          <w:bCs/>
          <w:sz w:val="32"/>
          <w:szCs w:val="32"/>
        </w:rPr>
        <w:t>预算数</w:t>
      </w:r>
      <w:r>
        <w:rPr>
          <w:rStyle w:val="18"/>
          <w:rFonts w:hint="eastAsia" w:ascii="仿宋" w:hAnsi="仿宋" w:eastAsia="仿宋"/>
          <w:b w:val="0"/>
          <w:bCs/>
          <w:sz w:val="32"/>
          <w:szCs w:val="32"/>
          <w:lang w:eastAsia="zh-CN"/>
        </w:rPr>
        <w:t>持平</w:t>
      </w:r>
      <w:r>
        <w:rPr>
          <w:rStyle w:val="18"/>
          <w:rFonts w:hint="eastAsia" w:ascii="仿宋" w:hAnsi="仿宋" w:eastAsia="仿宋"/>
          <w:b w:val="0"/>
          <w:bCs/>
          <w:sz w:val="32"/>
          <w:szCs w:val="32"/>
        </w:rPr>
        <w:t>。</w:t>
      </w:r>
    </w:p>
    <w:p w14:paraId="167881A4">
      <w:pPr>
        <w:pStyle w:val="1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textAlignment w:val="auto"/>
        <w:rPr>
          <w:rStyle w:val="18"/>
          <w:rFonts w:hint="eastAsia" w:ascii="仿宋" w:hAnsi="仿宋" w:eastAsia="仿宋"/>
          <w:b w:val="0"/>
          <w:bCs/>
          <w:sz w:val="32"/>
          <w:szCs w:val="32"/>
        </w:rPr>
      </w:pPr>
      <w:r>
        <w:rPr>
          <w:rStyle w:val="18"/>
          <w:rFonts w:hint="eastAsia" w:ascii="仿宋" w:hAnsi="仿宋" w:eastAsia="仿宋"/>
          <w:bCs/>
          <w:sz w:val="32"/>
          <w:szCs w:val="32"/>
          <w:lang w:val="en-US" w:eastAsia="zh-CN"/>
        </w:rPr>
        <w:t>4.</w:t>
      </w:r>
      <w:r>
        <w:rPr>
          <w:rStyle w:val="18"/>
          <w:rFonts w:hint="eastAsia" w:ascii="仿宋" w:hAnsi="仿宋" w:eastAsia="仿宋"/>
          <w:bCs/>
          <w:sz w:val="32"/>
          <w:szCs w:val="32"/>
        </w:rPr>
        <w:t>一般公共服务</w:t>
      </w:r>
      <w:r>
        <w:rPr>
          <w:rStyle w:val="18"/>
          <w:rFonts w:hint="eastAsia" w:ascii="仿宋" w:hAnsi="仿宋" w:eastAsia="仿宋"/>
          <w:bCs/>
          <w:sz w:val="32"/>
          <w:szCs w:val="32"/>
          <w:lang w:val="en-US" w:eastAsia="zh-CN"/>
        </w:rPr>
        <w:t>201</w:t>
      </w:r>
      <w:r>
        <w:rPr>
          <w:rStyle w:val="18"/>
          <w:rFonts w:hint="eastAsia" w:ascii="仿宋" w:hAnsi="仿宋" w:eastAsia="仿宋"/>
          <w:bCs/>
          <w:sz w:val="32"/>
          <w:szCs w:val="32"/>
        </w:rPr>
        <w:t>（类）</w:t>
      </w:r>
      <w:r>
        <w:rPr>
          <w:rStyle w:val="18"/>
          <w:rFonts w:hint="eastAsia" w:ascii="仿宋" w:hAnsi="仿宋" w:eastAsia="仿宋"/>
          <w:bCs/>
          <w:sz w:val="32"/>
          <w:szCs w:val="32"/>
          <w:lang w:val="en-US" w:eastAsia="zh-CN"/>
        </w:rPr>
        <w:t>06</w:t>
      </w:r>
      <w:r>
        <w:rPr>
          <w:rStyle w:val="18"/>
          <w:rFonts w:hint="eastAsia" w:ascii="仿宋" w:hAnsi="仿宋" w:eastAsia="仿宋"/>
          <w:bCs/>
          <w:sz w:val="32"/>
          <w:szCs w:val="32"/>
        </w:rPr>
        <w:t>（款）</w:t>
      </w:r>
      <w:r>
        <w:rPr>
          <w:rStyle w:val="18"/>
          <w:rFonts w:hint="eastAsia" w:ascii="仿宋" w:hAnsi="仿宋" w:eastAsia="仿宋"/>
          <w:bCs/>
          <w:sz w:val="32"/>
          <w:szCs w:val="32"/>
          <w:lang w:val="en-US" w:eastAsia="zh-CN"/>
        </w:rPr>
        <w:t>08</w:t>
      </w:r>
      <w:r>
        <w:rPr>
          <w:rStyle w:val="18"/>
          <w:rFonts w:hint="eastAsia" w:ascii="仿宋" w:hAnsi="仿宋" w:eastAsia="仿宋"/>
          <w:bCs/>
          <w:sz w:val="32"/>
          <w:szCs w:val="32"/>
        </w:rPr>
        <w:t>（项）</w:t>
      </w:r>
      <w:r>
        <w:rPr>
          <w:rStyle w:val="18"/>
          <w:rFonts w:ascii="仿宋" w:hAnsi="仿宋" w:eastAsia="仿宋"/>
          <w:bCs/>
          <w:sz w:val="32"/>
          <w:szCs w:val="32"/>
        </w:rPr>
        <w:t>:</w:t>
      </w:r>
      <w:r>
        <w:rPr>
          <w:rStyle w:val="18"/>
          <w:rFonts w:ascii="仿宋" w:hAnsi="仿宋" w:eastAsia="仿宋"/>
          <w:b w:val="0"/>
          <w:bCs/>
          <w:sz w:val="32"/>
          <w:szCs w:val="32"/>
        </w:rPr>
        <w:t xml:space="preserve"> </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297.85</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，决算数</w:t>
      </w:r>
      <w:r>
        <w:rPr>
          <w:rStyle w:val="18"/>
          <w:rFonts w:hint="eastAsia" w:ascii="仿宋" w:hAnsi="仿宋" w:eastAsia="仿宋"/>
          <w:b w:val="0"/>
          <w:bCs/>
          <w:sz w:val="32"/>
          <w:szCs w:val="32"/>
          <w:lang w:eastAsia="zh-CN"/>
        </w:rPr>
        <w:t>与</w:t>
      </w:r>
      <w:r>
        <w:rPr>
          <w:rStyle w:val="18"/>
          <w:rFonts w:hint="eastAsia" w:ascii="仿宋" w:hAnsi="仿宋" w:eastAsia="仿宋"/>
          <w:b w:val="0"/>
          <w:bCs/>
          <w:sz w:val="32"/>
          <w:szCs w:val="32"/>
        </w:rPr>
        <w:t>预算数</w:t>
      </w:r>
      <w:r>
        <w:rPr>
          <w:rStyle w:val="18"/>
          <w:rFonts w:hint="eastAsia" w:ascii="仿宋" w:hAnsi="仿宋" w:eastAsia="仿宋"/>
          <w:b w:val="0"/>
          <w:bCs/>
          <w:sz w:val="32"/>
          <w:szCs w:val="32"/>
          <w:lang w:eastAsia="zh-CN"/>
        </w:rPr>
        <w:t>持平</w:t>
      </w:r>
      <w:r>
        <w:rPr>
          <w:rStyle w:val="18"/>
          <w:rFonts w:hint="eastAsia" w:ascii="仿宋" w:hAnsi="仿宋" w:eastAsia="仿宋"/>
          <w:b w:val="0"/>
          <w:bCs/>
          <w:sz w:val="32"/>
          <w:szCs w:val="32"/>
        </w:rPr>
        <w:t>。</w:t>
      </w:r>
    </w:p>
    <w:p w14:paraId="2EB6E79B">
      <w:pPr>
        <w:pStyle w:val="1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textAlignment w:val="auto"/>
        <w:rPr>
          <w:rStyle w:val="18"/>
          <w:rFonts w:hint="eastAsia" w:ascii="仿宋" w:hAnsi="仿宋" w:eastAsia="仿宋" w:cstheme="minorBidi"/>
          <w:b w:val="0"/>
          <w:bCs/>
          <w:kern w:val="2"/>
          <w:sz w:val="32"/>
          <w:szCs w:val="32"/>
          <w:lang w:val="en-US" w:eastAsia="zh-CN" w:bidi="ar-SA"/>
        </w:rPr>
      </w:pPr>
      <w:r>
        <w:rPr>
          <w:rStyle w:val="18"/>
          <w:rFonts w:hint="eastAsia" w:ascii="仿宋" w:hAnsi="仿宋" w:eastAsia="仿宋" w:cstheme="minorBidi"/>
          <w:bCs/>
          <w:kern w:val="2"/>
          <w:sz w:val="32"/>
          <w:szCs w:val="32"/>
          <w:lang w:val="en-US" w:eastAsia="zh-CN" w:bidi="ar-SA"/>
        </w:rPr>
        <w:t xml:space="preserve">5. 一般公共服务201（类）06（款）50（项）: </w:t>
      </w:r>
      <w:r>
        <w:rPr>
          <w:rStyle w:val="18"/>
          <w:rFonts w:hint="eastAsia" w:ascii="仿宋" w:hAnsi="仿宋" w:eastAsia="仿宋" w:cstheme="minorBidi"/>
          <w:b w:val="0"/>
          <w:bCs/>
          <w:kern w:val="2"/>
          <w:sz w:val="32"/>
          <w:szCs w:val="32"/>
          <w:lang w:val="en-US" w:eastAsia="zh-CN" w:bidi="ar-SA"/>
        </w:rPr>
        <w:t>支出决算为753.89万元，完成预算100%。</w:t>
      </w:r>
    </w:p>
    <w:p w14:paraId="573BAB8B">
      <w:pPr>
        <w:pStyle w:val="1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textAlignment w:val="auto"/>
        <w:rPr>
          <w:rStyle w:val="18"/>
          <w:rFonts w:hint="eastAsia" w:ascii="仿宋" w:hAnsi="仿宋" w:eastAsia="仿宋" w:cstheme="minorBidi"/>
          <w:b w:val="0"/>
          <w:bCs/>
          <w:kern w:val="2"/>
          <w:sz w:val="32"/>
          <w:szCs w:val="32"/>
          <w:lang w:val="en-US" w:eastAsia="zh-CN" w:bidi="ar-SA"/>
        </w:rPr>
      </w:pPr>
      <w:r>
        <w:rPr>
          <w:rStyle w:val="18"/>
          <w:rFonts w:hint="eastAsia" w:ascii="仿宋" w:hAnsi="仿宋" w:eastAsia="仿宋" w:cstheme="minorBidi"/>
          <w:bCs/>
          <w:kern w:val="2"/>
          <w:sz w:val="32"/>
          <w:szCs w:val="32"/>
          <w:lang w:val="en-US" w:eastAsia="zh-CN" w:bidi="ar-SA"/>
        </w:rPr>
        <w:t xml:space="preserve">7. 社会保障和就业208（类）05（款）05（项）: </w:t>
      </w:r>
      <w:r>
        <w:rPr>
          <w:rStyle w:val="18"/>
          <w:rFonts w:hint="eastAsia" w:ascii="仿宋" w:hAnsi="仿宋" w:eastAsia="仿宋" w:cstheme="minorBidi"/>
          <w:b w:val="0"/>
          <w:bCs/>
          <w:kern w:val="2"/>
          <w:sz w:val="32"/>
          <w:szCs w:val="32"/>
          <w:lang w:val="en-US" w:eastAsia="zh-CN" w:bidi="ar-SA"/>
        </w:rPr>
        <w:t>支出决算为89.36万元，完成预算100%。</w:t>
      </w:r>
      <w:r>
        <w:rPr>
          <w:rStyle w:val="18"/>
          <w:rFonts w:hint="eastAsia" w:ascii="仿宋" w:hAnsi="仿宋" w:eastAsia="仿宋"/>
          <w:b w:val="0"/>
          <w:bCs/>
          <w:sz w:val="32"/>
          <w:szCs w:val="32"/>
        </w:rPr>
        <w:t>决算数</w:t>
      </w:r>
      <w:r>
        <w:rPr>
          <w:rStyle w:val="18"/>
          <w:rFonts w:hint="eastAsia" w:ascii="仿宋" w:hAnsi="仿宋" w:eastAsia="仿宋"/>
          <w:b w:val="0"/>
          <w:bCs/>
          <w:sz w:val="32"/>
          <w:szCs w:val="32"/>
          <w:lang w:eastAsia="zh-CN"/>
        </w:rPr>
        <w:t>与</w:t>
      </w:r>
      <w:r>
        <w:rPr>
          <w:rStyle w:val="18"/>
          <w:rFonts w:hint="eastAsia" w:ascii="仿宋" w:hAnsi="仿宋" w:eastAsia="仿宋"/>
          <w:b w:val="0"/>
          <w:bCs/>
          <w:sz w:val="32"/>
          <w:szCs w:val="32"/>
        </w:rPr>
        <w:t>预算数</w:t>
      </w:r>
      <w:r>
        <w:rPr>
          <w:rStyle w:val="18"/>
          <w:rFonts w:hint="eastAsia" w:ascii="仿宋" w:hAnsi="仿宋" w:eastAsia="仿宋"/>
          <w:b w:val="0"/>
          <w:bCs/>
          <w:sz w:val="32"/>
          <w:szCs w:val="32"/>
          <w:lang w:eastAsia="zh-CN"/>
        </w:rPr>
        <w:t>持平</w:t>
      </w:r>
      <w:r>
        <w:rPr>
          <w:rStyle w:val="18"/>
          <w:rFonts w:hint="eastAsia" w:ascii="仿宋" w:hAnsi="仿宋" w:eastAsia="仿宋"/>
          <w:b w:val="0"/>
          <w:bCs/>
          <w:sz w:val="32"/>
          <w:szCs w:val="32"/>
        </w:rPr>
        <w:t>。</w:t>
      </w:r>
    </w:p>
    <w:p w14:paraId="31AB2C4F">
      <w:pPr>
        <w:pStyle w:val="1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textAlignment w:val="auto"/>
        <w:rPr>
          <w:rStyle w:val="18"/>
          <w:rFonts w:hint="eastAsia" w:ascii="仿宋" w:hAnsi="仿宋" w:eastAsia="仿宋" w:cstheme="minorBidi"/>
          <w:b w:val="0"/>
          <w:bCs/>
          <w:kern w:val="2"/>
          <w:sz w:val="32"/>
          <w:szCs w:val="32"/>
          <w:lang w:val="en-US" w:eastAsia="zh-CN" w:bidi="ar-SA"/>
        </w:rPr>
      </w:pPr>
      <w:r>
        <w:rPr>
          <w:rStyle w:val="18"/>
          <w:rFonts w:hint="eastAsia" w:ascii="仿宋" w:hAnsi="仿宋" w:eastAsia="仿宋" w:cstheme="minorBidi"/>
          <w:bCs/>
          <w:kern w:val="2"/>
          <w:sz w:val="32"/>
          <w:szCs w:val="32"/>
          <w:lang w:val="en-US" w:eastAsia="zh-CN" w:bidi="ar-SA"/>
        </w:rPr>
        <w:t xml:space="preserve">8.社会保障和就业208（类）05（款）06（项）: </w:t>
      </w:r>
      <w:r>
        <w:rPr>
          <w:rStyle w:val="18"/>
          <w:rFonts w:hint="eastAsia" w:ascii="仿宋" w:hAnsi="仿宋" w:eastAsia="仿宋" w:cstheme="minorBidi"/>
          <w:b w:val="0"/>
          <w:bCs/>
          <w:kern w:val="2"/>
          <w:sz w:val="32"/>
          <w:szCs w:val="32"/>
          <w:lang w:val="en-US" w:eastAsia="zh-CN" w:bidi="ar-SA"/>
        </w:rPr>
        <w:t>支出决算为40.6万元，完成预算100%。</w:t>
      </w:r>
      <w:r>
        <w:rPr>
          <w:rStyle w:val="18"/>
          <w:rFonts w:hint="eastAsia" w:ascii="仿宋" w:hAnsi="仿宋" w:eastAsia="仿宋"/>
          <w:b w:val="0"/>
          <w:bCs/>
          <w:sz w:val="32"/>
          <w:szCs w:val="32"/>
        </w:rPr>
        <w:t>决算数</w:t>
      </w:r>
      <w:r>
        <w:rPr>
          <w:rStyle w:val="18"/>
          <w:rFonts w:hint="eastAsia" w:ascii="仿宋" w:hAnsi="仿宋" w:eastAsia="仿宋"/>
          <w:b w:val="0"/>
          <w:bCs/>
          <w:sz w:val="32"/>
          <w:szCs w:val="32"/>
          <w:lang w:eastAsia="zh-CN"/>
        </w:rPr>
        <w:t>与</w:t>
      </w:r>
      <w:r>
        <w:rPr>
          <w:rStyle w:val="18"/>
          <w:rFonts w:hint="eastAsia" w:ascii="仿宋" w:hAnsi="仿宋" w:eastAsia="仿宋"/>
          <w:b w:val="0"/>
          <w:bCs/>
          <w:sz w:val="32"/>
          <w:szCs w:val="32"/>
        </w:rPr>
        <w:t>预算数</w:t>
      </w:r>
      <w:r>
        <w:rPr>
          <w:rStyle w:val="18"/>
          <w:rFonts w:hint="eastAsia" w:ascii="仿宋" w:hAnsi="仿宋" w:eastAsia="仿宋"/>
          <w:b w:val="0"/>
          <w:bCs/>
          <w:sz w:val="32"/>
          <w:szCs w:val="32"/>
          <w:lang w:eastAsia="zh-CN"/>
        </w:rPr>
        <w:t>持平</w:t>
      </w:r>
      <w:r>
        <w:rPr>
          <w:rStyle w:val="18"/>
          <w:rFonts w:hint="eastAsia" w:ascii="仿宋" w:hAnsi="仿宋" w:eastAsia="仿宋"/>
          <w:b w:val="0"/>
          <w:bCs/>
          <w:sz w:val="32"/>
          <w:szCs w:val="32"/>
        </w:rPr>
        <w:t>。</w:t>
      </w:r>
    </w:p>
    <w:p w14:paraId="51212235">
      <w:pPr>
        <w:pStyle w:val="1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textAlignment w:val="auto"/>
        <w:rPr>
          <w:rStyle w:val="18"/>
          <w:rFonts w:hint="eastAsia" w:ascii="仿宋" w:hAnsi="仿宋" w:eastAsia="仿宋" w:cstheme="minorBidi"/>
          <w:b w:val="0"/>
          <w:bCs/>
          <w:kern w:val="2"/>
          <w:sz w:val="32"/>
          <w:szCs w:val="32"/>
          <w:lang w:val="en-US" w:eastAsia="zh-CN" w:bidi="ar-SA"/>
        </w:rPr>
      </w:pPr>
      <w:r>
        <w:rPr>
          <w:rStyle w:val="18"/>
          <w:rFonts w:hint="eastAsia" w:ascii="仿宋" w:hAnsi="仿宋" w:eastAsia="仿宋" w:cstheme="minorBidi"/>
          <w:bCs/>
          <w:kern w:val="2"/>
          <w:sz w:val="32"/>
          <w:szCs w:val="32"/>
          <w:lang w:val="en-US" w:eastAsia="zh-CN" w:bidi="ar-SA"/>
        </w:rPr>
        <w:t>9.卫生健康210（类）11（款）02（项）:</w:t>
      </w:r>
      <w:r>
        <w:rPr>
          <w:rStyle w:val="18"/>
          <w:rFonts w:hint="eastAsia" w:ascii="仿宋" w:hAnsi="仿宋" w:eastAsia="仿宋" w:cstheme="minorBidi"/>
          <w:b w:val="0"/>
          <w:bCs/>
          <w:kern w:val="2"/>
          <w:sz w:val="32"/>
          <w:szCs w:val="32"/>
          <w:lang w:val="en-US" w:eastAsia="zh-CN" w:bidi="ar-SA"/>
        </w:rPr>
        <w:t>支出决算为39.1万元，完成预算100%。</w:t>
      </w:r>
      <w:r>
        <w:rPr>
          <w:rStyle w:val="18"/>
          <w:rFonts w:hint="eastAsia" w:ascii="仿宋" w:hAnsi="仿宋" w:eastAsia="仿宋"/>
          <w:b w:val="0"/>
          <w:bCs/>
          <w:sz w:val="32"/>
          <w:szCs w:val="32"/>
        </w:rPr>
        <w:t>决算数</w:t>
      </w:r>
      <w:r>
        <w:rPr>
          <w:rStyle w:val="18"/>
          <w:rFonts w:hint="eastAsia" w:ascii="仿宋" w:hAnsi="仿宋" w:eastAsia="仿宋"/>
          <w:b w:val="0"/>
          <w:bCs/>
          <w:sz w:val="32"/>
          <w:szCs w:val="32"/>
          <w:lang w:eastAsia="zh-CN"/>
        </w:rPr>
        <w:t>与</w:t>
      </w:r>
      <w:r>
        <w:rPr>
          <w:rStyle w:val="18"/>
          <w:rFonts w:hint="eastAsia" w:ascii="仿宋" w:hAnsi="仿宋" w:eastAsia="仿宋"/>
          <w:b w:val="0"/>
          <w:bCs/>
          <w:sz w:val="32"/>
          <w:szCs w:val="32"/>
        </w:rPr>
        <w:t>预算数</w:t>
      </w:r>
      <w:r>
        <w:rPr>
          <w:rStyle w:val="18"/>
          <w:rFonts w:hint="eastAsia" w:ascii="仿宋" w:hAnsi="仿宋" w:eastAsia="仿宋"/>
          <w:b w:val="0"/>
          <w:bCs/>
          <w:sz w:val="32"/>
          <w:szCs w:val="32"/>
          <w:lang w:eastAsia="zh-CN"/>
        </w:rPr>
        <w:t>持平</w:t>
      </w:r>
      <w:r>
        <w:rPr>
          <w:rStyle w:val="18"/>
          <w:rFonts w:hint="eastAsia" w:ascii="仿宋" w:hAnsi="仿宋" w:eastAsia="仿宋"/>
          <w:b w:val="0"/>
          <w:bCs/>
          <w:sz w:val="32"/>
          <w:szCs w:val="32"/>
        </w:rPr>
        <w:t>。</w:t>
      </w:r>
    </w:p>
    <w:p w14:paraId="428ED0EE">
      <w:pPr>
        <w:pStyle w:val="1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textAlignment w:val="auto"/>
        <w:rPr>
          <w:rStyle w:val="18"/>
          <w:rFonts w:hint="eastAsia" w:ascii="仿宋" w:hAnsi="仿宋" w:eastAsia="仿宋" w:cstheme="minorBidi"/>
          <w:b w:val="0"/>
          <w:bCs/>
          <w:kern w:val="2"/>
          <w:sz w:val="32"/>
          <w:szCs w:val="32"/>
          <w:lang w:val="en-US" w:eastAsia="zh-CN" w:bidi="ar-SA"/>
        </w:rPr>
      </w:pPr>
      <w:r>
        <w:rPr>
          <w:rStyle w:val="18"/>
          <w:rFonts w:hint="eastAsia" w:ascii="仿宋" w:hAnsi="仿宋" w:eastAsia="仿宋" w:cstheme="minorBidi"/>
          <w:bCs/>
          <w:kern w:val="2"/>
          <w:sz w:val="32"/>
          <w:szCs w:val="32"/>
          <w:lang w:val="en-US" w:eastAsia="zh-CN" w:bidi="ar-SA"/>
        </w:rPr>
        <w:t>10.卫生健康210（类）11（款）99（项）:</w:t>
      </w:r>
      <w:r>
        <w:rPr>
          <w:rStyle w:val="18"/>
          <w:rFonts w:hint="eastAsia" w:ascii="仿宋" w:hAnsi="仿宋" w:eastAsia="仿宋" w:cstheme="minorBidi"/>
          <w:b w:val="0"/>
          <w:bCs/>
          <w:kern w:val="2"/>
          <w:sz w:val="32"/>
          <w:szCs w:val="32"/>
          <w:lang w:val="en-US" w:eastAsia="zh-CN" w:bidi="ar-SA"/>
        </w:rPr>
        <w:t>支出决算为9.3万元，完成预算100%。</w:t>
      </w:r>
      <w:r>
        <w:rPr>
          <w:rStyle w:val="18"/>
          <w:rFonts w:hint="eastAsia" w:ascii="仿宋" w:hAnsi="仿宋" w:eastAsia="仿宋"/>
          <w:b w:val="0"/>
          <w:bCs/>
          <w:sz w:val="32"/>
          <w:szCs w:val="32"/>
        </w:rPr>
        <w:t>决算数</w:t>
      </w:r>
      <w:r>
        <w:rPr>
          <w:rStyle w:val="18"/>
          <w:rFonts w:hint="eastAsia" w:ascii="仿宋" w:hAnsi="仿宋" w:eastAsia="仿宋"/>
          <w:b w:val="0"/>
          <w:bCs/>
          <w:sz w:val="32"/>
          <w:szCs w:val="32"/>
          <w:lang w:eastAsia="zh-CN"/>
        </w:rPr>
        <w:t>与</w:t>
      </w:r>
      <w:r>
        <w:rPr>
          <w:rStyle w:val="18"/>
          <w:rFonts w:hint="eastAsia" w:ascii="仿宋" w:hAnsi="仿宋" w:eastAsia="仿宋"/>
          <w:b w:val="0"/>
          <w:bCs/>
          <w:sz w:val="32"/>
          <w:szCs w:val="32"/>
        </w:rPr>
        <w:t>预算数</w:t>
      </w:r>
      <w:r>
        <w:rPr>
          <w:rStyle w:val="18"/>
          <w:rFonts w:hint="eastAsia" w:ascii="仿宋" w:hAnsi="仿宋" w:eastAsia="仿宋"/>
          <w:b w:val="0"/>
          <w:bCs/>
          <w:sz w:val="32"/>
          <w:szCs w:val="32"/>
          <w:lang w:eastAsia="zh-CN"/>
        </w:rPr>
        <w:t>持平</w:t>
      </w:r>
      <w:r>
        <w:rPr>
          <w:rStyle w:val="18"/>
          <w:rFonts w:hint="eastAsia" w:ascii="仿宋" w:hAnsi="仿宋" w:eastAsia="仿宋"/>
          <w:b w:val="0"/>
          <w:bCs/>
          <w:sz w:val="32"/>
          <w:szCs w:val="32"/>
        </w:rPr>
        <w:t>。</w:t>
      </w:r>
    </w:p>
    <w:p w14:paraId="6F4073A8">
      <w:pPr>
        <w:pStyle w:val="1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textAlignment w:val="auto"/>
        <w:rPr>
          <w:rStyle w:val="18"/>
          <w:rFonts w:hint="eastAsia" w:ascii="仿宋" w:hAnsi="仿宋" w:eastAsia="仿宋" w:cstheme="minorBidi"/>
          <w:b w:val="0"/>
          <w:bCs/>
          <w:kern w:val="2"/>
          <w:sz w:val="32"/>
          <w:szCs w:val="32"/>
          <w:lang w:val="en-US" w:eastAsia="zh-CN" w:bidi="ar-SA"/>
        </w:rPr>
      </w:pPr>
      <w:r>
        <w:rPr>
          <w:rStyle w:val="18"/>
          <w:rFonts w:hint="eastAsia" w:ascii="仿宋" w:hAnsi="仿宋" w:eastAsia="仿宋" w:cstheme="minorBidi"/>
          <w:bCs/>
          <w:kern w:val="2"/>
          <w:sz w:val="32"/>
          <w:szCs w:val="32"/>
          <w:lang w:val="en-US" w:eastAsia="zh-CN" w:bidi="ar-SA"/>
        </w:rPr>
        <w:t>11.住房保障221（类）02（款）01（项）:</w:t>
      </w:r>
      <w:r>
        <w:rPr>
          <w:rStyle w:val="18"/>
          <w:rFonts w:hint="eastAsia" w:ascii="仿宋" w:hAnsi="仿宋" w:eastAsia="仿宋" w:cstheme="minorBidi"/>
          <w:b w:val="0"/>
          <w:bCs/>
          <w:kern w:val="2"/>
          <w:sz w:val="32"/>
          <w:szCs w:val="32"/>
          <w:lang w:val="en-US" w:eastAsia="zh-CN" w:bidi="ar-SA"/>
        </w:rPr>
        <w:t>支出决算为52.26万元，完成预算100%。</w:t>
      </w:r>
      <w:r>
        <w:rPr>
          <w:rStyle w:val="18"/>
          <w:rFonts w:hint="eastAsia" w:ascii="仿宋" w:hAnsi="仿宋" w:eastAsia="仿宋"/>
          <w:b w:val="0"/>
          <w:bCs/>
          <w:sz w:val="32"/>
          <w:szCs w:val="32"/>
        </w:rPr>
        <w:t>决算数</w:t>
      </w:r>
      <w:r>
        <w:rPr>
          <w:rStyle w:val="18"/>
          <w:rFonts w:hint="eastAsia" w:ascii="仿宋" w:hAnsi="仿宋" w:eastAsia="仿宋"/>
          <w:b w:val="0"/>
          <w:bCs/>
          <w:sz w:val="32"/>
          <w:szCs w:val="32"/>
          <w:lang w:eastAsia="zh-CN"/>
        </w:rPr>
        <w:t>与</w:t>
      </w:r>
      <w:r>
        <w:rPr>
          <w:rStyle w:val="18"/>
          <w:rFonts w:hint="eastAsia" w:ascii="仿宋" w:hAnsi="仿宋" w:eastAsia="仿宋"/>
          <w:b w:val="0"/>
          <w:bCs/>
          <w:sz w:val="32"/>
          <w:szCs w:val="32"/>
        </w:rPr>
        <w:t>预算数</w:t>
      </w:r>
      <w:r>
        <w:rPr>
          <w:rStyle w:val="18"/>
          <w:rFonts w:hint="eastAsia" w:ascii="仿宋" w:hAnsi="仿宋" w:eastAsia="仿宋"/>
          <w:b w:val="0"/>
          <w:bCs/>
          <w:sz w:val="32"/>
          <w:szCs w:val="32"/>
          <w:lang w:eastAsia="zh-CN"/>
        </w:rPr>
        <w:t>持平</w:t>
      </w:r>
      <w:r>
        <w:rPr>
          <w:rStyle w:val="18"/>
          <w:rFonts w:hint="eastAsia" w:ascii="仿宋" w:hAnsi="仿宋" w:eastAsia="仿宋"/>
          <w:b w:val="0"/>
          <w:bCs/>
          <w:sz w:val="32"/>
          <w:szCs w:val="32"/>
        </w:rPr>
        <w:t>。</w:t>
      </w:r>
    </w:p>
    <w:p w14:paraId="38A5EB84">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w:t>
      </w:r>
      <w:r>
        <w:rPr>
          <w:rFonts w:hint="eastAsia" w:ascii="仿宋" w:hAnsi="仿宋" w:eastAsia="仿宋"/>
          <w:b/>
          <w:sz w:val="32"/>
          <w:szCs w:val="32"/>
        </w:rPr>
        <w:t>1-1表和财决08表，仅罗列本单位涉及的全部功能分类科目，至项级。上述“预算”口径为全年预算数。增减变动原因为决算数</w:t>
      </w:r>
      <w:r>
        <w:rPr>
          <w:rFonts w:ascii="仿宋" w:hAnsi="仿宋" w:eastAsia="仿宋"/>
          <w:b/>
          <w:sz w:val="32"/>
          <w:szCs w:val="32"/>
        </w:rPr>
        <w:t>&lt;</w:t>
      </w:r>
      <w:r>
        <w:rPr>
          <w:rFonts w:hint="eastAsia" w:ascii="仿宋" w:hAnsi="仿宋" w:eastAsia="仿宋"/>
          <w:b/>
          <w:sz w:val="32"/>
          <w:szCs w:val="32"/>
        </w:rPr>
        <w:t>项级</w:t>
      </w:r>
      <w:r>
        <w:rPr>
          <w:rFonts w:ascii="仿宋" w:hAnsi="仿宋" w:eastAsia="仿宋"/>
          <w:b/>
          <w:sz w:val="32"/>
          <w:szCs w:val="32"/>
        </w:rPr>
        <w:t>&gt;</w:t>
      </w:r>
      <w:r>
        <w:rPr>
          <w:rFonts w:hint="eastAsia" w:ascii="仿宋" w:hAnsi="仿宋" w:eastAsia="仿宋"/>
          <w:b/>
          <w:sz w:val="32"/>
          <w:szCs w:val="32"/>
        </w:rPr>
        <w:t>和全年预算数</w:t>
      </w:r>
      <w:r>
        <w:rPr>
          <w:rFonts w:ascii="仿宋" w:hAnsi="仿宋" w:eastAsia="仿宋"/>
          <w:b/>
          <w:sz w:val="32"/>
          <w:szCs w:val="32"/>
        </w:rPr>
        <w:t>&lt;</w:t>
      </w:r>
      <w:r>
        <w:rPr>
          <w:rFonts w:hint="eastAsia" w:ascii="仿宋" w:hAnsi="仿宋" w:eastAsia="仿宋"/>
          <w:b/>
          <w:sz w:val="32"/>
          <w:szCs w:val="32"/>
        </w:rPr>
        <w:t>项级</w:t>
      </w:r>
      <w:r>
        <w:rPr>
          <w:rFonts w:ascii="仿宋" w:hAnsi="仿宋" w:eastAsia="仿宋"/>
          <w:b/>
          <w:sz w:val="32"/>
          <w:szCs w:val="32"/>
        </w:rPr>
        <w:t>&gt;</w:t>
      </w:r>
      <w:r>
        <w:rPr>
          <w:rFonts w:hint="eastAsia" w:ascii="仿宋" w:hAnsi="仿宋" w:eastAsia="仿宋"/>
          <w:b/>
          <w:sz w:val="32"/>
          <w:szCs w:val="32"/>
        </w:rPr>
        <w:t>比较，与预算数持平可以不写原因。）</w:t>
      </w:r>
    </w:p>
    <w:p w14:paraId="2158934F">
      <w:pPr>
        <w:spacing w:line="600" w:lineRule="exact"/>
        <w:ind w:firstLine="640"/>
        <w:rPr>
          <w:rFonts w:ascii="仿宋" w:hAnsi="仿宋" w:eastAsia="仿宋"/>
          <w:b/>
          <w:sz w:val="32"/>
          <w:szCs w:val="32"/>
        </w:rPr>
      </w:pPr>
    </w:p>
    <w:p w14:paraId="1223434E">
      <w:pPr>
        <w:tabs>
          <w:tab w:val="right" w:pos="8306"/>
        </w:tabs>
        <w:spacing w:line="600" w:lineRule="exact"/>
        <w:ind w:firstLine="640"/>
        <w:outlineLvl w:val="1"/>
        <w:rPr>
          <w:rStyle w:val="30"/>
        </w:rPr>
      </w:pPr>
      <w:bookmarkStart w:id="34" w:name="_Toc15396608"/>
      <w:bookmarkStart w:id="35" w:name="_Toc15377214"/>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30"/>
          <w:rFonts w:hint="eastAsia" w:ascii="黑体" w:hAnsi="黑体" w:eastAsia="黑体"/>
          <w:b w:val="0"/>
        </w:rPr>
        <w:t>般公共预算财政拨款基本支出决算情况说明</w:t>
      </w:r>
      <w:bookmarkEnd w:id="34"/>
      <w:bookmarkEnd w:id="35"/>
      <w:r>
        <w:rPr>
          <w:rStyle w:val="30"/>
          <w:rFonts w:ascii="黑体" w:hAnsi="黑体" w:eastAsia="黑体"/>
          <w:b w:val="0"/>
        </w:rPr>
        <w:tab/>
      </w:r>
    </w:p>
    <w:p w14:paraId="47C79816">
      <w:pPr>
        <w:spacing w:line="600" w:lineRule="exact"/>
        <w:ind w:firstLine="645"/>
        <w:rPr>
          <w:rFonts w:ascii="仿宋" w:hAnsi="仿宋" w:eastAsia="仿宋"/>
          <w:sz w:val="32"/>
          <w:szCs w:val="32"/>
        </w:rPr>
      </w:pPr>
      <w:r>
        <w:rPr>
          <w:rFonts w:hint="eastAsia" w:ascii="仿宋" w:hAnsi="仿宋" w:eastAsia="仿宋"/>
          <w:sz w:val="32"/>
          <w:szCs w:val="32"/>
          <w:lang w:eastAsia="zh-CN"/>
        </w:rPr>
        <w:t>2024</w:t>
      </w:r>
      <w:r>
        <w:rPr>
          <w:rFonts w:hint="eastAsia" w:ascii="仿宋" w:hAnsi="仿宋" w:eastAsia="仿宋"/>
          <w:sz w:val="32"/>
          <w:szCs w:val="32"/>
        </w:rPr>
        <w:t>年度一般公共预算财政拨款基本支出</w:t>
      </w:r>
      <w:r>
        <w:rPr>
          <w:rFonts w:hint="eastAsia" w:ascii="仿宋" w:hAnsi="仿宋" w:eastAsia="仿宋"/>
          <w:b/>
          <w:sz w:val="32"/>
          <w:szCs w:val="32"/>
          <w:lang w:val="en-US" w:eastAsia="zh-CN"/>
        </w:rPr>
        <w:t>985.52</w:t>
      </w:r>
      <w:r>
        <w:rPr>
          <w:rFonts w:hint="eastAsia" w:ascii="仿宋" w:hAnsi="仿宋" w:eastAsia="仿宋"/>
          <w:sz w:val="32"/>
          <w:szCs w:val="32"/>
        </w:rPr>
        <w:t>万元，其中：</w:t>
      </w:r>
    </w:p>
    <w:p w14:paraId="3E7D1744">
      <w:pPr>
        <w:spacing w:line="600" w:lineRule="exact"/>
        <w:ind w:firstLine="645"/>
        <w:rPr>
          <w:rFonts w:hint="eastAsia" w:ascii="仿宋" w:hAnsi="仿宋" w:eastAsia="仿宋_GB2312"/>
          <w:sz w:val="32"/>
          <w:szCs w:val="32"/>
          <w:lang w:val="en-US" w:eastAsia="zh-CN"/>
        </w:rPr>
      </w:pPr>
      <w:r>
        <w:rPr>
          <w:rFonts w:hint="eastAsia" w:ascii="仿宋" w:hAnsi="仿宋" w:eastAsia="仿宋"/>
          <w:sz w:val="32"/>
          <w:szCs w:val="32"/>
        </w:rPr>
        <w:t>人员经费</w:t>
      </w:r>
      <w:r>
        <w:rPr>
          <w:rFonts w:ascii="仿宋" w:hAnsi="仿宋" w:eastAsia="仿宋"/>
          <w:b/>
          <w:sz w:val="32"/>
          <w:szCs w:val="32"/>
        </w:rPr>
        <w:t>8</w:t>
      </w:r>
      <w:r>
        <w:rPr>
          <w:rFonts w:hint="eastAsia" w:ascii="仿宋" w:hAnsi="仿宋" w:eastAsia="仿宋"/>
          <w:b/>
          <w:sz w:val="32"/>
          <w:szCs w:val="32"/>
          <w:lang w:val="en-US" w:eastAsia="zh-CN"/>
        </w:rPr>
        <w:t>74.67</w:t>
      </w:r>
      <w:r>
        <w:rPr>
          <w:rFonts w:hint="eastAsia" w:ascii="仿宋" w:hAnsi="仿宋" w:eastAsia="仿宋"/>
          <w:sz w:val="32"/>
          <w:szCs w:val="32"/>
        </w:rPr>
        <w:t>万元，主要包括：</w:t>
      </w:r>
      <w:r>
        <w:rPr>
          <w:rFonts w:hint="eastAsia" w:ascii="仿宋_GB2312" w:hAnsi="仿宋_GB2312" w:eastAsia="仿宋_GB2312" w:cs="仿宋_GB2312"/>
          <w:sz w:val="32"/>
          <w:szCs w:val="32"/>
        </w:rPr>
        <w:t>基本工资</w:t>
      </w:r>
      <w:r>
        <w:rPr>
          <w:rFonts w:hint="eastAsia" w:ascii="仿宋_GB2312" w:hAnsi="仿宋_GB2312" w:eastAsia="仿宋_GB2312" w:cs="仿宋_GB2312"/>
          <w:sz w:val="32"/>
          <w:szCs w:val="32"/>
          <w:lang w:val="en-US" w:eastAsia="zh-CN"/>
        </w:rPr>
        <w:t>1623636.5</w:t>
      </w:r>
      <w:r>
        <w:rPr>
          <w:rFonts w:hint="eastAsia" w:ascii="仿宋_GB2312" w:hAnsi="仿宋_GB2312" w:eastAsia="仿宋_GB2312" w:cs="仿宋_GB2312"/>
          <w:sz w:val="32"/>
          <w:szCs w:val="32"/>
        </w:rPr>
        <w:t>元，津贴补贴</w:t>
      </w:r>
      <w:r>
        <w:rPr>
          <w:rFonts w:hint="eastAsia" w:ascii="仿宋_GB2312" w:hAnsi="仿宋_GB2312" w:eastAsia="仿宋_GB2312" w:cs="仿宋_GB2312"/>
          <w:sz w:val="32"/>
          <w:szCs w:val="32"/>
          <w:lang w:val="en-US" w:eastAsia="zh-CN"/>
        </w:rPr>
        <w:t>86485.5</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奖金</w:t>
      </w:r>
      <w:r>
        <w:rPr>
          <w:rFonts w:hint="eastAsia" w:ascii="仿宋_GB2312" w:hAnsi="仿宋_GB2312" w:eastAsia="仿宋_GB2312" w:cs="仿宋_GB2312"/>
          <w:sz w:val="32"/>
          <w:szCs w:val="32"/>
          <w:lang w:val="en-US" w:eastAsia="zh-CN"/>
        </w:rPr>
        <w:t>1320101.5元，</w:t>
      </w:r>
      <w:r>
        <w:rPr>
          <w:rFonts w:hint="eastAsia" w:ascii="仿宋_GB2312" w:hAnsi="仿宋_GB2312" w:eastAsia="仿宋_GB2312" w:cs="仿宋_GB2312"/>
          <w:sz w:val="32"/>
          <w:szCs w:val="32"/>
        </w:rPr>
        <w:t>伙食补助费</w:t>
      </w:r>
      <w:r>
        <w:rPr>
          <w:rFonts w:hint="eastAsia" w:ascii="仿宋_GB2312" w:hAnsi="仿宋_GB2312" w:eastAsia="仿宋_GB2312" w:cs="仿宋_GB2312"/>
          <w:sz w:val="32"/>
          <w:szCs w:val="32"/>
          <w:lang w:val="en-US" w:eastAsia="zh-CN"/>
        </w:rPr>
        <w:t>563653.5</w:t>
      </w:r>
      <w:r>
        <w:rPr>
          <w:rFonts w:hint="eastAsia" w:ascii="仿宋_GB2312" w:hAnsi="仿宋_GB2312" w:eastAsia="仿宋_GB2312" w:cs="仿宋_GB2312"/>
          <w:sz w:val="32"/>
          <w:szCs w:val="32"/>
        </w:rPr>
        <w:t>元，绩效工资</w:t>
      </w:r>
      <w:r>
        <w:rPr>
          <w:rFonts w:hint="eastAsia" w:ascii="仿宋_GB2312" w:hAnsi="仿宋_GB2312" w:eastAsia="仿宋_GB2312" w:cs="仿宋_GB2312"/>
          <w:sz w:val="32"/>
          <w:szCs w:val="32"/>
          <w:lang w:val="en-US" w:eastAsia="zh-CN"/>
        </w:rPr>
        <w:t>3170575</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机关事业单位基本养老保险缴费</w:t>
      </w:r>
      <w:r>
        <w:rPr>
          <w:rFonts w:hint="eastAsia" w:ascii="仿宋_GB2312" w:hAnsi="仿宋_GB2312" w:eastAsia="仿宋_GB2312" w:cs="仿宋_GB2312"/>
          <w:sz w:val="32"/>
          <w:szCs w:val="32"/>
          <w:lang w:val="en-US" w:eastAsia="zh-CN"/>
        </w:rPr>
        <w:t>893642.4</w:t>
      </w:r>
      <w:r>
        <w:rPr>
          <w:rFonts w:hint="eastAsia" w:ascii="仿宋_GB2312" w:hAnsi="仿宋_GB2312" w:eastAsia="仿宋_GB2312" w:cs="仿宋_GB2312"/>
          <w:sz w:val="32"/>
          <w:szCs w:val="32"/>
        </w:rPr>
        <w:t>元，职业年金缴费</w:t>
      </w:r>
      <w:r>
        <w:rPr>
          <w:rFonts w:hint="eastAsia" w:ascii="仿宋_GB2312" w:hAnsi="仿宋_GB2312" w:eastAsia="仿宋_GB2312" w:cs="仿宋_GB2312"/>
          <w:sz w:val="32"/>
          <w:szCs w:val="32"/>
          <w:lang w:val="en-US" w:eastAsia="zh-CN"/>
        </w:rPr>
        <w:t>406033.56</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职工基本医疗保险缴费</w:t>
      </w:r>
      <w:r>
        <w:rPr>
          <w:rFonts w:hint="eastAsia" w:ascii="仿宋_GB2312" w:hAnsi="仿宋_GB2312" w:eastAsia="仿宋_GB2312" w:cs="仿宋_GB2312"/>
          <w:sz w:val="32"/>
          <w:szCs w:val="32"/>
          <w:lang w:val="en-US" w:eastAsia="zh-CN"/>
        </w:rPr>
        <w:t>391006.35</w:t>
      </w:r>
      <w:r>
        <w:rPr>
          <w:rFonts w:hint="eastAsia" w:ascii="仿宋_GB2312" w:hAnsi="仿宋_GB2312" w:eastAsia="仿宋_GB2312" w:cs="仿宋_GB2312"/>
          <w:sz w:val="32"/>
          <w:szCs w:val="32"/>
        </w:rPr>
        <w:t>元，其他社会保障缴费</w:t>
      </w:r>
      <w:r>
        <w:rPr>
          <w:rFonts w:hint="eastAsia" w:ascii="仿宋_GB2312" w:hAnsi="仿宋_GB2312" w:eastAsia="仿宋_GB2312" w:cs="仿宋_GB2312"/>
          <w:sz w:val="32"/>
          <w:szCs w:val="32"/>
          <w:lang w:val="en-US" w:eastAsia="zh-CN"/>
        </w:rPr>
        <w:t>135548.46</w:t>
      </w:r>
      <w:r>
        <w:rPr>
          <w:rFonts w:hint="eastAsia" w:ascii="仿宋_GB2312" w:hAnsi="仿宋_GB2312" w:eastAsia="仿宋_GB2312" w:cs="仿宋_GB2312"/>
          <w:sz w:val="32"/>
          <w:szCs w:val="32"/>
        </w:rPr>
        <w:t>元，住房公积金</w:t>
      </w:r>
      <w:r>
        <w:rPr>
          <w:rFonts w:hint="eastAsia" w:ascii="仿宋_GB2312" w:hAnsi="仿宋_GB2312" w:eastAsia="仿宋_GB2312" w:cs="仿宋_GB2312"/>
          <w:sz w:val="32"/>
          <w:szCs w:val="32"/>
          <w:lang w:val="en-US" w:eastAsia="zh-CN"/>
        </w:rPr>
        <w:t>532570</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w:t>
      </w:r>
    </w:p>
    <w:p w14:paraId="0553F5F5">
      <w:pPr>
        <w:spacing w:line="600" w:lineRule="exact"/>
        <w:ind w:firstLine="645"/>
        <w:rPr>
          <w:rFonts w:hint="eastAsia" w:ascii="仿宋_GB2312" w:hAnsi="仿宋_GB2312" w:eastAsia="仿宋_GB2312" w:cs="仿宋_GB2312"/>
          <w:sz w:val="32"/>
          <w:szCs w:val="32"/>
          <w:lang w:eastAsia="zh-CN"/>
        </w:rPr>
      </w:pPr>
      <w:r>
        <w:rPr>
          <w:rFonts w:hint="eastAsia" w:ascii="仿宋" w:hAnsi="仿宋" w:eastAsia="仿宋"/>
          <w:sz w:val="32"/>
          <w:szCs w:val="32"/>
        </w:rPr>
        <w:t>公用经费</w:t>
      </w:r>
      <w:r>
        <w:rPr>
          <w:rFonts w:ascii="仿宋" w:hAnsi="仿宋" w:eastAsia="仿宋"/>
          <w:b/>
          <w:sz w:val="32"/>
          <w:szCs w:val="32"/>
        </w:rPr>
        <w:t>140.16</w:t>
      </w:r>
      <w:r>
        <w:rPr>
          <w:rFonts w:hint="eastAsia" w:ascii="仿宋" w:hAnsi="仿宋" w:eastAsia="仿宋"/>
          <w:sz w:val="32"/>
          <w:szCs w:val="32"/>
        </w:rPr>
        <w:t>万元，主要包括：</w:t>
      </w:r>
      <w:r>
        <w:rPr>
          <w:rFonts w:hint="eastAsia" w:ascii="仿宋_GB2312" w:hAnsi="仿宋_GB2312" w:eastAsia="仿宋_GB2312" w:cs="仿宋_GB2312"/>
          <w:sz w:val="32"/>
          <w:szCs w:val="32"/>
        </w:rPr>
        <w:t>办公费</w:t>
      </w:r>
      <w:r>
        <w:rPr>
          <w:rFonts w:hint="eastAsia" w:ascii="仿宋_GB2312" w:hAnsi="仿宋_GB2312" w:eastAsia="仿宋_GB2312" w:cs="仿宋_GB2312"/>
          <w:sz w:val="32"/>
          <w:szCs w:val="32"/>
          <w:lang w:val="en-US" w:eastAsia="zh-CN"/>
        </w:rPr>
        <w:t>47651</w:t>
      </w:r>
      <w:r>
        <w:rPr>
          <w:rFonts w:hint="eastAsia" w:ascii="仿宋_GB2312" w:hAnsi="仿宋_GB2312" w:eastAsia="仿宋_GB2312" w:cs="仿宋_GB2312"/>
          <w:sz w:val="32"/>
          <w:szCs w:val="32"/>
        </w:rPr>
        <w:t>元，差旅费</w:t>
      </w:r>
      <w:r>
        <w:rPr>
          <w:rFonts w:hint="eastAsia" w:ascii="仿宋_GB2312" w:hAnsi="仿宋_GB2312" w:eastAsia="仿宋_GB2312" w:cs="仿宋_GB2312"/>
          <w:sz w:val="32"/>
          <w:szCs w:val="32"/>
          <w:lang w:val="en-US" w:eastAsia="zh-CN"/>
        </w:rPr>
        <w:t>232000.2</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eastAsia="zh-CN"/>
        </w:rPr>
        <w:t>维修费</w:t>
      </w:r>
      <w:r>
        <w:rPr>
          <w:rFonts w:hint="eastAsia" w:ascii="仿宋_GB2312" w:hAnsi="仿宋_GB2312" w:eastAsia="仿宋_GB2312" w:cs="仿宋_GB2312"/>
          <w:sz w:val="32"/>
          <w:szCs w:val="32"/>
          <w:lang w:val="en-US" w:eastAsia="zh-CN"/>
        </w:rPr>
        <w:t>127894.01元，</w:t>
      </w:r>
      <w:r>
        <w:rPr>
          <w:rFonts w:hint="eastAsia" w:ascii="仿宋_GB2312" w:hAnsi="仿宋_GB2312" w:eastAsia="仿宋_GB2312" w:cs="仿宋_GB2312"/>
          <w:sz w:val="32"/>
          <w:szCs w:val="32"/>
        </w:rPr>
        <w:t>培训费</w:t>
      </w:r>
      <w:r>
        <w:rPr>
          <w:rFonts w:hint="eastAsia" w:ascii="仿宋_GB2312" w:hAnsi="仿宋_GB2312" w:eastAsia="仿宋_GB2312" w:cs="仿宋_GB2312"/>
          <w:sz w:val="32"/>
          <w:szCs w:val="32"/>
          <w:lang w:val="en-US" w:eastAsia="zh-CN"/>
        </w:rPr>
        <w:t>40531</w:t>
      </w:r>
      <w:r>
        <w:rPr>
          <w:rFonts w:hint="eastAsia" w:ascii="仿宋_GB2312" w:hAnsi="仿宋_GB2312" w:eastAsia="仿宋_GB2312" w:cs="仿宋_GB2312"/>
          <w:sz w:val="32"/>
          <w:szCs w:val="32"/>
        </w:rPr>
        <w:t>元，其他商品和服务支出</w:t>
      </w:r>
      <w:r>
        <w:rPr>
          <w:rFonts w:hint="eastAsia" w:ascii="仿宋_GB2312" w:hAnsi="仿宋_GB2312" w:eastAsia="仿宋_GB2312" w:cs="仿宋_GB2312"/>
          <w:sz w:val="32"/>
          <w:szCs w:val="32"/>
          <w:lang w:val="en-US" w:eastAsia="zh-CN"/>
        </w:rPr>
        <w:t>35876</w:t>
      </w:r>
      <w:r>
        <w:rPr>
          <w:rFonts w:hint="eastAsia" w:ascii="仿宋_GB2312" w:hAnsi="仿宋_GB2312" w:eastAsia="仿宋_GB2312" w:cs="仿宋_GB2312"/>
          <w:sz w:val="32"/>
          <w:szCs w:val="32"/>
        </w:rPr>
        <w:t>元，生活补助</w:t>
      </w:r>
      <w:r>
        <w:rPr>
          <w:rFonts w:hint="eastAsia" w:ascii="仿宋_GB2312" w:hAnsi="仿宋_GB2312" w:eastAsia="仿宋_GB2312" w:cs="仿宋_GB2312"/>
          <w:sz w:val="32"/>
          <w:szCs w:val="32"/>
          <w:lang w:val="en-US" w:eastAsia="zh-CN"/>
        </w:rPr>
        <w:t>242100</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w:t>
      </w:r>
    </w:p>
    <w:p w14:paraId="7E66F4A4">
      <w:pPr>
        <w:spacing w:line="600" w:lineRule="exact"/>
        <w:ind w:firstLine="645"/>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w:t>
      </w:r>
      <w:r>
        <w:rPr>
          <w:rFonts w:hint="eastAsia" w:ascii="仿宋" w:hAnsi="仿宋" w:eastAsia="仿宋"/>
          <w:b/>
          <w:sz w:val="32"/>
          <w:szCs w:val="32"/>
        </w:rPr>
        <w:t>7表和财决08-1表，仅罗列本单位实际支出涉及的经济分类科目。）</w:t>
      </w:r>
    </w:p>
    <w:p w14:paraId="000C9366">
      <w:pPr>
        <w:spacing w:line="600" w:lineRule="exact"/>
        <w:ind w:firstLine="640"/>
        <w:rPr>
          <w:rFonts w:ascii="仿宋" w:hAnsi="仿宋" w:eastAsia="仿宋"/>
          <w:b/>
          <w:sz w:val="32"/>
          <w:szCs w:val="32"/>
        </w:rPr>
      </w:pPr>
    </w:p>
    <w:p w14:paraId="119CA819">
      <w:pPr>
        <w:spacing w:line="600" w:lineRule="exact"/>
        <w:ind w:firstLine="640"/>
        <w:outlineLvl w:val="1"/>
        <w:rPr>
          <w:rStyle w:val="30"/>
          <w:rFonts w:ascii="黑体" w:hAnsi="黑体" w:eastAsia="黑体"/>
          <w:b w:val="0"/>
        </w:rPr>
      </w:pPr>
      <w:bookmarkStart w:id="36" w:name="_Toc15396609"/>
      <w:bookmarkStart w:id="37" w:name="_Toc15377215"/>
      <w:r>
        <w:rPr>
          <w:rFonts w:hint="eastAsia" w:ascii="黑体" w:eastAsia="黑体"/>
          <w:sz w:val="32"/>
          <w:szCs w:val="32"/>
        </w:rPr>
        <w:t>七、</w:t>
      </w:r>
      <w:r>
        <w:rPr>
          <w:rStyle w:val="30"/>
          <w:rFonts w:hint="eastAsia" w:ascii="黑体" w:hAnsi="黑体" w:eastAsia="黑体"/>
          <w:b w:val="0"/>
        </w:rPr>
        <w:t>财政拨款</w:t>
      </w:r>
      <w:r>
        <w:rPr>
          <w:rStyle w:val="30"/>
          <w:rFonts w:hint="eastAsia" w:ascii="黑体" w:hAnsi="黑体" w:eastAsia="黑体"/>
        </w:rPr>
        <w:t>“</w:t>
      </w:r>
      <w:r>
        <w:rPr>
          <w:rStyle w:val="30"/>
          <w:rFonts w:hint="eastAsia" w:ascii="黑体" w:hAnsi="黑体" w:eastAsia="黑体"/>
          <w:b w:val="0"/>
        </w:rPr>
        <w:t>三公”经费支出决算情况说明</w:t>
      </w:r>
      <w:bookmarkEnd w:id="36"/>
      <w:bookmarkEnd w:id="37"/>
    </w:p>
    <w:p w14:paraId="6A9CFC71">
      <w:pPr>
        <w:spacing w:line="600" w:lineRule="exact"/>
        <w:ind w:firstLine="640"/>
        <w:outlineLvl w:val="2"/>
        <w:rPr>
          <w:rFonts w:ascii="仿宋" w:hAnsi="仿宋" w:eastAsia="仿宋"/>
          <w:b/>
          <w:sz w:val="32"/>
          <w:szCs w:val="32"/>
        </w:rPr>
      </w:pPr>
      <w:bookmarkStart w:id="38" w:name="_Toc15377216"/>
      <w:r>
        <w:rPr>
          <w:rFonts w:hint="eastAsia" w:ascii="仿宋" w:hAnsi="仿宋" w:eastAsia="仿宋"/>
          <w:b/>
          <w:sz w:val="32"/>
          <w:szCs w:val="32"/>
        </w:rPr>
        <w:t>（一）“三公”经费财政拨款支出决算总体情况说明</w:t>
      </w:r>
      <w:bookmarkEnd w:id="38"/>
    </w:p>
    <w:p w14:paraId="07D4BC3E">
      <w:pPr>
        <w:spacing w:line="600" w:lineRule="exact"/>
        <w:ind w:firstLine="640"/>
        <w:rPr>
          <w:rFonts w:ascii="仿宋" w:hAnsi="仿宋" w:eastAsia="仿宋"/>
          <w:sz w:val="32"/>
          <w:szCs w:val="32"/>
        </w:rPr>
      </w:pPr>
      <w:r>
        <w:rPr>
          <w:rFonts w:hint="eastAsia" w:ascii="仿宋" w:hAnsi="仿宋" w:eastAsia="仿宋"/>
          <w:sz w:val="32"/>
          <w:szCs w:val="32"/>
          <w:lang w:eastAsia="zh-CN"/>
        </w:rPr>
        <w:t>2024</w:t>
      </w:r>
      <w:r>
        <w:rPr>
          <w:rFonts w:hint="eastAsia" w:ascii="仿宋" w:hAnsi="仿宋" w:eastAsia="仿宋"/>
          <w:sz w:val="32"/>
          <w:szCs w:val="32"/>
        </w:rPr>
        <w:t>年度“三公”经费财政拨款支出决算为</w:t>
      </w:r>
      <w:r>
        <w:rPr>
          <w:rFonts w:hint="eastAsia" w:ascii="仿宋" w:hAnsi="仿宋" w:eastAsia="仿宋"/>
          <w:b/>
          <w:sz w:val="32"/>
          <w:szCs w:val="32"/>
          <w:lang w:val="en-US" w:eastAsia="zh-CN"/>
        </w:rPr>
        <w:t>0</w:t>
      </w:r>
      <w:r>
        <w:rPr>
          <w:rFonts w:hint="eastAsia" w:ascii="仿宋" w:hAnsi="仿宋" w:eastAsia="仿宋"/>
          <w:sz w:val="32"/>
          <w:szCs w:val="32"/>
        </w:rPr>
        <w:t>万元，完成预算</w:t>
      </w:r>
      <w:r>
        <w:rPr>
          <w:rFonts w:ascii="仿宋" w:hAnsi="仿宋" w:eastAsia="仿宋"/>
          <w:b/>
          <w:sz w:val="32"/>
          <w:szCs w:val="32"/>
        </w:rPr>
        <w:t>100</w:t>
      </w:r>
      <w:r>
        <w:rPr>
          <w:rFonts w:ascii="仿宋" w:hAnsi="仿宋" w:eastAsia="仿宋"/>
          <w:sz w:val="32"/>
          <w:szCs w:val="32"/>
        </w:rPr>
        <w:t>%</w:t>
      </w:r>
      <w:r>
        <w:rPr>
          <w:rFonts w:hint="eastAsia" w:ascii="仿宋" w:hAnsi="仿宋" w:eastAsia="仿宋"/>
          <w:sz w:val="32"/>
          <w:szCs w:val="32"/>
        </w:rPr>
        <w:t>，较上年度</w:t>
      </w:r>
      <w:r>
        <w:rPr>
          <w:rFonts w:hint="eastAsia" w:ascii="仿宋" w:hAnsi="仿宋" w:eastAsia="仿宋"/>
          <w:sz w:val="32"/>
          <w:szCs w:val="32"/>
          <w:lang w:eastAsia="zh-CN"/>
        </w:rPr>
        <w:t>减少</w:t>
      </w:r>
      <w:r>
        <w:rPr>
          <w:rFonts w:hint="eastAsia" w:ascii="仿宋" w:hAnsi="仿宋" w:eastAsia="仿宋"/>
          <w:sz w:val="32"/>
          <w:szCs w:val="32"/>
          <w:lang w:val="en-US" w:eastAsia="zh-CN"/>
        </w:rPr>
        <w:t>0</w:t>
      </w:r>
      <w:r>
        <w:rPr>
          <w:rFonts w:hint="eastAsia" w:ascii="仿宋" w:hAnsi="仿宋" w:eastAsia="仿宋"/>
          <w:sz w:val="32"/>
          <w:szCs w:val="32"/>
        </w:rPr>
        <w:t>万元，增长</w:t>
      </w:r>
      <w:r>
        <w:rPr>
          <w:rFonts w:hint="eastAsia" w:ascii="仿宋" w:hAnsi="仿宋" w:eastAsia="仿宋"/>
          <w:sz w:val="32"/>
          <w:szCs w:val="32"/>
          <w:lang w:val="en-US" w:eastAsia="zh-CN"/>
        </w:rPr>
        <w:t>100</w:t>
      </w:r>
      <w:r>
        <w:rPr>
          <w:rFonts w:hint="eastAsia" w:ascii="仿宋" w:hAnsi="仿宋" w:eastAsia="仿宋"/>
          <w:sz w:val="32"/>
          <w:szCs w:val="32"/>
        </w:rPr>
        <w:t>%。决算数与预算数持平。</w:t>
      </w:r>
    </w:p>
    <w:p w14:paraId="1BDE4533">
      <w:pPr>
        <w:spacing w:line="600" w:lineRule="exact"/>
        <w:ind w:firstLine="640"/>
        <w:rPr>
          <w:rFonts w:ascii="仿宋" w:hAnsi="仿宋" w:eastAsia="仿宋"/>
          <w:b/>
          <w:sz w:val="32"/>
          <w:szCs w:val="32"/>
        </w:rPr>
      </w:pPr>
      <w:r>
        <w:rPr>
          <w:rFonts w:hint="eastAsia" w:ascii="仿宋" w:hAnsi="仿宋" w:eastAsia="仿宋"/>
          <w:b/>
          <w:sz w:val="32"/>
          <w:szCs w:val="32"/>
        </w:rPr>
        <w:t>（注：上述“预算”口径为全年预算数，包括一般公共预算和政府性基金预算财政拨款支出决算情况。）</w:t>
      </w:r>
    </w:p>
    <w:p w14:paraId="044E6E3D">
      <w:pPr>
        <w:spacing w:line="600" w:lineRule="exact"/>
        <w:ind w:firstLine="640"/>
        <w:outlineLvl w:val="2"/>
        <w:rPr>
          <w:rFonts w:ascii="仿宋" w:hAnsi="仿宋" w:eastAsia="仿宋"/>
          <w:b/>
          <w:sz w:val="32"/>
          <w:szCs w:val="32"/>
        </w:rPr>
      </w:pPr>
      <w:bookmarkStart w:id="39" w:name="_Toc15377217"/>
      <w:r>
        <w:rPr>
          <w:rFonts w:hint="eastAsia" w:ascii="仿宋" w:hAnsi="仿宋" w:eastAsia="仿宋"/>
          <w:b/>
          <w:sz w:val="32"/>
          <w:szCs w:val="32"/>
        </w:rPr>
        <w:t>（二）“三公”经费财政拨款支出决算具体情况说明</w:t>
      </w:r>
      <w:bookmarkEnd w:id="39"/>
    </w:p>
    <w:p w14:paraId="06CF59AE">
      <w:pPr>
        <w:spacing w:line="600" w:lineRule="exact"/>
        <w:ind w:firstLine="640"/>
        <w:rPr>
          <w:rFonts w:ascii="仿宋" w:hAnsi="仿宋" w:eastAsia="仿宋"/>
          <w:sz w:val="32"/>
          <w:szCs w:val="32"/>
        </w:rPr>
      </w:pPr>
      <w:r>
        <w:rPr>
          <w:rFonts w:hint="eastAsia" w:ascii="仿宋" w:hAnsi="仿宋" w:eastAsia="仿宋"/>
          <w:sz w:val="32"/>
          <w:szCs w:val="32"/>
          <w:lang w:eastAsia="zh-CN"/>
        </w:rPr>
        <w:t>2024</w:t>
      </w:r>
      <w:r>
        <w:rPr>
          <w:rFonts w:hint="eastAsia" w:ascii="仿宋" w:hAnsi="仿宋" w:eastAsia="仿宋"/>
          <w:sz w:val="32"/>
          <w:szCs w:val="32"/>
        </w:rPr>
        <w:t>年度“三公”经费财政拨款支出决算中，因公出国（境）费支出决算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；公务用车购置及运行维护费支出决算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；公务接待费支出决算</w:t>
      </w:r>
      <w:r>
        <w:rPr>
          <w:rFonts w:hint="eastAsia" w:ascii="仿宋" w:hAnsi="仿宋" w:eastAsia="仿宋"/>
          <w:b/>
          <w:sz w:val="32"/>
          <w:szCs w:val="32"/>
          <w:lang w:eastAsia="zh-CN"/>
        </w:rPr>
        <w:t>0</w:t>
      </w:r>
      <w:r>
        <w:rPr>
          <w:rFonts w:hint="eastAsia" w:ascii="仿宋" w:hAnsi="仿宋" w:eastAsia="仿宋"/>
          <w:sz w:val="32"/>
          <w:szCs w:val="32"/>
        </w:rPr>
        <w:t>万元，占</w:t>
      </w:r>
      <w:r>
        <w:rPr>
          <w:rFonts w:ascii="仿宋" w:hAnsi="仿宋" w:eastAsia="仿宋"/>
          <w:b/>
          <w:sz w:val="32"/>
          <w:szCs w:val="32"/>
        </w:rPr>
        <w:t>100</w:t>
      </w:r>
      <w:r>
        <w:rPr>
          <w:rFonts w:ascii="仿宋" w:hAnsi="仿宋" w:eastAsia="仿宋"/>
          <w:sz w:val="32"/>
          <w:szCs w:val="32"/>
        </w:rPr>
        <w:t>%</w:t>
      </w:r>
      <w:r>
        <w:rPr>
          <w:rFonts w:hint="eastAsia" w:ascii="仿宋" w:hAnsi="仿宋" w:eastAsia="仿宋"/>
          <w:sz w:val="32"/>
          <w:szCs w:val="32"/>
        </w:rPr>
        <w:t>。具体情况如下：</w:t>
      </w:r>
    </w:p>
    <w:p w14:paraId="256B803F">
      <w:pPr>
        <w:spacing w:line="600" w:lineRule="exact"/>
        <w:ind w:firstLine="640"/>
        <w:rPr>
          <w:rFonts w:hint="eastAsia" w:ascii="仿宋" w:hAnsi="仿宋" w:eastAsia="仿宋"/>
          <w:sz w:val="32"/>
          <w:szCs w:val="32"/>
        </w:rPr>
      </w:pPr>
      <w:r>
        <w:rPr>
          <w:rFonts w:hint="eastAsia" w:ascii="仿宋" w:hAnsi="仿宋" w:eastAsia="仿宋"/>
          <w:sz w:val="32"/>
          <w:szCs w:val="32"/>
        </w:rPr>
        <w:t>（图7：“三公”经费财政拨款支出结构）（饼状图）</w:t>
      </w:r>
    </w:p>
    <w:p w14:paraId="26B830BB">
      <w:pPr>
        <w:spacing w:line="600" w:lineRule="exact"/>
        <w:ind w:firstLine="640"/>
        <w:rPr>
          <w:rFonts w:hint="eastAsia" w:ascii="仿宋" w:hAnsi="仿宋" w:eastAsia="仿宋"/>
          <w:sz w:val="32"/>
          <w:szCs w:val="32"/>
          <w:lang w:eastAsia="zh-CN"/>
        </w:rPr>
      </w:pPr>
      <w:r>
        <w:rPr>
          <w:rFonts w:hint="eastAsia" w:ascii="仿宋" w:hAnsi="仿宋" w:eastAsia="仿宋"/>
          <w:sz w:val="32"/>
          <w:szCs w:val="32"/>
          <w:lang w:eastAsia="zh-CN"/>
        </w:rPr>
        <w:drawing>
          <wp:anchor distT="0" distB="0" distL="114300" distR="114300" simplePos="0" relativeHeight="251665408" behindDoc="0" locked="0" layoutInCell="1" allowOverlap="1">
            <wp:simplePos x="0" y="0"/>
            <wp:positionH relativeFrom="column">
              <wp:posOffset>11430</wp:posOffset>
            </wp:positionH>
            <wp:positionV relativeFrom="paragraph">
              <wp:posOffset>50165</wp:posOffset>
            </wp:positionV>
            <wp:extent cx="5256530" cy="2988310"/>
            <wp:effectExtent l="5080" t="4445" r="11430" b="9525"/>
            <wp:wrapNone/>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14:paraId="5876918F">
      <w:pPr>
        <w:spacing w:line="600" w:lineRule="exact"/>
        <w:ind w:firstLine="640"/>
        <w:rPr>
          <w:rFonts w:ascii="仿宋_GB2312" w:eastAsia="仿宋_GB2312"/>
          <w:b/>
          <w:sz w:val="32"/>
          <w:szCs w:val="32"/>
        </w:rPr>
      </w:pPr>
      <w:bookmarkStart w:id="40" w:name="_Toc15377218"/>
      <w:bookmarkStart w:id="41" w:name="_Toc15396610"/>
    </w:p>
    <w:p w14:paraId="62D92128">
      <w:pPr>
        <w:spacing w:line="600" w:lineRule="exact"/>
        <w:ind w:firstLine="640"/>
        <w:rPr>
          <w:rFonts w:ascii="仿宋_GB2312" w:eastAsia="仿宋_GB2312"/>
          <w:b/>
          <w:sz w:val="32"/>
          <w:szCs w:val="32"/>
        </w:rPr>
      </w:pPr>
    </w:p>
    <w:p w14:paraId="690A38C0">
      <w:pPr>
        <w:spacing w:line="600" w:lineRule="exact"/>
        <w:ind w:firstLine="640"/>
        <w:rPr>
          <w:rFonts w:ascii="仿宋_GB2312" w:eastAsia="仿宋_GB2312"/>
          <w:b/>
          <w:sz w:val="32"/>
          <w:szCs w:val="32"/>
        </w:rPr>
      </w:pPr>
    </w:p>
    <w:p w14:paraId="7512FB63">
      <w:pPr>
        <w:spacing w:line="600" w:lineRule="exact"/>
        <w:ind w:firstLine="640"/>
        <w:rPr>
          <w:rFonts w:ascii="仿宋_GB2312" w:eastAsia="仿宋_GB2312"/>
          <w:b/>
          <w:sz w:val="32"/>
          <w:szCs w:val="32"/>
        </w:rPr>
      </w:pPr>
    </w:p>
    <w:p w14:paraId="5E19E7FF">
      <w:pPr>
        <w:spacing w:line="600" w:lineRule="exact"/>
        <w:ind w:firstLine="640"/>
        <w:rPr>
          <w:rFonts w:ascii="仿宋_GB2312" w:eastAsia="仿宋_GB2312"/>
          <w:b/>
          <w:sz w:val="32"/>
          <w:szCs w:val="32"/>
        </w:rPr>
      </w:pPr>
    </w:p>
    <w:p w14:paraId="5BA45149">
      <w:pPr>
        <w:spacing w:line="600" w:lineRule="exact"/>
        <w:ind w:firstLine="640"/>
        <w:rPr>
          <w:rFonts w:ascii="仿宋_GB2312" w:eastAsia="仿宋_GB2312"/>
          <w:b/>
          <w:sz w:val="32"/>
          <w:szCs w:val="32"/>
        </w:rPr>
      </w:pPr>
    </w:p>
    <w:p w14:paraId="5C97D4A0">
      <w:pPr>
        <w:spacing w:line="600" w:lineRule="exact"/>
        <w:ind w:firstLine="640"/>
        <w:rPr>
          <w:rFonts w:ascii="仿宋_GB2312" w:eastAsia="仿宋_GB2312"/>
          <w:b/>
          <w:sz w:val="32"/>
          <w:szCs w:val="32"/>
        </w:rPr>
      </w:pPr>
    </w:p>
    <w:p w14:paraId="51AC689E">
      <w:pPr>
        <w:spacing w:line="600" w:lineRule="exact"/>
        <w:ind w:firstLine="640"/>
        <w:rPr>
          <w:rFonts w:ascii="仿宋_GB2312" w:eastAsia="仿宋_GB2312"/>
          <w:b/>
          <w:sz w:val="32"/>
          <w:szCs w:val="32"/>
        </w:rPr>
      </w:pPr>
      <w:r>
        <w:rPr>
          <w:rFonts w:ascii="仿宋_GB2312" w:eastAsia="仿宋_GB2312"/>
          <w:b/>
          <w:sz w:val="32"/>
          <w:szCs w:val="32"/>
        </w:rPr>
        <w:t>1.</w:t>
      </w:r>
      <w:r>
        <w:rPr>
          <w:rFonts w:hint="eastAsia" w:ascii="仿宋_GB2312" w:eastAsia="仿宋_GB2312"/>
          <w:b/>
          <w:sz w:val="32"/>
          <w:szCs w:val="32"/>
        </w:rPr>
        <w:t>因公出国（境）经费支出</w:t>
      </w:r>
      <w:r>
        <w:rPr>
          <w:rFonts w:ascii="仿宋" w:hAnsi="仿宋" w:eastAsia="仿宋"/>
          <w:b/>
          <w:sz w:val="32"/>
          <w:szCs w:val="32"/>
        </w:rPr>
        <w:t>0</w:t>
      </w:r>
      <w:r>
        <w:rPr>
          <w:rFonts w:hint="eastAsia" w:ascii="仿宋_GB2312" w:eastAsia="仿宋_GB2312"/>
          <w:sz w:val="32"/>
          <w:szCs w:val="32"/>
        </w:rPr>
        <w:t>万元，</w:t>
      </w:r>
      <w:r>
        <w:rPr>
          <w:rStyle w:val="18"/>
          <w:rFonts w:hint="eastAsia" w:ascii="仿宋" w:hAnsi="仿宋" w:eastAsia="仿宋"/>
          <w:b w:val="0"/>
          <w:bCs/>
          <w:sz w:val="32"/>
          <w:szCs w:val="32"/>
        </w:rPr>
        <w:t>完成预算</w:t>
      </w:r>
      <w:r>
        <w:rPr>
          <w:rStyle w:val="18"/>
          <w:rFonts w:ascii="仿宋" w:hAnsi="仿宋" w:eastAsia="仿宋"/>
          <w:bCs/>
          <w:sz w:val="32"/>
          <w:szCs w:val="32"/>
        </w:rPr>
        <w:t>0</w:t>
      </w:r>
      <w:r>
        <w:rPr>
          <w:rStyle w:val="18"/>
          <w:rFonts w:ascii="仿宋" w:hAnsi="仿宋" w:eastAsia="仿宋"/>
          <w:b w:val="0"/>
          <w:bCs/>
          <w:sz w:val="32"/>
          <w:szCs w:val="32"/>
        </w:rPr>
        <w:t>%</w:t>
      </w:r>
      <w:r>
        <w:rPr>
          <w:rStyle w:val="18"/>
          <w:rFonts w:hint="eastAsia" w:ascii="仿宋" w:hAnsi="仿宋" w:eastAsia="仿宋"/>
          <w:b w:val="0"/>
          <w:bCs/>
          <w:sz w:val="32"/>
          <w:szCs w:val="32"/>
        </w:rPr>
        <w:t>。</w:t>
      </w:r>
      <w:r>
        <w:rPr>
          <w:rFonts w:hint="eastAsia" w:ascii="仿宋_GB2312" w:eastAsia="仿宋_GB2312"/>
          <w:sz w:val="32"/>
          <w:szCs w:val="32"/>
        </w:rPr>
        <w:t>全年安排因公出国（境）团组</w:t>
      </w:r>
      <w:r>
        <w:rPr>
          <w:rFonts w:ascii="仿宋_GB2312" w:eastAsia="仿宋_GB2312"/>
          <w:b/>
          <w:sz w:val="32"/>
          <w:szCs w:val="32"/>
        </w:rPr>
        <w:t>0</w:t>
      </w:r>
      <w:r>
        <w:rPr>
          <w:rFonts w:hint="eastAsia" w:ascii="仿宋_GB2312" w:eastAsia="仿宋_GB2312"/>
          <w:sz w:val="32"/>
          <w:szCs w:val="32"/>
        </w:rPr>
        <w:t>次，出国（境）</w:t>
      </w:r>
      <w:r>
        <w:rPr>
          <w:rFonts w:ascii="仿宋_GB2312" w:eastAsia="仿宋_GB2312"/>
          <w:b/>
          <w:sz w:val="32"/>
          <w:szCs w:val="32"/>
        </w:rPr>
        <w:t>0</w:t>
      </w:r>
      <w:r>
        <w:rPr>
          <w:rFonts w:hint="eastAsia" w:ascii="仿宋_GB2312" w:eastAsia="仿宋_GB2312"/>
          <w:sz w:val="32"/>
          <w:szCs w:val="32"/>
        </w:rPr>
        <w:t>人。因公出国（境）支出决算比</w:t>
      </w:r>
      <w:r>
        <w:rPr>
          <w:rFonts w:hint="eastAsia" w:ascii="仿宋_GB2312" w:eastAsia="仿宋_GB2312"/>
          <w:sz w:val="32"/>
          <w:szCs w:val="32"/>
          <w:lang w:eastAsia="zh-CN"/>
        </w:rPr>
        <w:t>2023</w:t>
      </w:r>
      <w:r>
        <w:rPr>
          <w:rFonts w:hint="eastAsia" w:ascii="仿宋_GB2312" w:eastAsia="仿宋_GB2312"/>
          <w:sz w:val="32"/>
          <w:szCs w:val="32"/>
        </w:rPr>
        <w:t>年增加</w:t>
      </w:r>
      <w:r>
        <w:rPr>
          <w:rFonts w:ascii="仿宋_GB2312" w:eastAsia="仿宋_GB2312"/>
          <w:sz w:val="32"/>
          <w:szCs w:val="32"/>
        </w:rPr>
        <w:t>/</w:t>
      </w:r>
      <w:r>
        <w:rPr>
          <w:rFonts w:hint="eastAsia" w:ascii="仿宋_GB2312" w:eastAsia="仿宋_GB2312"/>
          <w:sz w:val="32"/>
          <w:szCs w:val="32"/>
        </w:rPr>
        <w:t>减少</w:t>
      </w:r>
      <w:r>
        <w:rPr>
          <w:rFonts w:ascii="仿宋_GB2312" w:eastAsia="仿宋_GB2312"/>
          <w:sz w:val="32"/>
          <w:szCs w:val="32"/>
        </w:rPr>
        <w:t>**</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ascii="仿宋_GB2312" w:eastAsia="仿宋_GB2312"/>
          <w:sz w:val="32"/>
          <w:szCs w:val="32"/>
        </w:rPr>
        <w:t>**%</w:t>
      </w:r>
      <w:r>
        <w:rPr>
          <w:rFonts w:hint="eastAsia" w:ascii="仿宋_GB2312" w:eastAsia="仿宋_GB2312"/>
          <w:sz w:val="32"/>
          <w:szCs w:val="32"/>
        </w:rPr>
        <w:t>。主要原因是……。</w:t>
      </w:r>
    </w:p>
    <w:p w14:paraId="3D330127">
      <w:pPr>
        <w:spacing w:line="600" w:lineRule="exact"/>
        <w:ind w:firstLine="640"/>
        <w:rPr>
          <w:rFonts w:ascii="仿宋_GB2312" w:eastAsia="仿宋_GB2312"/>
          <w:sz w:val="32"/>
          <w:szCs w:val="32"/>
        </w:rPr>
      </w:pPr>
      <w:r>
        <w:rPr>
          <w:rFonts w:hint="eastAsia" w:ascii="仿宋_GB2312" w:eastAsia="仿宋_GB2312"/>
          <w:sz w:val="32"/>
          <w:szCs w:val="32"/>
        </w:rPr>
        <w:t>开支内容包括：…（团组名称、出访地点、取得成效）等。</w:t>
      </w:r>
    </w:p>
    <w:p w14:paraId="3E3919EF">
      <w:pPr>
        <w:spacing w:line="600" w:lineRule="exact"/>
        <w:ind w:firstLine="64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ascii="仿宋" w:hAnsi="仿宋" w:eastAsia="仿宋"/>
          <w:b/>
          <w:sz w:val="32"/>
          <w:szCs w:val="32"/>
        </w:rPr>
        <w:t>0</w:t>
      </w:r>
      <w:r>
        <w:rPr>
          <w:rFonts w:hint="eastAsia" w:ascii="仿宋_GB2312" w:eastAsia="仿宋_GB2312"/>
          <w:sz w:val="32"/>
          <w:szCs w:val="32"/>
        </w:rPr>
        <w:t>万元,</w:t>
      </w:r>
      <w:r>
        <w:rPr>
          <w:rStyle w:val="18"/>
          <w:rFonts w:hint="eastAsia" w:ascii="仿宋" w:hAnsi="仿宋" w:eastAsia="仿宋"/>
          <w:b w:val="0"/>
          <w:bCs/>
          <w:sz w:val="32"/>
          <w:szCs w:val="32"/>
        </w:rPr>
        <w:t>完成预算</w:t>
      </w:r>
      <w:r>
        <w:rPr>
          <w:rStyle w:val="18"/>
          <w:rFonts w:ascii="仿宋" w:hAnsi="仿宋" w:eastAsia="仿宋"/>
          <w:bCs/>
          <w:sz w:val="32"/>
          <w:szCs w:val="32"/>
        </w:rPr>
        <w:t>0</w:t>
      </w:r>
      <w:r>
        <w:rPr>
          <w:rStyle w:val="18"/>
          <w:rFonts w:ascii="仿宋" w:hAnsi="仿宋" w:eastAsia="仿宋"/>
          <w:b w:val="0"/>
          <w:bCs/>
          <w:sz w:val="32"/>
          <w:szCs w:val="32"/>
        </w:rPr>
        <w:t>%</w:t>
      </w:r>
      <w:r>
        <w:rPr>
          <w:rStyle w:val="18"/>
          <w:rFonts w:hint="eastAsia" w:ascii="仿宋" w:hAnsi="仿宋" w:eastAsia="仿宋"/>
          <w:b w:val="0"/>
          <w:bCs/>
          <w:sz w:val="32"/>
          <w:szCs w:val="32"/>
        </w:rPr>
        <w:t>。</w:t>
      </w:r>
      <w:r>
        <w:rPr>
          <w:rFonts w:hint="eastAsia" w:ascii="仿宋_GB2312" w:eastAsia="仿宋_GB2312"/>
          <w:sz w:val="32"/>
          <w:szCs w:val="32"/>
        </w:rPr>
        <w:t>公务用车购置及运行维护费支出决算比</w:t>
      </w:r>
      <w:r>
        <w:rPr>
          <w:rFonts w:hint="eastAsia" w:ascii="仿宋_GB2312" w:eastAsia="仿宋_GB2312"/>
          <w:sz w:val="32"/>
          <w:szCs w:val="32"/>
          <w:lang w:eastAsia="zh-CN"/>
        </w:rPr>
        <w:t>2023</w:t>
      </w:r>
      <w:r>
        <w:rPr>
          <w:rFonts w:hint="eastAsia" w:ascii="仿宋_GB2312" w:eastAsia="仿宋_GB2312"/>
          <w:sz w:val="32"/>
          <w:szCs w:val="32"/>
        </w:rPr>
        <w:t>年度增加</w:t>
      </w:r>
      <w:r>
        <w:rPr>
          <w:rFonts w:ascii="仿宋_GB2312" w:eastAsia="仿宋_GB2312"/>
          <w:sz w:val="32"/>
          <w:szCs w:val="32"/>
        </w:rPr>
        <w:t>/</w:t>
      </w:r>
      <w:r>
        <w:rPr>
          <w:rFonts w:hint="eastAsia" w:ascii="仿宋_GB2312" w:eastAsia="仿宋_GB2312"/>
          <w:sz w:val="32"/>
          <w:szCs w:val="32"/>
        </w:rPr>
        <w:t>减少</w:t>
      </w:r>
      <w:r>
        <w:rPr>
          <w:rFonts w:ascii="仿宋_GB2312" w:eastAsia="仿宋_GB2312"/>
          <w:sz w:val="32"/>
          <w:szCs w:val="32"/>
        </w:rPr>
        <w:t>**</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ascii="仿宋_GB2312" w:eastAsia="仿宋_GB2312"/>
          <w:sz w:val="32"/>
          <w:szCs w:val="32"/>
        </w:rPr>
        <w:t>**%</w:t>
      </w:r>
      <w:r>
        <w:rPr>
          <w:rFonts w:hint="eastAsia" w:ascii="仿宋_GB2312" w:eastAsia="仿宋_GB2312"/>
          <w:sz w:val="32"/>
          <w:szCs w:val="32"/>
        </w:rPr>
        <w:t>。主要原因是……。</w:t>
      </w:r>
    </w:p>
    <w:p w14:paraId="1B2A8FF6">
      <w:pPr>
        <w:spacing w:line="600" w:lineRule="exact"/>
        <w:ind w:firstLine="640" w:firstLineChars="200"/>
        <w:rPr>
          <w:rFonts w:ascii="仿宋_GB2312" w:eastAsia="仿宋_GB2312"/>
          <w:b/>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w:t>
      </w:r>
      <w:r>
        <w:rPr>
          <w:rFonts w:ascii="仿宋" w:hAnsi="仿宋" w:eastAsia="仿宋"/>
          <w:b/>
          <w:sz w:val="32"/>
          <w:szCs w:val="32"/>
        </w:rPr>
        <w:t>0</w:t>
      </w:r>
      <w:r>
        <w:rPr>
          <w:rFonts w:hint="eastAsia" w:ascii="仿宋_GB2312" w:eastAsia="仿宋_GB2312"/>
          <w:sz w:val="32"/>
          <w:szCs w:val="32"/>
        </w:rPr>
        <w:t>万元。全年按规定更新购置公务用车</w:t>
      </w:r>
      <w:r>
        <w:rPr>
          <w:rFonts w:ascii="仿宋_GB2312" w:eastAsia="仿宋_GB2312"/>
          <w:sz w:val="32"/>
          <w:szCs w:val="32"/>
        </w:rPr>
        <w:t>**</w:t>
      </w:r>
      <w:r>
        <w:rPr>
          <w:rFonts w:hint="eastAsia" w:ascii="仿宋_GB2312" w:eastAsia="仿宋_GB2312"/>
          <w:sz w:val="32"/>
          <w:szCs w:val="32"/>
        </w:rPr>
        <w:t>辆，其中：轿车</w:t>
      </w:r>
      <w:r>
        <w:rPr>
          <w:rFonts w:ascii="仿宋_GB2312" w:eastAsia="仿宋_GB2312"/>
          <w:sz w:val="32"/>
          <w:szCs w:val="32"/>
        </w:rPr>
        <w:t>**</w:t>
      </w:r>
      <w:r>
        <w:rPr>
          <w:rFonts w:hint="eastAsia" w:ascii="仿宋_GB2312" w:eastAsia="仿宋_GB2312"/>
          <w:sz w:val="32"/>
          <w:szCs w:val="32"/>
        </w:rPr>
        <w:t>辆、金额</w:t>
      </w:r>
      <w:r>
        <w:rPr>
          <w:rFonts w:ascii="仿宋_GB2312" w:eastAsia="仿宋_GB2312"/>
          <w:sz w:val="32"/>
          <w:szCs w:val="32"/>
        </w:rPr>
        <w:t>**</w:t>
      </w:r>
      <w:r>
        <w:rPr>
          <w:rFonts w:hint="eastAsia" w:ascii="仿宋_GB2312" w:eastAsia="仿宋_GB2312"/>
          <w:sz w:val="32"/>
          <w:szCs w:val="32"/>
        </w:rPr>
        <w:t>万元，越野车</w:t>
      </w:r>
      <w:r>
        <w:rPr>
          <w:rFonts w:ascii="仿宋_GB2312" w:eastAsia="仿宋_GB2312"/>
          <w:sz w:val="32"/>
          <w:szCs w:val="32"/>
        </w:rPr>
        <w:t>**</w:t>
      </w:r>
      <w:r>
        <w:rPr>
          <w:rFonts w:hint="eastAsia" w:ascii="仿宋_GB2312" w:eastAsia="仿宋_GB2312"/>
          <w:sz w:val="32"/>
          <w:szCs w:val="32"/>
        </w:rPr>
        <w:t>辆、金额</w:t>
      </w:r>
      <w:r>
        <w:rPr>
          <w:rFonts w:ascii="仿宋_GB2312" w:eastAsia="仿宋_GB2312"/>
          <w:sz w:val="32"/>
          <w:szCs w:val="32"/>
        </w:rPr>
        <w:t>**</w:t>
      </w:r>
      <w:r>
        <w:rPr>
          <w:rFonts w:hint="eastAsia" w:ascii="仿宋_GB2312" w:eastAsia="仿宋_GB2312"/>
          <w:sz w:val="32"/>
          <w:szCs w:val="32"/>
        </w:rPr>
        <w:t>万元，载客汽车</w:t>
      </w:r>
      <w:r>
        <w:rPr>
          <w:rFonts w:ascii="仿宋_GB2312" w:eastAsia="仿宋_GB2312"/>
          <w:sz w:val="32"/>
          <w:szCs w:val="32"/>
        </w:rPr>
        <w:t>**</w:t>
      </w:r>
      <w:r>
        <w:rPr>
          <w:rFonts w:hint="eastAsia" w:ascii="仿宋_GB2312" w:eastAsia="仿宋_GB2312"/>
          <w:sz w:val="32"/>
          <w:szCs w:val="32"/>
        </w:rPr>
        <w:t>辆、金额</w:t>
      </w:r>
      <w:r>
        <w:rPr>
          <w:rFonts w:ascii="仿宋_GB2312" w:eastAsia="仿宋_GB2312"/>
          <w:sz w:val="32"/>
          <w:szCs w:val="32"/>
        </w:rPr>
        <w:t>**</w:t>
      </w:r>
      <w:r>
        <w:rPr>
          <w:rFonts w:hint="eastAsia" w:ascii="仿宋_GB2312" w:eastAsia="仿宋_GB2312"/>
          <w:sz w:val="32"/>
          <w:szCs w:val="32"/>
        </w:rPr>
        <w:t>万元，主要用于…。截至</w:t>
      </w:r>
      <w:r>
        <w:rPr>
          <w:rFonts w:hint="eastAsia" w:ascii="仿宋_GB2312" w:eastAsia="仿宋_GB2312"/>
          <w:sz w:val="32"/>
          <w:szCs w:val="32"/>
          <w:lang w:eastAsia="zh-CN"/>
        </w:rPr>
        <w:t>2024</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月31日，单位共有公务用车</w:t>
      </w:r>
      <w:r>
        <w:rPr>
          <w:rFonts w:ascii="仿宋_GB2312" w:eastAsia="仿宋_GB2312"/>
          <w:sz w:val="32"/>
          <w:szCs w:val="32"/>
        </w:rPr>
        <w:t>**</w:t>
      </w:r>
      <w:r>
        <w:rPr>
          <w:rFonts w:hint="eastAsia" w:ascii="仿宋_GB2312" w:eastAsia="仿宋_GB2312"/>
          <w:sz w:val="32"/>
          <w:szCs w:val="32"/>
        </w:rPr>
        <w:t>辆，其中：轿车</w:t>
      </w:r>
      <w:r>
        <w:rPr>
          <w:rFonts w:ascii="仿宋_GB2312" w:eastAsia="仿宋_GB2312"/>
          <w:sz w:val="32"/>
          <w:szCs w:val="32"/>
        </w:rPr>
        <w:t>**</w:t>
      </w:r>
      <w:r>
        <w:rPr>
          <w:rFonts w:hint="eastAsia" w:ascii="仿宋_GB2312" w:eastAsia="仿宋_GB2312"/>
          <w:sz w:val="32"/>
          <w:szCs w:val="32"/>
        </w:rPr>
        <w:t>辆、越野车</w:t>
      </w:r>
      <w:r>
        <w:rPr>
          <w:rFonts w:ascii="仿宋_GB2312" w:eastAsia="仿宋_GB2312"/>
          <w:sz w:val="32"/>
          <w:szCs w:val="32"/>
        </w:rPr>
        <w:t>**</w:t>
      </w:r>
      <w:r>
        <w:rPr>
          <w:rFonts w:hint="eastAsia" w:ascii="仿宋_GB2312" w:eastAsia="仿宋_GB2312"/>
          <w:sz w:val="32"/>
          <w:szCs w:val="32"/>
        </w:rPr>
        <w:t>辆、载客汽车</w:t>
      </w:r>
      <w:r>
        <w:rPr>
          <w:rFonts w:ascii="仿宋_GB2312" w:eastAsia="仿宋_GB2312"/>
          <w:sz w:val="32"/>
          <w:szCs w:val="32"/>
        </w:rPr>
        <w:t>**</w:t>
      </w:r>
      <w:r>
        <w:rPr>
          <w:rFonts w:hint="eastAsia" w:ascii="仿宋_GB2312" w:eastAsia="仿宋_GB2312"/>
          <w:sz w:val="32"/>
          <w:szCs w:val="32"/>
        </w:rPr>
        <w:t>辆。</w:t>
      </w:r>
    </w:p>
    <w:p w14:paraId="263E14CA">
      <w:pPr>
        <w:spacing w:line="600" w:lineRule="exact"/>
        <w:ind w:firstLine="640"/>
        <w:rPr>
          <w:rFonts w:ascii="仿宋_GB2312" w:eastAsia="仿宋_GB2312"/>
          <w:sz w:val="32"/>
          <w:szCs w:val="32"/>
        </w:rPr>
      </w:pPr>
      <w:r>
        <w:rPr>
          <w:rFonts w:hint="eastAsia" w:ascii="仿宋_GB2312" w:eastAsia="仿宋_GB2312"/>
          <w:b/>
          <w:sz w:val="32"/>
          <w:szCs w:val="32"/>
        </w:rPr>
        <w:t>公务用车运行维护费支出</w:t>
      </w:r>
      <w:r>
        <w:rPr>
          <w:rFonts w:ascii="仿宋" w:hAnsi="仿宋" w:eastAsia="仿宋"/>
          <w:b/>
          <w:sz w:val="32"/>
          <w:szCs w:val="32"/>
        </w:rPr>
        <w:t>0</w:t>
      </w:r>
      <w:r>
        <w:rPr>
          <w:rFonts w:hint="eastAsia" w:ascii="仿宋_GB2312" w:eastAsia="仿宋_GB2312"/>
          <w:sz w:val="32"/>
          <w:szCs w:val="32"/>
        </w:rPr>
        <w:t>万元。主要用于</w:t>
      </w:r>
      <w:r>
        <w:rPr>
          <w:rFonts w:ascii="仿宋_GB2312" w:eastAsia="仿宋_GB2312"/>
          <w:sz w:val="32"/>
          <w:szCs w:val="32"/>
        </w:rPr>
        <w:t>…</w:t>
      </w:r>
      <w:r>
        <w:rPr>
          <w:rFonts w:hint="eastAsia" w:ascii="仿宋_GB2312" w:eastAsia="仿宋_GB2312"/>
          <w:sz w:val="32"/>
          <w:szCs w:val="32"/>
        </w:rPr>
        <w:t>（具体工作）等所需的公务用车燃料费、维修费、过路过桥费、保险费等支出。</w:t>
      </w:r>
    </w:p>
    <w:p w14:paraId="61CFFA8C">
      <w:pPr>
        <w:spacing w:line="600" w:lineRule="exact"/>
        <w:ind w:firstLine="64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hint="eastAsia" w:ascii="仿宋" w:hAnsi="仿宋" w:eastAsia="仿宋"/>
          <w:b/>
          <w:sz w:val="32"/>
          <w:szCs w:val="32"/>
          <w:lang w:eastAsia="zh-CN"/>
        </w:rPr>
        <w:t>0</w:t>
      </w:r>
      <w:r>
        <w:rPr>
          <w:rFonts w:hint="eastAsia" w:ascii="仿宋_GB2312" w:eastAsia="仿宋_GB2312"/>
          <w:sz w:val="32"/>
          <w:szCs w:val="32"/>
        </w:rPr>
        <w:t>万元，</w:t>
      </w:r>
      <w:r>
        <w:rPr>
          <w:rStyle w:val="18"/>
          <w:rFonts w:hint="eastAsia" w:ascii="仿宋" w:hAnsi="仿宋" w:eastAsia="仿宋"/>
          <w:b w:val="0"/>
          <w:bCs/>
          <w:sz w:val="32"/>
          <w:szCs w:val="32"/>
        </w:rPr>
        <w:t>完成预算</w:t>
      </w:r>
      <w:r>
        <w:rPr>
          <w:rStyle w:val="18"/>
          <w:rFonts w:ascii="仿宋" w:hAnsi="仿宋" w:eastAsia="仿宋"/>
          <w:b w:val="0"/>
          <w:bCs/>
          <w:sz w:val="32"/>
          <w:szCs w:val="32"/>
        </w:rPr>
        <w:t>100%</w:t>
      </w:r>
      <w:r>
        <w:rPr>
          <w:rStyle w:val="18"/>
          <w:rFonts w:hint="eastAsia" w:ascii="仿宋" w:hAnsi="仿宋" w:eastAsia="仿宋"/>
          <w:b w:val="0"/>
          <w:bCs/>
          <w:sz w:val="32"/>
          <w:szCs w:val="32"/>
        </w:rPr>
        <w:t>。</w:t>
      </w:r>
      <w:r>
        <w:rPr>
          <w:rFonts w:hint="eastAsia" w:ascii="仿宋_GB2312" w:eastAsia="仿宋_GB2312"/>
          <w:sz w:val="32"/>
          <w:szCs w:val="32"/>
        </w:rPr>
        <w:t>公务接待费支出决算比</w:t>
      </w:r>
      <w:r>
        <w:rPr>
          <w:rFonts w:hint="eastAsia" w:ascii="仿宋_GB2312" w:eastAsia="仿宋_GB2312"/>
          <w:sz w:val="32"/>
          <w:szCs w:val="32"/>
          <w:lang w:eastAsia="zh-CN"/>
        </w:rPr>
        <w:t>2023</w:t>
      </w:r>
      <w:r>
        <w:rPr>
          <w:rFonts w:hint="eastAsia" w:ascii="仿宋_GB2312" w:eastAsia="仿宋_GB2312"/>
          <w:sz w:val="32"/>
          <w:szCs w:val="32"/>
        </w:rPr>
        <w:t>年度增加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100</w:t>
      </w:r>
      <w:r>
        <w:rPr>
          <w:rFonts w:ascii="仿宋_GB2312" w:eastAsia="仿宋_GB2312"/>
          <w:sz w:val="32"/>
          <w:szCs w:val="32"/>
        </w:rPr>
        <w:t>%</w:t>
      </w:r>
      <w:r>
        <w:rPr>
          <w:rFonts w:hint="eastAsia" w:ascii="仿宋_GB2312" w:eastAsia="仿宋_GB2312"/>
          <w:sz w:val="32"/>
          <w:szCs w:val="32"/>
        </w:rPr>
        <w:t>。主要原因是</w:t>
      </w:r>
      <w:r>
        <w:rPr>
          <w:rFonts w:hint="eastAsia" w:ascii="仿宋_GB2312" w:eastAsia="仿宋_GB2312"/>
          <w:sz w:val="32"/>
          <w:szCs w:val="32"/>
          <w:lang w:eastAsia="zh-CN"/>
        </w:rPr>
        <w:t>公务接待费用</w:t>
      </w:r>
      <w:r>
        <w:rPr>
          <w:rFonts w:hint="eastAsia" w:ascii="仿宋_GB2312" w:eastAsia="仿宋_GB2312"/>
          <w:sz w:val="32"/>
          <w:szCs w:val="32"/>
          <w:lang w:val="en-US" w:eastAsia="zh-CN"/>
        </w:rPr>
        <w:t>2023年在阿坝州财政局中支出，2024年在投资评审中心支出</w:t>
      </w:r>
      <w:r>
        <w:rPr>
          <w:rFonts w:hint="eastAsia" w:ascii="仿宋_GB2312" w:eastAsia="仿宋_GB2312"/>
          <w:sz w:val="32"/>
          <w:szCs w:val="32"/>
        </w:rPr>
        <w:t>。</w:t>
      </w:r>
    </w:p>
    <w:p w14:paraId="6E4EE2A4">
      <w:pPr>
        <w:spacing w:line="600" w:lineRule="exact"/>
        <w:ind w:firstLine="640"/>
        <w:rPr>
          <w:rFonts w:ascii="仿宋_GB2312" w:eastAsia="仿宋_GB2312"/>
          <w:sz w:val="32"/>
          <w:szCs w:val="32"/>
        </w:rPr>
      </w:pPr>
      <w:r>
        <w:rPr>
          <w:rFonts w:hint="eastAsia" w:ascii="仿宋" w:hAnsi="仿宋" w:eastAsia="仿宋"/>
          <w:b/>
          <w:sz w:val="32"/>
          <w:szCs w:val="32"/>
        </w:rPr>
        <w:t>国内公务接待支出</w:t>
      </w:r>
      <w:r>
        <w:rPr>
          <w:rFonts w:hint="eastAsia" w:ascii="仿宋" w:hAnsi="仿宋" w:eastAsia="仿宋"/>
          <w:b/>
          <w:sz w:val="32"/>
          <w:szCs w:val="32"/>
          <w:lang w:eastAsia="zh-CN"/>
        </w:rPr>
        <w:t>0</w:t>
      </w:r>
      <w:r>
        <w:rPr>
          <w:rFonts w:hint="eastAsia" w:ascii="仿宋_GB2312" w:eastAsia="仿宋_GB2312"/>
          <w:sz w:val="32"/>
          <w:szCs w:val="32"/>
        </w:rPr>
        <w:t>万元，主要用于开展业务活动开支的用餐费等。国内公务接待</w:t>
      </w:r>
      <w:r>
        <w:rPr>
          <w:rFonts w:hint="eastAsia" w:ascii="仿宋_GB2312" w:eastAsia="仿宋_GB2312"/>
          <w:sz w:val="32"/>
          <w:szCs w:val="32"/>
          <w:lang w:val="en-US" w:eastAsia="zh-CN"/>
        </w:rPr>
        <w:t>3</w:t>
      </w:r>
      <w:r>
        <w:rPr>
          <w:rFonts w:hint="eastAsia" w:ascii="仿宋_GB2312" w:eastAsia="仿宋_GB2312"/>
          <w:sz w:val="32"/>
          <w:szCs w:val="32"/>
        </w:rPr>
        <w:t>批次，</w:t>
      </w:r>
      <w:r>
        <w:rPr>
          <w:rFonts w:hint="eastAsia" w:ascii="仿宋_GB2312" w:eastAsia="仿宋_GB2312"/>
          <w:sz w:val="32"/>
          <w:szCs w:val="32"/>
          <w:lang w:val="en-US" w:eastAsia="zh-CN"/>
        </w:rPr>
        <w:t>26</w:t>
      </w:r>
      <w:r>
        <w:rPr>
          <w:rFonts w:hint="eastAsia" w:ascii="仿宋_GB2312" w:eastAsia="仿宋_GB2312"/>
          <w:sz w:val="32"/>
          <w:szCs w:val="32"/>
        </w:rPr>
        <w:t>人次（不包括陪同人员），共计支出</w:t>
      </w:r>
      <w:r>
        <w:rPr>
          <w:rFonts w:hint="eastAsia" w:ascii="仿宋_GB2312" w:eastAsia="仿宋_GB2312"/>
          <w:sz w:val="32"/>
          <w:szCs w:val="32"/>
          <w:lang w:val="en-US" w:eastAsia="zh-CN"/>
        </w:rPr>
        <w:t>0</w:t>
      </w:r>
      <w:r>
        <w:rPr>
          <w:rFonts w:hint="eastAsia" w:ascii="仿宋_GB2312" w:eastAsia="仿宋_GB2312"/>
          <w:sz w:val="32"/>
          <w:szCs w:val="32"/>
        </w:rPr>
        <w:t>万元，具体内</w:t>
      </w:r>
      <w:bookmarkStart w:id="67" w:name="_GoBack"/>
      <w:bookmarkEnd w:id="67"/>
      <w:r>
        <w:rPr>
          <w:rFonts w:hint="eastAsia" w:ascii="仿宋_GB2312" w:eastAsia="仿宋_GB2312"/>
          <w:sz w:val="32"/>
          <w:szCs w:val="32"/>
        </w:rPr>
        <w:t>容包括：</w:t>
      </w:r>
      <w:r>
        <w:rPr>
          <w:rFonts w:hint="eastAsia" w:ascii="仿宋_GB2312" w:eastAsia="仿宋_GB2312"/>
          <w:sz w:val="32"/>
          <w:szCs w:val="32"/>
          <w:lang w:eastAsia="zh-CN"/>
        </w:rPr>
        <w:t>用餐费</w:t>
      </w:r>
      <w:r>
        <w:rPr>
          <w:rFonts w:hint="eastAsia" w:ascii="仿宋_GB2312" w:eastAsia="仿宋_GB2312"/>
          <w:sz w:val="32"/>
          <w:szCs w:val="32"/>
        </w:rPr>
        <w:t>。</w:t>
      </w:r>
    </w:p>
    <w:p w14:paraId="7D73446E">
      <w:pPr>
        <w:spacing w:line="600" w:lineRule="exact"/>
        <w:ind w:firstLine="643" w:firstLineChars="200"/>
        <w:rPr>
          <w:rFonts w:ascii="仿宋_GB2312" w:eastAsia="仿宋_GB2312"/>
          <w:sz w:val="32"/>
          <w:szCs w:val="32"/>
        </w:rPr>
      </w:pPr>
      <w:r>
        <w:rPr>
          <w:rFonts w:hint="eastAsia" w:ascii="仿宋" w:hAnsi="仿宋" w:eastAsia="仿宋"/>
          <w:b/>
          <w:sz w:val="32"/>
          <w:szCs w:val="32"/>
        </w:rPr>
        <w:t>外事接待支出</w:t>
      </w:r>
      <w:r>
        <w:rPr>
          <w:rFonts w:ascii="仿宋" w:hAnsi="仿宋" w:eastAsia="仿宋"/>
          <w:b/>
          <w:sz w:val="32"/>
          <w:szCs w:val="32"/>
        </w:rPr>
        <w:t>0</w:t>
      </w:r>
      <w:r>
        <w:rPr>
          <w:rFonts w:hint="eastAsia" w:ascii="仿宋_GB2312" w:eastAsia="仿宋_GB2312"/>
          <w:sz w:val="32"/>
          <w:szCs w:val="32"/>
        </w:rPr>
        <w:t>万元，主要用于接待</w:t>
      </w:r>
      <w:r>
        <w:rPr>
          <w:rFonts w:ascii="仿宋_GB2312" w:eastAsia="仿宋_GB2312"/>
          <w:sz w:val="32"/>
          <w:szCs w:val="32"/>
        </w:rPr>
        <w:t>…</w:t>
      </w:r>
      <w:r>
        <w:rPr>
          <w:rFonts w:hint="eastAsia" w:ascii="仿宋_GB2312" w:eastAsia="仿宋_GB2312"/>
          <w:sz w:val="32"/>
          <w:szCs w:val="32"/>
        </w:rPr>
        <w:t>（具体项目）。外事接待</w:t>
      </w:r>
      <w:r>
        <w:rPr>
          <w:rFonts w:ascii="仿宋_GB2312" w:eastAsia="仿宋_GB2312"/>
          <w:sz w:val="32"/>
          <w:szCs w:val="32"/>
        </w:rPr>
        <w:t>**</w:t>
      </w:r>
      <w:r>
        <w:rPr>
          <w:rFonts w:hint="eastAsia" w:ascii="仿宋_GB2312" w:eastAsia="仿宋_GB2312"/>
          <w:sz w:val="32"/>
          <w:szCs w:val="32"/>
        </w:rPr>
        <w:t>批次，</w:t>
      </w:r>
      <w:r>
        <w:rPr>
          <w:rFonts w:ascii="仿宋_GB2312" w:eastAsia="仿宋_GB2312"/>
          <w:sz w:val="32"/>
          <w:szCs w:val="32"/>
        </w:rPr>
        <w:t>**</w:t>
      </w:r>
      <w:r>
        <w:rPr>
          <w:rFonts w:hint="eastAsia" w:ascii="仿宋_GB2312" w:eastAsia="仿宋_GB2312"/>
          <w:sz w:val="32"/>
          <w:szCs w:val="32"/>
        </w:rPr>
        <w:t>人次（不包括陪同人员），共计支出</w:t>
      </w:r>
      <w:r>
        <w:rPr>
          <w:rFonts w:ascii="仿宋_GB2312" w:eastAsia="仿宋_GB2312"/>
          <w:sz w:val="32"/>
          <w:szCs w:val="32"/>
        </w:rPr>
        <w:t>**</w:t>
      </w:r>
      <w:r>
        <w:rPr>
          <w:rFonts w:hint="eastAsia" w:ascii="仿宋_GB2312" w:eastAsia="仿宋_GB2312"/>
          <w:sz w:val="32"/>
          <w:szCs w:val="32"/>
        </w:rPr>
        <w:t>万元。</w:t>
      </w:r>
    </w:p>
    <w:p w14:paraId="7A4B270A">
      <w:pPr>
        <w:spacing w:line="600" w:lineRule="exact"/>
        <w:ind w:firstLine="640"/>
        <w:outlineLvl w:val="1"/>
        <w:rPr>
          <w:rFonts w:ascii="黑体" w:eastAsia="黑体"/>
          <w:sz w:val="32"/>
          <w:szCs w:val="32"/>
        </w:rPr>
      </w:pPr>
    </w:p>
    <w:p w14:paraId="1A4CA430">
      <w:pPr>
        <w:spacing w:line="600" w:lineRule="exact"/>
        <w:ind w:firstLine="640"/>
        <w:outlineLvl w:val="1"/>
        <w:rPr>
          <w:rStyle w:val="30"/>
          <w:rFonts w:ascii="黑体" w:hAnsi="黑体" w:eastAsia="黑体"/>
        </w:rPr>
      </w:pPr>
      <w:r>
        <w:rPr>
          <w:rFonts w:hint="eastAsia" w:ascii="黑体" w:eastAsia="黑体"/>
          <w:sz w:val="32"/>
          <w:szCs w:val="32"/>
        </w:rPr>
        <w:t>八、</w:t>
      </w:r>
      <w:r>
        <w:rPr>
          <w:rStyle w:val="30"/>
          <w:rFonts w:hint="eastAsia" w:ascii="黑体" w:hAnsi="黑体" w:eastAsia="黑体"/>
          <w:b w:val="0"/>
        </w:rPr>
        <w:t>政府性基金预算支出决算情况说明</w:t>
      </w:r>
      <w:bookmarkEnd w:id="40"/>
      <w:bookmarkEnd w:id="41"/>
    </w:p>
    <w:p w14:paraId="4DB3FE49">
      <w:pPr>
        <w:spacing w:line="600" w:lineRule="exact"/>
        <w:ind w:firstLine="640"/>
        <w:rPr>
          <w:rFonts w:ascii="仿宋_GB2312" w:eastAsia="仿宋_GB2312"/>
          <w:sz w:val="32"/>
          <w:szCs w:val="32"/>
        </w:rPr>
      </w:pPr>
      <w:r>
        <w:rPr>
          <w:rFonts w:hint="eastAsia" w:ascii="仿宋_GB2312" w:eastAsia="仿宋_GB2312"/>
          <w:sz w:val="32"/>
          <w:szCs w:val="32"/>
          <w:lang w:eastAsia="zh-CN"/>
        </w:rPr>
        <w:t>2024</w:t>
      </w:r>
      <w:r>
        <w:rPr>
          <w:rFonts w:hint="eastAsia" w:ascii="仿宋_GB2312" w:eastAsia="仿宋_GB2312"/>
          <w:sz w:val="32"/>
          <w:szCs w:val="32"/>
        </w:rPr>
        <w:t>年度政府性基金预算财政拨款支出</w:t>
      </w:r>
      <w:r>
        <w:rPr>
          <w:rFonts w:ascii="仿宋" w:hAnsi="仿宋" w:eastAsia="仿宋"/>
          <w:b/>
          <w:sz w:val="32"/>
          <w:szCs w:val="32"/>
        </w:rPr>
        <w:t>0</w:t>
      </w:r>
      <w:r>
        <w:rPr>
          <w:rFonts w:hint="eastAsia" w:ascii="仿宋_GB2312" w:eastAsia="仿宋_GB2312"/>
          <w:sz w:val="32"/>
          <w:szCs w:val="32"/>
        </w:rPr>
        <w:t>万元。</w:t>
      </w:r>
    </w:p>
    <w:p w14:paraId="2B90B150">
      <w:pPr>
        <w:spacing w:line="600" w:lineRule="exact"/>
        <w:ind w:firstLine="640"/>
        <w:rPr>
          <w:rFonts w:ascii="仿宋_GB2312" w:eastAsia="仿宋_GB2312"/>
          <w:sz w:val="32"/>
          <w:szCs w:val="32"/>
        </w:rPr>
      </w:pPr>
    </w:p>
    <w:p w14:paraId="6140DDF7">
      <w:pPr>
        <w:numPr>
          <w:ilvl w:val="0"/>
          <w:numId w:val="2"/>
        </w:numPr>
        <w:spacing w:line="600" w:lineRule="exact"/>
        <w:ind w:firstLine="640"/>
        <w:outlineLvl w:val="1"/>
        <w:rPr>
          <w:rStyle w:val="30"/>
          <w:rFonts w:ascii="黑体" w:hAnsi="黑体" w:eastAsia="黑体"/>
          <w:b w:val="0"/>
        </w:rPr>
      </w:pPr>
      <w:bookmarkStart w:id="42" w:name="_Toc15396611"/>
      <w:bookmarkStart w:id="43" w:name="_Toc15377219"/>
      <w:r>
        <w:rPr>
          <w:rStyle w:val="30"/>
          <w:rFonts w:hint="eastAsia" w:ascii="黑体" w:hAnsi="黑体" w:eastAsia="黑体"/>
          <w:b w:val="0"/>
        </w:rPr>
        <w:t>国有资本经营预算支出决算情况说明</w:t>
      </w:r>
      <w:bookmarkEnd w:id="42"/>
      <w:bookmarkEnd w:id="43"/>
    </w:p>
    <w:p w14:paraId="5D6DB3AF">
      <w:pPr>
        <w:spacing w:line="600" w:lineRule="exact"/>
        <w:ind w:firstLine="640"/>
        <w:rPr>
          <w:rFonts w:ascii="仿宋_GB2312" w:eastAsia="仿宋_GB2312"/>
          <w:sz w:val="32"/>
          <w:szCs w:val="32"/>
        </w:rPr>
      </w:pPr>
      <w:r>
        <w:rPr>
          <w:rFonts w:hint="eastAsia" w:ascii="仿宋_GB2312" w:eastAsia="仿宋_GB2312"/>
          <w:sz w:val="32"/>
          <w:szCs w:val="32"/>
          <w:lang w:eastAsia="zh-CN"/>
        </w:rPr>
        <w:t>2024</w:t>
      </w:r>
      <w:r>
        <w:rPr>
          <w:rFonts w:hint="eastAsia" w:ascii="仿宋_GB2312" w:eastAsia="仿宋_GB2312"/>
          <w:sz w:val="32"/>
          <w:szCs w:val="32"/>
        </w:rPr>
        <w:t>年度国有资本经营预算财政拨款支出</w:t>
      </w:r>
      <w:r>
        <w:rPr>
          <w:rFonts w:ascii="仿宋" w:hAnsi="仿宋" w:eastAsia="仿宋"/>
          <w:b/>
          <w:sz w:val="32"/>
          <w:szCs w:val="32"/>
        </w:rPr>
        <w:t>0</w:t>
      </w:r>
      <w:r>
        <w:rPr>
          <w:rFonts w:hint="eastAsia" w:ascii="仿宋_GB2312" w:eastAsia="仿宋_GB2312"/>
          <w:sz w:val="32"/>
          <w:szCs w:val="32"/>
        </w:rPr>
        <w:t>万元。</w:t>
      </w:r>
    </w:p>
    <w:p w14:paraId="6EA798D2">
      <w:pPr>
        <w:spacing w:line="580" w:lineRule="exact"/>
        <w:jc w:val="center"/>
        <w:rPr>
          <w:rFonts w:ascii="方正小标宋简体" w:hAnsi="方正小标宋简体" w:eastAsia="方正小标宋简体" w:cs="方正小标宋简体"/>
          <w:sz w:val="44"/>
          <w:szCs w:val="44"/>
        </w:rPr>
      </w:pPr>
    </w:p>
    <w:p w14:paraId="0ED52D21">
      <w:pPr>
        <w:numPr>
          <w:ilvl w:val="0"/>
          <w:numId w:val="2"/>
        </w:numPr>
        <w:spacing w:line="600" w:lineRule="exact"/>
        <w:ind w:firstLine="640"/>
        <w:outlineLvl w:val="1"/>
        <w:rPr>
          <w:rStyle w:val="30"/>
          <w:rFonts w:ascii="黑体" w:hAnsi="黑体" w:eastAsia="黑体"/>
          <w:b w:val="0"/>
        </w:rPr>
      </w:pPr>
      <w:bookmarkStart w:id="44" w:name="_Toc15377221"/>
      <w:bookmarkStart w:id="45" w:name="_Toc15396612"/>
      <w:r>
        <w:rPr>
          <w:rStyle w:val="30"/>
          <w:rFonts w:hint="eastAsia" w:ascii="黑体" w:hAnsi="黑体" w:eastAsia="黑体"/>
          <w:b w:val="0"/>
        </w:rPr>
        <w:t>其他重要事项的情况说明</w:t>
      </w:r>
      <w:bookmarkEnd w:id="44"/>
      <w:bookmarkEnd w:id="45"/>
    </w:p>
    <w:p w14:paraId="55A828D6">
      <w:pPr>
        <w:spacing w:line="600" w:lineRule="exact"/>
        <w:ind w:firstLine="643" w:firstLineChars="200"/>
        <w:outlineLvl w:val="2"/>
        <w:rPr>
          <w:rFonts w:ascii="仿宋" w:hAnsi="仿宋" w:eastAsia="仿宋"/>
          <w:sz w:val="32"/>
          <w:szCs w:val="32"/>
        </w:rPr>
      </w:pPr>
      <w:bookmarkStart w:id="46" w:name="_Toc15377222"/>
      <w:r>
        <w:rPr>
          <w:rFonts w:hint="eastAsia" w:ascii="仿宋" w:hAnsi="仿宋" w:eastAsia="仿宋"/>
          <w:b/>
          <w:sz w:val="32"/>
          <w:szCs w:val="32"/>
        </w:rPr>
        <w:t>（一）机关运行经费支出情况</w:t>
      </w:r>
      <w:bookmarkEnd w:id="46"/>
    </w:p>
    <w:p w14:paraId="394241AB">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2024</w:t>
      </w:r>
      <w:r>
        <w:rPr>
          <w:rFonts w:hint="eastAsia" w:ascii="仿宋_GB2312" w:eastAsia="仿宋_GB2312"/>
          <w:sz w:val="32"/>
          <w:szCs w:val="32"/>
        </w:rPr>
        <w:t>年度，</w:t>
      </w:r>
      <w:r>
        <w:rPr>
          <w:rFonts w:ascii="仿宋_GB2312" w:eastAsia="仿宋_GB2312"/>
          <w:b/>
          <w:sz w:val="32"/>
          <w:szCs w:val="32"/>
        </w:rPr>
        <w:t>四川省阿坝州财政局投资评审中心</w:t>
      </w:r>
      <w:r>
        <w:rPr>
          <w:rFonts w:hint="eastAsia" w:ascii="仿宋_GB2312" w:eastAsia="仿宋_GB2312"/>
          <w:sz w:val="32"/>
          <w:szCs w:val="32"/>
        </w:rPr>
        <w:t>机关运行经费支出</w:t>
      </w:r>
      <w:r>
        <w:rPr>
          <w:rFonts w:ascii="仿宋" w:hAnsi="仿宋" w:eastAsia="仿宋"/>
          <w:b/>
          <w:sz w:val="32"/>
          <w:szCs w:val="32"/>
        </w:rPr>
        <w:t>0</w:t>
      </w:r>
      <w:r>
        <w:rPr>
          <w:rFonts w:hint="eastAsia" w:ascii="仿宋_GB2312" w:eastAsia="仿宋_GB2312"/>
          <w:sz w:val="32"/>
          <w:szCs w:val="32"/>
        </w:rPr>
        <w:t>万元，比</w:t>
      </w:r>
      <w:r>
        <w:rPr>
          <w:rFonts w:hint="eastAsia" w:ascii="仿宋_GB2312" w:eastAsia="仿宋_GB2312"/>
          <w:sz w:val="32"/>
          <w:szCs w:val="32"/>
          <w:lang w:eastAsia="zh-CN"/>
        </w:rPr>
        <w:t>2023</w:t>
      </w:r>
      <w:r>
        <w:rPr>
          <w:rFonts w:hint="eastAsia" w:ascii="仿宋_GB2312" w:eastAsia="仿宋_GB2312"/>
          <w:sz w:val="32"/>
          <w:szCs w:val="32"/>
        </w:rPr>
        <w:t>年度增加</w:t>
      </w:r>
      <w:r>
        <w:rPr>
          <w:rFonts w:ascii="仿宋_GB2312" w:eastAsia="仿宋_GB2312"/>
          <w:sz w:val="32"/>
          <w:szCs w:val="32"/>
        </w:rPr>
        <w:t>/</w:t>
      </w:r>
      <w:r>
        <w:rPr>
          <w:rFonts w:hint="eastAsia" w:ascii="仿宋_GB2312" w:eastAsia="仿宋_GB2312"/>
          <w:sz w:val="32"/>
          <w:szCs w:val="32"/>
        </w:rPr>
        <w:t>减少</w:t>
      </w:r>
      <w:r>
        <w:rPr>
          <w:rFonts w:ascii="仿宋_GB2312" w:eastAsia="仿宋_GB2312"/>
          <w:sz w:val="32"/>
          <w:szCs w:val="32"/>
        </w:rPr>
        <w:t>**</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ascii="仿宋_GB2312" w:eastAsia="仿宋_GB2312"/>
          <w:sz w:val="32"/>
          <w:szCs w:val="32"/>
        </w:rPr>
        <w:t>**%</w:t>
      </w:r>
      <w:r>
        <w:rPr>
          <w:rFonts w:hint="eastAsia" w:ascii="仿宋_GB2312" w:eastAsia="仿宋_GB2312"/>
          <w:sz w:val="32"/>
          <w:szCs w:val="32"/>
        </w:rPr>
        <w:t>（或与</w:t>
      </w:r>
      <w:r>
        <w:rPr>
          <w:rFonts w:hint="eastAsia" w:ascii="仿宋_GB2312" w:eastAsia="仿宋_GB2312"/>
          <w:sz w:val="32"/>
          <w:szCs w:val="32"/>
          <w:lang w:eastAsia="zh-CN"/>
        </w:rPr>
        <w:t>2023</w:t>
      </w:r>
      <w:r>
        <w:rPr>
          <w:rFonts w:hint="eastAsia" w:ascii="仿宋_GB2312" w:eastAsia="仿宋_GB2312"/>
          <w:sz w:val="32"/>
          <w:szCs w:val="32"/>
        </w:rPr>
        <w:t>年度决算数持平）。主要原因是……。</w:t>
      </w:r>
    </w:p>
    <w:p w14:paraId="10DA6AD8">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14:paraId="7EF0A2CF">
      <w:pPr>
        <w:autoSpaceDE w:val="0"/>
        <w:autoSpaceDN w:val="0"/>
        <w:adjustRightInd w:val="0"/>
        <w:spacing w:line="600" w:lineRule="exact"/>
        <w:ind w:firstLine="643" w:firstLineChars="200"/>
        <w:jc w:val="left"/>
        <w:outlineLvl w:val="2"/>
        <w:rPr>
          <w:rFonts w:ascii="仿宋" w:hAnsi="仿宋" w:eastAsia="仿宋"/>
          <w:b/>
          <w:sz w:val="32"/>
          <w:szCs w:val="32"/>
        </w:rPr>
      </w:pPr>
      <w:bookmarkStart w:id="47" w:name="_Toc15377223"/>
      <w:r>
        <w:rPr>
          <w:rFonts w:hint="eastAsia" w:ascii="仿宋" w:hAnsi="仿宋" w:eastAsia="仿宋"/>
          <w:b/>
          <w:sz w:val="32"/>
          <w:szCs w:val="32"/>
        </w:rPr>
        <w:t>（二）政府采购支出情况</w:t>
      </w:r>
      <w:bookmarkEnd w:id="47"/>
    </w:p>
    <w:p w14:paraId="60FDB846">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2024</w:t>
      </w:r>
      <w:r>
        <w:rPr>
          <w:rFonts w:hint="eastAsia" w:ascii="仿宋_GB2312" w:eastAsia="仿宋_GB2312"/>
          <w:sz w:val="32"/>
          <w:szCs w:val="32"/>
        </w:rPr>
        <w:t>年度，</w:t>
      </w:r>
      <w:r>
        <w:rPr>
          <w:rFonts w:ascii="仿宋_GB2312" w:eastAsia="仿宋_GB2312"/>
          <w:b/>
          <w:sz w:val="32"/>
          <w:szCs w:val="32"/>
        </w:rPr>
        <w:t>四川省阿坝州财政局投资评审中心</w:t>
      </w:r>
      <w:r>
        <w:rPr>
          <w:rFonts w:hint="eastAsia" w:ascii="仿宋_GB2312" w:eastAsia="仿宋_GB2312"/>
          <w:sz w:val="32"/>
          <w:szCs w:val="32"/>
        </w:rPr>
        <w:t>政府采购支出总额</w:t>
      </w:r>
      <w:r>
        <w:rPr>
          <w:rFonts w:ascii="仿宋" w:hAnsi="仿宋" w:eastAsia="仿宋"/>
          <w:b/>
          <w:sz w:val="32"/>
          <w:szCs w:val="32"/>
        </w:rPr>
        <w:t>0</w:t>
      </w:r>
      <w:r>
        <w:rPr>
          <w:rFonts w:hint="eastAsia" w:ascii="仿宋_GB2312" w:eastAsia="仿宋_GB2312"/>
          <w:sz w:val="32"/>
          <w:szCs w:val="32"/>
        </w:rPr>
        <w:t>万元，其中：政府采购货物支出</w:t>
      </w:r>
      <w:r>
        <w:rPr>
          <w:rFonts w:ascii="仿宋" w:hAnsi="仿宋" w:eastAsia="仿宋"/>
          <w:b/>
          <w:sz w:val="32"/>
          <w:szCs w:val="32"/>
        </w:rPr>
        <w:t>0</w:t>
      </w:r>
      <w:r>
        <w:rPr>
          <w:rFonts w:hint="eastAsia" w:ascii="仿宋_GB2312" w:eastAsia="仿宋_GB2312"/>
          <w:sz w:val="32"/>
          <w:szCs w:val="32"/>
        </w:rPr>
        <w:t>万元、政府采购工程支出</w:t>
      </w:r>
      <w:r>
        <w:rPr>
          <w:rFonts w:ascii="仿宋" w:hAnsi="仿宋" w:eastAsia="仿宋"/>
          <w:b/>
          <w:sz w:val="32"/>
          <w:szCs w:val="32"/>
        </w:rPr>
        <w:t>0</w:t>
      </w:r>
      <w:r>
        <w:rPr>
          <w:rFonts w:hint="eastAsia" w:ascii="仿宋_GB2312" w:eastAsia="仿宋_GB2312"/>
          <w:sz w:val="32"/>
          <w:szCs w:val="32"/>
        </w:rPr>
        <w:t>万元、政府采购服务支出</w:t>
      </w:r>
      <w:r>
        <w:rPr>
          <w:rFonts w:ascii="仿宋" w:hAnsi="仿宋" w:eastAsia="仿宋"/>
          <w:b/>
          <w:sz w:val="32"/>
          <w:szCs w:val="32"/>
        </w:rPr>
        <w:t>0</w:t>
      </w:r>
      <w:r>
        <w:rPr>
          <w:rFonts w:hint="eastAsia" w:ascii="仿宋_GB2312" w:eastAsia="仿宋_GB2312"/>
          <w:sz w:val="32"/>
          <w:szCs w:val="32"/>
        </w:rPr>
        <w:t>万元。主要用于</w:t>
      </w:r>
      <w:r>
        <w:rPr>
          <w:rFonts w:ascii="仿宋_GB2312" w:eastAsia="仿宋_GB2312"/>
          <w:sz w:val="32"/>
          <w:szCs w:val="32"/>
        </w:rPr>
        <w:t>…</w:t>
      </w:r>
      <w:r>
        <w:rPr>
          <w:rFonts w:hint="eastAsia" w:ascii="仿宋_GB2312" w:eastAsia="仿宋_GB2312"/>
          <w:sz w:val="32"/>
          <w:szCs w:val="32"/>
        </w:rPr>
        <w:t>（具体工作）。授予中小企业合同金额</w:t>
      </w:r>
      <w:r>
        <w:rPr>
          <w:rFonts w:ascii="仿宋" w:hAnsi="仿宋" w:eastAsia="仿宋"/>
          <w:b/>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 w:hAnsi="仿宋" w:eastAsia="仿宋"/>
          <w:b/>
          <w:sz w:val="32"/>
          <w:szCs w:val="32"/>
        </w:rPr>
        <w:t>0</w:t>
      </w:r>
      <w:r>
        <w:rPr>
          <w:rFonts w:hint="eastAsia" w:ascii="仿宋_GB2312" w:eastAsia="仿宋_GB2312"/>
          <w:sz w:val="32"/>
          <w:szCs w:val="32"/>
        </w:rPr>
        <w:t>万元，占政府采购支出总额的</w:t>
      </w:r>
      <w:r>
        <w:rPr>
          <w:rFonts w:ascii="仿宋_GB2312" w:eastAsia="仿宋_GB2312"/>
          <w:b/>
          <w:sz w:val="32"/>
          <w:szCs w:val="32"/>
        </w:rPr>
        <w:t>0</w:t>
      </w:r>
      <w:r>
        <w:rPr>
          <w:rFonts w:ascii="仿宋_GB2312" w:eastAsia="仿宋_GB2312"/>
          <w:sz w:val="32"/>
          <w:szCs w:val="32"/>
        </w:rPr>
        <w:t>%</w:t>
      </w:r>
      <w:r>
        <w:rPr>
          <w:rFonts w:hint="eastAsia" w:ascii="仿宋_GB2312" w:eastAsia="仿宋_GB2312"/>
          <w:sz w:val="32"/>
          <w:szCs w:val="32"/>
        </w:rPr>
        <w:t>。</w:t>
      </w:r>
    </w:p>
    <w:p w14:paraId="1C533BDD">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14:paraId="2A429699">
      <w:pPr>
        <w:autoSpaceDE w:val="0"/>
        <w:autoSpaceDN w:val="0"/>
        <w:adjustRightInd w:val="0"/>
        <w:spacing w:line="600" w:lineRule="exact"/>
        <w:ind w:firstLine="643" w:firstLineChars="200"/>
        <w:jc w:val="left"/>
        <w:outlineLvl w:val="2"/>
        <w:rPr>
          <w:rFonts w:ascii="仿宋" w:hAnsi="仿宋" w:eastAsia="仿宋"/>
          <w:b/>
          <w:sz w:val="32"/>
          <w:szCs w:val="32"/>
        </w:rPr>
      </w:pPr>
      <w:bookmarkStart w:id="48" w:name="_Toc15377224"/>
      <w:r>
        <w:rPr>
          <w:rFonts w:hint="eastAsia" w:ascii="仿宋" w:hAnsi="仿宋" w:eastAsia="仿宋"/>
          <w:b/>
          <w:sz w:val="32"/>
          <w:szCs w:val="32"/>
        </w:rPr>
        <w:t>（三）国有资产占有使用情况</w:t>
      </w:r>
      <w:bookmarkEnd w:id="48"/>
    </w:p>
    <w:p w14:paraId="552F65D1">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w:t>
      </w:r>
      <w:r>
        <w:rPr>
          <w:rFonts w:hint="eastAsia" w:ascii="仿宋_GB2312" w:eastAsia="仿宋_GB2312"/>
          <w:sz w:val="32"/>
          <w:szCs w:val="32"/>
          <w:lang w:eastAsia="zh-CN"/>
        </w:rPr>
        <w:t>2024</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ascii="仿宋_GB2312" w:eastAsia="仿宋_GB2312"/>
          <w:b/>
          <w:sz w:val="32"/>
          <w:szCs w:val="32"/>
        </w:rPr>
        <w:t>四川省阿坝州财政局投资评审中心</w:t>
      </w:r>
      <w:r>
        <w:rPr>
          <w:rFonts w:hint="eastAsia" w:ascii="仿宋_GB2312" w:eastAsia="仿宋_GB2312"/>
          <w:sz w:val="32"/>
          <w:szCs w:val="32"/>
        </w:rPr>
        <w:t>共有车辆</w:t>
      </w:r>
      <w:r>
        <w:rPr>
          <w:rFonts w:hint="eastAsia" w:ascii="仿宋_GB2312" w:eastAsia="仿宋_GB2312"/>
          <w:b/>
          <w:sz w:val="32"/>
          <w:szCs w:val="32"/>
        </w:rPr>
        <w:t>0</w:t>
      </w:r>
      <w:r>
        <w:rPr>
          <w:rFonts w:hint="eastAsia" w:ascii="仿宋_GB2312" w:eastAsia="仿宋_GB2312"/>
          <w:sz w:val="32"/>
          <w:szCs w:val="32"/>
        </w:rPr>
        <w:t>辆，其中：主要领导干部用车</w:t>
      </w:r>
      <w:r>
        <w:rPr>
          <w:rFonts w:ascii="仿宋_GB2312" w:eastAsia="仿宋_GB2312"/>
          <w:sz w:val="32"/>
          <w:szCs w:val="32"/>
        </w:rPr>
        <w:t>**</w:t>
      </w:r>
      <w:r>
        <w:rPr>
          <w:rFonts w:hint="eastAsia" w:ascii="仿宋_GB2312" w:eastAsia="仿宋_GB2312"/>
          <w:sz w:val="32"/>
          <w:szCs w:val="32"/>
        </w:rPr>
        <w:t>辆、机要通信用车</w:t>
      </w:r>
      <w:r>
        <w:rPr>
          <w:rFonts w:ascii="仿宋_GB2312" w:eastAsia="仿宋_GB2312"/>
          <w:sz w:val="32"/>
          <w:szCs w:val="32"/>
        </w:rPr>
        <w:t>**</w:t>
      </w:r>
      <w:r>
        <w:rPr>
          <w:rFonts w:hint="eastAsia" w:ascii="仿宋_GB2312" w:eastAsia="仿宋_GB2312"/>
          <w:sz w:val="32"/>
          <w:szCs w:val="32"/>
        </w:rPr>
        <w:t>辆、应急保障用车</w:t>
      </w:r>
      <w:r>
        <w:rPr>
          <w:rFonts w:ascii="仿宋_GB2312" w:eastAsia="仿宋_GB2312"/>
          <w:sz w:val="32"/>
          <w:szCs w:val="32"/>
        </w:rPr>
        <w:t>**</w:t>
      </w:r>
      <w:r>
        <w:rPr>
          <w:rFonts w:hint="eastAsia" w:ascii="仿宋_GB2312" w:eastAsia="仿宋_GB2312"/>
          <w:sz w:val="32"/>
          <w:szCs w:val="32"/>
        </w:rPr>
        <w:t>辆、其他用车</w:t>
      </w:r>
      <w:r>
        <w:rPr>
          <w:rFonts w:ascii="仿宋_GB2312" w:eastAsia="仿宋_GB2312"/>
          <w:sz w:val="32"/>
          <w:szCs w:val="32"/>
        </w:rPr>
        <w:t>**</w:t>
      </w:r>
      <w:r>
        <w:rPr>
          <w:rFonts w:hint="eastAsia" w:ascii="仿宋_GB2312" w:eastAsia="仿宋_GB2312"/>
          <w:sz w:val="32"/>
          <w:szCs w:val="32"/>
        </w:rPr>
        <w:t>辆，其他用车主要是用于……。单价</w:t>
      </w:r>
      <w:r>
        <w:rPr>
          <w:rFonts w:ascii="仿宋_GB2312" w:eastAsia="仿宋_GB2312"/>
          <w:sz w:val="32"/>
          <w:szCs w:val="32"/>
        </w:rPr>
        <w:t>100</w:t>
      </w:r>
      <w:r>
        <w:rPr>
          <w:rFonts w:hint="eastAsia" w:ascii="仿宋_GB2312" w:eastAsia="仿宋_GB2312"/>
          <w:sz w:val="32"/>
          <w:szCs w:val="32"/>
        </w:rPr>
        <w:t>万元以上设备（不含车辆）</w:t>
      </w:r>
      <w:r>
        <w:rPr>
          <w:rFonts w:ascii="仿宋_GB2312" w:eastAsia="仿宋_GB2312"/>
          <w:b/>
          <w:sz w:val="32"/>
          <w:szCs w:val="32"/>
        </w:rPr>
        <w:t>0</w:t>
      </w:r>
      <w:r>
        <w:rPr>
          <w:rFonts w:hint="eastAsia" w:ascii="仿宋_GB2312" w:eastAsia="仿宋_GB2312"/>
          <w:sz w:val="32"/>
          <w:szCs w:val="32"/>
        </w:rPr>
        <w:t>台（套）。</w:t>
      </w:r>
    </w:p>
    <w:p w14:paraId="451409A8">
      <w:pPr>
        <w:autoSpaceDE w:val="0"/>
        <w:autoSpaceDN w:val="0"/>
        <w:adjustRightInd w:val="0"/>
        <w:spacing w:line="600" w:lineRule="exact"/>
        <w:ind w:firstLine="643" w:firstLineChars="200"/>
        <w:jc w:val="left"/>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表，按单位决算报表填报数据罗列车辆情况。）</w:t>
      </w:r>
    </w:p>
    <w:p w14:paraId="3B93948E">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14:paraId="21A5C422">
      <w:pPr>
        <w:spacing w:line="600" w:lineRule="exact"/>
        <w:ind w:firstLine="640" w:firstLineChars="200"/>
        <w:rPr>
          <w:rFonts w:ascii="仿宋_GB2312" w:eastAsia="仿宋_GB2312"/>
          <w:sz w:val="32"/>
          <w:szCs w:val="32"/>
        </w:rPr>
      </w:pPr>
      <w:r>
        <w:rPr>
          <w:rFonts w:hint="eastAsia" w:ascii="仿宋_GB2312" w:eastAsia="仿宋_GB2312"/>
          <w:sz w:val="32"/>
          <w:szCs w:val="32"/>
        </w:rPr>
        <w:t>根据预算绩效管理要求，本单位在</w:t>
      </w:r>
      <w:r>
        <w:rPr>
          <w:rFonts w:hint="eastAsia" w:ascii="仿宋_GB2312" w:eastAsia="仿宋_GB2312"/>
          <w:sz w:val="32"/>
          <w:szCs w:val="32"/>
          <w:lang w:eastAsia="zh-CN"/>
        </w:rPr>
        <w:t>2024</w:t>
      </w:r>
      <w:r>
        <w:rPr>
          <w:rFonts w:hint="eastAsia" w:ascii="仿宋_GB2312" w:eastAsia="仿宋_GB2312"/>
          <w:sz w:val="32"/>
          <w:szCs w:val="32"/>
        </w:rPr>
        <w:t>年度预算编制阶段，组织对</w:t>
      </w:r>
      <w:r>
        <w:rPr>
          <w:rFonts w:hint="eastAsia" w:ascii="仿宋_GB2312" w:eastAsia="仿宋_GB2312"/>
          <w:sz w:val="32"/>
          <w:szCs w:val="32"/>
          <w:lang w:val="en-US" w:eastAsia="zh-CN"/>
        </w:rPr>
        <w:t>11</w:t>
      </w:r>
      <w:r>
        <w:rPr>
          <w:rFonts w:hint="eastAsia" w:ascii="仿宋_GB2312" w:eastAsia="仿宋_GB2312"/>
          <w:sz w:val="32"/>
          <w:szCs w:val="32"/>
        </w:rPr>
        <w:t>项目（项目名称）等</w:t>
      </w:r>
      <w:r>
        <w:rPr>
          <w:rFonts w:hint="eastAsia" w:ascii="仿宋_GB2312" w:eastAsia="仿宋_GB2312"/>
          <w:sz w:val="32"/>
          <w:szCs w:val="32"/>
          <w:lang w:val="en-US" w:eastAsia="zh-CN"/>
        </w:rPr>
        <w:t>11</w:t>
      </w:r>
      <w:r>
        <w:rPr>
          <w:rFonts w:hint="eastAsia" w:ascii="仿宋_GB2312" w:eastAsia="仿宋_GB2312"/>
          <w:sz w:val="32"/>
          <w:szCs w:val="32"/>
        </w:rPr>
        <w:t>个项目开展了预算事前绩效评估，对</w:t>
      </w:r>
      <w:r>
        <w:rPr>
          <w:rFonts w:hint="eastAsia" w:ascii="仿宋_GB2312" w:eastAsia="仿宋_GB2312"/>
          <w:sz w:val="32"/>
          <w:szCs w:val="32"/>
          <w:lang w:val="en-US" w:eastAsia="zh-CN"/>
        </w:rPr>
        <w:t>11</w:t>
      </w:r>
      <w:r>
        <w:rPr>
          <w:rFonts w:hint="eastAsia" w:ascii="仿宋_GB2312" w:eastAsia="仿宋_GB2312"/>
          <w:sz w:val="32"/>
          <w:szCs w:val="32"/>
        </w:rPr>
        <w:t>个项目编制了绩效目标，预算执行过程中，选取</w:t>
      </w:r>
      <w:r>
        <w:rPr>
          <w:rFonts w:hint="eastAsia" w:ascii="仿宋_GB2312" w:eastAsia="仿宋_GB2312"/>
          <w:sz w:val="32"/>
          <w:szCs w:val="32"/>
          <w:lang w:val="en-US" w:eastAsia="zh-CN"/>
        </w:rPr>
        <w:t>11</w:t>
      </w:r>
      <w:r>
        <w:rPr>
          <w:rFonts w:hint="eastAsia" w:ascii="仿宋_GB2312" w:eastAsia="仿宋_GB2312"/>
          <w:sz w:val="32"/>
          <w:szCs w:val="32"/>
        </w:rPr>
        <w:t>个项目开展绩效监控，组织对</w:t>
      </w:r>
      <w:r>
        <w:rPr>
          <w:rFonts w:hint="eastAsia" w:ascii="仿宋_GB2312" w:eastAsia="仿宋_GB2312"/>
          <w:sz w:val="32"/>
          <w:szCs w:val="32"/>
          <w:lang w:val="en-US" w:eastAsia="zh-CN"/>
        </w:rPr>
        <w:t>11</w:t>
      </w:r>
      <w:r>
        <w:rPr>
          <w:rFonts w:hint="eastAsia" w:ascii="仿宋_GB2312" w:eastAsia="仿宋_GB2312"/>
          <w:sz w:val="32"/>
          <w:szCs w:val="32"/>
        </w:rPr>
        <w:t>个项目开展绩效自评，绩效自评表详见第四部分附件。</w:t>
      </w:r>
    </w:p>
    <w:p w14:paraId="673FA826">
      <w:pPr>
        <w:spacing w:line="600" w:lineRule="exact"/>
        <w:ind w:firstLine="640" w:firstLineChars="200"/>
        <w:rPr>
          <w:rFonts w:ascii="仿宋_GB2312" w:eastAsia="仿宋_GB2312"/>
          <w:sz w:val="32"/>
          <w:szCs w:val="32"/>
        </w:rPr>
      </w:pPr>
      <w:r>
        <w:rPr>
          <w:rFonts w:hint="eastAsia" w:ascii="仿宋_GB2312" w:eastAsia="仿宋_GB2312"/>
          <w:sz w:val="32"/>
          <w:szCs w:val="32"/>
        </w:rPr>
        <w:br w:type="page"/>
      </w:r>
    </w:p>
    <w:p w14:paraId="5ED8DCD9">
      <w:pPr>
        <w:numPr>
          <w:ilvl w:val="0"/>
          <w:numId w:val="3"/>
        </w:numPr>
        <w:spacing w:line="600" w:lineRule="exact"/>
        <w:ind w:firstLine="660" w:firstLineChars="150"/>
        <w:jc w:val="center"/>
        <w:outlineLvl w:val="0"/>
        <w:rPr>
          <w:rStyle w:val="29"/>
          <w:rFonts w:ascii="黑体" w:hAnsi="黑体" w:eastAsia="黑体"/>
          <w:b w:val="0"/>
        </w:rPr>
      </w:pPr>
      <w:bookmarkStart w:id="49" w:name="_Toc15377225"/>
      <w:bookmarkStart w:id="50" w:name="_Toc15396613"/>
      <w:r>
        <w:rPr>
          <w:rFonts w:hint="eastAsia" w:ascii="黑体" w:hAnsi="黑体" w:eastAsia="黑体"/>
          <w:sz w:val="44"/>
          <w:szCs w:val="44"/>
        </w:rPr>
        <w:t>名</w:t>
      </w:r>
      <w:r>
        <w:rPr>
          <w:rStyle w:val="29"/>
          <w:rFonts w:hint="eastAsia" w:ascii="黑体" w:hAnsi="黑体" w:eastAsia="黑体"/>
          <w:b w:val="0"/>
        </w:rPr>
        <w:t>词解释</w:t>
      </w:r>
      <w:bookmarkEnd w:id="49"/>
      <w:bookmarkEnd w:id="50"/>
    </w:p>
    <w:p w14:paraId="3BE6FDC6">
      <w:pPr>
        <w:spacing w:line="600" w:lineRule="exact"/>
        <w:jc w:val="left"/>
        <w:rPr>
          <w:rFonts w:ascii="宋体"/>
          <w:b/>
          <w:sz w:val="44"/>
          <w:szCs w:val="44"/>
        </w:rPr>
      </w:pPr>
    </w:p>
    <w:p w14:paraId="48664F05">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14:paraId="6377A303">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事业收入：指事业单位开展专业业务活动及辅助活动取得的收入。如…（二级预算单位事业收入情况）等。</w:t>
      </w:r>
    </w:p>
    <w:p w14:paraId="01FE0D23">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经营收入：指事业单位在专业业务活动及其辅助活动之外开展非独立核算经营活动取得的收入。如…（二级预算单位经营收入情况）等。</w:t>
      </w:r>
    </w:p>
    <w:p w14:paraId="5020FAF6">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其他收入：指单位取得的除上述收入以外的各项收入。主要是…（收入类型）等。</w:t>
      </w:r>
      <w:r>
        <w:rPr>
          <w:rFonts w:ascii="仿宋_GB2312" w:eastAsia="仿宋_GB2312"/>
          <w:color w:val="auto"/>
          <w:sz w:val="32"/>
          <w:szCs w:val="32"/>
        </w:rPr>
        <w:t xml:space="preserve"> </w:t>
      </w:r>
    </w:p>
    <w:p w14:paraId="3EFEFF52">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hAnsi="华文中宋" w:eastAsia="仿宋_GB2312"/>
          <w:sz w:val="32"/>
          <w:szCs w:val="32"/>
        </w:rPr>
        <w:t>使用非财政拨款结余（含专用结余）</w:t>
      </w:r>
      <w:r>
        <w:rPr>
          <w:rFonts w:hint="eastAsia" w:ascii="仿宋_GB2312" w:eastAsia="仿宋_GB2312"/>
          <w:color w:val="auto"/>
          <w:sz w:val="32"/>
          <w:szCs w:val="32"/>
        </w:rPr>
        <w:t>：指事业单位使用以前年度积累的非财政拨款结余弥补当年收支差额的金额。</w:t>
      </w:r>
      <w:r>
        <w:rPr>
          <w:rFonts w:ascii="仿宋_GB2312" w:eastAsia="仿宋_GB2312"/>
          <w:color w:val="auto"/>
          <w:sz w:val="32"/>
          <w:szCs w:val="32"/>
        </w:rPr>
        <w:t xml:space="preserve"> </w:t>
      </w:r>
    </w:p>
    <w:p w14:paraId="23B3C5C8">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14:paraId="2DFD5773">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结余分配：指事业单位按照会计制度规定缴纳的所得税、提取的专用结余以及转入非财政拨款结余的金额等。</w:t>
      </w:r>
    </w:p>
    <w:p w14:paraId="513C3491">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8</w:t>
      </w:r>
      <w:r>
        <w:rPr>
          <w:rFonts w:hint="eastAsia" w:ascii="仿宋_GB2312" w:eastAsia="仿宋_GB2312"/>
          <w:color w:val="auto"/>
          <w:sz w:val="32"/>
          <w:szCs w:val="32"/>
        </w:rPr>
        <w:t>.年末结转和结余：指单位按有关规定结转到下年或以后年度继续使用的资金。</w:t>
      </w:r>
    </w:p>
    <w:p w14:paraId="387BB227">
      <w:pPr>
        <w:pStyle w:val="1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Calibri" w:eastAsia="仿宋_GB2312" w:cs="仿宋"/>
          <w:color w:val="auto"/>
          <w:sz w:val="32"/>
          <w:szCs w:val="32"/>
          <w:lang w:val="en-US" w:eastAsia="zh-CN" w:bidi="ar-SA"/>
        </w:rPr>
      </w:pPr>
      <w:r>
        <w:rPr>
          <w:rFonts w:hint="eastAsia" w:ascii="仿宋_GB2312" w:hAnsi="Calibri" w:eastAsia="仿宋_GB2312" w:cs="仿宋"/>
          <w:color w:val="auto"/>
          <w:sz w:val="32"/>
          <w:szCs w:val="32"/>
          <w:lang w:val="en-US" w:eastAsia="zh-CN" w:bidi="ar-SA"/>
        </w:rPr>
        <w:t>9.一般公共服务201（类）06（款）02（项）: 指反映行政单位（包括实行公务员管理的事业单位）未单独设置项级科目的其他项目支出。</w:t>
      </w:r>
    </w:p>
    <w:p w14:paraId="1A501929">
      <w:pPr>
        <w:pStyle w:val="1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Calibri" w:eastAsia="仿宋_GB2312" w:cs="仿宋"/>
          <w:color w:val="auto"/>
          <w:sz w:val="32"/>
          <w:szCs w:val="32"/>
          <w:lang w:val="en-US" w:eastAsia="zh-CN" w:bidi="ar-SA"/>
        </w:rPr>
      </w:pPr>
      <w:r>
        <w:rPr>
          <w:rFonts w:hint="eastAsia" w:ascii="仿宋_GB2312" w:hAnsi="Calibri" w:eastAsia="仿宋_GB2312" w:cs="仿宋"/>
          <w:color w:val="auto"/>
          <w:sz w:val="32"/>
          <w:szCs w:val="32"/>
          <w:lang w:val="en-US" w:eastAsia="zh-CN" w:bidi="ar-SA"/>
        </w:rPr>
        <w:t>10. 一般公共服务201（类）06（款）07（项）: 反映财政部门用于信息化建设方面的支出。</w:t>
      </w:r>
    </w:p>
    <w:p w14:paraId="7006AD4E">
      <w:pPr>
        <w:pStyle w:val="1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Calibri" w:eastAsia="仿宋_GB2312" w:cs="仿宋"/>
          <w:color w:val="auto"/>
          <w:sz w:val="32"/>
          <w:szCs w:val="32"/>
          <w:lang w:val="en-US" w:eastAsia="zh-CN" w:bidi="ar-SA"/>
        </w:rPr>
      </w:pPr>
      <w:r>
        <w:rPr>
          <w:rFonts w:hint="eastAsia" w:ascii="仿宋_GB2312" w:hAnsi="Calibri" w:eastAsia="仿宋_GB2312" w:cs="仿宋"/>
          <w:color w:val="auto"/>
          <w:sz w:val="32"/>
          <w:szCs w:val="32"/>
          <w:lang w:val="en-US" w:eastAsia="zh-CN" w:bidi="ar-SA"/>
        </w:rPr>
        <w:t>11. 一般公共服务201（类）06（款）50（项）: 反映事业单位的基本支出，不包括行政行政单位（包括实行公务员管理的事业单位），后勤服务中心、医务室等附属事业单位。</w:t>
      </w:r>
    </w:p>
    <w:p w14:paraId="434FAC54">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Calibri" w:eastAsia="仿宋_GB2312" w:cs="仿宋"/>
          <w:color w:val="auto"/>
          <w:sz w:val="32"/>
          <w:szCs w:val="32"/>
          <w:lang w:val="en-US" w:eastAsia="zh-CN" w:bidi="ar-SA"/>
        </w:rPr>
      </w:pPr>
      <w:r>
        <w:rPr>
          <w:rFonts w:hint="eastAsia" w:ascii="仿宋_GB2312" w:hAnsi="Calibri" w:eastAsia="仿宋_GB2312" w:cs="仿宋"/>
          <w:color w:val="auto"/>
          <w:sz w:val="32"/>
          <w:szCs w:val="32"/>
          <w:lang w:val="en-US" w:eastAsia="zh-CN" w:bidi="ar-SA"/>
        </w:rPr>
        <w:t>12. 社会保障和就业208（类）05（款）05（项）: 指反映机关事业单位实施养老保险制度由单位缴纳的职业年金支出。</w:t>
      </w:r>
    </w:p>
    <w:p w14:paraId="4A47A679">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Calibri" w:eastAsia="仿宋_GB2312" w:cs="仿宋"/>
          <w:color w:val="auto"/>
          <w:sz w:val="32"/>
          <w:szCs w:val="32"/>
          <w:lang w:val="en-US" w:eastAsia="zh-CN" w:bidi="ar-SA"/>
        </w:rPr>
      </w:pPr>
      <w:r>
        <w:rPr>
          <w:rFonts w:hint="eastAsia" w:ascii="仿宋_GB2312" w:hAnsi="Calibri" w:eastAsia="仿宋_GB2312" w:cs="仿宋"/>
          <w:color w:val="auto"/>
          <w:sz w:val="32"/>
          <w:szCs w:val="32"/>
          <w:lang w:val="en-US" w:eastAsia="zh-CN" w:bidi="ar-SA"/>
        </w:rPr>
        <w:t>13.社会保障和就业208（类）05（款）06（项）: 指反映机关事业单位实施养老保险制度由单位实际缴纳的基本养老保险费支出。</w:t>
      </w:r>
    </w:p>
    <w:p w14:paraId="1CFABB4D">
      <w:pPr>
        <w:pStyle w:val="1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Calibri" w:eastAsia="仿宋_GB2312" w:cs="仿宋"/>
          <w:color w:val="auto"/>
          <w:sz w:val="32"/>
          <w:szCs w:val="32"/>
          <w:lang w:val="en-US" w:eastAsia="zh-CN" w:bidi="ar-SA"/>
        </w:rPr>
      </w:pPr>
      <w:r>
        <w:rPr>
          <w:rFonts w:hint="eastAsia" w:ascii="仿宋_GB2312" w:hAnsi="Calibri" w:eastAsia="仿宋_GB2312" w:cs="仿宋"/>
          <w:color w:val="auto"/>
          <w:sz w:val="32"/>
          <w:szCs w:val="32"/>
          <w:lang w:val="en-US" w:eastAsia="zh-CN" w:bidi="ar-SA"/>
        </w:rPr>
        <w:t>14.卫生健康210（类）11（款）02（项）:反映财政部门安排的事业单位基本医疗保险缴费经费，未参加医疗保险的事业单位的公费医疗经费，按国家规定享受离休人员待遇的医疗经费。</w:t>
      </w:r>
    </w:p>
    <w:p w14:paraId="0BC9056F">
      <w:pPr>
        <w:pStyle w:val="1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Calibri" w:eastAsia="仿宋_GB2312" w:cs="仿宋"/>
          <w:color w:val="auto"/>
          <w:sz w:val="32"/>
          <w:szCs w:val="32"/>
          <w:lang w:val="en-US" w:eastAsia="zh-CN" w:bidi="ar-SA"/>
        </w:rPr>
      </w:pPr>
      <w:r>
        <w:rPr>
          <w:rFonts w:hint="eastAsia" w:ascii="仿宋_GB2312" w:hAnsi="Calibri" w:eastAsia="仿宋_GB2312" w:cs="仿宋"/>
          <w:color w:val="auto"/>
          <w:sz w:val="32"/>
          <w:szCs w:val="32"/>
          <w:lang w:val="en-US" w:eastAsia="zh-CN" w:bidi="ar-SA"/>
        </w:rPr>
        <w:t>15.卫生健康210（类）11（款）99（项）:反映除上述项目以外的其他用于行政事业单位医疗方面的支出。</w:t>
      </w:r>
    </w:p>
    <w:p w14:paraId="564F0455">
      <w:pPr>
        <w:pStyle w:val="1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Calibri" w:eastAsia="仿宋_GB2312" w:cs="仿宋"/>
          <w:color w:val="auto"/>
          <w:sz w:val="32"/>
          <w:szCs w:val="32"/>
          <w:lang w:val="en-US" w:eastAsia="zh-CN" w:bidi="ar-SA"/>
        </w:rPr>
      </w:pPr>
      <w:r>
        <w:rPr>
          <w:rFonts w:hint="eastAsia" w:ascii="仿宋_GB2312" w:hAnsi="Calibri" w:eastAsia="仿宋_GB2312" w:cs="仿宋"/>
          <w:color w:val="auto"/>
          <w:sz w:val="32"/>
          <w:szCs w:val="32"/>
          <w:lang w:val="en-US" w:eastAsia="zh-CN" w:bidi="ar-SA"/>
        </w:rPr>
        <w:t>16.住房保障221（类）02（款）01（项）：反映行政事业单位按人力资源和社会保障部、财政部规定的基本工资和津贴补贴以及规定为职工缴纳的住房公积金。</w:t>
      </w:r>
    </w:p>
    <w:p w14:paraId="219A6C42">
      <w:pPr>
        <w:spacing w:line="600" w:lineRule="exact"/>
        <w:ind w:firstLine="640"/>
        <w:rPr>
          <w:rFonts w:ascii="仿宋" w:hAnsi="仿宋" w:eastAsia="仿宋"/>
          <w:b/>
          <w:sz w:val="32"/>
          <w:szCs w:val="32"/>
        </w:rPr>
      </w:pPr>
      <w:r>
        <w:rPr>
          <w:rFonts w:hint="eastAsia" w:ascii="仿宋" w:hAnsi="仿宋" w:eastAsia="仿宋"/>
          <w:b/>
          <w:sz w:val="32"/>
          <w:szCs w:val="32"/>
        </w:rPr>
        <w:t>（解释本单位决算报表中涉及的全部功能分类科目至项级，不涉及的科目请自行删除。请参照《</w:t>
      </w:r>
      <w:r>
        <w:rPr>
          <w:rFonts w:hint="eastAsia" w:ascii="仿宋" w:hAnsi="仿宋" w:eastAsia="仿宋"/>
          <w:b/>
          <w:sz w:val="32"/>
          <w:szCs w:val="32"/>
          <w:lang w:eastAsia="zh-CN"/>
        </w:rPr>
        <w:t>2024</w:t>
      </w:r>
      <w:r>
        <w:rPr>
          <w:rFonts w:hint="eastAsia" w:ascii="仿宋" w:hAnsi="仿宋" w:eastAsia="仿宋"/>
          <w:b/>
          <w:sz w:val="32"/>
          <w:szCs w:val="32"/>
        </w:rPr>
        <w:t>年政府收支分类科目》增减内容。）</w:t>
      </w:r>
    </w:p>
    <w:p w14:paraId="1CBD68BC">
      <w:pPr>
        <w:ind w:firstLine="640" w:firstLineChars="200"/>
        <w:rPr>
          <w:rFonts w:ascii="仿宋_GB2312" w:eastAsia="仿宋_GB2312"/>
          <w:sz w:val="32"/>
          <w:szCs w:val="32"/>
        </w:rPr>
      </w:pPr>
      <w:r>
        <w:rPr>
          <w:rFonts w:ascii="仿宋_GB2312" w:eastAsia="仿宋_GB2312"/>
          <w:sz w:val="32"/>
          <w:szCs w:val="32"/>
        </w:rPr>
        <w:t>27.</w:t>
      </w:r>
      <w:r>
        <w:rPr>
          <w:rFonts w:hint="eastAsia" w:ascii="仿宋_GB2312" w:eastAsia="仿宋_GB2312"/>
          <w:sz w:val="32"/>
          <w:szCs w:val="32"/>
        </w:rPr>
        <w:t>基本支出：指为保障机构正常运转、完成日常工作任务而发生的人员支出和公用支出。</w:t>
      </w:r>
    </w:p>
    <w:p w14:paraId="6FDD6572">
      <w:pPr>
        <w:ind w:firstLine="640" w:firstLineChars="200"/>
        <w:rPr>
          <w:rFonts w:ascii="仿宋_GB2312" w:eastAsia="仿宋_GB2312"/>
          <w:sz w:val="32"/>
          <w:szCs w:val="32"/>
        </w:rPr>
      </w:pPr>
      <w:r>
        <w:rPr>
          <w:rFonts w:ascii="仿宋_GB2312" w:eastAsia="仿宋_GB2312"/>
          <w:sz w:val="32"/>
          <w:szCs w:val="32"/>
        </w:rPr>
        <w:t>28.</w:t>
      </w:r>
      <w:r>
        <w:rPr>
          <w:rFonts w:hint="eastAsia" w:ascii="仿宋_GB2312" w:eastAsia="仿宋_GB2312"/>
          <w:sz w:val="32"/>
          <w:szCs w:val="32"/>
        </w:rPr>
        <w:t>项目支出：指在基本支出之外为完成特定行政任务和事业发展目标所发生的支出。</w:t>
      </w:r>
      <w:r>
        <w:rPr>
          <w:rFonts w:ascii="仿宋_GB2312" w:eastAsia="仿宋_GB2312"/>
          <w:sz w:val="32"/>
          <w:szCs w:val="32"/>
        </w:rPr>
        <w:t xml:space="preserve"> </w:t>
      </w:r>
    </w:p>
    <w:p w14:paraId="03B166AF">
      <w:pPr>
        <w:ind w:firstLine="640" w:firstLineChars="200"/>
        <w:rPr>
          <w:rFonts w:ascii="仿宋_GB2312" w:eastAsia="仿宋_GB2312"/>
          <w:sz w:val="32"/>
          <w:szCs w:val="32"/>
        </w:rPr>
      </w:pPr>
      <w:r>
        <w:rPr>
          <w:rFonts w:ascii="仿宋_GB2312" w:eastAsia="仿宋_GB2312"/>
          <w:sz w:val="32"/>
          <w:szCs w:val="32"/>
        </w:rPr>
        <w:t>29.</w:t>
      </w:r>
      <w:r>
        <w:rPr>
          <w:rFonts w:hint="eastAsia" w:ascii="仿宋_GB2312" w:eastAsia="仿宋_GB2312"/>
          <w:sz w:val="32"/>
          <w:szCs w:val="32"/>
        </w:rPr>
        <w:t>经营支出：指事业单位在专业业务活动及其辅助活动之外开展非独立核算经营活动发生的支出。</w:t>
      </w:r>
    </w:p>
    <w:p w14:paraId="58FB73CB">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30.</w:t>
      </w: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78110705">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31.</w:t>
      </w: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FAC9304">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32.</w:t>
      </w:r>
      <w:r>
        <w:rPr>
          <w:rFonts w:hint="eastAsia" w:ascii="仿宋_GB2312" w:eastAsia="仿宋_GB2312"/>
          <w:color w:val="auto"/>
          <w:sz w:val="32"/>
          <w:szCs w:val="32"/>
        </w:rPr>
        <w:t>……。</w:t>
      </w:r>
    </w:p>
    <w:p w14:paraId="74B5C17C">
      <w:pPr>
        <w:pStyle w:val="27"/>
        <w:spacing w:line="560" w:lineRule="exact"/>
        <w:ind w:firstLine="640" w:firstLineChars="200"/>
        <w:rPr>
          <w:rFonts w:ascii="仿宋_GB2312" w:eastAsia="仿宋_GB2312" w:cs="黑体"/>
          <w:color w:val="auto"/>
          <w:sz w:val="32"/>
          <w:szCs w:val="32"/>
        </w:rPr>
      </w:pPr>
    </w:p>
    <w:p w14:paraId="2E93457C">
      <w:pPr>
        <w:ind w:firstLine="643" w:firstLineChars="200"/>
        <w:rPr>
          <w:rFonts w:ascii="仿宋" w:hAnsi="仿宋" w:eastAsia="仿宋"/>
          <w:b/>
          <w:sz w:val="32"/>
          <w:szCs w:val="32"/>
        </w:rPr>
      </w:pPr>
      <w:r>
        <w:rPr>
          <w:rFonts w:hint="eastAsia" w:ascii="仿宋" w:hAnsi="仿宋" w:eastAsia="仿宋"/>
          <w:b/>
          <w:sz w:val="32"/>
          <w:szCs w:val="32"/>
        </w:rPr>
        <w:t>（名词解释部分请根据各单位实际列支情况罗列，并根据本单位职责职能增减名词解释内容。）</w:t>
      </w:r>
    </w:p>
    <w:p w14:paraId="495C7FC2">
      <w:pPr>
        <w:spacing w:line="600" w:lineRule="exact"/>
        <w:jc w:val="center"/>
        <w:outlineLvl w:val="0"/>
        <w:rPr>
          <w:rStyle w:val="29"/>
          <w:rFonts w:ascii="黑体" w:hAnsi="黑体" w:eastAsia="黑体"/>
          <w:b w:val="0"/>
        </w:rPr>
      </w:pPr>
      <w:bookmarkStart w:id="51" w:name="_Toc15377226"/>
      <w:r>
        <w:rPr>
          <w:rFonts w:ascii="宋体"/>
          <w:b/>
          <w:sz w:val="44"/>
          <w:szCs w:val="44"/>
        </w:rPr>
        <w:br w:type="page"/>
      </w:r>
      <w:bookmarkStart w:id="52" w:name="_Toc15396614"/>
      <w:r>
        <w:rPr>
          <w:rFonts w:hint="eastAsia" w:ascii="黑体" w:hAnsi="黑体" w:eastAsia="黑体"/>
          <w:sz w:val="44"/>
          <w:szCs w:val="44"/>
        </w:rPr>
        <w:t>第</w:t>
      </w:r>
      <w:r>
        <w:rPr>
          <w:rStyle w:val="29"/>
          <w:rFonts w:hint="eastAsia" w:ascii="黑体" w:hAnsi="黑体" w:eastAsia="黑体"/>
          <w:b w:val="0"/>
        </w:rPr>
        <w:t>四部分 附件</w:t>
      </w:r>
      <w:bookmarkEnd w:id="52"/>
    </w:p>
    <w:p w14:paraId="3B2F8298">
      <w:pPr>
        <w:spacing w:line="572" w:lineRule="exact"/>
        <w:jc w:val="left"/>
        <w:outlineLvl w:val="0"/>
        <w:rPr>
          <w:rFonts w:ascii="仿宋_GB2312" w:hAnsi="仿宋_GB2312" w:eastAsia="仿宋_GB2312" w:cs="仿宋_GB2312"/>
          <w:sz w:val="32"/>
          <w:szCs w:val="32"/>
        </w:rPr>
      </w:pPr>
    </w:p>
    <w:p w14:paraId="4C2E0F89">
      <w:pPr>
        <w:spacing w:line="600" w:lineRule="exact"/>
        <w:jc w:val="center"/>
        <w:outlineLvl w:val="0"/>
        <w:rPr>
          <w:rFonts w:ascii="黑体" w:hAnsi="黑体" w:eastAsia="黑体"/>
          <w:color w:val="FF0000"/>
          <w:sz w:val="44"/>
          <w:szCs w:val="44"/>
        </w:rPr>
      </w:pPr>
      <w:bookmarkStart w:id="53" w:name="_Toc15396618"/>
      <w:r>
        <w:rPr>
          <w:rFonts w:hint="eastAsia"/>
          <w:sz w:val="32"/>
          <w:szCs w:val="32"/>
        </w:rPr>
        <w:t>部门预算项目支出绩效自评表（</w:t>
      </w:r>
      <w:r>
        <w:rPr>
          <w:rFonts w:hint="eastAsia"/>
          <w:sz w:val="32"/>
          <w:szCs w:val="32"/>
          <w:lang w:eastAsia="zh-CN"/>
        </w:rPr>
        <w:t>2024</w:t>
      </w:r>
      <w:r>
        <w:rPr>
          <w:rFonts w:hint="eastAsia"/>
          <w:sz w:val="32"/>
          <w:szCs w:val="32"/>
        </w:rPr>
        <w:t>年度）</w:t>
      </w:r>
    </w:p>
    <w:p w14:paraId="4D50DF93">
      <w:pPr>
        <w:pStyle w:val="15"/>
        <w:spacing w:line="560" w:lineRule="exact"/>
        <w:ind w:left="0" w:leftChars="0" w:firstLine="640"/>
        <w:rPr>
          <w:sz w:val="32"/>
        </w:rPr>
      </w:pPr>
    </w:p>
    <w:p w14:paraId="56FB15D3">
      <w:pPr>
        <w:pStyle w:val="15"/>
        <w:spacing w:line="560" w:lineRule="exact"/>
        <w:ind w:left="0" w:leftChars="0" w:firstLine="640"/>
        <w:rPr>
          <w:rFonts w:hAnsi="Calibri" w:eastAsia="仿宋_GB2312" w:cs="仿宋"/>
          <w:sz w:val="32"/>
          <w:lang w:val="zh-CN"/>
        </w:rPr>
      </w:pPr>
      <w:r>
        <w:rPr>
          <w:rFonts w:hint="eastAsia" w:hAnsi="Calibri" w:eastAsia="仿宋_GB2312" w:cs="仿宋"/>
          <w:sz w:val="32"/>
        </w:rPr>
        <w:t>（备注：按照绩效自评工作安排，各单位可在预算管理一体化系统—综合报表查询—预算绩效报表模块中下载本单位“部门预算项目支出绩效自评表（</w:t>
      </w:r>
      <w:r>
        <w:rPr>
          <w:rFonts w:hint="eastAsia" w:hAnsi="Calibri" w:eastAsia="仿宋_GB2312" w:cs="仿宋"/>
          <w:sz w:val="32"/>
          <w:lang w:eastAsia="zh-CN"/>
        </w:rPr>
        <w:t>2024</w:t>
      </w:r>
      <w:r>
        <w:rPr>
          <w:rFonts w:hint="eastAsia" w:hAnsi="Calibri" w:eastAsia="仿宋_GB2312" w:cs="仿宋"/>
          <w:sz w:val="32"/>
        </w:rPr>
        <w:t>年度）”，该表格应作为附件予以公开。）</w:t>
      </w:r>
    </w:p>
    <w:p w14:paraId="2C88EAC7">
      <w:pPr>
        <w:pStyle w:val="5"/>
        <w:spacing w:before="93"/>
        <w:rPr>
          <w:rFonts w:hAnsi="Calibri" w:cs="仿宋"/>
          <w:sz w:val="32"/>
          <w:szCs w:val="32"/>
        </w:rPr>
      </w:pPr>
    </w:p>
    <w:p w14:paraId="0E0CE171">
      <w:pPr>
        <w:pStyle w:val="5"/>
        <w:spacing w:before="93"/>
        <w:rPr>
          <w:rFonts w:hAnsi="Calibri" w:cs="仿宋"/>
          <w:sz w:val="32"/>
          <w:szCs w:val="32"/>
        </w:rPr>
      </w:pPr>
    </w:p>
    <w:p w14:paraId="6415C574">
      <w:pPr>
        <w:pStyle w:val="5"/>
        <w:spacing w:before="93"/>
        <w:rPr>
          <w:rFonts w:hAnsi="Calibri" w:cs="仿宋"/>
          <w:sz w:val="32"/>
          <w:szCs w:val="32"/>
        </w:rPr>
      </w:pPr>
    </w:p>
    <w:p w14:paraId="53930A22">
      <w:pPr>
        <w:pStyle w:val="5"/>
        <w:spacing w:before="93"/>
        <w:rPr>
          <w:rFonts w:hAnsi="Calibri" w:cs="仿宋"/>
          <w:sz w:val="32"/>
          <w:szCs w:val="32"/>
        </w:rPr>
      </w:pPr>
    </w:p>
    <w:p w14:paraId="41BA0E0A">
      <w:pPr>
        <w:pStyle w:val="5"/>
        <w:spacing w:before="93"/>
        <w:rPr>
          <w:rFonts w:hAnsi="Calibri" w:cs="仿宋"/>
          <w:sz w:val="32"/>
          <w:szCs w:val="32"/>
        </w:rPr>
      </w:pPr>
    </w:p>
    <w:p w14:paraId="30BB10E7">
      <w:pPr>
        <w:pStyle w:val="5"/>
        <w:spacing w:before="93"/>
        <w:rPr>
          <w:rFonts w:hAnsi="Calibri" w:cs="仿宋"/>
          <w:sz w:val="32"/>
          <w:szCs w:val="32"/>
        </w:rPr>
      </w:pPr>
    </w:p>
    <w:p w14:paraId="620340A3">
      <w:pPr>
        <w:pStyle w:val="5"/>
        <w:spacing w:before="93"/>
        <w:rPr>
          <w:rFonts w:hAnsi="Calibri" w:cs="仿宋"/>
          <w:sz w:val="32"/>
          <w:szCs w:val="32"/>
        </w:rPr>
      </w:pPr>
    </w:p>
    <w:p w14:paraId="5CB6D7E8">
      <w:pPr>
        <w:pStyle w:val="5"/>
        <w:spacing w:before="93"/>
        <w:rPr>
          <w:rFonts w:hAnsi="Calibri" w:cs="仿宋"/>
          <w:sz w:val="32"/>
          <w:szCs w:val="32"/>
        </w:rPr>
      </w:pPr>
    </w:p>
    <w:p w14:paraId="42ED4ABA">
      <w:pPr>
        <w:pStyle w:val="5"/>
        <w:spacing w:before="93"/>
        <w:rPr>
          <w:rFonts w:hAnsi="Calibri" w:cs="仿宋"/>
          <w:sz w:val="32"/>
          <w:szCs w:val="32"/>
        </w:rPr>
      </w:pPr>
    </w:p>
    <w:p w14:paraId="5432913E">
      <w:pPr>
        <w:pStyle w:val="5"/>
        <w:spacing w:before="93"/>
        <w:rPr>
          <w:rFonts w:hAnsi="Calibri" w:cs="仿宋"/>
          <w:sz w:val="32"/>
          <w:szCs w:val="32"/>
        </w:rPr>
      </w:pPr>
    </w:p>
    <w:p w14:paraId="16FC84C0">
      <w:pPr>
        <w:pStyle w:val="5"/>
        <w:spacing w:before="93"/>
        <w:rPr>
          <w:rFonts w:hAnsi="Calibri" w:cs="仿宋"/>
          <w:sz w:val="32"/>
          <w:szCs w:val="32"/>
        </w:rPr>
      </w:pPr>
    </w:p>
    <w:p w14:paraId="138B48FF">
      <w:pPr>
        <w:pStyle w:val="5"/>
        <w:spacing w:before="93"/>
        <w:rPr>
          <w:rFonts w:hAnsi="Calibri" w:cs="仿宋"/>
          <w:sz w:val="32"/>
          <w:szCs w:val="32"/>
        </w:rPr>
      </w:pPr>
    </w:p>
    <w:p w14:paraId="3EB747C1">
      <w:pPr>
        <w:spacing w:line="600" w:lineRule="exact"/>
        <w:jc w:val="center"/>
        <w:outlineLvl w:val="0"/>
        <w:rPr>
          <w:rFonts w:hint="eastAsia" w:ascii="黑体" w:hAnsi="黑体" w:eastAsia="黑体"/>
          <w:sz w:val="44"/>
          <w:szCs w:val="44"/>
        </w:rPr>
      </w:pPr>
    </w:p>
    <w:p w14:paraId="296451FE">
      <w:pPr>
        <w:spacing w:line="600" w:lineRule="exact"/>
        <w:jc w:val="center"/>
        <w:outlineLvl w:val="0"/>
        <w:rPr>
          <w:rFonts w:ascii="仿宋" w:hAnsi="仿宋" w:eastAsia="仿宋"/>
        </w:rPr>
      </w:pPr>
      <w:r>
        <w:rPr>
          <w:rFonts w:hint="eastAsia" w:ascii="黑体" w:hAnsi="黑体" w:eastAsia="黑体"/>
          <w:sz w:val="44"/>
          <w:szCs w:val="44"/>
        </w:rPr>
        <w:t>第</w:t>
      </w:r>
      <w:r>
        <w:rPr>
          <w:rStyle w:val="29"/>
          <w:rFonts w:hint="eastAsia" w:ascii="黑体" w:hAnsi="黑体" w:eastAsia="黑体"/>
          <w:b w:val="0"/>
        </w:rPr>
        <w:t>五部分 附表</w:t>
      </w:r>
      <w:bookmarkEnd w:id="51"/>
      <w:bookmarkEnd w:id="53"/>
      <w:bookmarkStart w:id="54" w:name="_Toc15396619"/>
    </w:p>
    <w:p w14:paraId="39285801">
      <w:pPr>
        <w:pStyle w:val="3"/>
        <w:rPr>
          <w:rFonts w:ascii="仿宋" w:hAnsi="仿宋" w:eastAsia="仿宋"/>
        </w:rPr>
      </w:pPr>
      <w:r>
        <w:rPr>
          <w:rFonts w:hint="eastAsia" w:ascii="仿宋" w:hAnsi="仿宋" w:eastAsia="仿宋"/>
          <w:b w:val="0"/>
        </w:rPr>
        <w:t>一、收</w:t>
      </w:r>
      <w:r>
        <w:rPr>
          <w:rStyle w:val="30"/>
          <w:rFonts w:hint="eastAsia" w:ascii="仿宋" w:hAnsi="仿宋" w:eastAsia="仿宋"/>
          <w:b w:val="0"/>
          <w:bCs w:val="0"/>
        </w:rPr>
        <w:t>入支出决算总表</w:t>
      </w:r>
      <w:bookmarkEnd w:id="54"/>
    </w:p>
    <w:p w14:paraId="204663AA">
      <w:pPr>
        <w:pStyle w:val="3"/>
        <w:rPr>
          <w:rFonts w:ascii="仿宋" w:hAnsi="仿宋" w:eastAsia="仿宋"/>
        </w:rPr>
      </w:pPr>
      <w:bookmarkStart w:id="55" w:name="_Toc15396620"/>
      <w:r>
        <w:rPr>
          <w:rFonts w:hint="eastAsia" w:ascii="仿宋" w:hAnsi="仿宋" w:eastAsia="仿宋"/>
          <w:b w:val="0"/>
        </w:rPr>
        <w:t>二、收</w:t>
      </w:r>
      <w:r>
        <w:rPr>
          <w:rStyle w:val="30"/>
          <w:rFonts w:hint="eastAsia" w:ascii="仿宋" w:hAnsi="仿宋" w:eastAsia="仿宋"/>
          <w:b w:val="0"/>
          <w:bCs w:val="0"/>
        </w:rPr>
        <w:t>入决算表</w:t>
      </w:r>
      <w:bookmarkEnd w:id="55"/>
    </w:p>
    <w:p w14:paraId="0B3A2A92">
      <w:pPr>
        <w:pStyle w:val="3"/>
        <w:rPr>
          <w:rFonts w:ascii="仿宋" w:hAnsi="仿宋" w:eastAsia="仿宋"/>
        </w:rPr>
      </w:pPr>
      <w:bookmarkStart w:id="56" w:name="_Toc15396621"/>
      <w:r>
        <w:rPr>
          <w:rStyle w:val="30"/>
          <w:rFonts w:hint="eastAsia" w:ascii="仿宋" w:hAnsi="仿宋" w:eastAsia="仿宋"/>
          <w:b w:val="0"/>
          <w:bCs w:val="0"/>
        </w:rPr>
        <w:t>三、</w:t>
      </w:r>
      <w:r>
        <w:rPr>
          <w:rFonts w:hint="eastAsia" w:ascii="仿宋" w:hAnsi="仿宋" w:eastAsia="仿宋"/>
          <w:b w:val="0"/>
        </w:rPr>
        <w:t>支</w:t>
      </w:r>
      <w:r>
        <w:rPr>
          <w:rStyle w:val="30"/>
          <w:rFonts w:hint="eastAsia" w:ascii="仿宋" w:hAnsi="仿宋" w:eastAsia="仿宋"/>
          <w:b w:val="0"/>
          <w:bCs w:val="0"/>
        </w:rPr>
        <w:t>出决算表</w:t>
      </w:r>
      <w:bookmarkEnd w:id="56"/>
    </w:p>
    <w:p w14:paraId="51DB7747">
      <w:pPr>
        <w:pStyle w:val="3"/>
        <w:rPr>
          <w:rFonts w:ascii="仿宋" w:hAnsi="仿宋" w:eastAsia="仿宋"/>
          <w:b w:val="0"/>
        </w:rPr>
      </w:pPr>
      <w:bookmarkStart w:id="57" w:name="_Toc15396622"/>
      <w:r>
        <w:rPr>
          <w:rStyle w:val="30"/>
          <w:rFonts w:hint="eastAsia" w:ascii="仿宋" w:hAnsi="仿宋" w:eastAsia="仿宋"/>
          <w:b w:val="0"/>
          <w:bCs w:val="0"/>
        </w:rPr>
        <w:t>四、</w:t>
      </w:r>
      <w:r>
        <w:rPr>
          <w:rFonts w:hint="eastAsia" w:ascii="仿宋" w:hAnsi="仿宋" w:eastAsia="仿宋"/>
          <w:b w:val="0"/>
        </w:rPr>
        <w:t>财</w:t>
      </w:r>
      <w:r>
        <w:rPr>
          <w:rStyle w:val="30"/>
          <w:rFonts w:hint="eastAsia" w:ascii="仿宋" w:hAnsi="仿宋" w:eastAsia="仿宋"/>
          <w:b w:val="0"/>
          <w:bCs w:val="0"/>
        </w:rPr>
        <w:t>政拨款收入支出决算总表</w:t>
      </w:r>
      <w:bookmarkEnd w:id="57"/>
    </w:p>
    <w:p w14:paraId="0FC64E15">
      <w:pPr>
        <w:pStyle w:val="3"/>
        <w:rPr>
          <w:rStyle w:val="30"/>
          <w:rFonts w:ascii="仿宋" w:hAnsi="仿宋" w:eastAsia="仿宋"/>
          <w:b w:val="0"/>
          <w:bCs w:val="0"/>
        </w:rPr>
      </w:pPr>
      <w:bookmarkStart w:id="58" w:name="_Toc15396623"/>
      <w:r>
        <w:rPr>
          <w:rStyle w:val="30"/>
          <w:rFonts w:hint="eastAsia" w:ascii="仿宋" w:hAnsi="仿宋" w:eastAsia="仿宋"/>
          <w:b w:val="0"/>
          <w:bCs w:val="0"/>
        </w:rPr>
        <w:t>五、</w:t>
      </w:r>
      <w:r>
        <w:rPr>
          <w:rFonts w:hint="eastAsia" w:ascii="仿宋" w:hAnsi="仿宋" w:eastAsia="仿宋"/>
          <w:b w:val="0"/>
        </w:rPr>
        <w:t>财</w:t>
      </w:r>
      <w:r>
        <w:rPr>
          <w:rStyle w:val="30"/>
          <w:rFonts w:hint="eastAsia" w:ascii="仿宋" w:hAnsi="仿宋" w:eastAsia="仿宋"/>
          <w:b w:val="0"/>
          <w:bCs w:val="0"/>
        </w:rPr>
        <w:t>政拨款支出决算明细表</w:t>
      </w:r>
      <w:bookmarkEnd w:id="58"/>
      <w:bookmarkStart w:id="59" w:name="_Toc15396624"/>
    </w:p>
    <w:p w14:paraId="47311CCB">
      <w:pPr>
        <w:pStyle w:val="3"/>
        <w:rPr>
          <w:rFonts w:ascii="仿宋" w:hAnsi="仿宋" w:eastAsia="仿宋"/>
        </w:rPr>
      </w:pPr>
      <w:r>
        <w:rPr>
          <w:rStyle w:val="30"/>
          <w:rFonts w:hint="eastAsia" w:ascii="仿宋" w:hAnsi="仿宋" w:eastAsia="仿宋"/>
          <w:b w:val="0"/>
          <w:bCs w:val="0"/>
        </w:rPr>
        <w:t>六、</w:t>
      </w:r>
      <w:r>
        <w:rPr>
          <w:rFonts w:hint="eastAsia" w:ascii="仿宋" w:hAnsi="仿宋" w:eastAsia="仿宋"/>
          <w:b w:val="0"/>
        </w:rPr>
        <w:t>一</w:t>
      </w:r>
      <w:r>
        <w:rPr>
          <w:rStyle w:val="30"/>
          <w:rFonts w:hint="eastAsia" w:ascii="仿宋" w:hAnsi="仿宋" w:eastAsia="仿宋"/>
          <w:b w:val="0"/>
          <w:bCs w:val="0"/>
        </w:rPr>
        <w:t>般公共预算财政拨款支出决算表</w:t>
      </w:r>
      <w:bookmarkEnd w:id="59"/>
    </w:p>
    <w:p w14:paraId="2AADE0A1">
      <w:pPr>
        <w:pStyle w:val="3"/>
        <w:rPr>
          <w:rFonts w:ascii="仿宋" w:hAnsi="仿宋" w:eastAsia="仿宋"/>
        </w:rPr>
      </w:pPr>
      <w:bookmarkStart w:id="60" w:name="_Toc15396625"/>
      <w:r>
        <w:rPr>
          <w:rStyle w:val="30"/>
          <w:rFonts w:hint="eastAsia" w:ascii="仿宋" w:hAnsi="仿宋" w:eastAsia="仿宋"/>
          <w:b w:val="0"/>
          <w:bCs w:val="0"/>
        </w:rPr>
        <w:t>七、</w:t>
      </w:r>
      <w:r>
        <w:rPr>
          <w:rFonts w:hint="eastAsia" w:ascii="仿宋" w:hAnsi="仿宋" w:eastAsia="仿宋"/>
          <w:b w:val="0"/>
        </w:rPr>
        <w:t>一</w:t>
      </w:r>
      <w:r>
        <w:rPr>
          <w:rStyle w:val="30"/>
          <w:rFonts w:hint="eastAsia" w:ascii="仿宋" w:hAnsi="仿宋" w:eastAsia="仿宋"/>
          <w:b w:val="0"/>
          <w:bCs w:val="0"/>
        </w:rPr>
        <w:t>般公共预算财政拨款支出决算明细表</w:t>
      </w:r>
      <w:bookmarkEnd w:id="60"/>
    </w:p>
    <w:p w14:paraId="0FE83932">
      <w:pPr>
        <w:pStyle w:val="3"/>
        <w:rPr>
          <w:rFonts w:ascii="仿宋" w:hAnsi="仿宋" w:eastAsia="仿宋"/>
        </w:rPr>
      </w:pPr>
      <w:bookmarkStart w:id="61" w:name="_Toc15396626"/>
      <w:r>
        <w:rPr>
          <w:rStyle w:val="30"/>
          <w:rFonts w:hint="eastAsia" w:ascii="仿宋" w:hAnsi="仿宋" w:eastAsia="仿宋"/>
          <w:b w:val="0"/>
          <w:bCs w:val="0"/>
        </w:rPr>
        <w:t>八、</w:t>
      </w:r>
      <w:r>
        <w:rPr>
          <w:rFonts w:hint="eastAsia" w:ascii="仿宋" w:hAnsi="仿宋" w:eastAsia="仿宋"/>
          <w:b w:val="0"/>
        </w:rPr>
        <w:t>一</w:t>
      </w:r>
      <w:r>
        <w:rPr>
          <w:rStyle w:val="30"/>
          <w:rFonts w:hint="eastAsia" w:ascii="仿宋" w:hAnsi="仿宋" w:eastAsia="仿宋"/>
          <w:b w:val="0"/>
          <w:bCs w:val="0"/>
        </w:rPr>
        <w:t>般公共预算财政拨款基本支出决算表</w:t>
      </w:r>
      <w:bookmarkEnd w:id="61"/>
    </w:p>
    <w:p w14:paraId="4202CB3D">
      <w:pPr>
        <w:pStyle w:val="3"/>
        <w:rPr>
          <w:rFonts w:ascii="仿宋" w:hAnsi="仿宋" w:eastAsia="仿宋"/>
        </w:rPr>
      </w:pPr>
      <w:bookmarkStart w:id="62" w:name="_Toc15396627"/>
      <w:r>
        <w:rPr>
          <w:rStyle w:val="30"/>
          <w:rFonts w:hint="eastAsia" w:ascii="仿宋" w:hAnsi="仿宋" w:eastAsia="仿宋"/>
          <w:b w:val="0"/>
          <w:bCs w:val="0"/>
        </w:rPr>
        <w:t>九、</w:t>
      </w:r>
      <w:r>
        <w:rPr>
          <w:rFonts w:hint="eastAsia" w:ascii="仿宋" w:hAnsi="仿宋" w:eastAsia="仿宋"/>
          <w:b w:val="0"/>
        </w:rPr>
        <w:t>一</w:t>
      </w:r>
      <w:r>
        <w:rPr>
          <w:rStyle w:val="30"/>
          <w:rFonts w:hint="eastAsia" w:ascii="仿宋" w:hAnsi="仿宋" w:eastAsia="仿宋"/>
          <w:b w:val="0"/>
          <w:bCs w:val="0"/>
        </w:rPr>
        <w:t>般公共预算财政拨款项目支出决算表</w:t>
      </w:r>
      <w:bookmarkEnd w:id="62"/>
    </w:p>
    <w:p w14:paraId="15BE8661">
      <w:pPr>
        <w:pStyle w:val="3"/>
        <w:rPr>
          <w:rFonts w:ascii="仿宋" w:hAnsi="仿宋" w:eastAsia="仿宋"/>
        </w:rPr>
      </w:pPr>
      <w:bookmarkStart w:id="63" w:name="_Toc15396628"/>
      <w:r>
        <w:rPr>
          <w:rStyle w:val="30"/>
          <w:rFonts w:hint="eastAsia" w:ascii="仿宋" w:hAnsi="仿宋" w:eastAsia="仿宋"/>
          <w:b w:val="0"/>
          <w:bCs w:val="0"/>
        </w:rPr>
        <w:t>十、</w:t>
      </w:r>
      <w:bookmarkEnd w:id="63"/>
      <w:r>
        <w:rPr>
          <w:rFonts w:hint="eastAsia" w:ascii="仿宋" w:hAnsi="仿宋" w:eastAsia="仿宋"/>
          <w:b w:val="0"/>
        </w:rPr>
        <w:t>政</w:t>
      </w:r>
      <w:r>
        <w:rPr>
          <w:rStyle w:val="30"/>
          <w:rFonts w:hint="eastAsia" w:ascii="仿宋" w:hAnsi="仿宋" w:eastAsia="仿宋"/>
          <w:b w:val="0"/>
          <w:bCs w:val="0"/>
        </w:rPr>
        <w:t>府性基金预算财政拨款收入支出决算表</w:t>
      </w:r>
    </w:p>
    <w:p w14:paraId="403AABBC">
      <w:pPr>
        <w:pStyle w:val="3"/>
        <w:rPr>
          <w:rFonts w:ascii="仿宋" w:hAnsi="仿宋" w:eastAsia="仿宋"/>
        </w:rPr>
      </w:pPr>
      <w:bookmarkStart w:id="64" w:name="_Toc15396629"/>
      <w:r>
        <w:rPr>
          <w:rStyle w:val="30"/>
          <w:rFonts w:hint="eastAsia" w:ascii="仿宋" w:hAnsi="仿宋" w:eastAsia="仿宋"/>
          <w:b w:val="0"/>
          <w:bCs w:val="0"/>
        </w:rPr>
        <w:t>十一、</w:t>
      </w:r>
      <w:bookmarkEnd w:id="64"/>
      <w:r>
        <w:rPr>
          <w:rFonts w:hint="eastAsia" w:ascii="仿宋" w:hAnsi="仿宋" w:eastAsia="仿宋"/>
          <w:b w:val="0"/>
        </w:rPr>
        <w:t>国</w:t>
      </w:r>
      <w:r>
        <w:rPr>
          <w:rStyle w:val="30"/>
          <w:rFonts w:hint="eastAsia" w:ascii="仿宋" w:hAnsi="仿宋" w:eastAsia="仿宋"/>
          <w:b w:val="0"/>
          <w:bCs w:val="0"/>
        </w:rPr>
        <w:t>有资本经营预算财政拨款收入支出决算表</w:t>
      </w:r>
    </w:p>
    <w:p w14:paraId="05189D7A">
      <w:pPr>
        <w:pStyle w:val="3"/>
        <w:rPr>
          <w:rFonts w:ascii="仿宋" w:hAnsi="仿宋" w:eastAsia="仿宋"/>
        </w:rPr>
      </w:pPr>
      <w:bookmarkStart w:id="65" w:name="_Toc15396630"/>
      <w:r>
        <w:rPr>
          <w:rStyle w:val="30"/>
          <w:rFonts w:hint="eastAsia" w:ascii="仿宋" w:hAnsi="仿宋" w:eastAsia="仿宋"/>
          <w:b w:val="0"/>
          <w:bCs w:val="0"/>
        </w:rPr>
        <w:t>十二、</w:t>
      </w:r>
      <w:bookmarkEnd w:id="65"/>
      <w:r>
        <w:rPr>
          <w:rStyle w:val="30"/>
          <w:rFonts w:hint="eastAsia" w:ascii="仿宋" w:hAnsi="仿宋" w:eastAsia="仿宋"/>
          <w:b w:val="0"/>
          <w:bCs w:val="0"/>
        </w:rPr>
        <w:t>国有资本经营预算财政拨款支出决算表</w:t>
      </w:r>
    </w:p>
    <w:p w14:paraId="47E2BDC2">
      <w:pPr>
        <w:pStyle w:val="3"/>
        <w:rPr>
          <w:rFonts w:eastAsia="仿宋"/>
        </w:rPr>
      </w:pPr>
      <w:bookmarkStart w:id="66" w:name="_Toc15396631"/>
      <w:r>
        <w:rPr>
          <w:rStyle w:val="30"/>
          <w:rFonts w:hint="eastAsia" w:ascii="仿宋" w:hAnsi="仿宋" w:eastAsia="仿宋"/>
          <w:b w:val="0"/>
          <w:bCs w:val="0"/>
        </w:rPr>
        <w:t>十三、</w:t>
      </w:r>
      <w:bookmarkEnd w:id="66"/>
      <w:r>
        <w:rPr>
          <w:rStyle w:val="30"/>
          <w:rFonts w:hint="eastAsia" w:ascii="仿宋" w:hAnsi="仿宋" w:eastAsia="仿宋"/>
          <w:b w:val="0"/>
          <w:bCs w:val="0"/>
        </w:rPr>
        <w:t>财政拨款“三公”经费支出决算表</w:t>
      </w:r>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14:paraId="3D792058">
        <w:pPr>
          <w:pStyle w:val="9"/>
          <w:jc w:val="center"/>
        </w:pPr>
        <w:r>
          <w:fldChar w:fldCharType="begin"/>
        </w:r>
        <w:r>
          <w:instrText xml:space="preserve">PAGE   \* MERGEFORMAT</w:instrText>
        </w:r>
        <w:r>
          <w:fldChar w:fldCharType="separate"/>
        </w:r>
        <w:r>
          <w:rPr>
            <w:lang w:val="zh-CN"/>
          </w:rPr>
          <w:t>15</w:t>
        </w:r>
        <w:r>
          <w:fldChar w:fldCharType="end"/>
        </w:r>
      </w:p>
    </w:sdtContent>
  </w:sdt>
  <w:p w14:paraId="40E4D063">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15DE6A">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3818A09A"/>
    <w:multiLevelType w:val="singleLevel"/>
    <w:tmpl w:val="3818A09A"/>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NkYzc1NzFiOWI5NmUwNjJhMzNjZDM5YzdhY2E3ZWQ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A1DAD"/>
    <w:rsid w:val="001C0962"/>
    <w:rsid w:val="001D7531"/>
    <w:rsid w:val="001E737D"/>
    <w:rsid w:val="001F0592"/>
    <w:rsid w:val="001F7506"/>
    <w:rsid w:val="002006CD"/>
    <w:rsid w:val="00202B36"/>
    <w:rsid w:val="00204B7A"/>
    <w:rsid w:val="00204CDE"/>
    <w:rsid w:val="00206907"/>
    <w:rsid w:val="0021101A"/>
    <w:rsid w:val="00212B4A"/>
    <w:rsid w:val="00220536"/>
    <w:rsid w:val="00235629"/>
    <w:rsid w:val="00260C38"/>
    <w:rsid w:val="002616C0"/>
    <w:rsid w:val="00265372"/>
    <w:rsid w:val="002662AA"/>
    <w:rsid w:val="00280496"/>
    <w:rsid w:val="00294DC9"/>
    <w:rsid w:val="00295495"/>
    <w:rsid w:val="002A31DE"/>
    <w:rsid w:val="002B2613"/>
    <w:rsid w:val="002C5004"/>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25C50"/>
    <w:rsid w:val="0043177C"/>
    <w:rsid w:val="00434489"/>
    <w:rsid w:val="00437085"/>
    <w:rsid w:val="00443880"/>
    <w:rsid w:val="004464F4"/>
    <w:rsid w:val="0046049C"/>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533CF"/>
    <w:rsid w:val="005664BB"/>
    <w:rsid w:val="00566FFA"/>
    <w:rsid w:val="0057481D"/>
    <w:rsid w:val="0058486E"/>
    <w:rsid w:val="00585B33"/>
    <w:rsid w:val="0059014D"/>
    <w:rsid w:val="005B5C64"/>
    <w:rsid w:val="005B6E8A"/>
    <w:rsid w:val="005C5337"/>
    <w:rsid w:val="005C6BD0"/>
    <w:rsid w:val="005D1C8B"/>
    <w:rsid w:val="005D468D"/>
    <w:rsid w:val="005D5CED"/>
    <w:rsid w:val="005F10BC"/>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55FC5"/>
    <w:rsid w:val="0066343B"/>
    <w:rsid w:val="00664777"/>
    <w:rsid w:val="006748A4"/>
    <w:rsid w:val="00681A31"/>
    <w:rsid w:val="00683E73"/>
    <w:rsid w:val="006A3141"/>
    <w:rsid w:val="006A5E34"/>
    <w:rsid w:val="006B2422"/>
    <w:rsid w:val="006B2B9A"/>
    <w:rsid w:val="006C1937"/>
    <w:rsid w:val="006F020C"/>
    <w:rsid w:val="0071021A"/>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10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C7FD8"/>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1E6F"/>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3DC2831"/>
    <w:rsid w:val="081B5E94"/>
    <w:rsid w:val="0A2032A3"/>
    <w:rsid w:val="0B8A37D8"/>
    <w:rsid w:val="0F5FFB2F"/>
    <w:rsid w:val="0FFFCF60"/>
    <w:rsid w:val="10C055FF"/>
    <w:rsid w:val="118107EC"/>
    <w:rsid w:val="11DD6519"/>
    <w:rsid w:val="14185F29"/>
    <w:rsid w:val="16BB723D"/>
    <w:rsid w:val="18015F3F"/>
    <w:rsid w:val="1BE8440E"/>
    <w:rsid w:val="1CFF2845"/>
    <w:rsid w:val="1D155CEE"/>
    <w:rsid w:val="1FDBBF84"/>
    <w:rsid w:val="20F57F95"/>
    <w:rsid w:val="240371BF"/>
    <w:rsid w:val="24DE77D1"/>
    <w:rsid w:val="25711CC6"/>
    <w:rsid w:val="25C741E6"/>
    <w:rsid w:val="276F80C0"/>
    <w:rsid w:val="27842671"/>
    <w:rsid w:val="29FD04D3"/>
    <w:rsid w:val="2ABE7A3E"/>
    <w:rsid w:val="2AFF09B6"/>
    <w:rsid w:val="2CA234A8"/>
    <w:rsid w:val="2EFA178C"/>
    <w:rsid w:val="2EFDF86C"/>
    <w:rsid w:val="2F9D17E1"/>
    <w:rsid w:val="30B46D73"/>
    <w:rsid w:val="319F7F4E"/>
    <w:rsid w:val="356A28F1"/>
    <w:rsid w:val="357C035A"/>
    <w:rsid w:val="368E000D"/>
    <w:rsid w:val="383D272C"/>
    <w:rsid w:val="39AE70AB"/>
    <w:rsid w:val="3A4DCE41"/>
    <w:rsid w:val="3BCB56FA"/>
    <w:rsid w:val="3C0C0783"/>
    <w:rsid w:val="3EE7C2F4"/>
    <w:rsid w:val="3F371B56"/>
    <w:rsid w:val="3F792ED8"/>
    <w:rsid w:val="3F9F3A96"/>
    <w:rsid w:val="3FECA4B2"/>
    <w:rsid w:val="3FF58C48"/>
    <w:rsid w:val="42FF6694"/>
    <w:rsid w:val="48BF60AB"/>
    <w:rsid w:val="493C27E9"/>
    <w:rsid w:val="496F39ED"/>
    <w:rsid w:val="49FF41D3"/>
    <w:rsid w:val="4BE068DB"/>
    <w:rsid w:val="4BF6002B"/>
    <w:rsid w:val="4BFFC6BE"/>
    <w:rsid w:val="4ECE2238"/>
    <w:rsid w:val="51DB4B86"/>
    <w:rsid w:val="51F64DB0"/>
    <w:rsid w:val="55333C3E"/>
    <w:rsid w:val="5F67802D"/>
    <w:rsid w:val="5F7DC4F2"/>
    <w:rsid w:val="5FB36814"/>
    <w:rsid w:val="5FBB8E56"/>
    <w:rsid w:val="5FFB5535"/>
    <w:rsid w:val="64CA39A1"/>
    <w:rsid w:val="69630ADE"/>
    <w:rsid w:val="69BD5F13"/>
    <w:rsid w:val="69FB0B4B"/>
    <w:rsid w:val="6BFFE1FB"/>
    <w:rsid w:val="6C4A05C8"/>
    <w:rsid w:val="6D3B1A89"/>
    <w:rsid w:val="6DB7D8A3"/>
    <w:rsid w:val="6EC78701"/>
    <w:rsid w:val="6F7A5481"/>
    <w:rsid w:val="6FFE07A9"/>
    <w:rsid w:val="71BF4EC2"/>
    <w:rsid w:val="72734D90"/>
    <w:rsid w:val="73E75B71"/>
    <w:rsid w:val="7412278C"/>
    <w:rsid w:val="75DDCDA9"/>
    <w:rsid w:val="75FF44B1"/>
    <w:rsid w:val="77670518"/>
    <w:rsid w:val="777FA627"/>
    <w:rsid w:val="77DF1B5F"/>
    <w:rsid w:val="77EF2D9D"/>
    <w:rsid w:val="79E7B28D"/>
    <w:rsid w:val="7ACFF0C2"/>
    <w:rsid w:val="7AFB9108"/>
    <w:rsid w:val="7BD5340C"/>
    <w:rsid w:val="7BFB19D2"/>
    <w:rsid w:val="7BFD1750"/>
    <w:rsid w:val="7BFDAA1B"/>
    <w:rsid w:val="7CDF9A82"/>
    <w:rsid w:val="7CFFA1BD"/>
    <w:rsid w:val="7D2E3F7A"/>
    <w:rsid w:val="7DED9490"/>
    <w:rsid w:val="7DFF4872"/>
    <w:rsid w:val="7E737686"/>
    <w:rsid w:val="7E7487E6"/>
    <w:rsid w:val="7E7C2A54"/>
    <w:rsid w:val="7EEEFD72"/>
    <w:rsid w:val="7F1D517C"/>
    <w:rsid w:val="7F5DA057"/>
    <w:rsid w:val="7F6C2237"/>
    <w:rsid w:val="7F7F319B"/>
    <w:rsid w:val="7F9F20EE"/>
    <w:rsid w:val="7FA66754"/>
    <w:rsid w:val="7FBBE890"/>
    <w:rsid w:val="7FBC2ABD"/>
    <w:rsid w:val="7FBF5D48"/>
    <w:rsid w:val="7FCCFC01"/>
    <w:rsid w:val="7FDD1748"/>
    <w:rsid w:val="7FE769C6"/>
    <w:rsid w:val="7FFD083E"/>
    <w:rsid w:val="7FFF9372"/>
    <w:rsid w:val="84BF1F3B"/>
    <w:rsid w:val="8F55B106"/>
    <w:rsid w:val="95DF317D"/>
    <w:rsid w:val="97E77C70"/>
    <w:rsid w:val="9E3A10E2"/>
    <w:rsid w:val="9FB91FBD"/>
    <w:rsid w:val="9FD54998"/>
    <w:rsid w:val="A671883B"/>
    <w:rsid w:val="A7EFD17F"/>
    <w:rsid w:val="A7FFE43F"/>
    <w:rsid w:val="BDFEA317"/>
    <w:rsid w:val="CD9BBABB"/>
    <w:rsid w:val="CF99F292"/>
    <w:rsid w:val="D5DA60B3"/>
    <w:rsid w:val="D7C6F579"/>
    <w:rsid w:val="D8FECA92"/>
    <w:rsid w:val="DAFFBE66"/>
    <w:rsid w:val="DD2C0BFE"/>
    <w:rsid w:val="DE3F332B"/>
    <w:rsid w:val="DE6F4A3D"/>
    <w:rsid w:val="DF69F8B0"/>
    <w:rsid w:val="DFC71555"/>
    <w:rsid w:val="DFFC559C"/>
    <w:rsid w:val="DFFEDFAE"/>
    <w:rsid w:val="DFFFB5EB"/>
    <w:rsid w:val="E4B33E57"/>
    <w:rsid w:val="E5BF946A"/>
    <w:rsid w:val="EB39BD45"/>
    <w:rsid w:val="EBCF1FC2"/>
    <w:rsid w:val="EBD18F66"/>
    <w:rsid w:val="ED17392C"/>
    <w:rsid w:val="ED9FFD9A"/>
    <w:rsid w:val="EDB7968B"/>
    <w:rsid w:val="EEF73F60"/>
    <w:rsid w:val="EFED9E42"/>
    <w:rsid w:val="EFFFB194"/>
    <w:rsid w:val="F2E1F9D4"/>
    <w:rsid w:val="F5FF7449"/>
    <w:rsid w:val="F7880819"/>
    <w:rsid w:val="F7AF180D"/>
    <w:rsid w:val="F7BDBFA7"/>
    <w:rsid w:val="F7FAD68F"/>
    <w:rsid w:val="F7FB14CF"/>
    <w:rsid w:val="FB3FC69C"/>
    <w:rsid w:val="FBDFF225"/>
    <w:rsid w:val="FBF7AB63"/>
    <w:rsid w:val="FC2F3373"/>
    <w:rsid w:val="FCF51535"/>
    <w:rsid w:val="FD77F6B8"/>
    <w:rsid w:val="FDD69328"/>
    <w:rsid w:val="FDDFEC0E"/>
    <w:rsid w:val="FDE58BDD"/>
    <w:rsid w:val="FDEC7001"/>
    <w:rsid w:val="FEDFE87F"/>
    <w:rsid w:val="FEF1D25B"/>
    <w:rsid w:val="FF3EF90F"/>
    <w:rsid w:val="FFAF6081"/>
    <w:rsid w:val="FFECCD8C"/>
    <w:rsid w:val="FFED60BD"/>
    <w:rsid w:val="FFEE08F0"/>
    <w:rsid w:val="FFEE7F9F"/>
    <w:rsid w:val="FFFF31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26"/>
    <w:qFormat/>
    <w:uiPriority w:val="99"/>
    <w:pPr>
      <w:spacing w:beforeLines="30"/>
    </w:pPr>
    <w:rPr>
      <w:rFonts w:ascii="仿宋_GB2312" w:eastAsia="仿宋_GB2312"/>
      <w:kern w:val="0"/>
      <w:sz w:val="30"/>
    </w:rPr>
  </w:style>
  <w:style w:type="paragraph" w:styleId="6">
    <w:name w:val="Body Text Indent"/>
    <w:basedOn w:val="1"/>
    <w:qFormat/>
    <w:uiPriority w:val="0"/>
    <w:pPr>
      <w:spacing w:after="120"/>
      <w:ind w:left="200" w:leftChars="200"/>
    </w:pPr>
    <w:rPr>
      <w:rFonts w:ascii="仿宋_GB2312"/>
      <w:szCs w:val="32"/>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32"/>
    <w:semiHidden/>
    <w:unhideWhenUsed/>
    <w:qFormat/>
    <w:uiPriority w:val="99"/>
    <w:rPr>
      <w:sz w:val="18"/>
      <w:szCs w:val="18"/>
    </w:rPr>
  </w:style>
  <w:style w:type="paragraph" w:styleId="9">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paragraph" w:styleId="13">
    <w:name w:val="HTML Preformatted"/>
    <w:basedOn w:val="1"/>
    <w:qFormat/>
    <w:uiPriority w:val="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cs="Times New Roman"/>
    </w:rPr>
  </w:style>
  <w:style w:type="paragraph" w:styleId="14">
    <w:name w:val="Normal (Web)"/>
    <w:basedOn w:val="1"/>
    <w:unhideWhenUsed/>
    <w:qFormat/>
    <w:uiPriority w:val="99"/>
  </w:style>
  <w:style w:type="paragraph" w:styleId="15">
    <w:name w:val="Body Text First Indent 2"/>
    <w:basedOn w:val="6"/>
    <w:unhideWhenUsed/>
    <w:qFormat/>
    <w:uiPriority w:val="99"/>
    <w:pPr>
      <w:ind w:firstLine="420" w:firstLine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paragraph" w:customStyle="1" w:styleId="20">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1">
    <w:name w:val="Header Char"/>
    <w:basedOn w:val="17"/>
    <w:semiHidden/>
    <w:qFormat/>
    <w:uiPriority w:val="99"/>
    <w:rPr>
      <w:rFonts w:ascii="Times New Roman" w:hAnsi="Times New Roman"/>
      <w:sz w:val="18"/>
      <w:szCs w:val="18"/>
    </w:rPr>
  </w:style>
  <w:style w:type="character" w:customStyle="1" w:styleId="22">
    <w:name w:val="页眉 字符"/>
    <w:link w:val="10"/>
    <w:semiHidden/>
    <w:qFormat/>
    <w:locked/>
    <w:uiPriority w:val="99"/>
    <w:rPr>
      <w:sz w:val="18"/>
    </w:rPr>
  </w:style>
  <w:style w:type="character" w:customStyle="1" w:styleId="23">
    <w:name w:val="Footer Char"/>
    <w:basedOn w:val="17"/>
    <w:semiHidden/>
    <w:qFormat/>
    <w:uiPriority w:val="99"/>
    <w:rPr>
      <w:rFonts w:ascii="Times New Roman" w:hAnsi="Times New Roman"/>
      <w:sz w:val="18"/>
      <w:szCs w:val="18"/>
    </w:rPr>
  </w:style>
  <w:style w:type="character" w:customStyle="1" w:styleId="24">
    <w:name w:val="页脚 字符"/>
    <w:link w:val="9"/>
    <w:qFormat/>
    <w:locked/>
    <w:uiPriority w:val="99"/>
    <w:rPr>
      <w:sz w:val="18"/>
    </w:rPr>
  </w:style>
  <w:style w:type="character" w:customStyle="1" w:styleId="25">
    <w:name w:val="Body Text Char"/>
    <w:basedOn w:val="17"/>
    <w:semiHidden/>
    <w:qFormat/>
    <w:uiPriority w:val="99"/>
    <w:rPr>
      <w:rFonts w:ascii="Times New Roman" w:hAnsi="Times New Roman"/>
      <w:szCs w:val="24"/>
    </w:rPr>
  </w:style>
  <w:style w:type="character" w:customStyle="1" w:styleId="26">
    <w:name w:val="正文文本 字符"/>
    <w:link w:val="5"/>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字符"/>
    <w:basedOn w:val="17"/>
    <w:link w:val="2"/>
    <w:qFormat/>
    <w:uiPriority w:val="9"/>
    <w:rPr>
      <w:rFonts w:ascii="Times New Roman" w:hAnsi="Times New Roman"/>
      <w:b/>
      <w:bCs/>
      <w:kern w:val="44"/>
      <w:sz w:val="44"/>
      <w:szCs w:val="44"/>
    </w:rPr>
  </w:style>
  <w:style w:type="character" w:customStyle="1" w:styleId="30">
    <w:name w:val="标题 2 字符"/>
    <w:basedOn w:val="17"/>
    <w:link w:val="3"/>
    <w:qFormat/>
    <w:uiPriority w:val="9"/>
    <w:rPr>
      <w:rFonts w:asciiTheme="majorHAnsi" w:hAnsiTheme="majorHAnsi" w:eastAsiaTheme="majorEastAsia" w:cstheme="majorBidi"/>
      <w:b/>
      <w:bCs/>
      <w:kern w:val="2"/>
      <w:sz w:val="32"/>
      <w:szCs w:val="32"/>
    </w:rPr>
  </w:style>
  <w:style w:type="paragraph" w:customStyle="1" w:styleId="31">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字符"/>
    <w:basedOn w:val="17"/>
    <w:link w:val="8"/>
    <w:semiHidden/>
    <w:qFormat/>
    <w:uiPriority w:val="99"/>
    <w:rPr>
      <w:rFonts w:ascii="Times New Roman" w:hAnsi="Times New Roman"/>
      <w:kern w:val="2"/>
      <w:sz w:val="18"/>
      <w:szCs w:val="18"/>
    </w:rPr>
  </w:style>
  <w:style w:type="character" w:customStyle="1" w:styleId="33">
    <w:name w:val="标题 3 字符"/>
    <w:basedOn w:val="17"/>
    <w:link w:val="4"/>
    <w:qFormat/>
    <w:uiPriority w:val="9"/>
    <w:rPr>
      <w:rFonts w:ascii="Times New Roman" w:hAnsi="Times New Roman"/>
      <w:b/>
      <w:bCs/>
      <w:kern w:val="2"/>
      <w:sz w:val="32"/>
      <w:szCs w:val="32"/>
    </w:rPr>
  </w:style>
  <w:style w:type="paragraph" w:customStyle="1" w:styleId="34">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manualLayout>
          <c:layoutTarget val="inner"/>
          <c:xMode val="edge"/>
          <c:yMode val="edge"/>
          <c:x val="0.0479101232181686"/>
          <c:y val="0.148746281342966"/>
          <c:w val="0.930345494080696"/>
          <c:h val="0.638631534211645"/>
        </c:manualLayout>
      </c:layout>
      <c:barChart>
        <c:barDir val="col"/>
        <c:grouping val="clustered"/>
        <c:varyColors val="0"/>
        <c:ser>
          <c:idx val="0"/>
          <c:order val="0"/>
          <c:tx>
            <c:strRef>
              <c:f>Sheet1!$B$1</c:f>
              <c:strCache>
                <c:ptCount val="1"/>
                <c:pt idx="0">
                  <c:v>收支决算变动</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2023年</c:v>
                </c:pt>
                <c:pt idx="1">
                  <c:v>2024年</c:v>
                </c:pt>
              </c:strCache>
            </c:strRef>
          </c:cat>
          <c:val>
            <c:numRef>
              <c:f>Sheet1!$B$2:$B$3</c:f>
              <c:numCache>
                <c:formatCode>General</c:formatCode>
                <c:ptCount val="2"/>
                <c:pt idx="0">
                  <c:v>1299.56</c:v>
                </c:pt>
                <c:pt idx="1">
                  <c:v>1627.63</c:v>
                </c:pt>
              </c:numCache>
            </c:numRef>
          </c:val>
        </c:ser>
        <c:dLbls>
          <c:showLegendKey val="0"/>
          <c:showVal val="1"/>
          <c:showCatName val="0"/>
          <c:showSerName val="0"/>
          <c:showPercent val="0"/>
          <c:showBubbleSize val="0"/>
        </c:dLbls>
        <c:gapWidth val="246"/>
        <c:overlap val="-28"/>
        <c:axId val="471891022"/>
        <c:axId val="451076873"/>
      </c:barChart>
      <c:catAx>
        <c:axId val="471891022"/>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51076873"/>
        <c:crosses val="autoZero"/>
        <c:auto val="1"/>
        <c:lblAlgn val="ctr"/>
        <c:lblOffset val="100"/>
        <c:noMultiLvlLbl val="0"/>
      </c:catAx>
      <c:valAx>
        <c:axId val="451076873"/>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71891022"/>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510ae687-706e-4acc-9ff0-463eafa41957}"/>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收入决算情况表</c:v>
                </c:pt>
              </c:strCache>
            </c:strRef>
          </c:tx>
          <c:spPr/>
          <c:explosion val="0"/>
          <c:dPt>
            <c:idx val="0"/>
            <c:bubble3D val="0"/>
            <c:spPr>
              <a:solidFill>
                <a:schemeClr val="accent1"/>
              </a:solidFill>
              <a:ln>
                <a:solidFill>
                  <a:schemeClr val="bg1"/>
                </a:solidFill>
              </a:ln>
              <a:effectLst/>
            </c:spPr>
          </c:dPt>
          <c:dLbls>
            <c:delete val="1"/>
          </c:dLbls>
          <c:cat>
            <c:strRef>
              <c:f>Sheet1!$A$2</c:f>
              <c:strCache>
                <c:ptCount val="1"/>
                <c:pt idx="0">
                  <c:v>一般公共预算财政拨款收入</c:v>
                </c:pt>
              </c:strCache>
            </c:strRef>
          </c:cat>
          <c:val>
            <c:numRef>
              <c:f>Sheet1!$B$2</c:f>
              <c:numCache>
                <c:formatCode>General</c:formatCode>
                <c:ptCount val="1"/>
                <c:pt idx="0">
                  <c:v>1627.63</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4bf010d4-91f5-4165-90bc-193402388325}"/>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manualLayout>
          <c:layoutTarget val="inner"/>
          <c:xMode val="edge"/>
          <c:yMode val="edge"/>
          <c:x val="0.27947571877265"/>
          <c:y val="0.298555036124097"/>
          <c:w val="0.39514375453008"/>
          <c:h val="0.695070123246919"/>
        </c:manualLayout>
      </c:layout>
      <c:pieChart>
        <c:varyColors val="1"/>
        <c:ser>
          <c:idx val="0"/>
          <c:order val="0"/>
          <c:tx>
            <c:strRef>
              <c:f>Sheet1!$B$1</c:f>
              <c:strCache>
                <c:ptCount val="1"/>
                <c:pt idx="0">
                  <c:v>支出决算情况表</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dLblPos val="bestFit"/>
              <c:showLegendKey val="0"/>
              <c:showVal val="1"/>
              <c:showCatName val="0"/>
              <c:showSerName val="0"/>
              <c:showPercent val="0"/>
              <c:showBubbleSize val="0"/>
              <c:extLst>
                <c:ext xmlns:c15="http://schemas.microsoft.com/office/drawing/2012/chart" uri="{CE6537A1-D6FC-4f65-9D91-7224C49458BB}"/>
              </c:extLst>
            </c:dLbl>
            <c:dLbl>
              <c:idx val="1"/>
              <c:layout/>
              <c:dLblPos val="bestFi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985.52</c:v>
                </c:pt>
                <c:pt idx="1">
                  <c:v>642.11</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1a466061-f744-4cbd-b544-b7c749898721}"/>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财政拨款收支决算表</a:t>
            </a:r>
          </a:p>
        </c:rich>
      </c:tx>
      <c:layout/>
      <c:overlay val="0"/>
      <c:spPr>
        <a:noFill/>
        <a:ln>
          <a:noFill/>
        </a:ln>
        <a:effectLst/>
      </c:spPr>
    </c:title>
    <c:autoTitleDeleted val="0"/>
    <c:plotArea>
      <c:layout>
        <c:manualLayout>
          <c:layoutTarget val="inner"/>
          <c:xMode val="edge"/>
          <c:yMode val="edge"/>
          <c:x val="0.0479101232181686"/>
          <c:y val="0.148746281342966"/>
          <c:w val="0.930345494080696"/>
          <c:h val="0.638631534211645"/>
        </c:manualLayout>
      </c:layout>
      <c:barChart>
        <c:barDir val="col"/>
        <c:grouping val="clustered"/>
        <c:varyColors val="0"/>
        <c:ser>
          <c:idx val="0"/>
          <c:order val="0"/>
          <c:tx>
            <c:strRef>
              <c:f>Sheet1!$B$1</c:f>
              <c:strCache>
                <c:ptCount val="1"/>
                <c:pt idx="0">
                  <c:v>收支决算变动</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2023年</c:v>
                </c:pt>
                <c:pt idx="1">
                  <c:v>2024年</c:v>
                </c:pt>
              </c:strCache>
            </c:strRef>
          </c:cat>
          <c:val>
            <c:numRef>
              <c:f>Sheet1!$B$2:$B$3</c:f>
              <c:numCache>
                <c:formatCode>General</c:formatCode>
                <c:ptCount val="2"/>
                <c:pt idx="0">
                  <c:v>1308.45</c:v>
                </c:pt>
                <c:pt idx="1">
                  <c:v>1299.56</c:v>
                </c:pt>
              </c:numCache>
            </c:numRef>
          </c:val>
        </c:ser>
        <c:dLbls>
          <c:showLegendKey val="0"/>
          <c:showVal val="1"/>
          <c:showCatName val="0"/>
          <c:showSerName val="0"/>
          <c:showPercent val="0"/>
          <c:showBubbleSize val="0"/>
        </c:dLbls>
        <c:gapWidth val="246"/>
        <c:overlap val="-28"/>
        <c:axId val="471891022"/>
        <c:axId val="451076873"/>
      </c:barChart>
      <c:catAx>
        <c:axId val="471891022"/>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51076873"/>
        <c:crosses val="autoZero"/>
        <c:auto val="1"/>
        <c:lblAlgn val="ctr"/>
        <c:lblOffset val="100"/>
        <c:noMultiLvlLbl val="0"/>
      </c:catAx>
      <c:valAx>
        <c:axId val="451076873"/>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71891022"/>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04a3df1f-0518-4be2-a2a4-a83ec9503530}"/>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财政拨款支出决算表</a:t>
            </a:r>
          </a:p>
        </c:rich>
      </c:tx>
      <c:layout/>
      <c:overlay val="0"/>
      <c:spPr>
        <a:noFill/>
        <a:ln>
          <a:noFill/>
        </a:ln>
        <a:effectLst/>
      </c:spPr>
    </c:title>
    <c:autoTitleDeleted val="0"/>
    <c:plotArea>
      <c:layout>
        <c:manualLayout>
          <c:layoutTarget val="inner"/>
          <c:xMode val="edge"/>
          <c:yMode val="edge"/>
          <c:x val="0.0479101232181686"/>
          <c:y val="0.148746281342966"/>
          <c:w val="0.930345494080696"/>
          <c:h val="0.638631534211645"/>
        </c:manualLayout>
      </c:layout>
      <c:barChart>
        <c:barDir val="col"/>
        <c:grouping val="clustered"/>
        <c:varyColors val="0"/>
        <c:ser>
          <c:idx val="0"/>
          <c:order val="0"/>
          <c:tx>
            <c:strRef>
              <c:f>Sheet1!$B$1</c:f>
              <c:strCache>
                <c:ptCount val="1"/>
                <c:pt idx="0">
                  <c:v>收支决算变动</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2023年</c:v>
                </c:pt>
                <c:pt idx="1">
                  <c:v>2024年</c:v>
                </c:pt>
              </c:strCache>
            </c:strRef>
          </c:cat>
          <c:val>
            <c:numRef>
              <c:f>Sheet1!$B$2:$B$3</c:f>
              <c:numCache>
                <c:formatCode>General</c:formatCode>
                <c:ptCount val="2"/>
                <c:pt idx="0">
                  <c:v>1299.56</c:v>
                </c:pt>
                <c:pt idx="1">
                  <c:v>1627.63</c:v>
                </c:pt>
              </c:numCache>
            </c:numRef>
          </c:val>
        </c:ser>
        <c:dLbls>
          <c:showLegendKey val="0"/>
          <c:showVal val="1"/>
          <c:showCatName val="0"/>
          <c:showSerName val="0"/>
          <c:showPercent val="0"/>
          <c:showBubbleSize val="0"/>
        </c:dLbls>
        <c:gapWidth val="246"/>
        <c:overlap val="-28"/>
        <c:axId val="471891022"/>
        <c:axId val="451076873"/>
      </c:barChart>
      <c:catAx>
        <c:axId val="471891022"/>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51076873"/>
        <c:crosses val="autoZero"/>
        <c:auto val="1"/>
        <c:lblAlgn val="ctr"/>
        <c:lblOffset val="100"/>
        <c:noMultiLvlLbl val="0"/>
      </c:catAx>
      <c:valAx>
        <c:axId val="451076873"/>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71891022"/>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572c3a25-e52e-4f49-adfd-9ea3baa0507f}"/>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一般公共预算财政拨款支出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一般公共服务支出</c:v>
                </c:pt>
                <c:pt idx="1">
                  <c:v>社会保障和就业支出</c:v>
                </c:pt>
                <c:pt idx="2">
                  <c:v>卫生健康支出</c:v>
                </c:pt>
                <c:pt idx="3">
                  <c:v>住房保障支出</c:v>
                </c:pt>
              </c:strCache>
            </c:strRef>
          </c:cat>
          <c:val>
            <c:numRef>
              <c:f>Sheet1!$B$2:$B$5</c:f>
              <c:numCache>
                <c:formatCode>General</c:formatCode>
                <c:ptCount val="4"/>
                <c:pt idx="0">
                  <c:v>1396</c:v>
                </c:pt>
                <c:pt idx="1">
                  <c:v>129.97</c:v>
                </c:pt>
                <c:pt idx="2">
                  <c:v>48.4</c:v>
                </c:pt>
                <c:pt idx="3">
                  <c:v>53.26</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b499cd6a-1a26-4a5c-a5b7-984cabb8b9bb}"/>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“三公”经费财政拨款支出</c:v>
                </c:pt>
              </c:strCache>
            </c:strRef>
          </c:tx>
          <c:spPr/>
          <c:explosion val="0"/>
          <c:dPt>
            <c:idx val="0"/>
            <c:bubble3D val="0"/>
            <c:spPr>
              <a:solidFill>
                <a:schemeClr val="accent1"/>
              </a:solidFill>
              <a:ln>
                <a:solidFill>
                  <a:schemeClr val="bg1"/>
                </a:solidFill>
              </a:ln>
              <a:effectLst/>
            </c:spPr>
          </c:dPt>
          <c:dLbls>
            <c:delete val="1"/>
          </c:dLbls>
          <c:cat>
            <c:strRef>
              <c:f>Sheet1!$A$2</c:f>
              <c:strCache>
                <c:ptCount val="1"/>
                <c:pt idx="0">
                  <c:v>公务接待支出</c:v>
                </c:pt>
              </c:strCache>
            </c:strRef>
          </c:cat>
          <c:val>
            <c:numRef>
              <c:f>Sheet1!$B$2</c:f>
              <c:numCache>
                <c:formatCode>General</c:formatCode>
                <c:ptCount val="1"/>
                <c:pt idx="0">
                  <c:v>0.31</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86da7ed7-4d45-4d72-86b1-47da4036d4a1}"/>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四川省财政厅</Company>
  <Pages>21</Pages>
  <Words>7864</Words>
  <Characters>8678</Characters>
  <Lines>54</Lines>
  <Paragraphs>15</Paragraphs>
  <TotalTime>0</TotalTime>
  <ScaleCrop>false</ScaleCrop>
  <LinksUpToDate>false</LinksUpToDate>
  <CharactersWithSpaces>8714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2020-08-08T01:49:00Z</dcterms:created>
  <dc:creator>曹颖</dc:creator>
  <cp:lastModifiedBy>FAAH</cp:lastModifiedBy>
  <cp:lastPrinted>2023-08-03T02:35:00Z</cp:lastPrinted>
  <dcterms:modified xsi:type="dcterms:W3CDTF">2025-09-18T07:50:27Z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52FF5C283A7B4310BD38BE91EB9C0FC6_12</vt:lpwstr>
  </property>
  <property fmtid="{D5CDD505-2E9C-101B-9397-08002B2CF9AE}" pid="4" name="KSOTemplateDocerSaveRecord">
    <vt:lpwstr>eyJoZGlkIjoiZjNkYzc1NzFiOWI5NmUwNjJhMzNjZDM5YzdhY2E3ZWQiLCJ1c2VySWQiOiIzNjk4Nzc5MDQifQ==</vt:lpwstr>
  </property>
</Properties>
</file>