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olors1.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style1.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9FDC66">
      <w:pPr>
        <w:spacing w:line="600" w:lineRule="exact"/>
        <w:jc w:val="center"/>
        <w:outlineLvl w:val="0"/>
        <w:rPr>
          <w:rFonts w:ascii="方正小标宋简体" w:hAnsi="宋体" w:eastAsia="方正小标宋简体"/>
          <w:sz w:val="72"/>
          <w:szCs w:val="72"/>
        </w:rPr>
      </w:pPr>
      <w:bookmarkStart w:id="0" w:name="_Toc15396597"/>
      <w:bookmarkStart w:id="1" w:name="_Toc15377193"/>
      <w:bookmarkStart w:id="2" w:name="_Toc15378441"/>
      <w:bookmarkStart w:id="3" w:name="_Toc15396475"/>
      <w:bookmarkStart w:id="4" w:name="_Toc15377425"/>
      <w:bookmarkStart w:id="5" w:name="_Toc15306267"/>
    </w:p>
    <w:p w14:paraId="6978864F">
      <w:pPr>
        <w:pStyle w:val="5"/>
        <w:spacing w:before="93"/>
      </w:pPr>
    </w:p>
    <w:p w14:paraId="4E624BB8">
      <w:pPr>
        <w:spacing w:line="600" w:lineRule="exact"/>
        <w:jc w:val="center"/>
        <w:outlineLvl w:val="0"/>
        <w:rPr>
          <w:rFonts w:ascii="方正小标宋简体" w:hAnsi="宋体" w:eastAsia="方正小标宋简体"/>
          <w:sz w:val="72"/>
          <w:szCs w:val="72"/>
        </w:rPr>
      </w:pPr>
    </w:p>
    <w:p w14:paraId="3D00CF71">
      <w:pPr>
        <w:spacing w:line="600" w:lineRule="exact"/>
        <w:jc w:val="center"/>
        <w:outlineLvl w:val="0"/>
        <w:rPr>
          <w:rFonts w:ascii="方正小标宋简体" w:hAnsi="宋体" w:eastAsia="方正小标宋简体"/>
          <w:sz w:val="72"/>
          <w:szCs w:val="72"/>
        </w:rPr>
      </w:pPr>
    </w:p>
    <w:p w14:paraId="418C2AF9">
      <w:pPr>
        <w:adjustRightInd w:val="0"/>
        <w:snapToGrid w:val="0"/>
        <w:spacing w:line="360" w:lineRule="auto"/>
        <w:jc w:val="center"/>
        <w:outlineLvl w:val="0"/>
        <w:rPr>
          <w:rFonts w:ascii="方正小标宋简体" w:hAnsi="方正小标宋简体" w:eastAsia="方正小标宋简体" w:cs="方正小标宋简体"/>
          <w:sz w:val="72"/>
          <w:szCs w:val="72"/>
        </w:rPr>
      </w:pPr>
      <w:r>
        <w:rPr>
          <w:rFonts w:hint="eastAsia" w:ascii="方正小标宋简体" w:hAnsi="方正小标宋简体" w:eastAsia="方正小标宋简体" w:cs="方正小标宋简体"/>
          <w:sz w:val="72"/>
          <w:szCs w:val="72"/>
          <w:lang w:eastAsia="zh-CN"/>
        </w:rPr>
        <w:t>2024</w:t>
      </w:r>
      <w:r>
        <w:rPr>
          <w:rFonts w:hint="eastAsia" w:ascii="方正小标宋简体" w:hAnsi="方正小标宋简体" w:eastAsia="方正小标宋简体" w:cs="方正小标宋简体"/>
          <w:sz w:val="72"/>
          <w:szCs w:val="72"/>
        </w:rPr>
        <w:t>年度</w:t>
      </w:r>
      <w:bookmarkEnd w:id="0"/>
      <w:bookmarkEnd w:id="1"/>
      <w:bookmarkEnd w:id="2"/>
      <w:bookmarkEnd w:id="3"/>
      <w:bookmarkEnd w:id="4"/>
    </w:p>
    <w:p w14:paraId="09EDA294">
      <w:pPr>
        <w:adjustRightInd w:val="0"/>
        <w:snapToGrid w:val="0"/>
        <w:spacing w:line="360" w:lineRule="auto"/>
        <w:jc w:val="center"/>
        <w:outlineLvl w:val="0"/>
        <w:rPr>
          <w:rFonts w:ascii="方正小标宋简体" w:hAnsi="方正小标宋简体" w:eastAsia="方正小标宋简体" w:cs="方正小标宋简体"/>
          <w:sz w:val="72"/>
          <w:szCs w:val="72"/>
        </w:rPr>
      </w:pPr>
      <w:bookmarkStart w:id="6" w:name="_Toc15378442"/>
      <w:bookmarkStart w:id="7" w:name="_Toc15396598"/>
      <w:bookmarkStart w:id="8" w:name="_Toc15377194"/>
      <w:bookmarkStart w:id="9" w:name="_Toc15396476"/>
      <w:bookmarkStart w:id="10" w:name="_Toc15377426"/>
      <w:r>
        <w:rPr>
          <w:rFonts w:hint="eastAsia" w:ascii="方正小标宋简体" w:hAnsi="方正小标宋简体" w:eastAsia="方正小标宋简体" w:cs="方正小标宋简体"/>
          <w:sz w:val="72"/>
          <w:szCs w:val="72"/>
        </w:rPr>
        <w:t>四川省</w:t>
      </w:r>
      <w:bookmarkEnd w:id="5"/>
      <w:bookmarkStart w:id="11" w:name="_Toc15306268"/>
      <w:r>
        <w:rPr>
          <w:rFonts w:hint="eastAsia" w:ascii="方正小标宋简体" w:hAnsi="方正小标宋简体" w:eastAsia="方正小标宋简体" w:cs="方正小标宋简体"/>
          <w:sz w:val="72"/>
          <w:szCs w:val="72"/>
          <w:lang w:eastAsia="zh-CN"/>
        </w:rPr>
        <w:t>阿坝州财政局</w:t>
      </w:r>
      <w:r>
        <w:rPr>
          <w:rFonts w:hint="eastAsia" w:ascii="方正小标宋简体" w:hAnsi="方正小标宋简体" w:eastAsia="方正小标宋简体" w:cs="方正小标宋简体"/>
          <w:sz w:val="72"/>
          <w:szCs w:val="72"/>
        </w:rPr>
        <w:t>部门决算</w:t>
      </w:r>
      <w:bookmarkEnd w:id="6"/>
      <w:bookmarkEnd w:id="7"/>
      <w:bookmarkEnd w:id="8"/>
      <w:bookmarkEnd w:id="9"/>
      <w:bookmarkEnd w:id="10"/>
      <w:bookmarkEnd w:id="11"/>
    </w:p>
    <w:p w14:paraId="40B4DA44">
      <w:pPr>
        <w:adjustRightInd w:val="0"/>
        <w:snapToGrid w:val="0"/>
        <w:spacing w:line="360" w:lineRule="auto"/>
        <w:jc w:val="center"/>
        <w:outlineLvl w:val="0"/>
        <w:rPr>
          <w:rFonts w:ascii="方正小标宋简体" w:hAnsi="宋体" w:eastAsia="方正小标宋简体"/>
          <w:sz w:val="52"/>
          <w:szCs w:val="52"/>
        </w:rPr>
      </w:pPr>
      <w:r>
        <w:rPr>
          <w:rFonts w:hint="eastAsia" w:ascii="方正小标宋简体" w:hAnsi="宋体" w:eastAsia="方正小标宋简体"/>
          <w:sz w:val="52"/>
          <w:szCs w:val="52"/>
        </w:rPr>
        <w:t>(部门公开范本)</w:t>
      </w:r>
    </w:p>
    <w:p w14:paraId="4DCB9CBD">
      <w:pPr>
        <w:widowControl/>
        <w:jc w:val="center"/>
        <w:rPr>
          <w:rFonts w:ascii="黑体" w:hAnsi="黑体" w:eastAsia="黑体"/>
          <w:sz w:val="48"/>
          <w:szCs w:val="48"/>
        </w:rPr>
      </w:pPr>
      <w:r>
        <w:rPr>
          <w:rFonts w:ascii="方正小标宋简体" w:hAnsi="宋体" w:eastAsia="方正小标宋简体"/>
          <w:sz w:val="36"/>
          <w:szCs w:val="36"/>
        </w:rPr>
        <w:br w:type="page"/>
      </w:r>
      <w:r>
        <w:rPr>
          <w:rFonts w:hint="eastAsia" w:ascii="黑体" w:hAnsi="黑体" w:eastAsia="黑体"/>
          <w:sz w:val="48"/>
          <w:szCs w:val="48"/>
        </w:rPr>
        <w:t>目录</w:t>
      </w:r>
    </w:p>
    <w:p w14:paraId="5709D3FD">
      <w:pPr>
        <w:widowControl/>
        <w:jc w:val="center"/>
        <w:rPr>
          <w:rFonts w:ascii="黑体" w:hAnsi="黑体" w:eastAsia="黑体" w:cstheme="minorBidi"/>
          <w:sz w:val="28"/>
          <w:szCs w:val="28"/>
        </w:rPr>
      </w:pPr>
    </w:p>
    <w:p w14:paraId="27E9CFF8">
      <w:pPr>
        <w:pStyle w:val="13"/>
      </w:pPr>
      <w:r>
        <w:rPr>
          <w:rFonts w:hint="eastAsia"/>
        </w:rPr>
        <w:t>公开时间：</w:t>
      </w:r>
      <w:r>
        <w:rPr>
          <w:rFonts w:hint="eastAsia"/>
          <w:lang w:eastAsia="zh-CN"/>
        </w:rPr>
        <w:t>2024</w:t>
      </w:r>
      <w:r>
        <w:rPr>
          <w:rFonts w:hint="eastAsia"/>
        </w:rPr>
        <w:t>年</w:t>
      </w:r>
      <w:r>
        <w:rPr>
          <w:rFonts w:hint="eastAsia"/>
          <w:lang w:val="en-US" w:eastAsia="zh-CN"/>
        </w:rPr>
        <w:t>9</w:t>
      </w:r>
      <w:r>
        <w:rPr>
          <w:rFonts w:hint="eastAsia"/>
        </w:rPr>
        <w:t>月</w:t>
      </w:r>
      <w:r>
        <w:rPr>
          <w:rFonts w:hint="eastAsia"/>
          <w:lang w:val="en-US" w:eastAsia="zh-CN"/>
        </w:rPr>
        <w:t>6</w:t>
      </w:r>
      <w:r>
        <w:rPr>
          <w:rFonts w:hint="eastAsia"/>
        </w:rPr>
        <w:t>日</w:t>
      </w:r>
    </w:p>
    <w:p w14:paraId="701B9DD1"/>
    <w:p w14:paraId="343707C9">
      <w:pPr>
        <w:pStyle w:val="13"/>
        <w:adjustRightInd w:val="0"/>
        <w:snapToGrid w:val="0"/>
        <w:spacing w:before="0" w:line="440" w:lineRule="exact"/>
        <w:jc w:val="left"/>
        <w:rPr>
          <w:rFonts w:cstheme="minorBidi"/>
          <w:sz w:val="24"/>
          <w:szCs w:val="24"/>
        </w:rPr>
      </w:pPr>
      <w:r>
        <w:rPr>
          <w:rFonts w:hint="eastAsia"/>
          <w:sz w:val="24"/>
        </w:rPr>
        <w:t>第一部分</w:t>
      </w:r>
      <w:r>
        <w:rPr>
          <w:sz w:val="24"/>
        </w:rPr>
        <w:t xml:space="preserve"> </w:t>
      </w:r>
      <w:r>
        <w:rPr>
          <w:rFonts w:hint="eastAsia"/>
          <w:sz w:val="24"/>
        </w:rPr>
        <w:t>部门概况</w:t>
      </w:r>
    </w:p>
    <w:p w14:paraId="77CAC4C3">
      <w:pPr>
        <w:pStyle w:val="14"/>
        <w:adjustRightInd w:val="0"/>
        <w:snapToGrid w:val="0"/>
        <w:spacing w:line="440" w:lineRule="exact"/>
        <w:jc w:val="left"/>
        <w:rPr>
          <w:rFonts w:ascii="仿宋" w:hAnsi="仿宋" w:eastAsia="仿宋"/>
          <w:sz w:val="24"/>
        </w:rPr>
      </w:pPr>
      <w:r>
        <w:rPr>
          <w:rFonts w:hint="eastAsia"/>
          <w:sz w:val="24"/>
        </w:rPr>
        <w:t>一、部门职责</w:t>
      </w:r>
    </w:p>
    <w:p w14:paraId="466273AB">
      <w:pPr>
        <w:pStyle w:val="14"/>
        <w:adjustRightInd w:val="0"/>
        <w:snapToGrid w:val="0"/>
        <w:spacing w:line="440" w:lineRule="exact"/>
        <w:jc w:val="left"/>
        <w:rPr>
          <w:rFonts w:ascii="仿宋" w:hAnsi="仿宋" w:eastAsia="仿宋" w:cstheme="minorBidi"/>
          <w:sz w:val="24"/>
        </w:rPr>
      </w:pPr>
      <w:r>
        <w:rPr>
          <w:rFonts w:hint="eastAsia"/>
          <w:sz w:val="24"/>
        </w:rPr>
        <w:t>二、机构设置</w:t>
      </w:r>
    </w:p>
    <w:p w14:paraId="6360C85D">
      <w:pPr>
        <w:pStyle w:val="13"/>
        <w:adjustRightInd w:val="0"/>
        <w:snapToGrid w:val="0"/>
        <w:spacing w:before="0" w:line="440" w:lineRule="exact"/>
        <w:jc w:val="left"/>
        <w:rPr>
          <w:sz w:val="24"/>
          <w:szCs w:val="24"/>
        </w:rPr>
      </w:pPr>
      <w:r>
        <w:rPr>
          <w:rFonts w:hint="eastAsia"/>
          <w:sz w:val="24"/>
        </w:rPr>
        <w:t xml:space="preserve">第二部分 </w:t>
      </w:r>
      <w:r>
        <w:rPr>
          <w:rFonts w:hint="eastAsia"/>
          <w:sz w:val="24"/>
          <w:lang w:eastAsia="zh-CN"/>
        </w:rPr>
        <w:t>2024</w:t>
      </w:r>
      <w:r>
        <w:rPr>
          <w:rFonts w:hint="eastAsia"/>
          <w:sz w:val="24"/>
        </w:rPr>
        <w:t>年度部门决算情况说明</w:t>
      </w:r>
    </w:p>
    <w:p w14:paraId="1AE7FC58">
      <w:pPr>
        <w:pStyle w:val="14"/>
        <w:adjustRightInd w:val="0"/>
        <w:snapToGrid w:val="0"/>
        <w:spacing w:line="440" w:lineRule="exact"/>
        <w:jc w:val="left"/>
        <w:rPr>
          <w:rFonts w:ascii="仿宋" w:hAnsi="仿宋" w:eastAsia="仿宋" w:cstheme="minorBidi"/>
          <w:sz w:val="24"/>
        </w:rPr>
      </w:pPr>
      <w:r>
        <w:rPr>
          <w:rFonts w:hint="eastAsia"/>
          <w:sz w:val="24"/>
        </w:rPr>
        <w:t>一、收入支出决算总体情况说明</w:t>
      </w:r>
    </w:p>
    <w:p w14:paraId="60C6B47A">
      <w:pPr>
        <w:pStyle w:val="14"/>
        <w:adjustRightInd w:val="0"/>
        <w:snapToGrid w:val="0"/>
        <w:spacing w:line="440" w:lineRule="exact"/>
        <w:jc w:val="left"/>
        <w:rPr>
          <w:rFonts w:ascii="仿宋" w:hAnsi="仿宋" w:eastAsia="仿宋" w:cstheme="minorBidi"/>
          <w:sz w:val="24"/>
        </w:rPr>
      </w:pPr>
      <w:r>
        <w:rPr>
          <w:rFonts w:hint="eastAsia"/>
          <w:sz w:val="24"/>
        </w:rPr>
        <w:t>二、收入决算情况说明</w:t>
      </w:r>
    </w:p>
    <w:p w14:paraId="0CDBF294">
      <w:pPr>
        <w:pStyle w:val="14"/>
        <w:adjustRightInd w:val="0"/>
        <w:snapToGrid w:val="0"/>
        <w:spacing w:line="440" w:lineRule="exact"/>
        <w:jc w:val="left"/>
        <w:rPr>
          <w:rFonts w:ascii="仿宋" w:hAnsi="仿宋" w:eastAsia="仿宋" w:cstheme="minorBidi"/>
          <w:sz w:val="24"/>
        </w:rPr>
      </w:pPr>
      <w:r>
        <w:rPr>
          <w:rFonts w:hint="eastAsia"/>
          <w:sz w:val="24"/>
        </w:rPr>
        <w:t>三、支出决算情况说明</w:t>
      </w:r>
    </w:p>
    <w:p w14:paraId="4BF12A76">
      <w:pPr>
        <w:pStyle w:val="14"/>
        <w:adjustRightInd w:val="0"/>
        <w:snapToGrid w:val="0"/>
        <w:spacing w:line="440" w:lineRule="exact"/>
        <w:jc w:val="left"/>
        <w:rPr>
          <w:rFonts w:ascii="仿宋" w:hAnsi="仿宋" w:eastAsia="仿宋" w:cstheme="minorBidi"/>
          <w:sz w:val="24"/>
        </w:rPr>
      </w:pPr>
      <w:r>
        <w:rPr>
          <w:rFonts w:hint="eastAsia"/>
          <w:sz w:val="24"/>
        </w:rPr>
        <w:t>四、财政拨款收入支出决算总体情况说明</w:t>
      </w:r>
    </w:p>
    <w:p w14:paraId="5C6283A1">
      <w:pPr>
        <w:pStyle w:val="14"/>
        <w:adjustRightInd w:val="0"/>
        <w:snapToGrid w:val="0"/>
        <w:spacing w:line="440" w:lineRule="exact"/>
        <w:jc w:val="left"/>
        <w:rPr>
          <w:rFonts w:ascii="仿宋" w:hAnsi="仿宋" w:eastAsia="仿宋" w:cstheme="minorBidi"/>
          <w:sz w:val="24"/>
        </w:rPr>
      </w:pPr>
      <w:r>
        <w:rPr>
          <w:rFonts w:hint="eastAsia"/>
          <w:sz w:val="24"/>
        </w:rPr>
        <w:t>五、一般公共预算财政拨款支出决算情况说明</w:t>
      </w:r>
    </w:p>
    <w:p w14:paraId="2183D52C">
      <w:pPr>
        <w:pStyle w:val="14"/>
        <w:adjustRightInd w:val="0"/>
        <w:snapToGrid w:val="0"/>
        <w:spacing w:line="440" w:lineRule="exact"/>
        <w:jc w:val="left"/>
        <w:rPr>
          <w:rFonts w:ascii="仿宋" w:hAnsi="仿宋" w:eastAsia="仿宋" w:cstheme="minorBidi"/>
          <w:sz w:val="24"/>
        </w:rPr>
      </w:pPr>
      <w:r>
        <w:rPr>
          <w:rFonts w:hint="eastAsia"/>
          <w:sz w:val="24"/>
        </w:rPr>
        <w:t>六、一般公共预算财政拨款基本支出决算情况说明</w:t>
      </w:r>
    </w:p>
    <w:p w14:paraId="7E4BD2AE">
      <w:pPr>
        <w:pStyle w:val="14"/>
        <w:adjustRightInd w:val="0"/>
        <w:snapToGrid w:val="0"/>
        <w:spacing w:line="440" w:lineRule="exact"/>
        <w:jc w:val="left"/>
        <w:rPr>
          <w:rFonts w:ascii="仿宋" w:hAnsi="仿宋" w:eastAsia="仿宋" w:cstheme="minorBidi"/>
          <w:sz w:val="24"/>
        </w:rPr>
      </w:pPr>
      <w:r>
        <w:rPr>
          <w:rFonts w:hint="eastAsia"/>
          <w:sz w:val="24"/>
        </w:rPr>
        <w:t>七、财政拨款“三公”经费支出决算情况说明</w:t>
      </w:r>
    </w:p>
    <w:p w14:paraId="7D560606">
      <w:pPr>
        <w:pStyle w:val="14"/>
        <w:adjustRightInd w:val="0"/>
        <w:snapToGrid w:val="0"/>
        <w:spacing w:line="440" w:lineRule="exact"/>
        <w:jc w:val="left"/>
        <w:rPr>
          <w:rFonts w:ascii="仿宋" w:hAnsi="仿宋" w:eastAsia="仿宋" w:cstheme="minorBidi"/>
          <w:sz w:val="24"/>
        </w:rPr>
      </w:pPr>
      <w:r>
        <w:rPr>
          <w:rFonts w:hint="eastAsia"/>
          <w:sz w:val="24"/>
        </w:rPr>
        <w:t>八、政府性基金预算支出决算情况说明</w:t>
      </w:r>
    </w:p>
    <w:p w14:paraId="42533535">
      <w:pPr>
        <w:pStyle w:val="14"/>
        <w:adjustRightInd w:val="0"/>
        <w:snapToGrid w:val="0"/>
        <w:spacing w:line="440" w:lineRule="exact"/>
        <w:ind w:leftChars="0"/>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九、国有资本经营预算支出决算情况说明</w:t>
      </w:r>
    </w:p>
    <w:p w14:paraId="5A8E36CB">
      <w:pPr>
        <w:adjustRightInd w:val="0"/>
        <w:snapToGrid w:val="0"/>
        <w:spacing w:line="440" w:lineRule="exact"/>
        <w:ind w:firstLine="420" w:firstLineChars="175"/>
        <w:jc w:val="left"/>
        <w:rPr>
          <w:rFonts w:asciiTheme="minorEastAsia" w:hAnsiTheme="minorEastAsia" w:eastAsiaTheme="minorEastAsia" w:cstheme="minorEastAsia"/>
          <w:sz w:val="24"/>
        </w:rPr>
      </w:pPr>
      <w:r>
        <w:rPr>
          <w:rStyle w:val="19"/>
          <w:rFonts w:hint="eastAsia" w:asciiTheme="minorEastAsia" w:hAnsiTheme="minorEastAsia" w:eastAsiaTheme="minorEastAsia" w:cstheme="minorEastAsia"/>
          <w:color w:val="auto"/>
          <w:sz w:val="24"/>
          <w:u w:val="none"/>
        </w:rPr>
        <w:t>十、</w:t>
      </w:r>
      <w:r>
        <w:rPr>
          <w:rFonts w:hint="eastAsia" w:asciiTheme="minorEastAsia" w:hAnsiTheme="minorEastAsia" w:eastAsiaTheme="minorEastAsia" w:cstheme="minorEastAsia"/>
          <w:sz w:val="24"/>
        </w:rPr>
        <w:t>其他重要事项的情况说明</w:t>
      </w:r>
      <w:r>
        <w:rPr>
          <w:rFonts w:hint="eastAsia" w:asciiTheme="minorEastAsia" w:hAnsiTheme="minorEastAsia" w:eastAsiaTheme="minorEastAsia" w:cstheme="minorEastAsia"/>
          <w:sz w:val="24"/>
        </w:rPr>
        <w:tab/>
      </w:r>
    </w:p>
    <w:p w14:paraId="33F216B7">
      <w:pPr>
        <w:pStyle w:val="13"/>
        <w:adjustRightInd w:val="0"/>
        <w:snapToGrid w:val="0"/>
        <w:spacing w:before="0" w:line="440" w:lineRule="exact"/>
        <w:jc w:val="left"/>
        <w:rPr>
          <w:rFonts w:cstheme="minorBidi"/>
          <w:sz w:val="24"/>
          <w:szCs w:val="24"/>
        </w:rPr>
      </w:pPr>
      <w:r>
        <w:rPr>
          <w:rFonts w:hint="eastAsia"/>
          <w:sz w:val="24"/>
        </w:rPr>
        <w:t>第三部分</w:t>
      </w:r>
      <w:r>
        <w:rPr>
          <w:sz w:val="24"/>
        </w:rPr>
        <w:t xml:space="preserve"> </w:t>
      </w:r>
      <w:r>
        <w:rPr>
          <w:rFonts w:hint="eastAsia"/>
          <w:sz w:val="24"/>
        </w:rPr>
        <w:t>名词解释</w:t>
      </w:r>
    </w:p>
    <w:p w14:paraId="796935D7">
      <w:pPr>
        <w:pStyle w:val="13"/>
        <w:adjustRightInd w:val="0"/>
        <w:snapToGrid w:val="0"/>
        <w:spacing w:before="0" w:line="440" w:lineRule="exact"/>
        <w:jc w:val="left"/>
        <w:rPr>
          <w:rFonts w:cstheme="minorBidi"/>
          <w:sz w:val="24"/>
          <w:szCs w:val="24"/>
        </w:rPr>
      </w:pPr>
      <w:r>
        <w:rPr>
          <w:rFonts w:hint="eastAsia"/>
          <w:sz w:val="24"/>
        </w:rPr>
        <w:t>第四部分</w:t>
      </w:r>
      <w:r>
        <w:rPr>
          <w:sz w:val="24"/>
        </w:rPr>
        <w:t xml:space="preserve"> </w:t>
      </w:r>
      <w:r>
        <w:rPr>
          <w:rFonts w:hint="eastAsia"/>
          <w:sz w:val="24"/>
        </w:rPr>
        <w:t>附件</w:t>
      </w:r>
    </w:p>
    <w:p w14:paraId="11D2219D">
      <w:pPr>
        <w:pStyle w:val="13"/>
        <w:adjustRightInd w:val="0"/>
        <w:snapToGrid w:val="0"/>
        <w:spacing w:before="0" w:line="440" w:lineRule="exact"/>
        <w:jc w:val="left"/>
        <w:rPr>
          <w:rFonts w:cstheme="minorBidi"/>
          <w:sz w:val="24"/>
          <w:szCs w:val="24"/>
        </w:rPr>
      </w:pPr>
      <w:r>
        <w:rPr>
          <w:rFonts w:hint="eastAsia"/>
          <w:sz w:val="24"/>
        </w:rPr>
        <w:t>第五部分</w:t>
      </w:r>
      <w:r>
        <w:rPr>
          <w:sz w:val="24"/>
        </w:rPr>
        <w:t xml:space="preserve"> </w:t>
      </w:r>
      <w:r>
        <w:rPr>
          <w:rFonts w:hint="eastAsia"/>
          <w:sz w:val="24"/>
        </w:rPr>
        <w:t>附表</w:t>
      </w:r>
    </w:p>
    <w:p w14:paraId="3E0F915C">
      <w:pPr>
        <w:pStyle w:val="14"/>
        <w:adjustRightInd w:val="0"/>
        <w:snapToGrid w:val="0"/>
        <w:spacing w:line="440" w:lineRule="exact"/>
        <w:jc w:val="left"/>
        <w:rPr>
          <w:sz w:val="24"/>
        </w:rPr>
      </w:pPr>
      <w:r>
        <w:rPr>
          <w:rFonts w:hint="eastAsia"/>
          <w:sz w:val="24"/>
        </w:rPr>
        <w:t>一、收入支出决算总表</w:t>
      </w:r>
    </w:p>
    <w:p w14:paraId="0AACD267">
      <w:pPr>
        <w:pStyle w:val="14"/>
        <w:adjustRightInd w:val="0"/>
        <w:snapToGrid w:val="0"/>
        <w:spacing w:line="440" w:lineRule="exact"/>
        <w:jc w:val="left"/>
        <w:rPr>
          <w:sz w:val="24"/>
        </w:rPr>
      </w:pPr>
      <w:r>
        <w:rPr>
          <w:rFonts w:hint="eastAsia"/>
          <w:sz w:val="24"/>
        </w:rPr>
        <w:t>二、收入决算表</w:t>
      </w:r>
    </w:p>
    <w:p w14:paraId="07C7E7AE">
      <w:pPr>
        <w:pStyle w:val="14"/>
        <w:adjustRightInd w:val="0"/>
        <w:snapToGrid w:val="0"/>
        <w:spacing w:line="440" w:lineRule="exact"/>
        <w:jc w:val="left"/>
        <w:rPr>
          <w:sz w:val="24"/>
        </w:rPr>
      </w:pPr>
      <w:r>
        <w:rPr>
          <w:rFonts w:hint="eastAsia"/>
          <w:sz w:val="24"/>
        </w:rPr>
        <w:t>三、支出决算表</w:t>
      </w:r>
    </w:p>
    <w:p w14:paraId="2BA2827C">
      <w:pPr>
        <w:pStyle w:val="14"/>
        <w:adjustRightInd w:val="0"/>
        <w:snapToGrid w:val="0"/>
        <w:spacing w:line="440" w:lineRule="exact"/>
        <w:jc w:val="left"/>
        <w:rPr>
          <w:sz w:val="24"/>
        </w:rPr>
      </w:pPr>
      <w:r>
        <w:rPr>
          <w:rFonts w:hint="eastAsia"/>
          <w:sz w:val="24"/>
        </w:rPr>
        <w:t>四、财政拨款收入支出决算总表</w:t>
      </w:r>
    </w:p>
    <w:p w14:paraId="0543A770">
      <w:pPr>
        <w:pStyle w:val="14"/>
        <w:adjustRightInd w:val="0"/>
        <w:snapToGrid w:val="0"/>
        <w:spacing w:line="440" w:lineRule="exact"/>
        <w:jc w:val="left"/>
        <w:rPr>
          <w:sz w:val="24"/>
        </w:rPr>
      </w:pPr>
      <w:r>
        <w:rPr>
          <w:rFonts w:hint="eastAsia"/>
          <w:sz w:val="24"/>
        </w:rPr>
        <w:t>五、财政拨款支出决算明细表</w:t>
      </w:r>
    </w:p>
    <w:p w14:paraId="4F3AA27D">
      <w:pPr>
        <w:pStyle w:val="14"/>
        <w:adjustRightInd w:val="0"/>
        <w:snapToGrid w:val="0"/>
        <w:spacing w:line="440" w:lineRule="exact"/>
        <w:jc w:val="left"/>
        <w:rPr>
          <w:sz w:val="24"/>
        </w:rPr>
      </w:pPr>
      <w:r>
        <w:rPr>
          <w:rFonts w:hint="eastAsia"/>
          <w:sz w:val="24"/>
        </w:rPr>
        <w:t>六、一般公共预算财政拨款支出决算表</w:t>
      </w:r>
    </w:p>
    <w:p w14:paraId="1B2AC457">
      <w:pPr>
        <w:pStyle w:val="14"/>
        <w:adjustRightInd w:val="0"/>
        <w:snapToGrid w:val="0"/>
        <w:spacing w:line="440" w:lineRule="exact"/>
        <w:jc w:val="left"/>
        <w:rPr>
          <w:sz w:val="24"/>
        </w:rPr>
      </w:pPr>
      <w:r>
        <w:rPr>
          <w:rFonts w:hint="eastAsia"/>
          <w:sz w:val="24"/>
        </w:rPr>
        <w:t>七、一般公共预算财政拨款支出决算明细表</w:t>
      </w:r>
    </w:p>
    <w:p w14:paraId="7AFA06D8">
      <w:pPr>
        <w:pStyle w:val="14"/>
        <w:adjustRightInd w:val="0"/>
        <w:snapToGrid w:val="0"/>
        <w:spacing w:line="440" w:lineRule="exact"/>
        <w:jc w:val="left"/>
        <w:rPr>
          <w:sz w:val="24"/>
        </w:rPr>
      </w:pPr>
      <w:r>
        <w:rPr>
          <w:rFonts w:hint="eastAsia"/>
          <w:sz w:val="24"/>
        </w:rPr>
        <w:t>八、一般公共预算财政拨款基本支出决算明细表</w:t>
      </w:r>
    </w:p>
    <w:p w14:paraId="6827F75B">
      <w:pPr>
        <w:pStyle w:val="14"/>
        <w:adjustRightInd w:val="0"/>
        <w:snapToGrid w:val="0"/>
        <w:spacing w:line="440" w:lineRule="exact"/>
        <w:jc w:val="left"/>
        <w:rPr>
          <w:sz w:val="24"/>
        </w:rPr>
      </w:pPr>
      <w:r>
        <w:rPr>
          <w:rFonts w:hint="eastAsia"/>
          <w:sz w:val="24"/>
        </w:rPr>
        <w:t>九、一般公共预算财政拨款项目支出决算表</w:t>
      </w:r>
    </w:p>
    <w:p w14:paraId="08384211">
      <w:pPr>
        <w:pStyle w:val="14"/>
        <w:adjustRightInd w:val="0"/>
        <w:snapToGrid w:val="0"/>
        <w:spacing w:line="440" w:lineRule="exact"/>
        <w:jc w:val="left"/>
        <w:rPr>
          <w:sz w:val="24"/>
        </w:rPr>
      </w:pPr>
      <w:r>
        <w:rPr>
          <w:rFonts w:hint="eastAsia"/>
          <w:sz w:val="24"/>
        </w:rPr>
        <w:t>十、政府性基金预算财政拨款收入支出决算表</w:t>
      </w:r>
    </w:p>
    <w:p w14:paraId="20C56B13">
      <w:pPr>
        <w:pStyle w:val="14"/>
        <w:adjustRightInd w:val="0"/>
        <w:snapToGrid w:val="0"/>
        <w:spacing w:line="440" w:lineRule="exact"/>
        <w:jc w:val="left"/>
        <w:rPr>
          <w:sz w:val="24"/>
        </w:rPr>
      </w:pPr>
      <w:r>
        <w:rPr>
          <w:rFonts w:hint="eastAsia"/>
          <w:sz w:val="24"/>
        </w:rPr>
        <w:t>十一、国有资本经营预算财政拨款收入支出决算表</w:t>
      </w:r>
    </w:p>
    <w:p w14:paraId="48F218AB">
      <w:pPr>
        <w:pStyle w:val="14"/>
        <w:adjustRightInd w:val="0"/>
        <w:snapToGrid w:val="0"/>
        <w:spacing w:line="440" w:lineRule="exact"/>
        <w:jc w:val="left"/>
        <w:rPr>
          <w:sz w:val="24"/>
        </w:rPr>
      </w:pPr>
      <w:r>
        <w:rPr>
          <w:rFonts w:hint="eastAsia"/>
          <w:sz w:val="24"/>
        </w:rPr>
        <w:t>十二、国有资本经营预算财政拨款支出决算表</w:t>
      </w:r>
    </w:p>
    <w:p w14:paraId="366E9736">
      <w:pPr>
        <w:pStyle w:val="14"/>
        <w:adjustRightInd w:val="0"/>
        <w:snapToGrid w:val="0"/>
        <w:spacing w:line="440" w:lineRule="exact"/>
        <w:jc w:val="left"/>
        <w:rPr>
          <w:rFonts w:asciiTheme="minorEastAsia" w:hAnsiTheme="minorEastAsia" w:eastAsiaTheme="minorEastAsia" w:cstheme="minorEastAsia"/>
          <w:sz w:val="24"/>
        </w:rPr>
      </w:pPr>
      <w:r>
        <w:rPr>
          <w:rFonts w:hint="eastAsia"/>
          <w:sz w:val="24"/>
        </w:rPr>
        <w:t>十三、财政拨款“三公”经费支出决算表</w:t>
      </w:r>
    </w:p>
    <w:p w14:paraId="5EF2B2C3">
      <w:pPr>
        <w:widowControl/>
        <w:adjustRightInd w:val="0"/>
        <w:snapToGrid w:val="0"/>
        <w:spacing w:line="440" w:lineRule="exact"/>
        <w:ind w:firstLine="1320" w:firstLineChars="550"/>
        <w:jc w:val="left"/>
        <w:rPr>
          <w:rFonts w:ascii="仿宋" w:hAnsi="仿宋" w:eastAsia="仿宋"/>
          <w:sz w:val="24"/>
        </w:rPr>
      </w:pPr>
      <w:r>
        <w:rPr>
          <w:rFonts w:ascii="仿宋" w:hAnsi="仿宋" w:eastAsia="仿宋"/>
          <w:sz w:val="24"/>
        </w:rPr>
        <w:t>(注：</w:t>
      </w:r>
      <w:r>
        <w:rPr>
          <w:rFonts w:hint="eastAsia" w:ascii="仿宋" w:hAnsi="仿宋" w:eastAsia="仿宋"/>
          <w:sz w:val="24"/>
        </w:rPr>
        <w:t>请部门根据实际注明页码</w:t>
      </w:r>
      <w:r>
        <w:rPr>
          <w:rFonts w:ascii="仿宋" w:hAnsi="仿宋" w:eastAsia="仿宋"/>
          <w:sz w:val="24"/>
        </w:rPr>
        <w:t>)</w:t>
      </w:r>
    </w:p>
    <w:p w14:paraId="02E95258">
      <w:pPr>
        <w:widowControl/>
        <w:spacing w:line="440" w:lineRule="exact"/>
        <w:jc w:val="left"/>
        <w:rPr>
          <w:rFonts w:ascii="仿宋" w:hAnsi="仿宋" w:eastAsia="仿宋"/>
          <w:bCs/>
          <w:kern w:val="44"/>
          <w:sz w:val="24"/>
        </w:rPr>
      </w:pPr>
      <w:bookmarkStart w:id="12" w:name="_Toc15396599"/>
      <w:bookmarkStart w:id="13" w:name="_Toc15377196"/>
      <w:r>
        <w:rPr>
          <w:rFonts w:ascii="仿宋" w:hAnsi="仿宋" w:eastAsia="仿宋"/>
          <w:b/>
          <w:sz w:val="24"/>
        </w:rPr>
        <w:br w:type="page"/>
      </w:r>
    </w:p>
    <w:p w14:paraId="22B7D8EC">
      <w:pPr>
        <w:pStyle w:val="2"/>
        <w:jc w:val="center"/>
        <w:rPr>
          <w:rStyle w:val="29"/>
          <w:rFonts w:ascii="黑体" w:hAnsi="黑体" w:eastAsia="黑体"/>
          <w:b/>
          <w:bCs w:val="0"/>
        </w:rPr>
      </w:pPr>
      <w:r>
        <w:rPr>
          <w:rFonts w:hint="eastAsia" w:ascii="黑体" w:hAnsi="黑体" w:eastAsia="黑体"/>
          <w:b w:val="0"/>
        </w:rPr>
        <w:t xml:space="preserve">第一部分 </w:t>
      </w:r>
      <w:r>
        <w:rPr>
          <w:rStyle w:val="29"/>
          <w:rFonts w:hint="eastAsia" w:ascii="黑体" w:hAnsi="黑体" w:eastAsia="黑体"/>
          <w:b w:val="0"/>
          <w:bCs w:val="0"/>
        </w:rPr>
        <w:t>部门概况</w:t>
      </w:r>
      <w:bookmarkEnd w:id="12"/>
      <w:bookmarkEnd w:id="13"/>
    </w:p>
    <w:p w14:paraId="43DBA0AC">
      <w:pPr>
        <w:widowControl/>
        <w:jc w:val="left"/>
        <w:rPr>
          <w:rFonts w:ascii="黑体" w:eastAsia="黑体"/>
          <w:sz w:val="32"/>
          <w:szCs w:val="32"/>
        </w:rPr>
      </w:pPr>
    </w:p>
    <w:p w14:paraId="73503A27">
      <w:pPr>
        <w:pStyle w:val="3"/>
        <w:numPr>
          <w:ilvl w:val="0"/>
          <w:numId w:val="0"/>
        </w:numPr>
        <w:rPr>
          <w:rFonts w:hint="eastAsia" w:ascii="黑体" w:hAnsi="黑体" w:eastAsia="黑体"/>
          <w:b w:val="0"/>
        </w:rPr>
      </w:pPr>
      <w:r>
        <w:rPr>
          <w:rFonts w:hint="eastAsia" w:ascii="黑体" w:hAnsi="黑体" w:eastAsia="黑体" w:cstheme="majorBidi"/>
          <w:b w:val="0"/>
          <w:bCs/>
          <w:kern w:val="2"/>
          <w:sz w:val="32"/>
          <w:szCs w:val="32"/>
          <w:lang w:val="en-US" w:eastAsia="zh-CN" w:bidi="ar-SA"/>
        </w:rPr>
        <w:t>一、</w:t>
      </w:r>
      <w:r>
        <w:rPr>
          <w:rFonts w:hint="eastAsia" w:ascii="黑体" w:hAnsi="黑体" w:eastAsia="黑体"/>
          <w:b w:val="0"/>
        </w:rPr>
        <w:t>部门职责</w:t>
      </w:r>
    </w:p>
    <w:p w14:paraId="10342E1E">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lang w:val="en-US" w:eastAsia="zh-CN"/>
        </w:rPr>
        <w:t xml:space="preserve">   </w:t>
      </w:r>
      <w:r>
        <w:rPr>
          <w:rFonts w:hint="eastAsia" w:ascii="仿宋_GB2312" w:hAnsi="宋体" w:eastAsia="仿宋_GB2312" w:cs="仿宋_GB2312"/>
          <w:kern w:val="0"/>
          <w:sz w:val="32"/>
          <w:szCs w:val="32"/>
          <w:shd w:val="clear" w:fill="FFFFFF"/>
        </w:rPr>
        <w:t xml:space="preserve">州财政局贯彻落实党中央关于财经工作的方针政策和省委、州委的决策部署,在履行职责过程中坚持和加强党对财政工作的集中统一领导。主要职责是: </w:t>
      </w:r>
    </w:p>
    <w:p w14:paraId="68244197">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拟订全州财税发展战略、规划、政策和改革方案并组织实施。分析预测宏观经济形势,参与制定宏观经济政策,提出运用财税政策实施宏观调控和综合平衡社会财力的建议。拟订州与县(市、区)、国家与企业的分配政策,完善鼓励公益事业发展的财税政策。</w:t>
      </w:r>
    </w:p>
    <w:p w14:paraId="13040902">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2、贯彻执行财政、税收、财务、会计管理的法律法规和规章。提出全州性财税立法规划建议,负责组织起草财税地方性法规、规章草案并组织实施。按照管理权限管理全州税政事项。</w:t>
      </w:r>
    </w:p>
    <w:p w14:paraId="671F3AC4">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3、负责管理各项财政收支。编制年度州级预决算草案并组织执行。组织制定经费开支标准、定额,审核批复部门(单位)年度预决算。受州政府委托,向州人大及其常委会报告财政预算、执行和决算等情况。负责政府投资基金州级财政出资的资产管理。负责州级预决算公开。负责全面实施预算绩效管理。</w:t>
      </w:r>
    </w:p>
    <w:p w14:paraId="3F3966C2">
      <w:pPr>
        <w:pStyle w:val="36"/>
        <w:keepNext w:val="0"/>
        <w:keepLines w:val="0"/>
        <w:pageBreakBefore w:val="0"/>
        <w:widowControl w:val="0"/>
        <w:suppressLineNumbers w:val="0"/>
        <w:shd w:val="clear" w:fill="FFFFFF"/>
        <w:kinsoku/>
        <w:wordWrap/>
        <w:overflowPunct/>
        <w:topLinePunct w:val="0"/>
        <w:autoSpaceDE w:val="0"/>
        <w:autoSpaceDN/>
        <w:bidi w:val="0"/>
        <w:adjustRightInd/>
        <w:snapToGrid/>
        <w:spacing w:beforeAutospacing="0" w:afterAutospacing="0" w:line="560" w:lineRule="exact"/>
        <w:jc w:val="both"/>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4、按分工负责政府非税收入管理。负责政府性基金管理,按规定管理行政事业性收费等其他非税收入。管理财政票据。制定彩票管理政策和有关办法,监管彩票市场,按规定管理彩票资金。</w:t>
      </w:r>
    </w:p>
    <w:p w14:paraId="20E199E6">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5、组织制定全州国库管理制度、国库集中收付制度,指导和监督国库业务,开展国库现金管理工作。贯彻执行政府财务报告编制办法并组织实施。负责制定政府采购制度并监督管理。</w:t>
      </w:r>
    </w:p>
    <w:p w14:paraId="036C7418">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6、贯彻执行地方政府债务管理制度和政策,制定具体管理办法,编制地方政府债余额限额计划,统一管理政府外债,防范财政风险。</w:t>
      </w:r>
    </w:p>
    <w:p w14:paraId="7272EFE6">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7、牵头编制全州国有资产管理情况报告。根据州政府授权,集中统一履行州级国有金融资本出资人职责。制定州级国有金融资本管理制度。拟订全州行政事业单位国有资产管理制度并组织实施。制定需要全州统一规定的开支标准和支出政策。</w:t>
      </w:r>
    </w:p>
    <w:p w14:paraId="668DC1F9">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8、负责审核并汇总编制全州国有资本经营预决算草案。制定国有资本经营预算制度和办法,收取州本级企业国有资本收益。组织实施企业财务制度,负责财政预算内行政事业单位和社会团体的非贸易外汇和财政预算内的国际收支管理。</w:t>
      </w:r>
    </w:p>
    <w:p w14:paraId="2647C4DB">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9、负责审核并汇总编制全州社会保险基金预决算草案,会同有关部门拟订有关资金(基金)财务管理制度,承担社会保险基金财政监管工作。</w:t>
      </w:r>
    </w:p>
    <w:p w14:paraId="77B5AE14">
      <w:pPr>
        <w:pStyle w:val="36"/>
        <w:keepNext w:val="0"/>
        <w:keepLines w:val="0"/>
        <w:pageBreakBefore w:val="0"/>
        <w:widowControl w:val="0"/>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10、负责办理和监督州级财政的经济发展支出、州级政府性投资项目的财政拨款,负责投资评审管理工作,参与拟订州级基建投资有关政策,制定基建财务管理制度。</w:t>
      </w:r>
    </w:p>
    <w:p w14:paraId="1EB651DD">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11、管理外国政府和国际金融机构贷(赠)款项目的有关业务,参与财经领域的国际交流与合作。</w:t>
      </w:r>
    </w:p>
    <w:p w14:paraId="105C89A1">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12、负责管理全州会计工作,监督和规范会计行为,组织实施国家统一的会计制度,指导和监督注册会计师和会计师事务所的业务,指导和管理社会审计。依法管理资产评估有关工作。</w:t>
      </w:r>
    </w:p>
    <w:p w14:paraId="2FFD6081">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13、负责职责范围内的安全生产和职业健康、生态环境保护、审批服务便民化等工作。</w:t>
      </w:r>
    </w:p>
    <w:p w14:paraId="144CDA32">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textAlignment w:val="auto"/>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14、完成州委、州政府交办的其他任务。</w:t>
      </w:r>
    </w:p>
    <w:p w14:paraId="716987A7">
      <w:pPr>
        <w:pStyle w:val="3"/>
        <w:rPr>
          <w:rStyle w:val="30"/>
          <w:b w:val="0"/>
          <w:bCs w:val="0"/>
        </w:rPr>
      </w:pPr>
      <w:bookmarkStart w:id="14" w:name="_Toc15396601"/>
      <w:bookmarkStart w:id="15" w:name="_Toc15377200"/>
      <w:r>
        <w:rPr>
          <w:rFonts w:hint="eastAsia" w:ascii="黑体" w:eastAsia="黑体"/>
          <w:b w:val="0"/>
        </w:rPr>
        <w:t>二、</w:t>
      </w:r>
      <w:r>
        <w:rPr>
          <w:rFonts w:hint="eastAsia" w:ascii="黑体" w:hAnsi="黑体" w:eastAsia="黑体"/>
          <w:b w:val="0"/>
        </w:rPr>
        <w:t>机</w:t>
      </w:r>
      <w:r>
        <w:rPr>
          <w:rStyle w:val="30"/>
          <w:rFonts w:hint="eastAsia" w:ascii="黑体" w:hAnsi="黑体" w:eastAsia="黑体"/>
          <w:b w:val="0"/>
          <w:bCs w:val="0"/>
        </w:rPr>
        <w:t>构设置</w:t>
      </w:r>
      <w:bookmarkEnd w:id="14"/>
      <w:bookmarkEnd w:id="15"/>
    </w:p>
    <w:p w14:paraId="5F25622A">
      <w:pPr>
        <w:pStyle w:val="36"/>
        <w:keepNext w:val="0"/>
        <w:keepLines w:val="0"/>
        <w:widowControl w:val="0"/>
        <w:suppressLineNumbers w:val="0"/>
        <w:shd w:val="clear" w:fill="FFFFFF"/>
        <w:autoSpaceDE w:val="0"/>
        <w:autoSpaceDN/>
        <w:spacing w:line="560" w:lineRule="exact"/>
        <w:rPr>
          <w:rFonts w:hint="eastAsia" w:ascii="仿宋_GB2312" w:hAnsi="宋体" w:eastAsia="仿宋_GB2312" w:cs="仿宋_GB2312"/>
          <w:kern w:val="0"/>
          <w:sz w:val="32"/>
          <w:szCs w:val="32"/>
          <w:shd w:val="clear" w:fill="FFFFFF"/>
        </w:rPr>
      </w:pPr>
      <w:r>
        <w:rPr>
          <w:rFonts w:hint="eastAsia" w:ascii="宋体" w:hAnsi="宋体" w:eastAsia="宋体" w:cs="宋体"/>
          <w:kern w:val="0"/>
          <w:sz w:val="24"/>
          <w:szCs w:val="24"/>
          <w:shd w:val="clear" w:fill="FFFFFF"/>
        </w:rPr>
        <w:t xml:space="preserve">  </w:t>
      </w:r>
      <w:r>
        <w:rPr>
          <w:rFonts w:hint="eastAsia" w:ascii="仿宋_GB2312" w:hAnsi="宋体" w:eastAsia="仿宋_GB2312" w:cs="仿宋_GB2312"/>
          <w:kern w:val="0"/>
          <w:sz w:val="32"/>
          <w:szCs w:val="32"/>
          <w:shd w:val="clear" w:fill="FFFFFF"/>
        </w:rPr>
        <w:t>四川省阿坝州财政局下属二级单位3个，其中行政单位1个，参照公务员管理的事业单位0个，其他事业单位2个。</w:t>
      </w:r>
    </w:p>
    <w:p w14:paraId="10B0BE1B">
      <w:pPr>
        <w:pStyle w:val="36"/>
        <w:keepNext w:val="0"/>
        <w:keepLines w:val="0"/>
        <w:widowControl/>
        <w:suppressLineNumbers w:val="0"/>
        <w:shd w:val="clear" w:fill="FFFFFF"/>
        <w:autoSpaceDE w:val="0"/>
        <w:autoSpaceDN/>
        <w:spacing w:line="560" w:lineRule="exact"/>
        <w:ind w:left="0" w:firstLine="470"/>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纳入四川省阿坝州财政局</w:t>
      </w:r>
      <w:r>
        <w:rPr>
          <w:rFonts w:hint="eastAsia" w:ascii="仿宋_GB2312" w:eastAsia="仿宋_GB2312" w:cs="仿宋_GB2312"/>
          <w:kern w:val="0"/>
          <w:sz w:val="32"/>
          <w:szCs w:val="32"/>
          <w:shd w:val="clear" w:fill="FFFFFF"/>
          <w:lang w:eastAsia="zh-CN"/>
        </w:rPr>
        <w:t>2024</w:t>
      </w:r>
      <w:r>
        <w:rPr>
          <w:rFonts w:hint="eastAsia" w:ascii="仿宋_GB2312" w:hAnsi="宋体" w:eastAsia="仿宋_GB2312" w:cs="仿宋_GB2312"/>
          <w:kern w:val="0"/>
          <w:sz w:val="32"/>
          <w:szCs w:val="32"/>
          <w:shd w:val="clear" w:fill="FFFFFF"/>
        </w:rPr>
        <w:t>年度部门决算编制范围的二级预算单位包括：</w:t>
      </w:r>
      <w:r>
        <w:rPr>
          <w:rFonts w:hint="eastAsia" w:ascii="宋体" w:hAnsi="宋体" w:eastAsia="宋体" w:cs="宋体"/>
          <w:kern w:val="0"/>
          <w:sz w:val="32"/>
          <w:szCs w:val="32"/>
          <w:shd w:val="clear" w:fill="FFFFFF"/>
        </w:rPr>
        <w:t xml:space="preserve"> </w:t>
      </w:r>
    </w:p>
    <w:p w14:paraId="6501FB54">
      <w:pPr>
        <w:pStyle w:val="36"/>
        <w:keepNext w:val="0"/>
        <w:keepLines w:val="0"/>
        <w:widowControl/>
        <w:suppressLineNumbers w:val="0"/>
        <w:shd w:val="clear" w:fill="FFFFFF"/>
        <w:autoSpaceDE w:val="0"/>
        <w:autoSpaceDN/>
        <w:spacing w:line="560" w:lineRule="exact"/>
        <w:ind w:left="0" w:firstLine="470"/>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1.阿坝州财政局</w:t>
      </w:r>
    </w:p>
    <w:p w14:paraId="09F5F9D1">
      <w:pPr>
        <w:pStyle w:val="36"/>
        <w:keepNext w:val="0"/>
        <w:keepLines w:val="0"/>
        <w:widowControl/>
        <w:suppressLineNumbers w:val="0"/>
        <w:shd w:val="clear" w:fill="FFFFFF"/>
        <w:autoSpaceDE w:val="0"/>
        <w:autoSpaceDN/>
        <w:spacing w:line="560" w:lineRule="exact"/>
        <w:ind w:left="0" w:firstLine="470"/>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2.阿坝州财政局投资评审中心</w:t>
      </w:r>
    </w:p>
    <w:p w14:paraId="1867662B">
      <w:pPr>
        <w:pStyle w:val="36"/>
        <w:keepNext w:val="0"/>
        <w:keepLines w:val="0"/>
        <w:widowControl/>
        <w:suppressLineNumbers w:val="0"/>
        <w:shd w:val="clear" w:fill="FFFFFF"/>
        <w:autoSpaceDE w:val="0"/>
        <w:autoSpaceDN/>
        <w:spacing w:line="560" w:lineRule="exact"/>
        <w:ind w:left="0" w:firstLine="470"/>
        <w:rPr>
          <w:rFonts w:hint="eastAsia" w:ascii="仿宋_GB2312" w:hAnsi="宋体" w:eastAsia="仿宋_GB2312" w:cs="仿宋_GB2312"/>
          <w:kern w:val="0"/>
          <w:sz w:val="32"/>
          <w:szCs w:val="32"/>
          <w:shd w:val="clear" w:fill="FFFFFF"/>
        </w:rPr>
      </w:pPr>
      <w:r>
        <w:rPr>
          <w:rFonts w:hint="eastAsia" w:ascii="仿宋_GB2312" w:hAnsi="宋体" w:eastAsia="仿宋_GB2312" w:cs="仿宋_GB2312"/>
          <w:kern w:val="0"/>
          <w:sz w:val="32"/>
          <w:szCs w:val="32"/>
          <w:shd w:val="clear" w:fill="FFFFFF"/>
        </w:rPr>
        <w:t>3.阿坝州财政政务后勤服务中心</w:t>
      </w:r>
      <w:r>
        <w:rPr>
          <w:rFonts w:hint="eastAsia" w:ascii="宋体" w:hAnsi="宋体" w:eastAsia="宋体" w:cs="宋体"/>
          <w:kern w:val="0"/>
          <w:sz w:val="24"/>
          <w:szCs w:val="24"/>
          <w:shd w:val="clear" w:fill="FFFFFF"/>
        </w:rPr>
        <w:t xml:space="preserve"> </w:t>
      </w:r>
    </w:p>
    <w:p w14:paraId="7F3B1CAD">
      <w:pPr>
        <w:ind w:firstLine="800" w:firstLineChars="250"/>
        <w:rPr>
          <w:rFonts w:ascii="仿宋" w:hAnsi="仿宋" w:eastAsia="仿宋"/>
          <w:sz w:val="32"/>
          <w:szCs w:val="32"/>
        </w:rPr>
      </w:pPr>
    </w:p>
    <w:p w14:paraId="3452A0BA">
      <w:pPr>
        <w:pStyle w:val="2"/>
        <w:ind w:right="440"/>
        <w:jc w:val="center"/>
        <w:rPr>
          <w:rStyle w:val="29"/>
          <w:rFonts w:ascii="黑体" w:hAnsi="黑体" w:eastAsia="黑体"/>
          <w:b w:val="0"/>
          <w:bCs/>
        </w:rPr>
      </w:pPr>
      <w:bookmarkStart w:id="16" w:name="_Toc15377204"/>
      <w:bookmarkStart w:id="17" w:name="_Toc15396602"/>
      <w:r>
        <w:rPr>
          <w:rFonts w:hint="eastAsia" w:ascii="黑体" w:hAnsi="黑体" w:eastAsia="黑体"/>
          <w:b w:val="0"/>
        </w:rPr>
        <w:t xml:space="preserve">第二部分 </w:t>
      </w:r>
      <w:r>
        <w:rPr>
          <w:rFonts w:hint="eastAsia" w:ascii="黑体" w:hAnsi="黑体" w:eastAsia="黑体"/>
          <w:b w:val="0"/>
          <w:lang w:eastAsia="zh-CN"/>
        </w:rPr>
        <w:t>2024</w:t>
      </w:r>
      <w:r>
        <w:rPr>
          <w:rFonts w:hint="eastAsia" w:ascii="黑体" w:hAnsi="黑体" w:eastAsia="黑体"/>
          <w:b w:val="0"/>
        </w:rPr>
        <w:t>年度</w:t>
      </w:r>
      <w:r>
        <w:rPr>
          <w:rStyle w:val="29"/>
          <w:rFonts w:hint="eastAsia" w:ascii="黑体" w:hAnsi="黑体" w:eastAsia="黑体"/>
          <w:b w:val="0"/>
          <w:bCs/>
        </w:rPr>
        <w:t>部门决算情况说明</w:t>
      </w:r>
      <w:bookmarkEnd w:id="16"/>
      <w:bookmarkEnd w:id="17"/>
    </w:p>
    <w:p w14:paraId="50AB2EF2"/>
    <w:p w14:paraId="5108A1BB">
      <w:pPr>
        <w:pStyle w:val="28"/>
        <w:numPr>
          <w:ilvl w:val="0"/>
          <w:numId w:val="0"/>
        </w:numPr>
        <w:spacing w:line="600" w:lineRule="exact"/>
        <w:ind w:left="1360" w:leftChars="0" w:hanging="720" w:firstLineChars="0"/>
        <w:outlineLvl w:val="1"/>
        <w:rPr>
          <w:rStyle w:val="30"/>
          <w:rFonts w:ascii="黑体" w:hAnsi="黑体" w:eastAsia="黑体"/>
          <w:b w:val="0"/>
        </w:rPr>
      </w:pPr>
      <w:bookmarkStart w:id="18" w:name="_Toc15377205"/>
      <w:bookmarkStart w:id="19" w:name="_Toc15396603"/>
      <w:r>
        <w:rPr>
          <w:rFonts w:hint="default" w:ascii="黑体" w:hAnsi="黑体" w:eastAsia="黑体" w:cstheme="majorBidi"/>
          <w:b w:val="0"/>
          <w:bCs/>
          <w:kern w:val="2"/>
          <w:sz w:val="32"/>
          <w:szCs w:val="32"/>
          <w:lang w:val="en-US" w:eastAsia="zh-CN" w:bidi="ar-SA"/>
        </w:rPr>
        <w:t>一、</w:t>
      </w:r>
      <w:r>
        <w:rPr>
          <w:rFonts w:hint="eastAsia" w:ascii="黑体" w:hAnsi="黑体" w:eastAsia="黑体"/>
          <w:sz w:val="32"/>
          <w:szCs w:val="32"/>
        </w:rPr>
        <w:t>收</w:t>
      </w:r>
      <w:r>
        <w:rPr>
          <w:rStyle w:val="30"/>
          <w:rFonts w:hint="eastAsia" w:ascii="黑体" w:hAnsi="黑体" w:eastAsia="黑体"/>
          <w:b w:val="0"/>
        </w:rPr>
        <w:t>入支出决算总体情况说明</w:t>
      </w:r>
      <w:bookmarkEnd w:id="18"/>
      <w:bookmarkEnd w:id="19"/>
    </w:p>
    <w:p w14:paraId="5E802B13">
      <w:pPr>
        <w:spacing w:line="600" w:lineRule="exact"/>
        <w:ind w:firstLine="640" w:firstLineChars="200"/>
        <w:jc w:val="left"/>
        <w:rPr>
          <w:rFonts w:hint="default" w:ascii="仿宋" w:hAnsi="仿宋" w:eastAsia="仿宋"/>
          <w:sz w:val="32"/>
          <w:szCs w:val="32"/>
          <w:lang w:val="en-US" w:eastAsia="zh-CN"/>
        </w:rPr>
      </w:pPr>
      <w:r>
        <w:rPr>
          <w:rFonts w:hint="eastAsia" w:ascii="仿宋" w:hAnsi="仿宋" w:eastAsia="仿宋"/>
          <w:sz w:val="32"/>
          <w:szCs w:val="32"/>
          <w:lang w:eastAsia="zh-CN"/>
        </w:rPr>
        <w:t>2024</w:t>
      </w:r>
      <w:r>
        <w:rPr>
          <w:rFonts w:hint="eastAsia" w:ascii="仿宋" w:hAnsi="仿宋" w:eastAsia="仿宋"/>
          <w:sz w:val="32"/>
          <w:szCs w:val="32"/>
        </w:rPr>
        <w:t>年度收、支总计均为</w:t>
      </w:r>
      <w:r>
        <w:rPr>
          <w:rFonts w:hint="eastAsia" w:eastAsia="仿宋"/>
          <w:sz w:val="32"/>
          <w:szCs w:val="32"/>
          <w:lang w:eastAsia="zh-CN"/>
        </w:rPr>
        <w:t>5779.04</w:t>
      </w:r>
      <w:r>
        <w:rPr>
          <w:rFonts w:hint="eastAsia" w:ascii="仿宋" w:hAnsi="仿宋" w:eastAsia="仿宋"/>
          <w:sz w:val="32"/>
          <w:szCs w:val="32"/>
        </w:rPr>
        <w:t>万元</w:t>
      </w:r>
      <w:r>
        <w:rPr>
          <w:rFonts w:hint="eastAsia"/>
          <w:sz w:val="32"/>
          <w:szCs w:val="32"/>
        </w:rPr>
        <w:t>。</w:t>
      </w:r>
      <w:r>
        <w:rPr>
          <w:rFonts w:hint="eastAsia" w:ascii="仿宋" w:hAnsi="仿宋" w:eastAsia="仿宋"/>
          <w:sz w:val="32"/>
          <w:szCs w:val="32"/>
        </w:rPr>
        <w:t>与</w:t>
      </w:r>
      <w:r>
        <w:rPr>
          <w:rFonts w:hint="eastAsia" w:ascii="仿宋" w:hAnsi="仿宋" w:eastAsia="仿宋"/>
          <w:sz w:val="32"/>
          <w:szCs w:val="32"/>
          <w:lang w:eastAsia="zh-CN"/>
        </w:rPr>
        <w:t>2023</w:t>
      </w:r>
      <w:r>
        <w:rPr>
          <w:rFonts w:hint="eastAsia" w:ascii="仿宋" w:hAnsi="仿宋" w:eastAsia="仿宋"/>
          <w:sz w:val="32"/>
          <w:szCs w:val="32"/>
        </w:rPr>
        <w:t>年度相比，收、支总计各</w:t>
      </w:r>
      <w:r>
        <w:rPr>
          <w:rFonts w:hint="eastAsia" w:ascii="仿宋" w:hAnsi="仿宋" w:eastAsia="仿宋"/>
          <w:sz w:val="32"/>
          <w:szCs w:val="32"/>
          <w:lang w:eastAsia="zh-CN"/>
        </w:rPr>
        <w:t>增加815.77</w:t>
      </w:r>
      <w:r>
        <w:rPr>
          <w:rFonts w:hint="eastAsia" w:ascii="仿宋" w:hAnsi="仿宋" w:eastAsia="仿宋"/>
          <w:sz w:val="32"/>
          <w:szCs w:val="32"/>
        </w:rPr>
        <w:t>万元，</w:t>
      </w:r>
      <w:r>
        <w:rPr>
          <w:rFonts w:hint="eastAsia" w:ascii="仿宋" w:hAnsi="仿宋" w:eastAsia="仿宋"/>
          <w:sz w:val="32"/>
          <w:szCs w:val="32"/>
          <w:lang w:eastAsia="zh-CN"/>
        </w:rPr>
        <w:t>上升16.44%</w:t>
      </w:r>
      <w:r>
        <w:rPr>
          <w:rFonts w:hint="eastAsia" w:ascii="仿宋" w:hAnsi="仿宋" w:eastAsia="仿宋"/>
          <w:sz w:val="32"/>
          <w:szCs w:val="32"/>
        </w:rPr>
        <w:t>。主要变动原因是</w:t>
      </w:r>
      <w:r>
        <w:rPr>
          <w:rFonts w:hint="eastAsia" w:ascii="仿宋" w:hAnsi="仿宋" w:eastAsia="仿宋"/>
          <w:sz w:val="32"/>
          <w:szCs w:val="32"/>
          <w:lang w:val="en-US" w:eastAsia="zh-CN"/>
        </w:rPr>
        <w:t>2025年人员增加7名，导致公用经费及人员经费增加。</w:t>
      </w:r>
    </w:p>
    <w:p w14:paraId="47EC7397">
      <w:pPr>
        <w:spacing w:line="600" w:lineRule="exact"/>
        <w:ind w:firstLine="640" w:firstLineChars="200"/>
        <w:rPr>
          <w:rFonts w:ascii="仿宋" w:hAnsi="仿宋" w:eastAsia="仿宋"/>
          <w:sz w:val="32"/>
          <w:szCs w:val="32"/>
        </w:rPr>
      </w:pPr>
      <w:r>
        <w:rPr>
          <w:rFonts w:hint="eastAsia" w:ascii="仿宋" w:hAnsi="仿宋" w:eastAsia="仿宋"/>
          <w:sz w:val="32"/>
          <w:szCs w:val="32"/>
        </w:rPr>
        <w:t>（图</w:t>
      </w:r>
      <w:r>
        <w:rPr>
          <w:rFonts w:ascii="仿宋" w:hAnsi="仿宋" w:eastAsia="仿宋"/>
          <w:sz w:val="32"/>
          <w:szCs w:val="32"/>
        </w:rPr>
        <w:t>1</w:t>
      </w:r>
      <w:r>
        <w:rPr>
          <w:rFonts w:hint="eastAsia" w:ascii="仿宋" w:hAnsi="仿宋" w:eastAsia="仿宋"/>
          <w:sz w:val="32"/>
          <w:szCs w:val="32"/>
        </w:rPr>
        <w:t>：收、支决算总计变动情况图）（柱状图）</w:t>
      </w:r>
    </w:p>
    <w:p w14:paraId="50DA6B6E">
      <w:pPr>
        <w:spacing w:line="600" w:lineRule="exact"/>
        <w:ind w:firstLine="640" w:firstLineChars="200"/>
        <w:jc w:val="left"/>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59264" behindDoc="0" locked="0" layoutInCell="1" allowOverlap="1">
            <wp:simplePos x="0" y="0"/>
            <wp:positionH relativeFrom="column">
              <wp:posOffset>372745</wp:posOffset>
            </wp:positionH>
            <wp:positionV relativeFrom="paragraph">
              <wp:posOffset>295910</wp:posOffset>
            </wp:positionV>
            <wp:extent cx="4751705" cy="2635885"/>
            <wp:effectExtent l="4445" t="4445" r="13970" b="11430"/>
            <wp:wrapNone/>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anchor>
        </w:drawing>
      </w:r>
    </w:p>
    <w:p w14:paraId="2229DFF8">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bookmarkStart w:id="20" w:name="_Toc15377206"/>
      <w:bookmarkStart w:id="21" w:name="_Toc15396604"/>
    </w:p>
    <w:p w14:paraId="6B766359">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5321B3F8">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417530FD">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34A9B214">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4CF65452">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757AD021">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7063BC31">
      <w:pPr>
        <w:pStyle w:val="28"/>
        <w:numPr>
          <w:ilvl w:val="0"/>
          <w:numId w:val="0"/>
        </w:numPr>
        <w:spacing w:line="600" w:lineRule="exact"/>
        <w:ind w:left="1360" w:leftChars="0" w:hanging="720" w:firstLineChars="0"/>
        <w:outlineLvl w:val="1"/>
        <w:rPr>
          <w:rStyle w:val="30"/>
          <w:rFonts w:ascii="黑体" w:hAnsi="黑体" w:eastAsia="黑体"/>
          <w:b w:val="0"/>
        </w:rPr>
      </w:pPr>
      <w:r>
        <w:rPr>
          <w:rFonts w:hint="default" w:ascii="黑体" w:hAnsi="黑体" w:eastAsia="黑体" w:cstheme="majorBidi"/>
          <w:b w:val="0"/>
          <w:bCs/>
          <w:kern w:val="2"/>
          <w:sz w:val="32"/>
          <w:szCs w:val="32"/>
          <w:lang w:val="en-US" w:eastAsia="zh-CN" w:bidi="ar-SA"/>
        </w:rPr>
        <w:t>二、</w:t>
      </w:r>
      <w:r>
        <w:rPr>
          <w:rFonts w:hint="eastAsia" w:ascii="黑体" w:hAnsi="黑体" w:eastAsia="黑体"/>
          <w:sz w:val="32"/>
          <w:szCs w:val="32"/>
        </w:rPr>
        <w:t>收</w:t>
      </w:r>
      <w:r>
        <w:rPr>
          <w:rStyle w:val="30"/>
          <w:rFonts w:hint="eastAsia" w:ascii="黑体" w:hAnsi="黑体" w:eastAsia="黑体"/>
          <w:b w:val="0"/>
        </w:rPr>
        <w:t>入决算情况说明</w:t>
      </w:r>
      <w:bookmarkEnd w:id="20"/>
      <w:bookmarkEnd w:id="21"/>
    </w:p>
    <w:p w14:paraId="1314CD85">
      <w:pPr>
        <w:spacing w:line="600" w:lineRule="exact"/>
        <w:ind w:firstLine="640" w:firstLineChars="200"/>
        <w:jc w:val="left"/>
        <w:outlineLvl w:val="1"/>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年度本年收入合计</w:t>
      </w:r>
      <w:r>
        <w:rPr>
          <w:rFonts w:hint="eastAsia" w:eastAsia="仿宋"/>
          <w:sz w:val="32"/>
          <w:szCs w:val="32"/>
          <w:lang w:eastAsia="zh-CN"/>
        </w:rPr>
        <w:t>5779.04</w:t>
      </w:r>
      <w:r>
        <w:rPr>
          <w:rFonts w:hint="eastAsia" w:ascii="仿宋" w:hAnsi="仿宋" w:eastAsia="仿宋"/>
          <w:sz w:val="32"/>
          <w:szCs w:val="32"/>
        </w:rPr>
        <w:t>万元，其中：一般公共预算财政拨款收入</w:t>
      </w:r>
      <w:r>
        <w:rPr>
          <w:rFonts w:hint="eastAsia" w:eastAsia="仿宋"/>
          <w:sz w:val="32"/>
          <w:szCs w:val="32"/>
          <w:lang w:eastAsia="zh-CN"/>
        </w:rPr>
        <w:t>5779.04</w:t>
      </w:r>
      <w:r>
        <w:rPr>
          <w:rFonts w:hint="eastAsia" w:ascii="仿宋" w:hAnsi="仿宋" w:eastAsia="仿宋"/>
          <w:sz w:val="32"/>
          <w:szCs w:val="32"/>
        </w:rPr>
        <w:t>万元，占</w:t>
      </w:r>
      <w:r>
        <w:rPr>
          <w:sz w:val="32"/>
          <w:szCs w:val="32"/>
        </w:rPr>
        <w:t>100</w:t>
      </w:r>
      <w:r>
        <w:rPr>
          <w:rFonts w:ascii="仿宋" w:hAnsi="仿宋" w:eastAsia="仿宋"/>
          <w:sz w:val="32"/>
          <w:szCs w:val="32"/>
        </w:rPr>
        <w:t>%</w:t>
      </w:r>
      <w:r>
        <w:rPr>
          <w:rFonts w:hint="eastAsia" w:ascii="仿宋" w:hAnsi="仿宋" w:eastAsia="仿宋"/>
          <w:sz w:val="32"/>
          <w:szCs w:val="32"/>
        </w:rPr>
        <w:t>；政府性基金预算财政拨款收入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；国有资本经营预算财政拨款收入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；上级补助收入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；事业收入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；经营收入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；附属单位上缴收入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；其他收入</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w:t>
      </w:r>
    </w:p>
    <w:p w14:paraId="2FB46A36">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01表</w:t>
      </w:r>
      <w:r>
        <w:rPr>
          <w:rFonts w:hint="eastAsia" w:ascii="仿宋" w:hAnsi="仿宋" w:eastAsia="仿宋"/>
          <w:b/>
          <w:sz w:val="32"/>
          <w:szCs w:val="32"/>
        </w:rPr>
        <w:t>，仅罗列本部门涉及的收入。</w:t>
      </w:r>
      <w:r>
        <w:rPr>
          <w:rFonts w:ascii="仿宋" w:hAnsi="仿宋" w:eastAsia="仿宋"/>
          <w:b/>
          <w:sz w:val="32"/>
          <w:szCs w:val="32"/>
        </w:rPr>
        <w:t>）</w:t>
      </w:r>
    </w:p>
    <w:p w14:paraId="091674FB">
      <w:pPr>
        <w:spacing w:line="600" w:lineRule="exact"/>
        <w:ind w:firstLine="640" w:firstLineChars="200"/>
        <w:rPr>
          <w:rFonts w:ascii="仿宋" w:hAnsi="仿宋" w:eastAsia="仿宋"/>
          <w:sz w:val="32"/>
          <w:szCs w:val="32"/>
        </w:rPr>
      </w:pPr>
      <w:r>
        <w:rPr>
          <w:rFonts w:hint="eastAsia" w:ascii="仿宋" w:hAnsi="仿宋" w:eastAsia="仿宋"/>
          <w:sz w:val="32"/>
          <w:szCs w:val="32"/>
        </w:rPr>
        <w:t>（图2：收入决算结构图）（饼状图）</w:t>
      </w:r>
    </w:p>
    <w:p w14:paraId="15CA308F">
      <w:pPr>
        <w:spacing w:line="600" w:lineRule="exact"/>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drawing>
          <wp:anchor distT="0" distB="0" distL="114300" distR="114300" simplePos="0" relativeHeight="251660288" behindDoc="0" locked="0" layoutInCell="1" allowOverlap="1">
            <wp:simplePos x="0" y="0"/>
            <wp:positionH relativeFrom="column">
              <wp:posOffset>335280</wp:posOffset>
            </wp:positionH>
            <wp:positionV relativeFrom="paragraph">
              <wp:posOffset>31115</wp:posOffset>
            </wp:positionV>
            <wp:extent cx="4618990" cy="2930525"/>
            <wp:effectExtent l="4445" t="4445" r="9525" b="6350"/>
            <wp:wrapNone/>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anchor>
        </w:drawing>
      </w:r>
    </w:p>
    <w:p w14:paraId="0E8700CD">
      <w:pPr>
        <w:spacing w:line="600" w:lineRule="exact"/>
        <w:ind w:firstLine="640" w:firstLineChars="200"/>
        <w:rPr>
          <w:rFonts w:ascii="仿宋_GB2312" w:eastAsia="仿宋_GB2312"/>
          <w:sz w:val="32"/>
          <w:szCs w:val="32"/>
        </w:rPr>
      </w:pPr>
    </w:p>
    <w:p w14:paraId="3E693498">
      <w:pPr>
        <w:spacing w:line="600" w:lineRule="exact"/>
        <w:ind w:firstLine="640" w:firstLineChars="200"/>
        <w:rPr>
          <w:rFonts w:ascii="仿宋_GB2312" w:eastAsia="仿宋_GB2312"/>
          <w:sz w:val="32"/>
          <w:szCs w:val="32"/>
        </w:rPr>
      </w:pPr>
    </w:p>
    <w:p w14:paraId="7D3EAAE7">
      <w:pPr>
        <w:spacing w:line="600" w:lineRule="exact"/>
        <w:ind w:firstLine="640" w:firstLineChars="200"/>
        <w:rPr>
          <w:rFonts w:ascii="仿宋_GB2312" w:eastAsia="仿宋_GB2312"/>
          <w:sz w:val="32"/>
          <w:szCs w:val="32"/>
        </w:rPr>
      </w:pPr>
    </w:p>
    <w:p w14:paraId="7DA83B18">
      <w:pPr>
        <w:spacing w:line="600" w:lineRule="exact"/>
        <w:ind w:firstLine="640" w:firstLineChars="200"/>
        <w:rPr>
          <w:rFonts w:ascii="仿宋_GB2312" w:eastAsia="仿宋_GB2312"/>
          <w:sz w:val="32"/>
          <w:szCs w:val="32"/>
        </w:rPr>
      </w:pPr>
    </w:p>
    <w:p w14:paraId="1FD0D8AA">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bookmarkStart w:id="22" w:name="_Toc15396605"/>
      <w:bookmarkStart w:id="23" w:name="_Toc15377207"/>
    </w:p>
    <w:p w14:paraId="11054CF3">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141ED977">
      <w:pPr>
        <w:pStyle w:val="28"/>
        <w:numPr>
          <w:ilvl w:val="0"/>
          <w:numId w:val="0"/>
        </w:numPr>
        <w:spacing w:line="600" w:lineRule="exact"/>
        <w:ind w:left="1360" w:leftChars="0" w:hanging="720" w:firstLineChars="0"/>
        <w:outlineLvl w:val="1"/>
        <w:rPr>
          <w:rFonts w:hint="default" w:ascii="黑体" w:hAnsi="黑体" w:eastAsia="黑体" w:cstheme="majorBidi"/>
          <w:b w:val="0"/>
          <w:bCs/>
          <w:kern w:val="2"/>
          <w:sz w:val="32"/>
          <w:szCs w:val="32"/>
          <w:lang w:val="en-US" w:eastAsia="zh-CN" w:bidi="ar-SA"/>
        </w:rPr>
      </w:pPr>
    </w:p>
    <w:p w14:paraId="5B2A2BF0">
      <w:pPr>
        <w:pStyle w:val="28"/>
        <w:numPr>
          <w:ilvl w:val="0"/>
          <w:numId w:val="0"/>
        </w:numPr>
        <w:spacing w:line="600" w:lineRule="exact"/>
        <w:ind w:left="1360" w:leftChars="0" w:hanging="720" w:firstLineChars="0"/>
        <w:outlineLvl w:val="1"/>
        <w:rPr>
          <w:rStyle w:val="30"/>
          <w:rFonts w:ascii="黑体" w:hAnsi="黑体" w:eastAsia="黑体"/>
          <w:b w:val="0"/>
        </w:rPr>
      </w:pPr>
      <w:r>
        <w:rPr>
          <w:rFonts w:hint="default" w:ascii="黑体" w:hAnsi="黑体" w:eastAsia="黑体" w:cstheme="majorBidi"/>
          <w:b w:val="0"/>
          <w:bCs/>
          <w:kern w:val="2"/>
          <w:sz w:val="32"/>
          <w:szCs w:val="32"/>
          <w:lang w:val="en-US" w:eastAsia="zh-CN" w:bidi="ar-SA"/>
        </w:rPr>
        <w:t>三、</w:t>
      </w:r>
      <w:r>
        <w:rPr>
          <w:rFonts w:hint="eastAsia" w:ascii="黑体" w:hAnsi="黑体" w:eastAsia="黑体"/>
          <w:sz w:val="32"/>
          <w:szCs w:val="32"/>
        </w:rPr>
        <w:t>支</w:t>
      </w:r>
      <w:r>
        <w:rPr>
          <w:rStyle w:val="30"/>
          <w:rFonts w:hint="eastAsia" w:ascii="黑体" w:hAnsi="黑体" w:eastAsia="黑体"/>
          <w:b w:val="0"/>
        </w:rPr>
        <w:t>出决算情况说明</w:t>
      </w:r>
      <w:bookmarkEnd w:id="22"/>
      <w:bookmarkEnd w:id="23"/>
    </w:p>
    <w:p w14:paraId="5E53534B">
      <w:pPr>
        <w:spacing w:line="600" w:lineRule="exact"/>
        <w:ind w:firstLine="640" w:firstLineChars="200"/>
        <w:outlineLvl w:val="1"/>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年度本年支出合计</w:t>
      </w:r>
      <w:r>
        <w:rPr>
          <w:rFonts w:hint="eastAsia" w:eastAsia="仿宋"/>
          <w:sz w:val="32"/>
          <w:szCs w:val="32"/>
          <w:lang w:eastAsia="zh-CN"/>
        </w:rPr>
        <w:t>5779.04</w:t>
      </w:r>
      <w:r>
        <w:rPr>
          <w:rFonts w:hint="eastAsia" w:ascii="仿宋" w:hAnsi="仿宋" w:eastAsia="仿宋"/>
          <w:sz w:val="32"/>
          <w:szCs w:val="32"/>
        </w:rPr>
        <w:t>万元，其中：基本支出</w:t>
      </w:r>
      <w:r>
        <w:rPr>
          <w:rFonts w:hint="eastAsia" w:eastAsia="仿宋"/>
          <w:sz w:val="32"/>
          <w:szCs w:val="32"/>
          <w:lang w:eastAsia="zh-CN"/>
        </w:rPr>
        <w:t>4484.22</w:t>
      </w:r>
      <w:r>
        <w:rPr>
          <w:rFonts w:hint="eastAsia" w:ascii="仿宋" w:hAnsi="仿宋" w:eastAsia="仿宋"/>
          <w:sz w:val="32"/>
          <w:szCs w:val="32"/>
        </w:rPr>
        <w:t>万元，占</w:t>
      </w:r>
      <w:r>
        <w:rPr>
          <w:rFonts w:hint="eastAsia" w:eastAsia="仿宋"/>
          <w:sz w:val="32"/>
          <w:szCs w:val="32"/>
          <w:lang w:eastAsia="zh-CN"/>
        </w:rPr>
        <w:t>77.59</w:t>
      </w:r>
      <w:r>
        <w:rPr>
          <w:rFonts w:ascii="仿宋" w:hAnsi="仿宋" w:eastAsia="仿宋"/>
          <w:sz w:val="32"/>
          <w:szCs w:val="32"/>
        </w:rPr>
        <w:t>%</w:t>
      </w:r>
      <w:r>
        <w:rPr>
          <w:rFonts w:hint="eastAsia" w:ascii="仿宋" w:hAnsi="仿宋" w:eastAsia="仿宋"/>
          <w:sz w:val="32"/>
          <w:szCs w:val="32"/>
        </w:rPr>
        <w:t>；项目支出</w:t>
      </w:r>
      <w:r>
        <w:rPr>
          <w:rFonts w:hint="eastAsia" w:eastAsia="仿宋"/>
          <w:sz w:val="32"/>
          <w:szCs w:val="32"/>
          <w:lang w:eastAsia="zh-CN"/>
        </w:rPr>
        <w:t>1294.81</w:t>
      </w:r>
      <w:r>
        <w:rPr>
          <w:rFonts w:hint="eastAsia" w:ascii="仿宋" w:hAnsi="仿宋" w:eastAsia="仿宋"/>
          <w:sz w:val="32"/>
          <w:szCs w:val="32"/>
        </w:rPr>
        <w:t>万元，占</w:t>
      </w:r>
      <w:r>
        <w:rPr>
          <w:rFonts w:hint="eastAsia" w:eastAsia="仿宋"/>
          <w:sz w:val="32"/>
          <w:szCs w:val="32"/>
          <w:lang w:eastAsia="zh-CN"/>
        </w:rPr>
        <w:t>22.41</w:t>
      </w:r>
      <w:r>
        <w:rPr>
          <w:rFonts w:ascii="仿宋" w:hAnsi="仿宋" w:eastAsia="仿宋"/>
          <w:sz w:val="32"/>
          <w:szCs w:val="32"/>
        </w:rPr>
        <w:t>%</w:t>
      </w:r>
      <w:r>
        <w:rPr>
          <w:rFonts w:hint="eastAsia" w:ascii="仿宋" w:hAnsi="仿宋" w:eastAsia="仿宋"/>
          <w:sz w:val="32"/>
          <w:szCs w:val="32"/>
        </w:rPr>
        <w:t>；上缴上级支出</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；经营支出</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；对附属单位补助支出</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w:t>
      </w:r>
    </w:p>
    <w:p w14:paraId="167444F2">
      <w:pPr>
        <w:spacing w:line="600" w:lineRule="exact"/>
        <w:ind w:firstLine="643" w:firstLineChars="200"/>
        <w:outlineLvl w:val="1"/>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04</w:t>
      </w:r>
      <w:r>
        <w:rPr>
          <w:rFonts w:hint="eastAsia" w:ascii="仿宋" w:hAnsi="仿宋" w:eastAsia="仿宋"/>
          <w:b/>
          <w:sz w:val="32"/>
          <w:szCs w:val="32"/>
        </w:rPr>
        <w:t>表，仅罗列本部门涉及的支出。）</w:t>
      </w:r>
    </w:p>
    <w:p w14:paraId="0F5D154E">
      <w:pPr>
        <w:spacing w:line="600" w:lineRule="exact"/>
        <w:ind w:firstLine="640"/>
        <w:rPr>
          <w:rFonts w:ascii="仿宋" w:hAnsi="仿宋" w:eastAsia="仿宋"/>
          <w:sz w:val="32"/>
          <w:szCs w:val="32"/>
          <w:shd w:val="pct10" w:color="auto" w:fill="FFFFFF"/>
        </w:rPr>
      </w:pPr>
    </w:p>
    <w:p w14:paraId="4B3920B6">
      <w:pPr>
        <w:spacing w:line="600" w:lineRule="exact"/>
        <w:ind w:firstLine="640" w:firstLineChars="200"/>
        <w:rPr>
          <w:rFonts w:ascii="仿宋" w:hAnsi="仿宋" w:eastAsia="仿宋"/>
          <w:sz w:val="32"/>
          <w:szCs w:val="32"/>
        </w:rPr>
      </w:pPr>
      <w:r>
        <w:rPr>
          <w:rFonts w:hint="eastAsia" w:ascii="仿宋" w:hAnsi="仿宋" w:eastAsia="仿宋"/>
          <w:sz w:val="32"/>
          <w:szCs w:val="32"/>
        </w:rPr>
        <w:t>（图3：支出决算结构图）（饼状图）</w:t>
      </w:r>
    </w:p>
    <w:p w14:paraId="3F13AFA3">
      <w:pPr>
        <w:spacing w:line="600" w:lineRule="exact"/>
        <w:ind w:firstLine="640" w:firstLineChars="200"/>
        <w:rPr>
          <w:rFonts w:ascii="仿宋_GB2312" w:eastAsia="仿宋_GB2312"/>
          <w:sz w:val="32"/>
          <w:szCs w:val="32"/>
        </w:rPr>
      </w:pPr>
    </w:p>
    <w:p w14:paraId="4DFB1A74">
      <w:pPr>
        <w:spacing w:line="600" w:lineRule="exact"/>
        <w:ind w:firstLine="640" w:firstLineChars="200"/>
        <w:outlineLvl w:val="1"/>
        <w:rPr>
          <w:rFonts w:hint="eastAsia" w:ascii="黑体" w:hAnsi="黑体" w:eastAsia="黑体"/>
          <w:sz w:val="32"/>
          <w:szCs w:val="32"/>
        </w:rPr>
      </w:pPr>
      <w:bookmarkStart w:id="24" w:name="_Toc15377208"/>
      <w:bookmarkStart w:id="25" w:name="_Toc15396606"/>
    </w:p>
    <w:p w14:paraId="0660C58B">
      <w:pPr>
        <w:spacing w:line="600" w:lineRule="exact"/>
        <w:ind w:firstLine="640" w:firstLineChars="200"/>
        <w:outlineLvl w:val="1"/>
        <w:rPr>
          <w:rFonts w:hint="eastAsia" w:ascii="黑体" w:hAnsi="黑体" w:eastAsia="黑体"/>
          <w:sz w:val="32"/>
          <w:szCs w:val="32"/>
          <w:lang w:eastAsia="zh-CN"/>
        </w:rPr>
      </w:pPr>
      <w:r>
        <w:rPr>
          <w:rFonts w:hint="eastAsia" w:ascii="黑体" w:hAnsi="黑体" w:eastAsia="黑体"/>
          <w:sz w:val="32"/>
          <w:szCs w:val="32"/>
          <w:lang w:eastAsia="zh-CN"/>
        </w:rPr>
        <w:drawing>
          <wp:anchor distT="0" distB="0" distL="114300" distR="114300" simplePos="0" relativeHeight="251661312" behindDoc="0" locked="0" layoutInCell="1" allowOverlap="1">
            <wp:simplePos x="0" y="0"/>
            <wp:positionH relativeFrom="column">
              <wp:posOffset>49530</wp:posOffset>
            </wp:positionH>
            <wp:positionV relativeFrom="paragraph">
              <wp:posOffset>107315</wp:posOffset>
            </wp:positionV>
            <wp:extent cx="5256530" cy="2988310"/>
            <wp:effectExtent l="5080" t="4445" r="11430" b="9525"/>
            <wp:wrapNone/>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14:paraId="66EB8558">
      <w:pPr>
        <w:spacing w:line="600" w:lineRule="exact"/>
        <w:ind w:firstLine="640" w:firstLineChars="200"/>
        <w:outlineLvl w:val="1"/>
        <w:rPr>
          <w:rFonts w:hint="eastAsia" w:ascii="黑体" w:hAnsi="黑体" w:eastAsia="黑体"/>
          <w:sz w:val="32"/>
          <w:szCs w:val="32"/>
        </w:rPr>
      </w:pPr>
    </w:p>
    <w:p w14:paraId="113BD8AB">
      <w:pPr>
        <w:spacing w:line="600" w:lineRule="exact"/>
        <w:ind w:firstLine="640" w:firstLineChars="200"/>
        <w:outlineLvl w:val="1"/>
        <w:rPr>
          <w:rFonts w:hint="eastAsia" w:ascii="黑体" w:hAnsi="黑体" w:eastAsia="黑体"/>
          <w:sz w:val="32"/>
          <w:szCs w:val="32"/>
        </w:rPr>
      </w:pPr>
    </w:p>
    <w:p w14:paraId="43E48A64">
      <w:pPr>
        <w:spacing w:line="600" w:lineRule="exact"/>
        <w:ind w:firstLine="640" w:firstLineChars="200"/>
        <w:outlineLvl w:val="1"/>
        <w:rPr>
          <w:rFonts w:hint="eastAsia" w:ascii="黑体" w:hAnsi="黑体" w:eastAsia="黑体"/>
          <w:sz w:val="32"/>
          <w:szCs w:val="32"/>
        </w:rPr>
      </w:pPr>
    </w:p>
    <w:p w14:paraId="24848D66">
      <w:pPr>
        <w:spacing w:line="600" w:lineRule="exact"/>
        <w:ind w:firstLine="640" w:firstLineChars="200"/>
        <w:outlineLvl w:val="1"/>
        <w:rPr>
          <w:rFonts w:hint="eastAsia" w:ascii="黑体" w:hAnsi="黑体" w:eastAsia="黑体"/>
          <w:sz w:val="32"/>
          <w:szCs w:val="32"/>
        </w:rPr>
      </w:pPr>
    </w:p>
    <w:p w14:paraId="1C396C34">
      <w:pPr>
        <w:spacing w:line="600" w:lineRule="exact"/>
        <w:ind w:firstLine="640" w:firstLineChars="200"/>
        <w:outlineLvl w:val="1"/>
        <w:rPr>
          <w:rFonts w:hint="eastAsia" w:ascii="黑体" w:hAnsi="黑体" w:eastAsia="黑体"/>
          <w:sz w:val="32"/>
          <w:szCs w:val="32"/>
        </w:rPr>
      </w:pPr>
    </w:p>
    <w:p w14:paraId="14B7208E">
      <w:pPr>
        <w:spacing w:line="600" w:lineRule="exact"/>
        <w:ind w:firstLine="640" w:firstLineChars="200"/>
        <w:outlineLvl w:val="1"/>
        <w:rPr>
          <w:rFonts w:hint="eastAsia" w:ascii="黑体" w:hAnsi="黑体" w:eastAsia="黑体"/>
          <w:sz w:val="32"/>
          <w:szCs w:val="32"/>
        </w:rPr>
      </w:pPr>
    </w:p>
    <w:p w14:paraId="75972575">
      <w:pPr>
        <w:spacing w:line="600" w:lineRule="exact"/>
        <w:ind w:firstLine="640" w:firstLineChars="200"/>
        <w:outlineLvl w:val="1"/>
        <w:rPr>
          <w:rFonts w:hint="eastAsia" w:ascii="黑体" w:hAnsi="黑体" w:eastAsia="黑体"/>
          <w:sz w:val="32"/>
          <w:szCs w:val="32"/>
        </w:rPr>
      </w:pPr>
    </w:p>
    <w:p w14:paraId="0146F351">
      <w:pPr>
        <w:spacing w:line="600" w:lineRule="exact"/>
        <w:ind w:firstLine="640" w:firstLineChars="200"/>
        <w:outlineLvl w:val="1"/>
        <w:rPr>
          <w:rStyle w:val="30"/>
          <w:rFonts w:ascii="黑体" w:hAnsi="黑体" w:eastAsia="黑体"/>
          <w:b w:val="0"/>
        </w:rPr>
      </w:pPr>
      <w:r>
        <w:rPr>
          <w:rFonts w:hint="eastAsia" w:ascii="黑体" w:hAnsi="黑体" w:eastAsia="黑体"/>
          <w:sz w:val="32"/>
          <w:szCs w:val="32"/>
        </w:rPr>
        <w:t>四、财</w:t>
      </w:r>
      <w:r>
        <w:rPr>
          <w:rStyle w:val="30"/>
          <w:rFonts w:hint="eastAsia" w:ascii="黑体" w:hAnsi="黑体" w:eastAsia="黑体"/>
          <w:b w:val="0"/>
        </w:rPr>
        <w:t>政拨款收入支出决算总体情况说明</w:t>
      </w:r>
      <w:bookmarkEnd w:id="24"/>
      <w:bookmarkEnd w:id="25"/>
    </w:p>
    <w:p w14:paraId="0BF4D47F">
      <w:pPr>
        <w:spacing w:line="600" w:lineRule="exact"/>
        <w:ind w:firstLine="640" w:firstLineChars="200"/>
        <w:jc w:val="left"/>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年度财政拨款收、支总计均为</w:t>
      </w:r>
      <w:r>
        <w:rPr>
          <w:rFonts w:hint="eastAsia" w:eastAsia="仿宋"/>
          <w:sz w:val="32"/>
          <w:szCs w:val="32"/>
          <w:lang w:eastAsia="zh-CN"/>
        </w:rPr>
        <w:t>5779.04</w:t>
      </w:r>
      <w:r>
        <w:rPr>
          <w:rFonts w:hint="eastAsia" w:ascii="仿宋" w:hAnsi="仿宋" w:eastAsia="仿宋"/>
          <w:sz w:val="32"/>
          <w:szCs w:val="32"/>
        </w:rPr>
        <w:t>万元。与</w:t>
      </w:r>
      <w:r>
        <w:rPr>
          <w:rFonts w:hint="eastAsia" w:ascii="仿宋" w:hAnsi="仿宋" w:eastAsia="仿宋"/>
          <w:sz w:val="32"/>
          <w:szCs w:val="32"/>
          <w:lang w:eastAsia="zh-CN"/>
        </w:rPr>
        <w:t>2023</w:t>
      </w:r>
      <w:r>
        <w:rPr>
          <w:rFonts w:hint="eastAsia" w:ascii="仿宋" w:hAnsi="仿宋" w:eastAsia="仿宋"/>
          <w:sz w:val="32"/>
          <w:szCs w:val="32"/>
        </w:rPr>
        <w:t>年度相比，财政拨款收、支总计各</w:t>
      </w:r>
      <w:r>
        <w:rPr>
          <w:rFonts w:hint="eastAsia" w:ascii="仿宋" w:hAnsi="仿宋" w:eastAsia="仿宋"/>
          <w:sz w:val="32"/>
          <w:szCs w:val="32"/>
          <w:lang w:eastAsia="zh-CN"/>
        </w:rPr>
        <w:t>增加815.77</w:t>
      </w:r>
      <w:r>
        <w:rPr>
          <w:rFonts w:hint="eastAsia" w:ascii="仿宋" w:hAnsi="仿宋" w:eastAsia="仿宋"/>
          <w:sz w:val="32"/>
          <w:szCs w:val="32"/>
        </w:rPr>
        <w:t>万元，</w:t>
      </w:r>
      <w:r>
        <w:rPr>
          <w:rFonts w:hint="eastAsia" w:ascii="仿宋" w:hAnsi="仿宋" w:eastAsia="仿宋"/>
          <w:sz w:val="32"/>
          <w:szCs w:val="32"/>
          <w:lang w:eastAsia="zh-CN"/>
        </w:rPr>
        <w:t>上升16.44%</w:t>
      </w:r>
      <w:r>
        <w:rPr>
          <w:rFonts w:hint="eastAsia" w:ascii="仿宋" w:hAnsi="仿宋" w:eastAsia="仿宋"/>
          <w:sz w:val="32"/>
          <w:szCs w:val="32"/>
        </w:rPr>
        <w:t>。主要变动原因是</w:t>
      </w:r>
      <w:r>
        <w:rPr>
          <w:rFonts w:hint="eastAsia" w:ascii="仿宋" w:hAnsi="仿宋" w:eastAsia="仿宋"/>
          <w:sz w:val="32"/>
          <w:szCs w:val="32"/>
          <w:lang w:eastAsia="zh-CN"/>
        </w:rPr>
        <w:t>遵循统筹兼顾、勤俭节约、量力而行，讲求绩效和收支平衡的原则，例行节约</w:t>
      </w:r>
      <w:r>
        <w:rPr>
          <w:rFonts w:hint="eastAsia" w:ascii="仿宋" w:hAnsi="仿宋" w:eastAsia="仿宋"/>
          <w:sz w:val="32"/>
          <w:szCs w:val="32"/>
        </w:rPr>
        <w:t>。</w:t>
      </w:r>
    </w:p>
    <w:p w14:paraId="1ADF9B07">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01-1</w:t>
      </w:r>
      <w:r>
        <w:rPr>
          <w:rFonts w:hint="eastAsia" w:ascii="仿宋" w:hAnsi="仿宋" w:eastAsia="仿宋"/>
          <w:b/>
          <w:sz w:val="32"/>
          <w:szCs w:val="32"/>
        </w:rPr>
        <w:t>表</w:t>
      </w:r>
      <w:r>
        <w:rPr>
          <w:rFonts w:ascii="仿宋" w:hAnsi="仿宋" w:eastAsia="仿宋"/>
          <w:b/>
          <w:sz w:val="32"/>
          <w:szCs w:val="32"/>
        </w:rPr>
        <w:t>）</w:t>
      </w:r>
    </w:p>
    <w:p w14:paraId="31A90FBB">
      <w:pPr>
        <w:spacing w:line="600" w:lineRule="exact"/>
        <w:ind w:firstLine="640" w:firstLineChars="200"/>
        <w:rPr>
          <w:rFonts w:ascii="仿宋" w:hAnsi="仿宋" w:eastAsia="仿宋"/>
          <w:sz w:val="32"/>
          <w:szCs w:val="32"/>
        </w:rPr>
      </w:pPr>
      <w:r>
        <w:rPr>
          <w:rFonts w:hint="eastAsia" w:ascii="仿宋" w:hAnsi="仿宋" w:eastAsia="仿宋"/>
          <w:sz w:val="32"/>
          <w:szCs w:val="32"/>
        </w:rPr>
        <w:t>（图4：财政拨款收、支决算总计变动情况）（柱状图）</w:t>
      </w:r>
    </w:p>
    <w:p w14:paraId="6D41AB3A">
      <w:pPr>
        <w:spacing w:line="600" w:lineRule="exact"/>
        <w:ind w:firstLine="640"/>
        <w:rPr>
          <w:rFonts w:hint="eastAsia" w:ascii="仿宋" w:hAnsi="仿宋" w:eastAsia="仿宋"/>
          <w:b/>
          <w:sz w:val="32"/>
          <w:szCs w:val="32"/>
          <w:lang w:eastAsia="zh-CN"/>
        </w:rPr>
      </w:pPr>
      <w:r>
        <w:rPr>
          <w:rFonts w:hint="eastAsia" w:ascii="仿宋" w:hAnsi="仿宋" w:eastAsia="仿宋"/>
          <w:b/>
          <w:sz w:val="32"/>
          <w:szCs w:val="32"/>
          <w:lang w:eastAsia="zh-CN"/>
        </w:rPr>
        <w:drawing>
          <wp:anchor distT="0" distB="0" distL="114300" distR="114300" simplePos="0" relativeHeight="251662336" behindDoc="0" locked="0" layoutInCell="1" allowOverlap="1">
            <wp:simplePos x="0" y="0"/>
            <wp:positionH relativeFrom="column">
              <wp:posOffset>572770</wp:posOffset>
            </wp:positionH>
            <wp:positionV relativeFrom="paragraph">
              <wp:posOffset>137795</wp:posOffset>
            </wp:positionV>
            <wp:extent cx="4476115" cy="2712085"/>
            <wp:effectExtent l="4445" t="5080" r="15240" b="10795"/>
            <wp:wrapNone/>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p>
    <w:p w14:paraId="6C84B5B8">
      <w:pPr>
        <w:spacing w:line="600" w:lineRule="exact"/>
        <w:ind w:firstLine="640"/>
        <w:rPr>
          <w:rFonts w:ascii="仿宋" w:hAnsi="仿宋" w:eastAsia="仿宋"/>
          <w:b/>
          <w:sz w:val="32"/>
          <w:szCs w:val="32"/>
        </w:rPr>
      </w:pPr>
    </w:p>
    <w:p w14:paraId="79086940">
      <w:pPr>
        <w:spacing w:line="600" w:lineRule="exact"/>
        <w:ind w:firstLine="640"/>
        <w:rPr>
          <w:rFonts w:ascii="仿宋" w:hAnsi="仿宋" w:eastAsia="仿宋"/>
          <w:b/>
          <w:sz w:val="32"/>
          <w:szCs w:val="32"/>
        </w:rPr>
      </w:pPr>
    </w:p>
    <w:p w14:paraId="19A8D4D9">
      <w:pPr>
        <w:spacing w:line="600" w:lineRule="exact"/>
        <w:ind w:firstLine="640"/>
        <w:rPr>
          <w:rFonts w:ascii="仿宋" w:hAnsi="仿宋" w:eastAsia="仿宋"/>
          <w:b/>
          <w:sz w:val="32"/>
          <w:szCs w:val="32"/>
        </w:rPr>
      </w:pPr>
    </w:p>
    <w:p w14:paraId="10F3C5C8">
      <w:pPr>
        <w:spacing w:line="600" w:lineRule="exact"/>
        <w:ind w:firstLine="640"/>
        <w:rPr>
          <w:rFonts w:ascii="仿宋" w:hAnsi="仿宋" w:eastAsia="仿宋"/>
          <w:b/>
          <w:sz w:val="32"/>
          <w:szCs w:val="32"/>
        </w:rPr>
      </w:pPr>
    </w:p>
    <w:p w14:paraId="7167A66F">
      <w:pPr>
        <w:spacing w:line="600" w:lineRule="exact"/>
        <w:ind w:firstLine="640"/>
        <w:rPr>
          <w:rFonts w:ascii="仿宋" w:hAnsi="仿宋" w:eastAsia="仿宋"/>
          <w:b/>
          <w:sz w:val="32"/>
          <w:szCs w:val="32"/>
        </w:rPr>
      </w:pPr>
    </w:p>
    <w:p w14:paraId="145FC50A">
      <w:pPr>
        <w:spacing w:line="600" w:lineRule="exact"/>
        <w:ind w:firstLine="640"/>
        <w:rPr>
          <w:rFonts w:ascii="仿宋" w:hAnsi="仿宋" w:eastAsia="仿宋"/>
          <w:b/>
          <w:sz w:val="32"/>
          <w:szCs w:val="32"/>
        </w:rPr>
      </w:pPr>
    </w:p>
    <w:p w14:paraId="18B4D0B8">
      <w:pPr>
        <w:spacing w:line="600" w:lineRule="exact"/>
        <w:ind w:firstLine="640"/>
        <w:rPr>
          <w:rFonts w:ascii="仿宋" w:hAnsi="仿宋" w:eastAsia="仿宋"/>
          <w:b/>
          <w:sz w:val="32"/>
          <w:szCs w:val="32"/>
        </w:rPr>
      </w:pPr>
    </w:p>
    <w:p w14:paraId="5A96EDEA">
      <w:pPr>
        <w:spacing w:line="600" w:lineRule="exact"/>
        <w:ind w:firstLine="640" w:firstLineChars="200"/>
        <w:outlineLvl w:val="1"/>
        <w:rPr>
          <w:rStyle w:val="30"/>
          <w:rFonts w:ascii="黑体" w:hAnsi="黑体" w:eastAsia="黑体"/>
          <w:b w:val="0"/>
        </w:rPr>
      </w:pPr>
      <w:bookmarkStart w:id="26" w:name="_Toc15396607"/>
      <w:bookmarkStart w:id="27" w:name="_Toc15377209"/>
      <w:r>
        <w:rPr>
          <w:rFonts w:hint="eastAsia" w:ascii="黑体" w:hAnsi="黑体" w:eastAsia="黑体"/>
          <w:sz w:val="32"/>
          <w:szCs w:val="32"/>
        </w:rPr>
        <w:t>五、</w:t>
      </w:r>
      <w:r>
        <w:rPr>
          <w:rFonts w:hint="eastAsia" w:ascii="黑体" w:hAnsi="黑体" w:eastAsia="黑体"/>
          <w:b/>
          <w:sz w:val="32"/>
          <w:szCs w:val="32"/>
        </w:rPr>
        <w:t>一</w:t>
      </w:r>
      <w:r>
        <w:rPr>
          <w:rStyle w:val="30"/>
          <w:rFonts w:hint="eastAsia" w:ascii="黑体" w:hAnsi="黑体" w:eastAsia="黑体"/>
          <w:b w:val="0"/>
        </w:rPr>
        <w:t>般公共预算财政拨款支出决算情况说明</w:t>
      </w:r>
      <w:bookmarkEnd w:id="26"/>
      <w:bookmarkEnd w:id="27"/>
    </w:p>
    <w:p w14:paraId="304A89FE">
      <w:pPr>
        <w:spacing w:line="600" w:lineRule="exact"/>
        <w:ind w:firstLine="643" w:firstLineChars="200"/>
        <w:outlineLvl w:val="2"/>
        <w:rPr>
          <w:rFonts w:ascii="仿宋" w:hAnsi="仿宋" w:eastAsia="仿宋"/>
          <w:b/>
          <w:sz w:val="32"/>
          <w:szCs w:val="32"/>
        </w:rPr>
      </w:pPr>
      <w:bookmarkStart w:id="28" w:name="_Toc15377210"/>
      <w:r>
        <w:rPr>
          <w:rFonts w:hint="eastAsia" w:ascii="仿宋" w:hAnsi="仿宋" w:eastAsia="仿宋"/>
          <w:b/>
          <w:sz w:val="32"/>
          <w:szCs w:val="32"/>
        </w:rPr>
        <w:t>（一）一般公共预算财政拨款支出决算总体情况</w:t>
      </w:r>
      <w:bookmarkEnd w:id="28"/>
    </w:p>
    <w:p w14:paraId="0DA62C95">
      <w:pPr>
        <w:spacing w:line="600" w:lineRule="exact"/>
        <w:ind w:firstLine="640" w:firstLineChars="200"/>
        <w:jc w:val="left"/>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年度一般公共预算财政拨款支出</w:t>
      </w:r>
      <w:r>
        <w:rPr>
          <w:rFonts w:hint="eastAsia" w:eastAsia="仿宋"/>
          <w:sz w:val="32"/>
          <w:szCs w:val="32"/>
          <w:lang w:eastAsia="zh-CN"/>
        </w:rPr>
        <w:t>5779.04</w:t>
      </w:r>
      <w:r>
        <w:rPr>
          <w:rFonts w:hint="eastAsia" w:ascii="仿宋" w:hAnsi="仿宋" w:eastAsia="仿宋"/>
          <w:sz w:val="32"/>
          <w:szCs w:val="32"/>
        </w:rPr>
        <w:t>万元，占本年支出合计的</w:t>
      </w:r>
      <w:r>
        <w:rPr>
          <w:sz w:val="32"/>
          <w:szCs w:val="32"/>
        </w:rPr>
        <w:t>100</w:t>
      </w:r>
      <w:r>
        <w:rPr>
          <w:rFonts w:ascii="仿宋" w:hAnsi="仿宋" w:eastAsia="仿宋"/>
          <w:sz w:val="32"/>
          <w:szCs w:val="32"/>
        </w:rPr>
        <w:t>%</w:t>
      </w:r>
      <w:r>
        <w:rPr>
          <w:rFonts w:hint="eastAsia" w:ascii="仿宋" w:hAnsi="仿宋" w:eastAsia="仿宋"/>
          <w:sz w:val="32"/>
          <w:szCs w:val="32"/>
        </w:rPr>
        <w:t>。与</w:t>
      </w:r>
      <w:r>
        <w:rPr>
          <w:rFonts w:hint="eastAsia" w:ascii="仿宋" w:hAnsi="仿宋" w:eastAsia="仿宋"/>
          <w:sz w:val="32"/>
          <w:szCs w:val="32"/>
          <w:lang w:eastAsia="zh-CN"/>
        </w:rPr>
        <w:t>2023</w:t>
      </w:r>
      <w:r>
        <w:rPr>
          <w:rFonts w:hint="eastAsia" w:ascii="仿宋" w:hAnsi="仿宋" w:eastAsia="仿宋"/>
          <w:sz w:val="32"/>
          <w:szCs w:val="32"/>
        </w:rPr>
        <w:t>年度相比，一般公共预算财政拨款支出</w:t>
      </w:r>
      <w:r>
        <w:rPr>
          <w:rFonts w:hint="eastAsia" w:ascii="仿宋" w:hAnsi="仿宋" w:eastAsia="仿宋"/>
          <w:sz w:val="32"/>
          <w:szCs w:val="32"/>
          <w:lang w:eastAsia="zh-CN"/>
        </w:rPr>
        <w:t>增加815.77</w:t>
      </w:r>
      <w:r>
        <w:rPr>
          <w:rFonts w:hint="eastAsia" w:ascii="仿宋" w:hAnsi="仿宋" w:eastAsia="仿宋"/>
          <w:sz w:val="32"/>
          <w:szCs w:val="32"/>
        </w:rPr>
        <w:t>万元，</w:t>
      </w:r>
      <w:r>
        <w:rPr>
          <w:rFonts w:hint="eastAsia" w:ascii="仿宋" w:hAnsi="仿宋" w:eastAsia="仿宋"/>
          <w:sz w:val="32"/>
          <w:szCs w:val="32"/>
          <w:lang w:eastAsia="zh-CN"/>
        </w:rPr>
        <w:t>上升16.44%</w:t>
      </w:r>
      <w:r>
        <w:rPr>
          <w:rFonts w:hint="eastAsia" w:ascii="仿宋" w:hAnsi="仿宋" w:eastAsia="仿宋"/>
          <w:sz w:val="32"/>
          <w:szCs w:val="32"/>
        </w:rPr>
        <w:t>。主要变动原因是</w:t>
      </w:r>
      <w:r>
        <w:rPr>
          <w:rFonts w:hint="eastAsia" w:ascii="仿宋" w:hAnsi="仿宋" w:eastAsia="仿宋"/>
          <w:sz w:val="32"/>
          <w:szCs w:val="32"/>
          <w:lang w:val="en-US" w:eastAsia="zh-CN"/>
        </w:rPr>
        <w:t>2025年新增7名新进人员</w:t>
      </w:r>
      <w:r>
        <w:rPr>
          <w:rFonts w:hint="eastAsia" w:ascii="仿宋" w:hAnsi="仿宋" w:eastAsia="仿宋"/>
          <w:sz w:val="32"/>
          <w:szCs w:val="32"/>
        </w:rPr>
        <w:t>。</w:t>
      </w:r>
    </w:p>
    <w:p w14:paraId="5D616379">
      <w:pPr>
        <w:spacing w:line="600" w:lineRule="exact"/>
        <w:ind w:firstLine="640" w:firstLineChars="200"/>
        <w:rPr>
          <w:rFonts w:ascii="仿宋" w:hAnsi="仿宋" w:eastAsia="仿宋"/>
          <w:sz w:val="32"/>
          <w:szCs w:val="32"/>
        </w:rPr>
      </w:pPr>
      <w:r>
        <w:rPr>
          <w:rFonts w:hint="eastAsia" w:ascii="仿宋" w:hAnsi="仿宋" w:eastAsia="仿宋"/>
          <w:sz w:val="32"/>
          <w:szCs w:val="32"/>
        </w:rPr>
        <w:t>（图5：一般公共预算财政拨款支出决算变动情况）（柱状图）</w:t>
      </w:r>
    </w:p>
    <w:p w14:paraId="7BB93BDF">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anchor distT="0" distB="0" distL="114300" distR="114300" simplePos="0" relativeHeight="251663360" behindDoc="0" locked="0" layoutInCell="1" allowOverlap="1">
            <wp:simplePos x="0" y="0"/>
            <wp:positionH relativeFrom="column">
              <wp:posOffset>267970</wp:posOffset>
            </wp:positionH>
            <wp:positionV relativeFrom="paragraph">
              <wp:posOffset>320675</wp:posOffset>
            </wp:positionV>
            <wp:extent cx="4645660" cy="3065145"/>
            <wp:effectExtent l="4445" t="4445" r="13335" b="8890"/>
            <wp:wrapNone/>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p>
    <w:p w14:paraId="37189AF5">
      <w:pPr>
        <w:spacing w:line="600" w:lineRule="exact"/>
        <w:ind w:firstLine="640" w:firstLineChars="200"/>
        <w:rPr>
          <w:rFonts w:ascii="仿宋" w:hAnsi="仿宋" w:eastAsia="仿宋"/>
          <w:sz w:val="32"/>
          <w:szCs w:val="32"/>
        </w:rPr>
      </w:pPr>
    </w:p>
    <w:p w14:paraId="3DC4DABA">
      <w:pPr>
        <w:spacing w:line="600" w:lineRule="exact"/>
        <w:ind w:firstLine="640" w:firstLineChars="200"/>
        <w:rPr>
          <w:rFonts w:ascii="仿宋" w:hAnsi="仿宋" w:eastAsia="仿宋"/>
          <w:sz w:val="32"/>
          <w:szCs w:val="32"/>
        </w:rPr>
      </w:pPr>
    </w:p>
    <w:p w14:paraId="09664F7D">
      <w:pPr>
        <w:spacing w:line="600" w:lineRule="exact"/>
        <w:ind w:firstLine="640" w:firstLineChars="200"/>
        <w:rPr>
          <w:rFonts w:ascii="仿宋" w:hAnsi="仿宋" w:eastAsia="仿宋"/>
          <w:sz w:val="32"/>
          <w:szCs w:val="32"/>
        </w:rPr>
      </w:pPr>
    </w:p>
    <w:p w14:paraId="581CDB65">
      <w:pPr>
        <w:spacing w:line="600" w:lineRule="exact"/>
        <w:ind w:firstLine="640" w:firstLineChars="200"/>
        <w:rPr>
          <w:rFonts w:ascii="仿宋" w:hAnsi="仿宋" w:eastAsia="仿宋"/>
          <w:sz w:val="32"/>
          <w:szCs w:val="32"/>
        </w:rPr>
      </w:pPr>
    </w:p>
    <w:p w14:paraId="305D8EED">
      <w:pPr>
        <w:spacing w:line="600" w:lineRule="exact"/>
        <w:ind w:firstLine="640" w:firstLineChars="200"/>
        <w:rPr>
          <w:rFonts w:ascii="仿宋" w:hAnsi="仿宋" w:eastAsia="仿宋"/>
          <w:sz w:val="32"/>
          <w:szCs w:val="32"/>
        </w:rPr>
      </w:pPr>
    </w:p>
    <w:p w14:paraId="4B7E767C">
      <w:pPr>
        <w:spacing w:line="600" w:lineRule="exact"/>
        <w:ind w:firstLine="640" w:firstLineChars="200"/>
        <w:rPr>
          <w:rFonts w:ascii="仿宋" w:hAnsi="仿宋" w:eastAsia="仿宋"/>
          <w:sz w:val="32"/>
          <w:szCs w:val="32"/>
        </w:rPr>
      </w:pPr>
    </w:p>
    <w:p w14:paraId="0A72DF14">
      <w:pPr>
        <w:spacing w:line="600" w:lineRule="exact"/>
        <w:ind w:firstLine="640" w:firstLineChars="200"/>
        <w:rPr>
          <w:rFonts w:ascii="仿宋" w:hAnsi="仿宋" w:eastAsia="仿宋"/>
          <w:sz w:val="32"/>
          <w:szCs w:val="32"/>
        </w:rPr>
      </w:pPr>
    </w:p>
    <w:p w14:paraId="302237E8">
      <w:pPr>
        <w:spacing w:line="600" w:lineRule="exact"/>
        <w:ind w:firstLine="640" w:firstLineChars="200"/>
        <w:rPr>
          <w:rFonts w:ascii="仿宋" w:hAnsi="仿宋" w:eastAsia="仿宋"/>
          <w:sz w:val="32"/>
          <w:szCs w:val="32"/>
        </w:rPr>
      </w:pPr>
    </w:p>
    <w:p w14:paraId="78271822">
      <w:pPr>
        <w:spacing w:line="600" w:lineRule="exact"/>
        <w:ind w:firstLine="643" w:firstLineChars="200"/>
        <w:outlineLvl w:val="2"/>
        <w:rPr>
          <w:rFonts w:ascii="仿宋" w:hAnsi="仿宋" w:eastAsia="仿宋"/>
          <w:b/>
          <w:sz w:val="32"/>
          <w:szCs w:val="32"/>
        </w:rPr>
      </w:pPr>
      <w:bookmarkStart w:id="29" w:name="_Toc15377211"/>
      <w:r>
        <w:rPr>
          <w:rFonts w:hint="eastAsia" w:ascii="仿宋" w:hAnsi="仿宋" w:eastAsia="仿宋"/>
          <w:b/>
          <w:sz w:val="32"/>
          <w:szCs w:val="32"/>
        </w:rPr>
        <w:t>（二）一般公共预算财政拨款支出决算结构情况</w:t>
      </w:r>
      <w:bookmarkEnd w:id="29"/>
    </w:p>
    <w:p w14:paraId="7A9C6791">
      <w:pPr>
        <w:pStyle w:val="15"/>
        <w:spacing w:line="560" w:lineRule="exact"/>
        <w:ind w:firstLine="640" w:firstLineChars="200"/>
        <w:rPr>
          <w:rStyle w:val="18"/>
          <w:rFonts w:ascii="Times New Roman" w:hAnsi="Times New Roman" w:eastAsia="仿宋_GB2312"/>
          <w:sz w:val="32"/>
          <w:szCs w:val="11"/>
        </w:rPr>
      </w:pPr>
      <w:r>
        <w:rPr>
          <w:rFonts w:hint="eastAsia" w:ascii="仿宋" w:hAnsi="仿宋" w:eastAsia="仿宋"/>
          <w:sz w:val="32"/>
          <w:szCs w:val="32"/>
          <w:lang w:eastAsia="zh-CN"/>
        </w:rPr>
        <w:t>2024</w:t>
      </w:r>
      <w:r>
        <w:rPr>
          <w:rFonts w:hint="eastAsia" w:ascii="仿宋" w:hAnsi="仿宋" w:eastAsia="仿宋"/>
          <w:sz w:val="32"/>
          <w:szCs w:val="32"/>
        </w:rPr>
        <w:t>年度一般公共预算财政拨款支出</w:t>
      </w:r>
      <w:r>
        <w:rPr>
          <w:rFonts w:hint="eastAsia" w:eastAsia="仿宋"/>
          <w:sz w:val="32"/>
          <w:szCs w:val="32"/>
          <w:lang w:eastAsia="zh-CN"/>
        </w:rPr>
        <w:t>5779.04</w:t>
      </w:r>
      <w:r>
        <w:rPr>
          <w:rFonts w:hint="eastAsia" w:ascii="仿宋" w:hAnsi="仿宋" w:eastAsia="仿宋"/>
          <w:sz w:val="32"/>
          <w:szCs w:val="32"/>
        </w:rPr>
        <w:t>万元，主要用于以下方面</w:t>
      </w:r>
      <w:r>
        <w:rPr>
          <w:rFonts w:ascii="仿宋" w:hAnsi="仿宋" w:eastAsia="仿宋"/>
          <w:sz w:val="32"/>
          <w:szCs w:val="32"/>
        </w:rPr>
        <w:t>:</w:t>
      </w:r>
      <w:r>
        <w:rPr>
          <w:rFonts w:hint="eastAsia" w:ascii="仿宋" w:hAnsi="仿宋" w:eastAsia="仿宋" w:cs="Times New Roman"/>
          <w:b/>
          <w:kern w:val="2"/>
          <w:sz w:val="32"/>
          <w:szCs w:val="32"/>
          <w:lang w:val="en-US" w:eastAsia="zh-CN" w:bidi="ar-SA"/>
        </w:rPr>
        <w:t>一般公共服务支出</w:t>
      </w:r>
      <w:r>
        <w:rPr>
          <w:rFonts w:hint="eastAsia" w:ascii="Times New Roman" w:eastAsia="仿宋_GB2312"/>
          <w:sz w:val="32"/>
          <w:szCs w:val="11"/>
        </w:rPr>
        <w:t>为</w:t>
      </w:r>
      <w:r>
        <w:rPr>
          <w:rFonts w:hint="eastAsia" w:ascii="Times New Roman" w:hAnsi="Times New Roman" w:eastAsia="仿宋_GB2312"/>
          <w:sz w:val="32"/>
          <w:szCs w:val="11"/>
          <w:lang w:val="en-US" w:eastAsia="zh-CN"/>
        </w:rPr>
        <w:t>4999.1</w:t>
      </w:r>
      <w:r>
        <w:rPr>
          <w:rFonts w:hint="eastAsia" w:ascii="Times New Roman" w:eastAsia="仿宋_GB2312"/>
          <w:sz w:val="32"/>
          <w:szCs w:val="11"/>
        </w:rPr>
        <w:t>万元，占比</w:t>
      </w:r>
      <w:r>
        <w:rPr>
          <w:rFonts w:hint="eastAsia" w:ascii="Times New Roman" w:hAnsi="Times New Roman" w:eastAsia="仿宋_GB2312"/>
          <w:sz w:val="32"/>
          <w:szCs w:val="11"/>
        </w:rPr>
        <w:t>8</w:t>
      </w:r>
      <w:r>
        <w:rPr>
          <w:rFonts w:hint="eastAsia" w:ascii="Times New Roman" w:hAnsi="Times New Roman" w:eastAsia="仿宋_GB2312"/>
          <w:sz w:val="32"/>
          <w:szCs w:val="11"/>
          <w:lang w:val="en-US" w:eastAsia="zh-CN"/>
        </w:rPr>
        <w:t>6.50</w:t>
      </w:r>
      <w:r>
        <w:rPr>
          <w:rFonts w:hint="eastAsia" w:ascii="Times New Roman" w:hAnsi="Times New Roman" w:eastAsia="仿宋_GB2312"/>
          <w:sz w:val="32"/>
          <w:szCs w:val="11"/>
        </w:rPr>
        <w:t>%</w:t>
      </w:r>
      <w:r>
        <w:rPr>
          <w:rFonts w:hint="eastAsia" w:ascii="Times New Roman" w:eastAsia="仿宋_GB2312"/>
          <w:sz w:val="32"/>
          <w:szCs w:val="11"/>
        </w:rPr>
        <w:t>；</w:t>
      </w:r>
      <w:r>
        <w:rPr>
          <w:rFonts w:hint="eastAsia" w:ascii="仿宋" w:hAnsi="仿宋" w:eastAsia="仿宋" w:cs="Times New Roman"/>
          <w:b/>
          <w:kern w:val="2"/>
          <w:sz w:val="32"/>
          <w:szCs w:val="32"/>
          <w:lang w:val="en-US" w:eastAsia="zh-CN" w:bidi="ar-SA"/>
        </w:rPr>
        <w:t>社会保障和就业支出</w:t>
      </w:r>
      <w:r>
        <w:rPr>
          <w:rFonts w:hint="eastAsia" w:ascii="Times New Roman" w:eastAsia="仿宋_GB2312"/>
          <w:sz w:val="32"/>
          <w:szCs w:val="11"/>
        </w:rPr>
        <w:t>为</w:t>
      </w:r>
      <w:r>
        <w:rPr>
          <w:rFonts w:hint="eastAsia" w:ascii="Times New Roman" w:hAnsi="Times New Roman" w:eastAsia="仿宋_GB2312"/>
          <w:sz w:val="32"/>
          <w:szCs w:val="11"/>
          <w:lang w:val="en-US" w:eastAsia="zh-CN"/>
        </w:rPr>
        <w:t>372.27</w:t>
      </w:r>
      <w:r>
        <w:rPr>
          <w:rFonts w:hint="eastAsia" w:ascii="Times New Roman" w:eastAsia="仿宋_GB2312"/>
          <w:sz w:val="32"/>
          <w:szCs w:val="11"/>
        </w:rPr>
        <w:t>万元，占比</w:t>
      </w:r>
      <w:r>
        <w:rPr>
          <w:rFonts w:hint="eastAsia" w:ascii="Times New Roman" w:hAnsi="Times New Roman" w:eastAsia="仿宋_GB2312"/>
          <w:sz w:val="32"/>
          <w:szCs w:val="11"/>
          <w:lang w:val="en-US" w:eastAsia="zh-CN"/>
        </w:rPr>
        <w:t>6.44</w:t>
      </w:r>
      <w:r>
        <w:rPr>
          <w:rFonts w:hint="eastAsia" w:ascii="Times New Roman" w:hAnsi="Times New Roman" w:eastAsia="仿宋_GB2312"/>
          <w:sz w:val="32"/>
          <w:szCs w:val="11"/>
        </w:rPr>
        <w:t>%</w:t>
      </w:r>
      <w:r>
        <w:rPr>
          <w:rFonts w:hint="eastAsia" w:ascii="Times New Roman" w:eastAsia="仿宋_GB2312"/>
          <w:sz w:val="32"/>
          <w:szCs w:val="11"/>
        </w:rPr>
        <w:t>；</w:t>
      </w:r>
      <w:r>
        <w:rPr>
          <w:rFonts w:hint="eastAsia" w:ascii="仿宋" w:hAnsi="仿宋" w:eastAsia="仿宋" w:cs="Times New Roman"/>
          <w:b/>
          <w:kern w:val="2"/>
          <w:sz w:val="32"/>
          <w:szCs w:val="32"/>
          <w:lang w:val="en-US" w:eastAsia="zh-CN" w:bidi="ar-SA"/>
        </w:rPr>
        <w:t>卫生健康支出</w:t>
      </w:r>
      <w:r>
        <w:rPr>
          <w:rFonts w:hint="eastAsia" w:ascii="Times New Roman" w:eastAsia="仿宋_GB2312"/>
          <w:sz w:val="32"/>
          <w:szCs w:val="11"/>
        </w:rPr>
        <w:t>为</w:t>
      </w:r>
      <w:r>
        <w:rPr>
          <w:rFonts w:hint="eastAsia" w:ascii="Times New Roman" w:hAnsi="Times New Roman" w:eastAsia="仿宋_GB2312"/>
          <w:sz w:val="32"/>
          <w:szCs w:val="11"/>
          <w:lang w:val="en-US" w:eastAsia="zh-CN"/>
        </w:rPr>
        <w:t>167.08</w:t>
      </w:r>
      <w:r>
        <w:rPr>
          <w:rFonts w:hint="eastAsia" w:ascii="Times New Roman" w:eastAsia="仿宋_GB2312"/>
          <w:sz w:val="32"/>
          <w:szCs w:val="11"/>
        </w:rPr>
        <w:t>万元，占比</w:t>
      </w:r>
      <w:r>
        <w:rPr>
          <w:rFonts w:hint="eastAsia" w:ascii="Times New Roman" w:hAnsi="Times New Roman" w:eastAsia="仿宋_GB2312"/>
          <w:sz w:val="32"/>
          <w:szCs w:val="11"/>
          <w:lang w:val="en-US" w:eastAsia="zh-CN"/>
        </w:rPr>
        <w:t>2.89</w:t>
      </w:r>
      <w:r>
        <w:rPr>
          <w:rFonts w:hint="eastAsia" w:ascii="Times New Roman" w:hAnsi="Times New Roman" w:eastAsia="仿宋_GB2312"/>
          <w:sz w:val="32"/>
          <w:szCs w:val="11"/>
        </w:rPr>
        <w:t>%</w:t>
      </w:r>
      <w:r>
        <w:rPr>
          <w:rFonts w:hint="eastAsia" w:ascii="Times New Roman" w:eastAsia="仿宋_GB2312"/>
          <w:sz w:val="32"/>
          <w:szCs w:val="11"/>
        </w:rPr>
        <w:t>；</w:t>
      </w:r>
      <w:r>
        <w:rPr>
          <w:rFonts w:hint="eastAsia" w:ascii="仿宋" w:hAnsi="仿宋" w:eastAsia="仿宋" w:cs="Times New Roman"/>
          <w:b/>
          <w:kern w:val="2"/>
          <w:sz w:val="32"/>
          <w:szCs w:val="32"/>
          <w:lang w:val="en-US" w:eastAsia="zh-CN" w:bidi="ar-SA"/>
        </w:rPr>
        <w:t>住房保障支出</w:t>
      </w:r>
      <w:r>
        <w:rPr>
          <w:rFonts w:hint="eastAsia" w:ascii="Times New Roman" w:eastAsia="仿宋_GB2312"/>
          <w:sz w:val="32"/>
          <w:szCs w:val="11"/>
        </w:rPr>
        <w:t>为</w:t>
      </w:r>
      <w:r>
        <w:rPr>
          <w:rFonts w:hint="eastAsia" w:ascii="Times New Roman" w:hAnsi="Times New Roman" w:eastAsia="仿宋_GB2312"/>
          <w:sz w:val="32"/>
          <w:szCs w:val="11"/>
          <w:lang w:val="en-US" w:eastAsia="zh-CN"/>
        </w:rPr>
        <w:t>203.29</w:t>
      </w:r>
      <w:r>
        <w:rPr>
          <w:rFonts w:hint="eastAsia" w:ascii="Times New Roman" w:eastAsia="仿宋_GB2312"/>
          <w:sz w:val="32"/>
          <w:szCs w:val="11"/>
        </w:rPr>
        <w:t>万元，占比</w:t>
      </w:r>
      <w:r>
        <w:rPr>
          <w:rFonts w:hint="eastAsia" w:ascii="Times New Roman" w:hAnsi="Times New Roman" w:eastAsia="仿宋_GB2312"/>
          <w:sz w:val="32"/>
          <w:szCs w:val="11"/>
          <w:lang w:val="en-US" w:eastAsia="zh-CN"/>
        </w:rPr>
        <w:t>3.52</w:t>
      </w:r>
      <w:r>
        <w:rPr>
          <w:rFonts w:hint="eastAsia" w:ascii="Times New Roman" w:hAnsi="Times New Roman" w:eastAsia="仿宋_GB2312"/>
          <w:sz w:val="32"/>
          <w:szCs w:val="11"/>
        </w:rPr>
        <w:t>%</w:t>
      </w:r>
      <w:r>
        <w:rPr>
          <w:rFonts w:hint="eastAsia" w:ascii="Times New Roman" w:eastAsia="仿宋_GB2312"/>
          <w:sz w:val="32"/>
          <w:szCs w:val="11"/>
        </w:rPr>
        <w:t>.</w:t>
      </w:r>
    </w:p>
    <w:p w14:paraId="491F8F33">
      <w:pPr>
        <w:spacing w:line="600" w:lineRule="exact"/>
        <w:ind w:firstLine="640"/>
        <w:rPr>
          <w:rFonts w:ascii="仿宋" w:hAnsi="仿宋" w:eastAsia="仿宋"/>
          <w:b/>
          <w:sz w:val="32"/>
          <w:szCs w:val="32"/>
        </w:rPr>
      </w:pPr>
      <w:r>
        <w:rPr>
          <w:rFonts w:hint="eastAsia" w:ascii="仿宋" w:hAnsi="仿宋" w:eastAsia="仿宋"/>
          <w:b/>
          <w:sz w:val="32"/>
          <w:szCs w:val="32"/>
        </w:rPr>
        <w:t>（注：数据来源于财决01-1表，仅罗列本部门涉及的全部功能分类科目，至类级。）</w:t>
      </w:r>
    </w:p>
    <w:p w14:paraId="17AFFC11">
      <w:pPr>
        <w:spacing w:line="600" w:lineRule="exact"/>
        <w:ind w:firstLine="640" w:firstLineChars="200"/>
        <w:rPr>
          <w:rFonts w:ascii="仿宋" w:hAnsi="仿宋" w:eastAsia="仿宋"/>
          <w:sz w:val="32"/>
          <w:szCs w:val="32"/>
        </w:rPr>
      </w:pPr>
      <w:r>
        <w:rPr>
          <w:rFonts w:hint="eastAsia" w:ascii="仿宋" w:hAnsi="仿宋" w:eastAsia="仿宋"/>
          <w:sz w:val="32"/>
          <w:szCs w:val="32"/>
        </w:rPr>
        <w:t>（图6：一般公共预算财政拨款支出决算结构）（饼状图）</w:t>
      </w:r>
    </w:p>
    <w:p w14:paraId="4D5F4A5C">
      <w:pPr>
        <w:spacing w:line="600" w:lineRule="exact"/>
        <w:ind w:firstLine="640" w:firstLineChars="200"/>
        <w:rPr>
          <w:rFonts w:hint="eastAsia" w:ascii="仿宋" w:hAnsi="仿宋" w:eastAsia="仿宋"/>
          <w:sz w:val="32"/>
          <w:szCs w:val="32"/>
          <w:lang w:eastAsia="zh-CN"/>
        </w:rPr>
      </w:pPr>
      <w:r>
        <w:rPr>
          <w:rFonts w:hint="eastAsia" w:ascii="仿宋" w:hAnsi="仿宋" w:eastAsia="仿宋"/>
          <w:sz w:val="32"/>
          <w:szCs w:val="32"/>
          <w:lang w:eastAsia="zh-CN"/>
        </w:rPr>
        <w:drawing>
          <wp:anchor distT="0" distB="0" distL="114300" distR="114300" simplePos="0" relativeHeight="251664384" behindDoc="0" locked="0" layoutInCell="1" allowOverlap="1">
            <wp:simplePos x="0" y="0"/>
            <wp:positionH relativeFrom="column">
              <wp:posOffset>-7620</wp:posOffset>
            </wp:positionH>
            <wp:positionV relativeFrom="paragraph">
              <wp:posOffset>231140</wp:posOffset>
            </wp:positionV>
            <wp:extent cx="5256530" cy="2988310"/>
            <wp:effectExtent l="5080" t="4445" r="11430" b="9525"/>
            <wp:wrapNone/>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anchor>
        </w:drawing>
      </w:r>
    </w:p>
    <w:p w14:paraId="4E1CFCA6">
      <w:pPr>
        <w:spacing w:line="600" w:lineRule="exact"/>
        <w:ind w:firstLine="640" w:firstLineChars="200"/>
        <w:rPr>
          <w:rFonts w:ascii="仿宋" w:hAnsi="仿宋" w:eastAsia="仿宋"/>
          <w:sz w:val="32"/>
          <w:szCs w:val="32"/>
        </w:rPr>
      </w:pPr>
    </w:p>
    <w:p w14:paraId="1F7EBDF6">
      <w:pPr>
        <w:spacing w:line="600" w:lineRule="exact"/>
        <w:ind w:firstLine="640" w:firstLineChars="200"/>
        <w:rPr>
          <w:rFonts w:ascii="仿宋" w:hAnsi="仿宋" w:eastAsia="仿宋"/>
          <w:sz w:val="32"/>
          <w:szCs w:val="32"/>
        </w:rPr>
      </w:pPr>
    </w:p>
    <w:p w14:paraId="324BE56B">
      <w:pPr>
        <w:spacing w:line="600" w:lineRule="exact"/>
        <w:ind w:firstLine="640" w:firstLineChars="200"/>
        <w:rPr>
          <w:rFonts w:ascii="仿宋" w:hAnsi="仿宋" w:eastAsia="仿宋"/>
          <w:sz w:val="32"/>
          <w:szCs w:val="32"/>
        </w:rPr>
      </w:pPr>
    </w:p>
    <w:p w14:paraId="20BDDA13">
      <w:pPr>
        <w:spacing w:line="600" w:lineRule="exact"/>
        <w:ind w:firstLine="640" w:firstLineChars="200"/>
        <w:rPr>
          <w:rFonts w:ascii="仿宋" w:hAnsi="仿宋" w:eastAsia="仿宋"/>
          <w:sz w:val="32"/>
          <w:szCs w:val="32"/>
        </w:rPr>
      </w:pPr>
    </w:p>
    <w:p w14:paraId="7245B480">
      <w:pPr>
        <w:spacing w:line="600" w:lineRule="exact"/>
        <w:ind w:firstLine="640" w:firstLineChars="200"/>
        <w:rPr>
          <w:rFonts w:ascii="仿宋" w:hAnsi="仿宋" w:eastAsia="仿宋"/>
          <w:sz w:val="32"/>
          <w:szCs w:val="32"/>
        </w:rPr>
      </w:pPr>
    </w:p>
    <w:p w14:paraId="05BE417D">
      <w:pPr>
        <w:spacing w:line="600" w:lineRule="exact"/>
        <w:ind w:firstLine="640" w:firstLineChars="200"/>
        <w:rPr>
          <w:rFonts w:ascii="仿宋" w:hAnsi="仿宋" w:eastAsia="仿宋"/>
          <w:sz w:val="32"/>
          <w:szCs w:val="32"/>
        </w:rPr>
      </w:pPr>
    </w:p>
    <w:p w14:paraId="42DC546F">
      <w:pPr>
        <w:spacing w:line="600" w:lineRule="exact"/>
        <w:ind w:firstLine="643" w:firstLineChars="200"/>
        <w:outlineLvl w:val="2"/>
        <w:rPr>
          <w:rFonts w:hint="eastAsia" w:ascii="仿宋" w:hAnsi="仿宋" w:eastAsia="仿宋"/>
          <w:b/>
          <w:sz w:val="32"/>
          <w:szCs w:val="32"/>
        </w:rPr>
      </w:pPr>
      <w:bookmarkStart w:id="30" w:name="_Toc15377212"/>
    </w:p>
    <w:p w14:paraId="7F2ECB85">
      <w:pPr>
        <w:spacing w:line="600" w:lineRule="exact"/>
        <w:ind w:firstLine="643" w:firstLineChars="200"/>
        <w:outlineLvl w:val="2"/>
        <w:rPr>
          <w:rFonts w:hint="eastAsia" w:ascii="仿宋" w:hAnsi="仿宋" w:eastAsia="仿宋"/>
          <w:b/>
          <w:sz w:val="32"/>
          <w:szCs w:val="32"/>
        </w:rPr>
      </w:pPr>
    </w:p>
    <w:p w14:paraId="1FC5CFA5">
      <w:pPr>
        <w:spacing w:line="600" w:lineRule="exact"/>
        <w:ind w:firstLine="643" w:firstLineChars="200"/>
        <w:outlineLvl w:val="2"/>
        <w:rPr>
          <w:rFonts w:ascii="仿宋" w:hAnsi="仿宋" w:eastAsia="仿宋"/>
          <w:b/>
          <w:sz w:val="32"/>
          <w:szCs w:val="32"/>
        </w:rPr>
      </w:pPr>
      <w:r>
        <w:rPr>
          <w:rFonts w:hint="eastAsia" w:ascii="仿宋" w:hAnsi="仿宋" w:eastAsia="仿宋"/>
          <w:b/>
          <w:sz w:val="32"/>
          <w:szCs w:val="32"/>
        </w:rPr>
        <w:t>（三）一般公共预算财政拨款支出决算具体情况</w:t>
      </w:r>
      <w:bookmarkEnd w:id="30"/>
    </w:p>
    <w:p w14:paraId="4C78433B">
      <w:pPr>
        <w:keepNext w:val="0"/>
        <w:keepLines w:val="0"/>
        <w:pageBreakBefore w:val="0"/>
        <w:kinsoku/>
        <w:wordWrap/>
        <w:overflowPunct/>
        <w:topLinePunct w:val="0"/>
        <w:autoSpaceDN/>
        <w:bidi w:val="0"/>
        <w:adjustRightInd/>
        <w:snapToGrid/>
        <w:spacing w:beforeAutospacing="0" w:afterAutospacing="0" w:line="600" w:lineRule="exact"/>
        <w:ind w:firstLine="643" w:firstLineChars="200"/>
        <w:textAlignment w:val="auto"/>
        <w:outlineLvl w:val="2"/>
        <w:rPr>
          <w:rFonts w:ascii="仿宋" w:hAnsi="仿宋" w:eastAsia="仿宋"/>
          <w:sz w:val="32"/>
          <w:szCs w:val="32"/>
        </w:rPr>
      </w:pPr>
      <w:bookmarkStart w:id="31" w:name="_Toc15377213"/>
      <w:bookmarkStart w:id="32" w:name="_Toc15378460"/>
      <w:bookmarkStart w:id="33" w:name="_Toc15377444"/>
      <w:r>
        <w:rPr>
          <w:rFonts w:hint="eastAsia" w:ascii="仿宋" w:hAnsi="仿宋" w:eastAsia="仿宋"/>
          <w:b/>
          <w:sz w:val="32"/>
          <w:szCs w:val="32"/>
          <w:lang w:eastAsia="zh-CN"/>
        </w:rPr>
        <w:t>2024</w:t>
      </w:r>
      <w:r>
        <w:rPr>
          <w:rFonts w:hint="eastAsia" w:ascii="仿宋" w:hAnsi="仿宋" w:eastAsia="仿宋"/>
          <w:b/>
          <w:sz w:val="32"/>
          <w:szCs w:val="32"/>
        </w:rPr>
        <w:t>年度一般公共预算支出决算数为</w:t>
      </w:r>
      <w:r>
        <w:rPr>
          <w:rFonts w:hint="eastAsia" w:eastAsia="仿宋"/>
          <w:sz w:val="32"/>
          <w:szCs w:val="32"/>
          <w:lang w:eastAsia="zh-CN"/>
        </w:rPr>
        <w:t>5779.04</w:t>
      </w:r>
      <w:r>
        <w:rPr>
          <w:rFonts w:hint="eastAsia" w:ascii="仿宋" w:hAnsi="仿宋" w:eastAsia="仿宋"/>
          <w:sz w:val="32"/>
          <w:szCs w:val="32"/>
        </w:rPr>
        <w:t>，</w:t>
      </w:r>
      <w:r>
        <w:rPr>
          <w:rStyle w:val="18"/>
          <w:rFonts w:hint="eastAsia" w:ascii="仿宋" w:hAnsi="仿宋" w:eastAsia="仿宋"/>
          <w:bCs/>
          <w:sz w:val="32"/>
          <w:szCs w:val="32"/>
        </w:rPr>
        <w:t>完成预算</w:t>
      </w:r>
      <w:r>
        <w:rPr>
          <w:rStyle w:val="18"/>
          <w:rFonts w:hint="eastAsia" w:ascii="仿宋" w:hAnsi="仿宋" w:eastAsia="仿宋"/>
          <w:bCs/>
          <w:sz w:val="32"/>
          <w:szCs w:val="32"/>
          <w:lang w:val="en-US" w:eastAsia="zh-CN"/>
        </w:rPr>
        <w:t>100</w:t>
      </w:r>
      <w:r>
        <w:rPr>
          <w:rStyle w:val="18"/>
          <w:rFonts w:ascii="仿宋" w:hAnsi="仿宋" w:eastAsia="仿宋"/>
          <w:bCs/>
          <w:sz w:val="32"/>
          <w:szCs w:val="32"/>
        </w:rPr>
        <w:t>%</w:t>
      </w:r>
      <w:r>
        <w:rPr>
          <w:rStyle w:val="18"/>
          <w:rFonts w:hint="eastAsia" w:ascii="仿宋" w:hAnsi="仿宋" w:eastAsia="仿宋"/>
          <w:bCs/>
          <w:sz w:val="32"/>
          <w:szCs w:val="32"/>
        </w:rPr>
        <w:t>。其中：</w:t>
      </w:r>
      <w:bookmarkEnd w:id="31"/>
      <w:bookmarkEnd w:id="32"/>
      <w:bookmarkEnd w:id="33"/>
    </w:p>
    <w:p w14:paraId="7732D42C">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rPr>
        <w:t>1.一般公共服务201（类）06（款）01（项）: 支出决算为</w:t>
      </w:r>
      <w:r>
        <w:rPr>
          <w:rStyle w:val="37"/>
          <w:rFonts w:hint="eastAsia" w:ascii="仿宋_GB2312" w:hAnsi="Times New Roman" w:eastAsia="仿宋_GB2312" w:cs="仿宋_GB2312"/>
          <w:b w:val="0"/>
          <w:bCs/>
          <w:sz w:val="32"/>
          <w:szCs w:val="32"/>
          <w:shd w:val="clear" w:fill="FFFFFF"/>
          <w:lang w:val="en-US" w:eastAsia="zh-CN"/>
        </w:rPr>
        <w:t>1769.25</w:t>
      </w:r>
      <w:r>
        <w:rPr>
          <w:rStyle w:val="37"/>
          <w:rFonts w:hint="eastAsia" w:ascii="仿宋_GB2312" w:hAnsi="Times New Roman" w:eastAsia="仿宋_GB2312" w:cs="仿宋_GB2312"/>
          <w:b w:val="0"/>
          <w:bCs/>
          <w:sz w:val="32"/>
          <w:szCs w:val="32"/>
          <w:shd w:val="clear" w:fill="FFFFFF"/>
        </w:rPr>
        <w:t>万元，完成预算100%。</w:t>
      </w:r>
    </w:p>
    <w:p w14:paraId="46E75BB1">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Style w:val="37"/>
          <w:rFonts w:hint="eastAsia" w:ascii="仿宋_GB2312" w:hAnsi="Times New Roman" w:eastAsia="仿宋_GB2312" w:cs="仿宋_GB2312"/>
          <w:b w:val="0"/>
          <w:bCs/>
          <w:sz w:val="32"/>
          <w:szCs w:val="32"/>
          <w:shd w:val="clear" w:fill="FFFFFF"/>
        </w:rPr>
      </w:pPr>
      <w:r>
        <w:rPr>
          <w:rStyle w:val="37"/>
          <w:rFonts w:hint="eastAsia" w:ascii="仿宋_GB2312" w:hAnsi="Times New Roman" w:eastAsia="仿宋_GB2312" w:cs="仿宋_GB2312"/>
          <w:b w:val="0"/>
          <w:bCs/>
          <w:sz w:val="32"/>
          <w:szCs w:val="32"/>
          <w:shd w:val="clear" w:fill="FFFFFF"/>
        </w:rPr>
        <w:t>2.一般公共服务201（类）06（款）02（项）: 支出决算为</w:t>
      </w:r>
      <w:r>
        <w:rPr>
          <w:rStyle w:val="37"/>
          <w:rFonts w:hint="eastAsia" w:ascii="仿宋_GB2312" w:hAnsi="Times New Roman" w:eastAsia="仿宋_GB2312" w:cs="仿宋_GB2312"/>
          <w:b w:val="0"/>
          <w:bCs/>
          <w:sz w:val="32"/>
          <w:szCs w:val="32"/>
          <w:shd w:val="clear" w:fill="FFFFFF"/>
          <w:lang w:val="en-US" w:eastAsia="zh-CN"/>
        </w:rPr>
        <w:t>511.91</w:t>
      </w:r>
      <w:r>
        <w:rPr>
          <w:rStyle w:val="37"/>
          <w:rFonts w:hint="eastAsia" w:ascii="仿宋_GB2312" w:hAnsi="Times New Roman" w:eastAsia="仿宋_GB2312" w:cs="仿宋_GB2312"/>
          <w:b w:val="0"/>
          <w:bCs/>
          <w:sz w:val="32"/>
          <w:szCs w:val="32"/>
          <w:shd w:val="clear" w:fill="FFFFFF"/>
        </w:rPr>
        <w:t>万元，完成预算100%。</w:t>
      </w:r>
    </w:p>
    <w:p w14:paraId="1007432D">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rPr>
        <w:t>3.一般公共服务201（类）06（款）0</w:t>
      </w:r>
      <w:r>
        <w:rPr>
          <w:rStyle w:val="37"/>
          <w:rFonts w:hint="eastAsia" w:ascii="仿宋_GB2312" w:hAnsi="Times New Roman" w:eastAsia="仿宋_GB2312" w:cs="仿宋_GB2312"/>
          <w:b w:val="0"/>
          <w:bCs/>
          <w:sz w:val="32"/>
          <w:szCs w:val="32"/>
          <w:shd w:val="clear" w:fill="FFFFFF"/>
          <w:lang w:val="en-US" w:eastAsia="zh-CN"/>
        </w:rPr>
        <w:t>4</w:t>
      </w:r>
      <w:r>
        <w:rPr>
          <w:rStyle w:val="37"/>
          <w:rFonts w:hint="eastAsia" w:ascii="仿宋_GB2312" w:hAnsi="Times New Roman" w:eastAsia="仿宋_GB2312" w:cs="仿宋_GB2312"/>
          <w:b w:val="0"/>
          <w:bCs/>
          <w:sz w:val="32"/>
          <w:szCs w:val="32"/>
          <w:shd w:val="clear" w:fill="FFFFFF"/>
        </w:rPr>
        <w:t>（项）: 支出决算为</w:t>
      </w:r>
      <w:r>
        <w:rPr>
          <w:rStyle w:val="37"/>
          <w:rFonts w:hint="eastAsia" w:ascii="仿宋_GB2312" w:hAnsi="Times New Roman" w:eastAsia="仿宋_GB2312" w:cs="仿宋_GB2312"/>
          <w:b w:val="0"/>
          <w:bCs/>
          <w:sz w:val="32"/>
          <w:szCs w:val="32"/>
          <w:shd w:val="clear" w:fill="FFFFFF"/>
          <w:lang w:val="en-US" w:eastAsia="zh-CN"/>
        </w:rPr>
        <w:t>245.74</w:t>
      </w:r>
      <w:r>
        <w:rPr>
          <w:rStyle w:val="37"/>
          <w:rFonts w:hint="eastAsia" w:ascii="仿宋_GB2312" w:hAnsi="Times New Roman" w:eastAsia="仿宋_GB2312" w:cs="仿宋_GB2312"/>
          <w:b w:val="0"/>
          <w:bCs/>
          <w:sz w:val="32"/>
          <w:szCs w:val="32"/>
          <w:shd w:val="clear" w:fill="FFFFFF"/>
        </w:rPr>
        <w:t>万元，完成预算100%。</w:t>
      </w:r>
    </w:p>
    <w:p w14:paraId="1DB78DD2">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Style w:val="37"/>
          <w:rFonts w:hint="eastAsia" w:ascii="仿宋_GB2312" w:hAnsi="Times New Roman" w:eastAsia="仿宋_GB2312" w:cs="仿宋_GB2312"/>
          <w:b w:val="0"/>
          <w:bCs/>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5</w:t>
      </w:r>
      <w:r>
        <w:rPr>
          <w:rStyle w:val="37"/>
          <w:rFonts w:hint="eastAsia" w:ascii="仿宋_GB2312" w:hAnsi="Times New Roman" w:eastAsia="仿宋_GB2312" w:cs="仿宋_GB2312"/>
          <w:b w:val="0"/>
          <w:bCs/>
          <w:sz w:val="32"/>
          <w:szCs w:val="32"/>
          <w:shd w:val="clear" w:fill="FFFFFF"/>
        </w:rPr>
        <w:t>.一般公共服务201（类）06（款）07（项）: 支出决算为</w:t>
      </w:r>
      <w:r>
        <w:rPr>
          <w:rStyle w:val="37"/>
          <w:rFonts w:hint="eastAsia" w:ascii="仿宋_GB2312" w:hAnsi="Times New Roman" w:eastAsia="仿宋_GB2312" w:cs="仿宋_GB2312"/>
          <w:b w:val="0"/>
          <w:bCs/>
          <w:sz w:val="32"/>
          <w:szCs w:val="32"/>
          <w:shd w:val="clear" w:fill="FFFFFF"/>
          <w:lang w:val="en-US" w:eastAsia="zh-CN"/>
        </w:rPr>
        <w:t>103.56</w:t>
      </w:r>
      <w:r>
        <w:rPr>
          <w:rStyle w:val="37"/>
          <w:rFonts w:hint="eastAsia" w:ascii="仿宋_GB2312" w:hAnsi="Times New Roman" w:eastAsia="仿宋_GB2312" w:cs="仿宋_GB2312"/>
          <w:b w:val="0"/>
          <w:bCs/>
          <w:sz w:val="32"/>
          <w:szCs w:val="32"/>
          <w:shd w:val="clear" w:fill="FFFFFF"/>
        </w:rPr>
        <w:t>万元，完成预算100%。</w:t>
      </w:r>
    </w:p>
    <w:p w14:paraId="1A30C7AF">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Style w:val="37"/>
          <w:rFonts w:hint="eastAsia" w:ascii="仿宋_GB2312" w:hAnsi="Times New Roman" w:eastAsia="仿宋_GB2312" w:cs="仿宋_GB2312"/>
          <w:b w:val="0"/>
          <w:bCs/>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6</w:t>
      </w:r>
      <w:r>
        <w:rPr>
          <w:rStyle w:val="37"/>
          <w:rFonts w:hint="eastAsia" w:ascii="仿宋_GB2312" w:hAnsi="Times New Roman" w:eastAsia="仿宋_GB2312" w:cs="仿宋_GB2312"/>
          <w:b w:val="0"/>
          <w:bCs/>
          <w:sz w:val="32"/>
          <w:szCs w:val="32"/>
          <w:shd w:val="clear" w:fill="FFFFFF"/>
        </w:rPr>
        <w:t>.一般公共服务201（类）06（款）0</w:t>
      </w:r>
      <w:r>
        <w:rPr>
          <w:rStyle w:val="37"/>
          <w:rFonts w:hint="eastAsia" w:ascii="仿宋_GB2312" w:hAnsi="Times New Roman" w:eastAsia="仿宋_GB2312" w:cs="仿宋_GB2312"/>
          <w:b w:val="0"/>
          <w:bCs/>
          <w:sz w:val="32"/>
          <w:szCs w:val="32"/>
          <w:shd w:val="clear" w:fill="FFFFFF"/>
          <w:lang w:val="en-US" w:eastAsia="zh-CN"/>
        </w:rPr>
        <w:t>8</w:t>
      </w:r>
      <w:r>
        <w:rPr>
          <w:rStyle w:val="37"/>
          <w:rFonts w:hint="eastAsia" w:ascii="仿宋_GB2312" w:hAnsi="Times New Roman" w:eastAsia="仿宋_GB2312" w:cs="仿宋_GB2312"/>
          <w:b w:val="0"/>
          <w:bCs/>
          <w:sz w:val="32"/>
          <w:szCs w:val="32"/>
          <w:shd w:val="clear" w:fill="FFFFFF"/>
        </w:rPr>
        <w:t>（项）: 支出决算为</w:t>
      </w:r>
      <w:r>
        <w:rPr>
          <w:rStyle w:val="37"/>
          <w:rFonts w:hint="eastAsia" w:ascii="仿宋_GB2312" w:hAnsi="Times New Roman" w:eastAsia="仿宋_GB2312" w:cs="仿宋_GB2312"/>
          <w:b w:val="0"/>
          <w:bCs/>
          <w:sz w:val="32"/>
          <w:szCs w:val="32"/>
          <w:shd w:val="clear" w:fill="FFFFFF"/>
          <w:lang w:val="en-US" w:eastAsia="zh-CN"/>
        </w:rPr>
        <w:t>373.31</w:t>
      </w:r>
      <w:r>
        <w:rPr>
          <w:rStyle w:val="37"/>
          <w:rFonts w:hint="eastAsia" w:ascii="仿宋_GB2312" w:hAnsi="Times New Roman" w:eastAsia="仿宋_GB2312" w:cs="仿宋_GB2312"/>
          <w:b w:val="0"/>
          <w:bCs/>
          <w:sz w:val="32"/>
          <w:szCs w:val="32"/>
          <w:shd w:val="clear" w:fill="FFFFFF"/>
        </w:rPr>
        <w:t>万元，完成预算100%。</w:t>
      </w:r>
    </w:p>
    <w:p w14:paraId="757E07F5">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7</w:t>
      </w:r>
      <w:r>
        <w:rPr>
          <w:rStyle w:val="37"/>
          <w:rFonts w:hint="eastAsia" w:ascii="仿宋_GB2312" w:hAnsi="Times New Roman" w:eastAsia="仿宋_GB2312" w:cs="仿宋_GB2312"/>
          <w:b w:val="0"/>
          <w:bCs/>
          <w:sz w:val="32"/>
          <w:szCs w:val="32"/>
          <w:shd w:val="clear" w:fill="FFFFFF"/>
        </w:rPr>
        <w:t>.一般公共服务201（类）06（款）50（项）: 支出决算为</w:t>
      </w:r>
      <w:r>
        <w:rPr>
          <w:rStyle w:val="37"/>
          <w:rFonts w:hint="eastAsia" w:ascii="仿宋_GB2312" w:hAnsi="Times New Roman" w:eastAsia="仿宋_GB2312" w:cs="仿宋_GB2312"/>
          <w:b w:val="0"/>
          <w:bCs/>
          <w:sz w:val="32"/>
          <w:szCs w:val="32"/>
          <w:shd w:val="clear" w:fill="FFFFFF"/>
          <w:lang w:val="en-US" w:eastAsia="zh-CN"/>
        </w:rPr>
        <w:t>1972.34</w:t>
      </w:r>
      <w:r>
        <w:rPr>
          <w:rStyle w:val="37"/>
          <w:rFonts w:hint="eastAsia" w:ascii="仿宋_GB2312" w:hAnsi="Times New Roman" w:eastAsia="仿宋_GB2312" w:cs="仿宋_GB2312"/>
          <w:b w:val="0"/>
          <w:bCs/>
          <w:sz w:val="32"/>
          <w:szCs w:val="32"/>
          <w:shd w:val="clear" w:fill="FFFFFF"/>
        </w:rPr>
        <w:t>万元，完成预算100%。</w:t>
      </w:r>
    </w:p>
    <w:p w14:paraId="2D35CB06">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9</w:t>
      </w:r>
      <w:r>
        <w:rPr>
          <w:rStyle w:val="37"/>
          <w:rFonts w:hint="eastAsia" w:ascii="仿宋_GB2312" w:hAnsi="Times New Roman" w:eastAsia="仿宋_GB2312" w:cs="仿宋_GB2312"/>
          <w:b w:val="0"/>
          <w:bCs/>
          <w:sz w:val="32"/>
          <w:szCs w:val="32"/>
          <w:shd w:val="clear" w:fill="FFFFFF"/>
        </w:rPr>
        <w:t>.社会保障和就业208（类）05（款）05（项）: 支出决算为</w:t>
      </w:r>
      <w:r>
        <w:rPr>
          <w:rStyle w:val="37"/>
          <w:rFonts w:hint="eastAsia" w:ascii="仿宋_GB2312" w:hAnsi="Times New Roman" w:eastAsia="仿宋_GB2312" w:cs="仿宋_GB2312"/>
          <w:b w:val="0"/>
          <w:bCs/>
          <w:sz w:val="32"/>
          <w:szCs w:val="32"/>
          <w:shd w:val="clear" w:fill="FFFFFF"/>
          <w:lang w:val="en-US" w:eastAsia="zh-CN"/>
        </w:rPr>
        <w:t>242.85</w:t>
      </w:r>
      <w:r>
        <w:rPr>
          <w:rStyle w:val="37"/>
          <w:rFonts w:hint="eastAsia" w:ascii="仿宋_GB2312" w:hAnsi="Times New Roman" w:eastAsia="仿宋_GB2312" w:cs="仿宋_GB2312"/>
          <w:b w:val="0"/>
          <w:bCs/>
          <w:sz w:val="32"/>
          <w:szCs w:val="32"/>
          <w:shd w:val="clear" w:fill="FFFFFF"/>
        </w:rPr>
        <w:t>万元，完成预算100%。</w:t>
      </w:r>
    </w:p>
    <w:p w14:paraId="0B5FF4CF">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10</w:t>
      </w:r>
      <w:r>
        <w:rPr>
          <w:rStyle w:val="37"/>
          <w:rFonts w:hint="eastAsia" w:ascii="仿宋_GB2312" w:hAnsi="Times New Roman" w:eastAsia="仿宋_GB2312" w:cs="仿宋_GB2312"/>
          <w:b w:val="0"/>
          <w:bCs/>
          <w:sz w:val="32"/>
          <w:szCs w:val="32"/>
          <w:shd w:val="clear" w:fill="FFFFFF"/>
        </w:rPr>
        <w:t>.社会保障和就业208（类）05（款）06（项）: 支出决算为</w:t>
      </w:r>
      <w:r>
        <w:rPr>
          <w:rStyle w:val="37"/>
          <w:rFonts w:hint="eastAsia" w:ascii="仿宋_GB2312" w:hAnsi="Times New Roman" w:eastAsia="仿宋_GB2312" w:cs="仿宋_GB2312"/>
          <w:b w:val="0"/>
          <w:bCs/>
          <w:sz w:val="32"/>
          <w:szCs w:val="32"/>
          <w:shd w:val="clear" w:fill="FFFFFF"/>
          <w:lang w:val="en-US" w:eastAsia="zh-CN"/>
        </w:rPr>
        <w:t>129.42</w:t>
      </w:r>
      <w:r>
        <w:rPr>
          <w:rStyle w:val="37"/>
          <w:rFonts w:hint="eastAsia" w:ascii="仿宋_GB2312" w:hAnsi="Times New Roman" w:eastAsia="仿宋_GB2312" w:cs="仿宋_GB2312"/>
          <w:b w:val="0"/>
          <w:bCs/>
          <w:sz w:val="32"/>
          <w:szCs w:val="32"/>
          <w:shd w:val="clear" w:fill="FFFFFF"/>
        </w:rPr>
        <w:t>万元，完成预算100%。</w:t>
      </w:r>
    </w:p>
    <w:p w14:paraId="6BC5AAF8">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lang w:val="en-US" w:eastAsia="zh-CN"/>
        </w:rPr>
        <w:t>11</w:t>
      </w:r>
      <w:r>
        <w:rPr>
          <w:rStyle w:val="37"/>
          <w:rFonts w:hint="eastAsia" w:ascii="仿宋_GB2312" w:hAnsi="Times New Roman" w:eastAsia="仿宋_GB2312" w:cs="仿宋_GB2312"/>
          <w:b w:val="0"/>
          <w:bCs/>
          <w:sz w:val="32"/>
          <w:szCs w:val="32"/>
          <w:shd w:val="clear" w:fill="FFFFFF"/>
        </w:rPr>
        <w:t>.卫生健康210（类）11（款）01（项）:支出决算为</w:t>
      </w:r>
      <w:r>
        <w:rPr>
          <w:rStyle w:val="37"/>
          <w:rFonts w:hint="eastAsia" w:ascii="仿宋_GB2312" w:hAnsi="Times New Roman" w:eastAsia="仿宋_GB2312" w:cs="仿宋_GB2312"/>
          <w:b w:val="0"/>
          <w:bCs/>
          <w:sz w:val="32"/>
          <w:szCs w:val="32"/>
          <w:shd w:val="clear" w:fill="FFFFFF"/>
          <w:lang w:val="en-US" w:eastAsia="zh-CN"/>
        </w:rPr>
        <w:t>93.34</w:t>
      </w:r>
      <w:r>
        <w:rPr>
          <w:rStyle w:val="37"/>
          <w:rFonts w:hint="eastAsia" w:ascii="仿宋_GB2312" w:hAnsi="Times New Roman" w:eastAsia="仿宋_GB2312" w:cs="仿宋_GB2312"/>
          <w:b w:val="0"/>
          <w:bCs/>
          <w:sz w:val="32"/>
          <w:szCs w:val="32"/>
          <w:shd w:val="clear" w:fill="FFFFFF"/>
        </w:rPr>
        <w:t>万元，完成预算100%。</w:t>
      </w:r>
    </w:p>
    <w:p w14:paraId="60523746">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rPr>
        <w:t>1</w:t>
      </w:r>
      <w:r>
        <w:rPr>
          <w:rStyle w:val="37"/>
          <w:rFonts w:hint="eastAsia" w:ascii="仿宋_GB2312" w:hAnsi="Times New Roman" w:eastAsia="仿宋_GB2312" w:cs="仿宋_GB2312"/>
          <w:b w:val="0"/>
          <w:bCs/>
          <w:sz w:val="32"/>
          <w:szCs w:val="32"/>
          <w:shd w:val="clear" w:fill="FFFFFF"/>
          <w:lang w:val="en-US" w:eastAsia="zh-CN"/>
        </w:rPr>
        <w:t>2</w:t>
      </w:r>
      <w:r>
        <w:rPr>
          <w:rStyle w:val="37"/>
          <w:rFonts w:hint="eastAsia" w:ascii="仿宋_GB2312" w:hAnsi="Times New Roman" w:eastAsia="仿宋_GB2312" w:cs="仿宋_GB2312"/>
          <w:b w:val="0"/>
          <w:bCs/>
          <w:sz w:val="32"/>
          <w:szCs w:val="32"/>
          <w:shd w:val="clear" w:fill="FFFFFF"/>
        </w:rPr>
        <w:t>.卫生健康210（类）11（款）02（项）:支出决算为</w:t>
      </w:r>
      <w:r>
        <w:rPr>
          <w:rStyle w:val="37"/>
          <w:rFonts w:hint="eastAsia" w:ascii="仿宋_GB2312" w:hAnsi="Times New Roman" w:eastAsia="仿宋_GB2312" w:cs="仿宋_GB2312"/>
          <w:b w:val="0"/>
          <w:bCs/>
          <w:sz w:val="32"/>
          <w:szCs w:val="32"/>
          <w:shd w:val="clear" w:fill="FFFFFF"/>
          <w:lang w:val="en-US" w:eastAsia="zh-CN"/>
        </w:rPr>
        <w:t>39.1</w:t>
      </w:r>
      <w:r>
        <w:rPr>
          <w:rStyle w:val="37"/>
          <w:rFonts w:hint="eastAsia" w:ascii="仿宋_GB2312" w:hAnsi="Times New Roman" w:eastAsia="仿宋_GB2312" w:cs="仿宋_GB2312"/>
          <w:b w:val="0"/>
          <w:bCs/>
          <w:sz w:val="32"/>
          <w:szCs w:val="32"/>
          <w:shd w:val="clear" w:fill="FFFFFF"/>
        </w:rPr>
        <w:t>万元，完成预算100%。</w:t>
      </w:r>
    </w:p>
    <w:p w14:paraId="4B13340D">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rPr>
        <w:t>1</w:t>
      </w:r>
      <w:r>
        <w:rPr>
          <w:rStyle w:val="37"/>
          <w:rFonts w:hint="eastAsia" w:ascii="仿宋_GB2312" w:hAnsi="Times New Roman" w:eastAsia="仿宋_GB2312" w:cs="仿宋_GB2312"/>
          <w:b w:val="0"/>
          <w:bCs/>
          <w:sz w:val="32"/>
          <w:szCs w:val="32"/>
          <w:shd w:val="clear" w:fill="FFFFFF"/>
          <w:lang w:val="en-US" w:eastAsia="zh-CN"/>
        </w:rPr>
        <w:t>3</w:t>
      </w:r>
      <w:r>
        <w:rPr>
          <w:rStyle w:val="37"/>
          <w:rFonts w:hint="eastAsia" w:ascii="仿宋_GB2312" w:hAnsi="Times New Roman" w:eastAsia="仿宋_GB2312" w:cs="仿宋_GB2312"/>
          <w:b w:val="0"/>
          <w:bCs/>
          <w:sz w:val="32"/>
          <w:szCs w:val="32"/>
          <w:shd w:val="clear" w:fill="FFFFFF"/>
        </w:rPr>
        <w:t>.卫生健康210（类）11（款）03（项）:支出决算为</w:t>
      </w:r>
      <w:r>
        <w:rPr>
          <w:rStyle w:val="37"/>
          <w:rFonts w:hint="eastAsia" w:ascii="仿宋_GB2312" w:hAnsi="Times New Roman" w:eastAsia="仿宋_GB2312" w:cs="仿宋_GB2312"/>
          <w:b w:val="0"/>
          <w:bCs/>
          <w:sz w:val="32"/>
          <w:szCs w:val="32"/>
          <w:shd w:val="clear" w:fill="FFFFFF"/>
          <w:lang w:val="en-US" w:eastAsia="zh-CN"/>
        </w:rPr>
        <w:t>25.34</w:t>
      </w:r>
      <w:r>
        <w:rPr>
          <w:rStyle w:val="37"/>
          <w:rFonts w:hint="eastAsia" w:ascii="仿宋_GB2312" w:hAnsi="Times New Roman" w:eastAsia="仿宋_GB2312" w:cs="仿宋_GB2312"/>
          <w:b w:val="0"/>
          <w:bCs/>
          <w:sz w:val="32"/>
          <w:szCs w:val="32"/>
          <w:shd w:val="clear" w:fill="FFFFFF"/>
        </w:rPr>
        <w:t>万元，完成预算100%。</w:t>
      </w:r>
    </w:p>
    <w:p w14:paraId="10E2A440">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rPr>
        <w:t>1</w:t>
      </w:r>
      <w:r>
        <w:rPr>
          <w:rStyle w:val="37"/>
          <w:rFonts w:hint="eastAsia" w:ascii="仿宋_GB2312" w:hAnsi="Times New Roman" w:eastAsia="仿宋_GB2312" w:cs="仿宋_GB2312"/>
          <w:b w:val="0"/>
          <w:bCs/>
          <w:sz w:val="32"/>
          <w:szCs w:val="32"/>
          <w:shd w:val="clear" w:fill="FFFFFF"/>
          <w:lang w:val="en-US" w:eastAsia="zh-CN"/>
        </w:rPr>
        <w:t>4</w:t>
      </w:r>
      <w:r>
        <w:rPr>
          <w:rStyle w:val="37"/>
          <w:rFonts w:hint="eastAsia" w:ascii="仿宋_GB2312" w:hAnsi="Times New Roman" w:eastAsia="仿宋_GB2312" w:cs="仿宋_GB2312"/>
          <w:b w:val="0"/>
          <w:bCs/>
          <w:sz w:val="32"/>
          <w:szCs w:val="32"/>
          <w:shd w:val="clear" w:fill="FFFFFF"/>
        </w:rPr>
        <w:t>.卫生健康210（类）11（款）99（项）:支出决算为</w:t>
      </w:r>
      <w:r>
        <w:rPr>
          <w:rStyle w:val="37"/>
          <w:rFonts w:hint="eastAsia" w:ascii="仿宋_GB2312" w:hAnsi="Times New Roman" w:eastAsia="仿宋_GB2312" w:cs="仿宋_GB2312"/>
          <w:b w:val="0"/>
          <w:bCs/>
          <w:sz w:val="32"/>
          <w:szCs w:val="32"/>
          <w:shd w:val="clear" w:fill="FFFFFF"/>
          <w:lang w:val="en-US" w:eastAsia="zh-CN"/>
        </w:rPr>
        <w:t>9.3</w:t>
      </w:r>
      <w:r>
        <w:rPr>
          <w:rStyle w:val="37"/>
          <w:rFonts w:hint="eastAsia" w:ascii="仿宋_GB2312" w:hAnsi="Times New Roman" w:eastAsia="仿宋_GB2312" w:cs="仿宋_GB2312"/>
          <w:b w:val="0"/>
          <w:bCs/>
          <w:sz w:val="32"/>
          <w:szCs w:val="32"/>
          <w:shd w:val="clear" w:fill="FFFFFF"/>
        </w:rPr>
        <w:t>万元，完成预算100%。</w:t>
      </w:r>
    </w:p>
    <w:p w14:paraId="657CE99B">
      <w:pPr>
        <w:pStyle w:val="36"/>
        <w:keepNext w:val="0"/>
        <w:keepLines w:val="0"/>
        <w:pageBreakBefore w:val="0"/>
        <w:widowControl/>
        <w:suppressLineNumbers w:val="0"/>
        <w:shd w:val="clear" w:fill="FFFFFF"/>
        <w:kinsoku/>
        <w:wordWrap/>
        <w:overflowPunct/>
        <w:topLinePunct w:val="0"/>
        <w:autoSpaceDE w:val="0"/>
        <w:autoSpaceDN/>
        <w:bidi w:val="0"/>
        <w:adjustRightInd/>
        <w:snapToGrid/>
        <w:spacing w:beforeAutospacing="0" w:afterAutospacing="0" w:line="560" w:lineRule="exact"/>
        <w:ind w:firstLine="640" w:firstLineChars="200"/>
        <w:textAlignment w:val="auto"/>
        <w:rPr>
          <w:rFonts w:hint="eastAsia" w:ascii="仿宋_GB2312" w:hAnsi="宋体" w:eastAsia="仿宋_GB2312" w:cs="仿宋_GB2312"/>
          <w:b w:val="0"/>
          <w:bCs/>
          <w:kern w:val="0"/>
          <w:sz w:val="32"/>
          <w:szCs w:val="32"/>
          <w:shd w:val="clear" w:fill="FFFFFF"/>
        </w:rPr>
      </w:pPr>
      <w:r>
        <w:rPr>
          <w:rStyle w:val="37"/>
          <w:rFonts w:hint="eastAsia" w:ascii="仿宋_GB2312" w:hAnsi="Times New Roman" w:eastAsia="仿宋_GB2312" w:cs="仿宋_GB2312"/>
          <w:b w:val="0"/>
          <w:bCs/>
          <w:sz w:val="32"/>
          <w:szCs w:val="32"/>
          <w:shd w:val="clear" w:fill="FFFFFF"/>
        </w:rPr>
        <w:t>1</w:t>
      </w:r>
      <w:r>
        <w:rPr>
          <w:rStyle w:val="37"/>
          <w:rFonts w:hint="eastAsia" w:ascii="仿宋_GB2312" w:hAnsi="Times New Roman" w:eastAsia="仿宋_GB2312" w:cs="仿宋_GB2312"/>
          <w:b w:val="0"/>
          <w:bCs/>
          <w:sz w:val="32"/>
          <w:szCs w:val="32"/>
          <w:shd w:val="clear" w:fill="FFFFFF"/>
          <w:lang w:val="en-US" w:eastAsia="zh-CN"/>
        </w:rPr>
        <w:t>5</w:t>
      </w:r>
      <w:r>
        <w:rPr>
          <w:rStyle w:val="37"/>
          <w:rFonts w:hint="eastAsia" w:ascii="仿宋_GB2312" w:hAnsi="Times New Roman" w:eastAsia="仿宋_GB2312" w:cs="仿宋_GB2312"/>
          <w:b w:val="0"/>
          <w:bCs/>
          <w:sz w:val="32"/>
          <w:szCs w:val="32"/>
          <w:shd w:val="clear" w:fill="FFFFFF"/>
        </w:rPr>
        <w:t>.</w:t>
      </w:r>
      <w:r>
        <w:rPr>
          <w:rFonts w:hint="eastAsia" w:ascii="仿宋_GB2312" w:hAnsi="宋体" w:eastAsia="仿宋_GB2312" w:cs="仿宋_GB2312"/>
          <w:b w:val="0"/>
          <w:bCs/>
          <w:kern w:val="0"/>
          <w:sz w:val="32"/>
          <w:szCs w:val="32"/>
          <w:shd w:val="clear" w:fill="FFFFFF"/>
        </w:rPr>
        <w:t>住房保障</w:t>
      </w:r>
      <w:r>
        <w:rPr>
          <w:rStyle w:val="37"/>
          <w:rFonts w:hint="eastAsia" w:ascii="仿宋_GB2312" w:hAnsi="Times New Roman" w:eastAsia="仿宋_GB2312" w:cs="仿宋_GB2312"/>
          <w:b w:val="0"/>
          <w:bCs/>
          <w:sz w:val="32"/>
          <w:szCs w:val="32"/>
          <w:shd w:val="clear" w:fill="FFFFFF"/>
        </w:rPr>
        <w:t>221（类）02（款）01（项）:支出决算为</w:t>
      </w:r>
      <w:r>
        <w:rPr>
          <w:rStyle w:val="37"/>
          <w:rFonts w:hint="eastAsia" w:ascii="仿宋_GB2312" w:hAnsi="Times New Roman" w:eastAsia="仿宋_GB2312" w:cs="仿宋_GB2312"/>
          <w:b w:val="0"/>
          <w:bCs/>
          <w:sz w:val="32"/>
          <w:szCs w:val="32"/>
          <w:shd w:val="clear" w:fill="FFFFFF"/>
          <w:lang w:val="en-US" w:eastAsia="zh-CN"/>
        </w:rPr>
        <w:t>200.89</w:t>
      </w:r>
      <w:r>
        <w:rPr>
          <w:rStyle w:val="37"/>
          <w:rFonts w:hint="eastAsia" w:ascii="仿宋_GB2312" w:hAnsi="Times New Roman" w:eastAsia="仿宋_GB2312" w:cs="仿宋_GB2312"/>
          <w:b w:val="0"/>
          <w:bCs/>
          <w:sz w:val="32"/>
          <w:szCs w:val="32"/>
          <w:shd w:val="clear" w:fill="FFFFFF"/>
        </w:rPr>
        <w:t>万元，完成预算100%。</w:t>
      </w:r>
    </w:p>
    <w:p w14:paraId="29AAC4EA">
      <w:pPr>
        <w:keepNext w:val="0"/>
        <w:keepLines w:val="0"/>
        <w:pageBreakBefore w:val="0"/>
        <w:kinsoku/>
        <w:wordWrap/>
        <w:overflowPunct/>
        <w:topLinePunct w:val="0"/>
        <w:autoSpaceDN/>
        <w:bidi w:val="0"/>
        <w:adjustRightInd/>
        <w:snapToGrid/>
        <w:spacing w:beforeAutospacing="0" w:afterAutospacing="0" w:line="600" w:lineRule="exact"/>
        <w:ind w:firstLine="640" w:firstLineChars="200"/>
        <w:textAlignment w:val="auto"/>
        <w:rPr>
          <w:rStyle w:val="37"/>
          <w:rFonts w:hint="eastAsia" w:ascii="宋体" w:hAnsi="宋体" w:eastAsia="宋体" w:cs="宋体"/>
          <w:b/>
          <w:bCs w:val="0"/>
          <w:shd w:val="clear" w:fill="FFFFFF"/>
        </w:rPr>
      </w:pPr>
      <w:r>
        <w:rPr>
          <w:rStyle w:val="37"/>
          <w:rFonts w:hint="eastAsia" w:ascii="仿宋_GB2312" w:hAnsi="Times New Roman" w:eastAsia="仿宋_GB2312" w:cs="仿宋_GB2312"/>
          <w:b w:val="0"/>
          <w:bCs/>
          <w:sz w:val="32"/>
          <w:szCs w:val="32"/>
          <w:shd w:val="clear" w:fill="FFFFFF"/>
        </w:rPr>
        <w:t>1</w:t>
      </w:r>
      <w:r>
        <w:rPr>
          <w:rStyle w:val="37"/>
          <w:rFonts w:hint="eastAsia" w:ascii="仿宋_GB2312" w:eastAsia="仿宋_GB2312" w:cs="仿宋_GB2312"/>
          <w:b w:val="0"/>
          <w:bCs/>
          <w:sz w:val="32"/>
          <w:szCs w:val="32"/>
          <w:shd w:val="clear" w:fill="FFFFFF"/>
          <w:lang w:val="en-US" w:eastAsia="zh-CN"/>
        </w:rPr>
        <w:t>6</w:t>
      </w:r>
      <w:r>
        <w:rPr>
          <w:rStyle w:val="37"/>
          <w:rFonts w:hint="eastAsia" w:ascii="仿宋_GB2312" w:hAnsi="Times New Roman" w:eastAsia="仿宋_GB2312" w:cs="仿宋_GB2312"/>
          <w:b w:val="0"/>
          <w:bCs/>
          <w:sz w:val="32"/>
          <w:szCs w:val="32"/>
          <w:shd w:val="clear" w:fill="FFFFFF"/>
        </w:rPr>
        <w:t>.</w:t>
      </w:r>
      <w:r>
        <w:rPr>
          <w:rFonts w:hint="eastAsia" w:ascii="仿宋_GB2312" w:hAnsi="宋体" w:eastAsia="仿宋_GB2312" w:cs="仿宋_GB2312"/>
          <w:b w:val="0"/>
          <w:bCs/>
          <w:kern w:val="0"/>
          <w:sz w:val="32"/>
          <w:szCs w:val="32"/>
          <w:shd w:val="clear" w:fill="FFFFFF"/>
        </w:rPr>
        <w:t xml:space="preserve"> </w:t>
      </w:r>
      <w:r>
        <w:rPr>
          <w:rStyle w:val="37"/>
          <w:rFonts w:hint="eastAsia" w:ascii="仿宋_GB2312" w:hAnsi="Times New Roman" w:eastAsia="仿宋_GB2312" w:cs="仿宋_GB2312"/>
          <w:b w:val="0"/>
          <w:bCs/>
          <w:sz w:val="32"/>
          <w:szCs w:val="32"/>
          <w:shd w:val="clear" w:fill="FFFFFF"/>
        </w:rPr>
        <w:t>住房保障221（类）02（款）03（项）:支出决算为2</w:t>
      </w:r>
      <w:r>
        <w:rPr>
          <w:rStyle w:val="37"/>
          <w:rFonts w:hint="eastAsia" w:ascii="仿宋_GB2312" w:eastAsia="仿宋_GB2312" w:cs="仿宋_GB2312"/>
          <w:b w:val="0"/>
          <w:bCs/>
          <w:sz w:val="32"/>
          <w:szCs w:val="32"/>
          <w:shd w:val="clear" w:fill="FFFFFF"/>
          <w:lang w:val="en-US" w:eastAsia="zh-CN"/>
        </w:rPr>
        <w:t>.4</w:t>
      </w:r>
      <w:r>
        <w:rPr>
          <w:rStyle w:val="37"/>
          <w:rFonts w:hint="eastAsia" w:ascii="仿宋_GB2312" w:hAnsi="Times New Roman" w:eastAsia="仿宋_GB2312" w:cs="仿宋_GB2312"/>
          <w:b w:val="0"/>
          <w:bCs/>
          <w:sz w:val="32"/>
          <w:szCs w:val="32"/>
          <w:shd w:val="clear" w:fill="FFFFFF"/>
        </w:rPr>
        <w:t>万元，完成预算100%。</w:t>
      </w:r>
      <w:r>
        <w:rPr>
          <w:rStyle w:val="37"/>
          <w:rFonts w:hint="eastAsia" w:ascii="宋体" w:hAnsi="宋体" w:eastAsia="宋体" w:cs="宋体"/>
          <w:b/>
          <w:bCs w:val="0"/>
          <w:shd w:val="clear" w:fill="FFFFFF"/>
        </w:rPr>
        <w:t xml:space="preserve">  </w:t>
      </w:r>
    </w:p>
    <w:p w14:paraId="3F0ACDB5">
      <w:pPr>
        <w:keepNext w:val="0"/>
        <w:keepLines w:val="0"/>
        <w:pageBreakBefore w:val="0"/>
        <w:kinsoku/>
        <w:wordWrap/>
        <w:overflowPunct/>
        <w:topLinePunct w:val="0"/>
        <w:autoSpaceDN/>
        <w:bidi w:val="0"/>
        <w:adjustRightInd/>
        <w:snapToGrid/>
        <w:spacing w:beforeAutospacing="0" w:afterAutospacing="0" w:line="600" w:lineRule="exact"/>
        <w:ind w:firstLine="643" w:firstLineChars="200"/>
        <w:textAlignment w:val="auto"/>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1-1表和财决08表，仅罗列本部门涉及的全部功能分类科目，至项级。上述“预算”口径为全年预算数。增减变动原因为决算数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和全年预算数</w:t>
      </w:r>
      <w:r>
        <w:rPr>
          <w:rFonts w:ascii="仿宋" w:hAnsi="仿宋" w:eastAsia="仿宋"/>
          <w:b/>
          <w:sz w:val="32"/>
          <w:szCs w:val="32"/>
        </w:rPr>
        <w:t>&lt;</w:t>
      </w:r>
      <w:r>
        <w:rPr>
          <w:rFonts w:hint="eastAsia" w:ascii="仿宋" w:hAnsi="仿宋" w:eastAsia="仿宋"/>
          <w:b/>
          <w:sz w:val="32"/>
          <w:szCs w:val="32"/>
        </w:rPr>
        <w:t>项级</w:t>
      </w:r>
      <w:r>
        <w:rPr>
          <w:rFonts w:ascii="仿宋" w:hAnsi="仿宋" w:eastAsia="仿宋"/>
          <w:b/>
          <w:sz w:val="32"/>
          <w:szCs w:val="32"/>
        </w:rPr>
        <w:t>&gt;</w:t>
      </w:r>
      <w:r>
        <w:rPr>
          <w:rFonts w:hint="eastAsia" w:ascii="仿宋" w:hAnsi="仿宋" w:eastAsia="仿宋"/>
          <w:b/>
          <w:sz w:val="32"/>
          <w:szCs w:val="32"/>
        </w:rPr>
        <w:t>比较，与预算数持平可以不写原因。）</w:t>
      </w:r>
    </w:p>
    <w:p w14:paraId="3C32406C">
      <w:pPr>
        <w:spacing w:line="600" w:lineRule="exact"/>
        <w:ind w:firstLine="640"/>
        <w:rPr>
          <w:rFonts w:ascii="仿宋" w:hAnsi="仿宋" w:eastAsia="仿宋"/>
          <w:b/>
          <w:sz w:val="32"/>
          <w:szCs w:val="32"/>
        </w:rPr>
      </w:pPr>
    </w:p>
    <w:p w14:paraId="66CF658C">
      <w:pPr>
        <w:tabs>
          <w:tab w:val="right" w:pos="8306"/>
        </w:tabs>
        <w:spacing w:line="600" w:lineRule="exact"/>
        <w:ind w:firstLine="640"/>
        <w:outlineLvl w:val="1"/>
        <w:rPr>
          <w:rStyle w:val="30"/>
        </w:rPr>
      </w:pPr>
      <w:bookmarkStart w:id="34" w:name="_Toc15396608"/>
      <w:bookmarkStart w:id="35" w:name="_Toc15377214"/>
      <w:r>
        <w:rPr>
          <w:rFonts w:hint="eastAsia" w:ascii="黑体" w:eastAsia="黑体"/>
          <w:sz w:val="32"/>
          <w:szCs w:val="32"/>
        </w:rPr>
        <w:t>六</w:t>
      </w:r>
      <w:r>
        <w:rPr>
          <w:rFonts w:hint="eastAsia" w:ascii="黑体" w:eastAsia="黑体"/>
          <w:b/>
          <w:sz w:val="32"/>
          <w:szCs w:val="32"/>
        </w:rPr>
        <w:t>、</w:t>
      </w:r>
      <w:r>
        <w:rPr>
          <w:rFonts w:hint="eastAsia" w:ascii="黑体" w:hAnsi="黑体" w:eastAsia="黑体"/>
          <w:b/>
          <w:sz w:val="32"/>
          <w:szCs w:val="32"/>
        </w:rPr>
        <w:t>一</w:t>
      </w:r>
      <w:r>
        <w:rPr>
          <w:rStyle w:val="30"/>
          <w:rFonts w:hint="eastAsia" w:ascii="黑体" w:hAnsi="黑体" w:eastAsia="黑体"/>
          <w:b w:val="0"/>
        </w:rPr>
        <w:t>般公共预算财政拨款基本支出决算情况说明</w:t>
      </w:r>
      <w:bookmarkEnd w:id="34"/>
      <w:bookmarkEnd w:id="35"/>
      <w:r>
        <w:rPr>
          <w:rStyle w:val="30"/>
          <w:rFonts w:ascii="黑体" w:hAnsi="黑体" w:eastAsia="黑体"/>
          <w:b w:val="0"/>
        </w:rPr>
        <w:tab/>
      </w:r>
    </w:p>
    <w:p w14:paraId="05E7AF74">
      <w:pPr>
        <w:spacing w:line="600" w:lineRule="exact"/>
        <w:ind w:firstLine="645"/>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年度一般公共预算财政拨款基本支出</w:t>
      </w:r>
      <w:r>
        <w:rPr>
          <w:rFonts w:hint="eastAsia" w:eastAsia="仿宋"/>
          <w:sz w:val="32"/>
          <w:szCs w:val="32"/>
          <w:lang w:eastAsia="zh-CN"/>
        </w:rPr>
        <w:t>4484.22</w:t>
      </w:r>
      <w:r>
        <w:rPr>
          <w:rFonts w:hint="eastAsia" w:ascii="仿宋" w:hAnsi="仿宋" w:eastAsia="仿宋"/>
          <w:sz w:val="32"/>
          <w:szCs w:val="32"/>
        </w:rPr>
        <w:t>万元，其中：</w:t>
      </w:r>
    </w:p>
    <w:p w14:paraId="3F56D83A">
      <w:pPr>
        <w:pStyle w:val="36"/>
        <w:keepNext w:val="0"/>
        <w:keepLines w:val="0"/>
        <w:widowControl w:val="0"/>
        <w:suppressLineNumbers w:val="0"/>
        <w:shd w:val="clear" w:fill="FFFFFF"/>
        <w:wordWrap w:val="0"/>
        <w:autoSpaceDE w:val="0"/>
        <w:autoSpaceDN/>
        <w:spacing w:line="560" w:lineRule="exact"/>
        <w:ind w:left="0" w:firstLine="640" w:firstLineChars="200"/>
        <w:rPr>
          <w:rFonts w:hint="eastAsia" w:ascii="Times New Roman" w:hAnsi="Times New Roman" w:eastAsia="仿宋_GB2312"/>
          <w:sz w:val="32"/>
          <w:lang w:val="en-US" w:eastAsia="zh-CN"/>
        </w:rPr>
      </w:pPr>
      <w:r>
        <w:rPr>
          <w:rFonts w:hint="eastAsia" w:ascii="仿宋" w:hAnsi="仿宋" w:eastAsia="仿宋"/>
          <w:sz w:val="32"/>
          <w:szCs w:val="32"/>
        </w:rPr>
        <w:t>人员经费</w:t>
      </w:r>
      <w:r>
        <w:rPr>
          <w:rFonts w:hint="eastAsia" w:eastAsia="仿宋"/>
          <w:sz w:val="32"/>
          <w:szCs w:val="32"/>
          <w:lang w:val="en-US" w:eastAsia="zh-CN"/>
        </w:rPr>
        <w:t>2784.94</w:t>
      </w:r>
      <w:r>
        <w:rPr>
          <w:rFonts w:hint="eastAsia" w:ascii="仿宋" w:hAnsi="仿宋" w:eastAsia="仿宋"/>
          <w:sz w:val="32"/>
          <w:szCs w:val="32"/>
        </w:rPr>
        <w:t>万元，主要包括：</w:t>
      </w:r>
      <w:r>
        <w:rPr>
          <w:rFonts w:hint="eastAsia" w:ascii="Times New Roman" w:hAnsi="Times New Roman" w:eastAsia="仿宋_GB2312"/>
          <w:sz w:val="32"/>
        </w:rPr>
        <w:t>基本支出中，基本工资</w:t>
      </w:r>
      <w:r>
        <w:rPr>
          <w:rFonts w:hint="eastAsia" w:ascii="Times New Roman" w:hAnsi="Times New Roman" w:eastAsia="仿宋_GB2312"/>
          <w:sz w:val="32"/>
          <w:lang w:val="en-US" w:eastAsia="zh-CN"/>
        </w:rPr>
        <w:t>3571703.5</w:t>
      </w:r>
      <w:r>
        <w:rPr>
          <w:rFonts w:hint="eastAsia" w:ascii="Times New Roman" w:hAnsi="Times New Roman" w:eastAsia="仿宋_GB2312"/>
          <w:sz w:val="32"/>
        </w:rPr>
        <w:t>元，津贴补贴</w:t>
      </w:r>
      <w:r>
        <w:rPr>
          <w:rFonts w:hint="eastAsia" w:ascii="Times New Roman" w:hAnsi="Times New Roman" w:eastAsia="仿宋_GB2312"/>
          <w:sz w:val="32"/>
          <w:lang w:val="en-US" w:eastAsia="zh-CN"/>
        </w:rPr>
        <w:t>7173619.08</w:t>
      </w:r>
      <w:r>
        <w:rPr>
          <w:rFonts w:hint="eastAsia" w:ascii="Times New Roman" w:hAnsi="Times New Roman" w:eastAsia="仿宋_GB2312"/>
          <w:sz w:val="32"/>
        </w:rPr>
        <w:t>元，奖金</w:t>
      </w:r>
      <w:r>
        <w:rPr>
          <w:rFonts w:hint="eastAsia" w:ascii="Times New Roman" w:hAnsi="Times New Roman" w:eastAsia="仿宋_GB2312"/>
          <w:sz w:val="32"/>
          <w:lang w:val="en-US" w:eastAsia="zh-CN"/>
        </w:rPr>
        <w:t>1450145</w:t>
      </w:r>
      <w:r>
        <w:rPr>
          <w:rFonts w:hint="eastAsia" w:ascii="Times New Roman" w:hAnsi="Times New Roman" w:eastAsia="仿宋_GB2312"/>
          <w:sz w:val="32"/>
        </w:rPr>
        <w:t>元，伙食补助费</w:t>
      </w:r>
      <w:r>
        <w:rPr>
          <w:rFonts w:hint="eastAsia" w:ascii="Times New Roman" w:hAnsi="Times New Roman" w:eastAsia="仿宋_GB2312"/>
          <w:sz w:val="32"/>
          <w:lang w:val="en-US" w:eastAsia="zh-CN"/>
        </w:rPr>
        <w:t>736847.5</w:t>
      </w:r>
      <w:r>
        <w:rPr>
          <w:rFonts w:hint="eastAsia" w:ascii="Times New Roman" w:hAnsi="Times New Roman" w:eastAsia="仿宋_GB2312"/>
          <w:sz w:val="32"/>
        </w:rPr>
        <w:t>元，机关事业单位基本养老保险缴费</w:t>
      </w:r>
      <w:r>
        <w:rPr>
          <w:rFonts w:hint="eastAsia" w:ascii="Times New Roman" w:hAnsi="Times New Roman" w:eastAsia="仿宋_GB2312"/>
          <w:sz w:val="32"/>
          <w:lang w:val="en-US" w:eastAsia="zh-CN"/>
        </w:rPr>
        <w:t>1534861.66</w:t>
      </w:r>
      <w:r>
        <w:rPr>
          <w:rFonts w:hint="eastAsia" w:ascii="Times New Roman" w:hAnsi="Times New Roman" w:eastAsia="仿宋_GB2312"/>
          <w:sz w:val="32"/>
        </w:rPr>
        <w:t>元，职业年金缴费</w:t>
      </w:r>
      <w:r>
        <w:rPr>
          <w:rFonts w:hint="eastAsia" w:ascii="Times New Roman" w:hAnsi="Times New Roman" w:eastAsia="仿宋_GB2312"/>
          <w:sz w:val="32"/>
          <w:lang w:val="en-US" w:eastAsia="zh-CN"/>
        </w:rPr>
        <w:t>888167.92</w:t>
      </w:r>
      <w:r>
        <w:rPr>
          <w:rFonts w:hint="eastAsia" w:ascii="Times New Roman" w:hAnsi="Times New Roman" w:eastAsia="仿宋_GB2312"/>
          <w:sz w:val="32"/>
        </w:rPr>
        <w:t>元，职工基本医疗保险缴费</w:t>
      </w:r>
      <w:r>
        <w:rPr>
          <w:rFonts w:hint="eastAsia" w:ascii="Times New Roman" w:hAnsi="Times New Roman" w:eastAsia="仿宋_GB2312"/>
          <w:sz w:val="32"/>
          <w:lang w:val="en-US" w:eastAsia="zh-CN"/>
        </w:rPr>
        <w:t>933353.61</w:t>
      </w:r>
      <w:r>
        <w:rPr>
          <w:rFonts w:hint="eastAsia" w:ascii="Times New Roman" w:hAnsi="Times New Roman" w:eastAsia="仿宋_GB2312"/>
          <w:sz w:val="32"/>
        </w:rPr>
        <w:t>元，公务员医疗补助</w:t>
      </w:r>
      <w:r>
        <w:rPr>
          <w:rFonts w:hint="eastAsia" w:ascii="Times New Roman" w:hAnsi="Times New Roman" w:eastAsia="仿宋_GB2312"/>
          <w:sz w:val="32"/>
          <w:lang w:val="en-US" w:eastAsia="zh-CN"/>
        </w:rPr>
        <w:t>253382.55</w:t>
      </w:r>
      <w:r>
        <w:rPr>
          <w:rFonts w:hint="eastAsia" w:ascii="Times New Roman" w:hAnsi="Times New Roman" w:eastAsia="仿宋_GB2312"/>
          <w:sz w:val="32"/>
        </w:rPr>
        <w:t>元，其他社会保障缴费</w:t>
      </w:r>
      <w:r>
        <w:rPr>
          <w:rFonts w:hint="eastAsia" w:ascii="Times New Roman" w:hAnsi="Times New Roman" w:eastAsia="仿宋_GB2312"/>
          <w:sz w:val="32"/>
          <w:lang w:val="en-US" w:eastAsia="zh-CN"/>
        </w:rPr>
        <w:t>127076.95</w:t>
      </w:r>
      <w:r>
        <w:rPr>
          <w:rFonts w:hint="eastAsia" w:ascii="Times New Roman" w:hAnsi="Times New Roman" w:eastAsia="仿宋_GB2312"/>
          <w:sz w:val="32"/>
        </w:rPr>
        <w:t>元，住房公积</w:t>
      </w:r>
      <w:r>
        <w:rPr>
          <w:rFonts w:hint="eastAsia" w:ascii="Times New Roman" w:hAnsi="Times New Roman" w:eastAsia="仿宋_GB2312"/>
          <w:sz w:val="32"/>
          <w:lang w:val="en-US" w:eastAsia="zh-CN"/>
        </w:rPr>
        <w:t>1476284</w:t>
      </w:r>
      <w:r>
        <w:rPr>
          <w:rFonts w:hint="eastAsia" w:ascii="Times New Roman" w:hAnsi="Times New Roman" w:eastAsia="仿宋_GB2312"/>
          <w:sz w:val="32"/>
        </w:rPr>
        <w:t>元，</w:t>
      </w:r>
      <w:r>
        <w:rPr>
          <w:rFonts w:hint="eastAsia" w:ascii="Times New Roman" w:hAnsi="Times New Roman" w:eastAsia="仿宋_GB2312"/>
          <w:sz w:val="32"/>
          <w:lang w:eastAsia="zh-CN"/>
        </w:rPr>
        <w:t>其他工资福利</w:t>
      </w:r>
      <w:r>
        <w:rPr>
          <w:rFonts w:hint="eastAsia" w:ascii="Times New Roman" w:hAnsi="Times New Roman" w:eastAsia="仿宋_GB2312"/>
          <w:sz w:val="32"/>
          <w:lang w:val="en-US" w:eastAsia="zh-CN"/>
        </w:rPr>
        <w:t>580825.07元。</w:t>
      </w:r>
    </w:p>
    <w:p w14:paraId="246995FA">
      <w:pPr>
        <w:pStyle w:val="36"/>
        <w:keepNext w:val="0"/>
        <w:keepLines w:val="0"/>
        <w:widowControl w:val="0"/>
        <w:suppressLineNumbers w:val="0"/>
        <w:shd w:val="clear" w:fill="FFFFFF"/>
        <w:wordWrap w:val="0"/>
        <w:autoSpaceDE w:val="0"/>
        <w:autoSpaceDN/>
        <w:spacing w:line="560" w:lineRule="exact"/>
        <w:ind w:left="0" w:firstLine="640" w:firstLineChars="200"/>
        <w:rPr>
          <w:rFonts w:ascii="仿宋" w:hAnsi="仿宋" w:eastAsia="仿宋"/>
          <w:sz w:val="32"/>
          <w:szCs w:val="32"/>
        </w:rPr>
      </w:pPr>
      <w:r>
        <w:rPr>
          <w:rFonts w:hint="eastAsia" w:ascii="仿宋" w:hAnsi="仿宋" w:eastAsia="仿宋"/>
          <w:sz w:val="32"/>
          <w:szCs w:val="32"/>
        </w:rPr>
        <w:t>　公用经费</w:t>
      </w:r>
      <w:r>
        <w:rPr>
          <w:rFonts w:hint="eastAsia" w:eastAsia="仿宋"/>
          <w:sz w:val="32"/>
          <w:szCs w:val="32"/>
          <w:lang w:val="en-US" w:eastAsia="zh-CN"/>
        </w:rPr>
        <w:t>3107.85</w:t>
      </w:r>
      <w:r>
        <w:rPr>
          <w:rFonts w:hint="eastAsia" w:ascii="仿宋" w:hAnsi="仿宋" w:eastAsia="仿宋"/>
          <w:sz w:val="32"/>
          <w:szCs w:val="32"/>
        </w:rPr>
        <w:t>万元，主要包括：</w:t>
      </w:r>
      <w:r>
        <w:rPr>
          <w:rFonts w:hint="eastAsia" w:ascii="Times New Roman" w:hAnsi="Times New Roman" w:eastAsia="仿宋_GB2312"/>
          <w:sz w:val="32"/>
        </w:rPr>
        <w:t>办公费</w:t>
      </w:r>
      <w:r>
        <w:rPr>
          <w:rFonts w:hint="eastAsia" w:ascii="Times New Roman" w:hAnsi="Times New Roman" w:eastAsia="仿宋_GB2312"/>
          <w:sz w:val="32"/>
          <w:lang w:val="en-US" w:eastAsia="zh-CN"/>
        </w:rPr>
        <w:t>216580.71</w:t>
      </w:r>
      <w:r>
        <w:rPr>
          <w:rFonts w:hint="eastAsia" w:ascii="Times New Roman" w:hAnsi="Times New Roman" w:eastAsia="仿宋_GB2312"/>
          <w:sz w:val="32"/>
        </w:rPr>
        <w:t>元，水费</w:t>
      </w:r>
      <w:r>
        <w:rPr>
          <w:rFonts w:hint="eastAsia" w:ascii="Times New Roman" w:hAnsi="Times New Roman" w:eastAsia="仿宋_GB2312"/>
          <w:sz w:val="32"/>
          <w:lang w:val="en-US" w:eastAsia="zh-CN"/>
        </w:rPr>
        <w:t>11152</w:t>
      </w:r>
      <w:r>
        <w:rPr>
          <w:rFonts w:hint="eastAsia" w:ascii="Times New Roman" w:hAnsi="Times New Roman" w:eastAsia="仿宋_GB2312"/>
          <w:sz w:val="32"/>
        </w:rPr>
        <w:t>元，</w:t>
      </w:r>
      <w:r>
        <w:rPr>
          <w:rFonts w:hint="eastAsia" w:ascii="Times New Roman" w:hAnsi="Times New Roman" w:eastAsia="仿宋_GB2312"/>
          <w:sz w:val="32"/>
          <w:lang w:eastAsia="zh-CN"/>
        </w:rPr>
        <w:t>电费</w:t>
      </w:r>
      <w:r>
        <w:rPr>
          <w:rFonts w:hint="eastAsia" w:ascii="Times New Roman" w:hAnsi="Times New Roman" w:eastAsia="仿宋_GB2312"/>
          <w:sz w:val="32"/>
          <w:lang w:val="en-US" w:eastAsia="zh-CN"/>
        </w:rPr>
        <w:t>130414.25元，</w:t>
      </w:r>
      <w:r>
        <w:rPr>
          <w:rFonts w:hint="eastAsia" w:ascii="Times New Roman" w:hAnsi="Times New Roman" w:eastAsia="仿宋_GB2312"/>
          <w:sz w:val="32"/>
        </w:rPr>
        <w:t>邮电费</w:t>
      </w:r>
      <w:r>
        <w:rPr>
          <w:rFonts w:hint="eastAsia" w:ascii="Times New Roman" w:hAnsi="Times New Roman" w:eastAsia="仿宋_GB2312"/>
          <w:sz w:val="32"/>
          <w:lang w:val="en-US" w:eastAsia="zh-CN"/>
        </w:rPr>
        <w:t>196536.46</w:t>
      </w:r>
      <w:r>
        <w:rPr>
          <w:rFonts w:hint="eastAsia" w:ascii="Times New Roman" w:hAnsi="Times New Roman" w:eastAsia="仿宋_GB2312"/>
          <w:sz w:val="32"/>
        </w:rPr>
        <w:t>元，物业管理费</w:t>
      </w:r>
      <w:r>
        <w:rPr>
          <w:rFonts w:hint="eastAsia" w:ascii="Times New Roman" w:hAnsi="Times New Roman" w:eastAsia="仿宋_GB2312"/>
          <w:sz w:val="32"/>
          <w:lang w:val="en-US" w:eastAsia="zh-CN"/>
        </w:rPr>
        <w:t>127023.8</w:t>
      </w:r>
      <w:r>
        <w:rPr>
          <w:rFonts w:hint="eastAsia" w:ascii="Times New Roman" w:hAnsi="Times New Roman" w:eastAsia="仿宋_GB2312"/>
          <w:sz w:val="32"/>
        </w:rPr>
        <w:t>元，差旅费</w:t>
      </w:r>
      <w:r>
        <w:rPr>
          <w:rFonts w:hint="eastAsia" w:ascii="Times New Roman" w:hAnsi="Times New Roman" w:eastAsia="仿宋_GB2312"/>
          <w:sz w:val="32"/>
          <w:lang w:val="en-US" w:eastAsia="zh-CN"/>
        </w:rPr>
        <w:t>556411</w:t>
      </w:r>
      <w:r>
        <w:rPr>
          <w:rFonts w:hint="eastAsia" w:ascii="Times New Roman" w:hAnsi="Times New Roman" w:eastAsia="仿宋_GB2312"/>
          <w:sz w:val="32"/>
        </w:rPr>
        <w:t>元，维修（护）费</w:t>
      </w:r>
      <w:r>
        <w:rPr>
          <w:rFonts w:hint="eastAsia" w:ascii="Times New Roman" w:hAnsi="Times New Roman" w:eastAsia="仿宋_GB2312"/>
          <w:sz w:val="32"/>
          <w:lang w:val="en-US" w:eastAsia="zh-CN"/>
        </w:rPr>
        <w:t>32258</w:t>
      </w:r>
      <w:r>
        <w:rPr>
          <w:rFonts w:hint="eastAsia" w:ascii="Times New Roman" w:hAnsi="Times New Roman" w:eastAsia="仿宋_GB2312"/>
          <w:sz w:val="32"/>
        </w:rPr>
        <w:t>元，培训费</w:t>
      </w:r>
      <w:r>
        <w:rPr>
          <w:rFonts w:hint="eastAsia" w:ascii="Times New Roman" w:hAnsi="Times New Roman" w:eastAsia="仿宋_GB2312"/>
          <w:sz w:val="32"/>
          <w:lang w:val="en-US" w:eastAsia="zh-CN"/>
        </w:rPr>
        <w:t>95379.82</w:t>
      </w:r>
      <w:r>
        <w:rPr>
          <w:rFonts w:hint="eastAsia" w:ascii="Times New Roman" w:hAnsi="Times New Roman" w:eastAsia="仿宋_GB2312"/>
          <w:sz w:val="32"/>
        </w:rPr>
        <w:t>元，</w:t>
      </w:r>
      <w:r>
        <w:rPr>
          <w:rFonts w:hint="eastAsia" w:ascii="Times New Roman" w:hAnsi="Times New Roman" w:eastAsia="仿宋_GB2312"/>
          <w:sz w:val="32"/>
          <w:lang w:eastAsia="zh-CN"/>
        </w:rPr>
        <w:t>公务接待费</w:t>
      </w:r>
      <w:r>
        <w:rPr>
          <w:rFonts w:hint="eastAsia" w:ascii="Times New Roman" w:hAnsi="Times New Roman" w:eastAsia="仿宋_GB2312"/>
          <w:sz w:val="32"/>
          <w:lang w:val="en-US" w:eastAsia="zh-CN"/>
        </w:rPr>
        <w:t>7200元，工会经费180000元，福利费286818.62元，</w:t>
      </w:r>
      <w:r>
        <w:rPr>
          <w:rFonts w:hint="eastAsia" w:ascii="Times New Roman" w:hAnsi="Times New Roman" w:eastAsia="仿宋_GB2312"/>
          <w:sz w:val="32"/>
        </w:rPr>
        <w:t>公务用车运行维护费</w:t>
      </w:r>
      <w:r>
        <w:rPr>
          <w:rFonts w:hint="eastAsia" w:ascii="Times New Roman" w:hAnsi="Times New Roman" w:eastAsia="仿宋_GB2312"/>
          <w:sz w:val="32"/>
          <w:lang w:val="en-US" w:eastAsia="zh-CN"/>
        </w:rPr>
        <w:t>752356</w:t>
      </w:r>
      <w:r>
        <w:rPr>
          <w:rFonts w:hint="eastAsia" w:ascii="Times New Roman" w:hAnsi="Times New Roman" w:eastAsia="仿宋_GB2312"/>
          <w:sz w:val="32"/>
        </w:rPr>
        <w:t>元，</w:t>
      </w:r>
      <w:r>
        <w:rPr>
          <w:rFonts w:hint="eastAsia" w:ascii="Times New Roman" w:hAnsi="Times New Roman" w:eastAsia="仿宋_GB2312"/>
          <w:sz w:val="32"/>
          <w:lang w:eastAsia="zh-CN"/>
        </w:rPr>
        <w:t>其他商品服务支出</w:t>
      </w:r>
      <w:r>
        <w:rPr>
          <w:rFonts w:hint="eastAsia" w:ascii="Times New Roman" w:hAnsi="Times New Roman" w:eastAsia="仿宋_GB2312"/>
          <w:sz w:val="32"/>
          <w:lang w:val="en-US" w:eastAsia="zh-CN"/>
        </w:rPr>
        <w:t>27100元，</w:t>
      </w:r>
      <w:r>
        <w:rPr>
          <w:rFonts w:hint="eastAsia" w:ascii="Times New Roman" w:hAnsi="Times New Roman" w:eastAsia="仿宋_GB2312"/>
          <w:sz w:val="32"/>
        </w:rPr>
        <w:t>生活补助</w:t>
      </w:r>
      <w:r>
        <w:rPr>
          <w:rFonts w:hint="eastAsia" w:ascii="Times New Roman" w:hAnsi="Times New Roman" w:eastAsia="仿宋_GB2312"/>
          <w:sz w:val="32"/>
          <w:lang w:val="en-US" w:eastAsia="zh-CN"/>
        </w:rPr>
        <w:t>859079.92</w:t>
      </w:r>
      <w:r>
        <w:rPr>
          <w:rFonts w:hint="eastAsia" w:ascii="Times New Roman" w:hAnsi="Times New Roman" w:eastAsia="仿宋_GB2312"/>
          <w:sz w:val="32"/>
        </w:rPr>
        <w:t>元。</w:t>
      </w:r>
    </w:p>
    <w:p w14:paraId="5DB9C1F9">
      <w:pPr>
        <w:spacing w:line="600" w:lineRule="exact"/>
        <w:ind w:firstLine="645"/>
        <w:rPr>
          <w:rFonts w:ascii="仿宋" w:hAnsi="仿宋" w:eastAsia="仿宋"/>
          <w:b/>
          <w:sz w:val="32"/>
          <w:szCs w:val="32"/>
        </w:rPr>
      </w:pPr>
      <w:r>
        <w:rPr>
          <w:rFonts w:hint="eastAsia" w:ascii="仿宋" w:hAnsi="仿宋" w:eastAsia="仿宋"/>
          <w:b/>
          <w:sz w:val="32"/>
          <w:szCs w:val="32"/>
        </w:rPr>
        <w:t>（注：数据来源于财决</w:t>
      </w:r>
      <w:r>
        <w:rPr>
          <w:rFonts w:ascii="仿宋" w:hAnsi="仿宋" w:eastAsia="仿宋"/>
          <w:b/>
          <w:sz w:val="32"/>
          <w:szCs w:val="32"/>
        </w:rPr>
        <w:t>0</w:t>
      </w:r>
      <w:r>
        <w:rPr>
          <w:rFonts w:hint="eastAsia" w:ascii="仿宋" w:hAnsi="仿宋" w:eastAsia="仿宋"/>
          <w:b/>
          <w:sz w:val="32"/>
          <w:szCs w:val="32"/>
        </w:rPr>
        <w:t>7表和财决08-1表，仅罗列本部门实际支出涉及的经济分类科目。）</w:t>
      </w:r>
    </w:p>
    <w:p w14:paraId="2D0CFB2A">
      <w:pPr>
        <w:spacing w:line="600" w:lineRule="exact"/>
        <w:ind w:firstLine="640"/>
        <w:rPr>
          <w:rFonts w:ascii="仿宋" w:hAnsi="仿宋" w:eastAsia="仿宋"/>
          <w:b/>
          <w:sz w:val="32"/>
          <w:szCs w:val="32"/>
        </w:rPr>
      </w:pPr>
    </w:p>
    <w:p w14:paraId="5352B104">
      <w:pPr>
        <w:spacing w:line="600" w:lineRule="exact"/>
        <w:ind w:firstLine="640"/>
        <w:outlineLvl w:val="1"/>
        <w:rPr>
          <w:rStyle w:val="30"/>
          <w:rFonts w:ascii="黑体" w:hAnsi="黑体" w:eastAsia="黑体"/>
          <w:b w:val="0"/>
        </w:rPr>
      </w:pPr>
      <w:bookmarkStart w:id="36" w:name="_Toc15396609"/>
      <w:bookmarkStart w:id="37" w:name="_Toc15377215"/>
      <w:r>
        <w:rPr>
          <w:rFonts w:hint="eastAsia" w:ascii="黑体" w:eastAsia="黑体"/>
          <w:sz w:val="32"/>
          <w:szCs w:val="32"/>
        </w:rPr>
        <w:t>七、</w:t>
      </w:r>
      <w:r>
        <w:rPr>
          <w:rStyle w:val="30"/>
          <w:rFonts w:hint="eastAsia" w:ascii="黑体" w:hAnsi="黑体" w:eastAsia="黑体"/>
          <w:b w:val="0"/>
        </w:rPr>
        <w:t>财政拨款</w:t>
      </w:r>
      <w:r>
        <w:rPr>
          <w:rStyle w:val="30"/>
          <w:rFonts w:hint="eastAsia" w:ascii="黑体" w:hAnsi="黑体" w:eastAsia="黑体"/>
        </w:rPr>
        <w:t>“</w:t>
      </w:r>
      <w:r>
        <w:rPr>
          <w:rStyle w:val="30"/>
          <w:rFonts w:hint="eastAsia" w:ascii="黑体" w:hAnsi="黑体" w:eastAsia="黑体"/>
          <w:b w:val="0"/>
        </w:rPr>
        <w:t>三公”经费支出决算情况说明</w:t>
      </w:r>
      <w:bookmarkEnd w:id="36"/>
      <w:bookmarkEnd w:id="37"/>
    </w:p>
    <w:p w14:paraId="27B6B972">
      <w:pPr>
        <w:spacing w:line="600" w:lineRule="exact"/>
        <w:ind w:firstLine="640"/>
        <w:outlineLvl w:val="2"/>
        <w:rPr>
          <w:rFonts w:ascii="仿宋" w:hAnsi="仿宋" w:eastAsia="仿宋"/>
          <w:b/>
          <w:sz w:val="32"/>
          <w:szCs w:val="32"/>
        </w:rPr>
      </w:pPr>
      <w:bookmarkStart w:id="38" w:name="_Toc15377216"/>
      <w:r>
        <w:rPr>
          <w:rFonts w:hint="eastAsia" w:ascii="仿宋" w:hAnsi="仿宋" w:eastAsia="仿宋"/>
          <w:b/>
          <w:sz w:val="32"/>
          <w:szCs w:val="32"/>
        </w:rPr>
        <w:t>（一）“三公”经费财政拨款支出决算总体情况说明</w:t>
      </w:r>
      <w:bookmarkEnd w:id="38"/>
    </w:p>
    <w:p w14:paraId="75960E03">
      <w:pPr>
        <w:pStyle w:val="15"/>
        <w:spacing w:line="560" w:lineRule="exact"/>
        <w:ind w:firstLine="640" w:firstLineChars="200"/>
        <w:rPr>
          <w:rStyle w:val="18"/>
          <w:rFonts w:ascii="Times New Roman" w:eastAsia="仿宋_GB2312"/>
          <w:color w:val="FF0000"/>
          <w:sz w:val="32"/>
          <w:szCs w:val="11"/>
        </w:rPr>
      </w:pPr>
      <w:r>
        <w:rPr>
          <w:rFonts w:hint="eastAsia" w:ascii="Times New Roman" w:hAnsi="Times New Roman" w:eastAsia="仿宋_GB2312"/>
          <w:sz w:val="32"/>
          <w:szCs w:val="11"/>
        </w:rPr>
        <w:t>“</w:t>
      </w:r>
      <w:r>
        <w:rPr>
          <w:rFonts w:hint="eastAsia" w:ascii="Times New Roman" w:eastAsia="仿宋_GB2312"/>
          <w:sz w:val="32"/>
          <w:szCs w:val="11"/>
        </w:rPr>
        <w:t>三公</w:t>
      </w:r>
      <w:r>
        <w:rPr>
          <w:rFonts w:hint="eastAsia" w:ascii="Times New Roman" w:hAnsi="Times New Roman" w:eastAsia="仿宋_GB2312"/>
          <w:sz w:val="32"/>
          <w:szCs w:val="11"/>
        </w:rPr>
        <w:t>”</w:t>
      </w:r>
      <w:r>
        <w:rPr>
          <w:rFonts w:hint="eastAsia" w:ascii="Times New Roman" w:eastAsia="仿宋_GB2312"/>
          <w:sz w:val="32"/>
          <w:szCs w:val="11"/>
        </w:rPr>
        <w:t>经费支出情况：本单位本年度</w:t>
      </w:r>
      <w:r>
        <w:rPr>
          <w:rFonts w:hint="eastAsia" w:ascii="Times New Roman" w:hAnsi="Times New Roman" w:eastAsia="仿宋_GB2312"/>
          <w:sz w:val="32"/>
          <w:szCs w:val="11"/>
        </w:rPr>
        <w:t>“</w:t>
      </w:r>
      <w:r>
        <w:rPr>
          <w:rFonts w:hint="eastAsia" w:ascii="Times New Roman" w:eastAsia="仿宋_GB2312"/>
          <w:sz w:val="32"/>
          <w:szCs w:val="11"/>
        </w:rPr>
        <w:t>三公</w:t>
      </w:r>
      <w:r>
        <w:rPr>
          <w:rFonts w:hint="eastAsia" w:ascii="Times New Roman" w:hAnsi="Times New Roman" w:eastAsia="仿宋_GB2312"/>
          <w:sz w:val="32"/>
          <w:szCs w:val="11"/>
        </w:rPr>
        <w:t>”</w:t>
      </w:r>
      <w:r>
        <w:rPr>
          <w:rFonts w:hint="eastAsia" w:ascii="Times New Roman" w:eastAsia="仿宋_GB2312"/>
          <w:sz w:val="32"/>
          <w:szCs w:val="11"/>
        </w:rPr>
        <w:t>经费支出决算数为</w:t>
      </w:r>
      <w:r>
        <w:rPr>
          <w:rFonts w:hint="eastAsia" w:ascii="Times New Roman" w:hAnsi="Times New Roman" w:eastAsia="仿宋_GB2312"/>
          <w:sz w:val="32"/>
          <w:szCs w:val="11"/>
          <w:lang w:val="en-US" w:eastAsia="zh-CN"/>
        </w:rPr>
        <w:t>86.99</w:t>
      </w:r>
      <w:r>
        <w:rPr>
          <w:rFonts w:hint="eastAsia" w:ascii="Times New Roman" w:eastAsia="仿宋_GB2312"/>
          <w:sz w:val="32"/>
          <w:szCs w:val="11"/>
        </w:rPr>
        <w:t>万元。其中</w:t>
      </w:r>
      <w:r>
        <w:rPr>
          <w:rFonts w:hint="eastAsia" w:ascii="Times New Roman" w:hAnsi="Times New Roman" w:eastAsia="仿宋_GB2312"/>
          <w:sz w:val="32"/>
          <w:szCs w:val="11"/>
        </w:rPr>
        <w:t>:</w:t>
      </w:r>
      <w:r>
        <w:rPr>
          <w:rFonts w:hint="eastAsia" w:ascii="Times New Roman" w:eastAsia="仿宋_GB2312"/>
          <w:sz w:val="32"/>
          <w:szCs w:val="11"/>
        </w:rPr>
        <w:t>因公出国（境）费支出决算数为</w:t>
      </w:r>
      <w:r>
        <w:rPr>
          <w:rFonts w:hint="eastAsia" w:ascii="Times New Roman" w:hAnsi="Times New Roman" w:eastAsia="仿宋_GB2312"/>
          <w:sz w:val="32"/>
          <w:szCs w:val="11"/>
        </w:rPr>
        <w:t>0.00</w:t>
      </w:r>
      <w:r>
        <w:rPr>
          <w:rFonts w:hint="eastAsia" w:ascii="Times New Roman" w:eastAsia="仿宋_GB2312"/>
          <w:sz w:val="32"/>
          <w:szCs w:val="11"/>
        </w:rPr>
        <w:t>万元，相比上年度增加</w:t>
      </w:r>
      <w:r>
        <w:rPr>
          <w:rFonts w:hint="eastAsia" w:ascii="Times New Roman" w:hAnsi="Times New Roman" w:eastAsia="仿宋_GB2312"/>
          <w:sz w:val="32"/>
          <w:szCs w:val="11"/>
        </w:rPr>
        <w:t>0.00</w:t>
      </w:r>
      <w:r>
        <w:rPr>
          <w:rFonts w:hint="eastAsia" w:ascii="Times New Roman" w:eastAsia="仿宋_GB2312"/>
          <w:sz w:val="32"/>
          <w:szCs w:val="11"/>
        </w:rPr>
        <w:t>万元，公务用车购置</w:t>
      </w:r>
      <w:r>
        <w:rPr>
          <w:rFonts w:hint="eastAsia" w:ascii="Times New Roman" w:eastAsia="仿宋_GB2312"/>
          <w:sz w:val="32"/>
          <w:szCs w:val="11"/>
          <w:lang w:eastAsia="zh-CN"/>
        </w:rPr>
        <w:t>费</w:t>
      </w:r>
      <w:r>
        <w:rPr>
          <w:rFonts w:hint="eastAsia" w:ascii="Times New Roman" w:eastAsia="仿宋_GB2312"/>
          <w:sz w:val="32"/>
          <w:szCs w:val="11"/>
          <w:lang w:val="en-US" w:eastAsia="zh-CN"/>
        </w:rPr>
        <w:t>59.8万元你，较上年增加100%。公务用车</w:t>
      </w:r>
      <w:r>
        <w:rPr>
          <w:rFonts w:hint="eastAsia" w:ascii="Times New Roman" w:eastAsia="仿宋_GB2312"/>
          <w:sz w:val="32"/>
          <w:szCs w:val="11"/>
        </w:rPr>
        <w:t>运行维护费支出决算数为</w:t>
      </w:r>
      <w:r>
        <w:rPr>
          <w:rFonts w:hint="eastAsia" w:ascii="Times New Roman" w:hAnsi="Times New Roman" w:eastAsia="仿宋_GB2312"/>
          <w:sz w:val="32"/>
          <w:szCs w:val="11"/>
          <w:lang w:val="en-US" w:eastAsia="zh-CN"/>
        </w:rPr>
        <w:t>19.31</w:t>
      </w:r>
      <w:r>
        <w:rPr>
          <w:rFonts w:hint="eastAsia" w:ascii="Times New Roman" w:eastAsia="仿宋_GB2312"/>
          <w:sz w:val="32"/>
          <w:szCs w:val="11"/>
        </w:rPr>
        <w:t>万元；公务接待费支出决算数为</w:t>
      </w:r>
      <w:r>
        <w:rPr>
          <w:rFonts w:hint="eastAsia" w:ascii="Times New Roman" w:hAnsi="Times New Roman" w:eastAsia="仿宋_GB2312"/>
          <w:sz w:val="32"/>
          <w:szCs w:val="11"/>
        </w:rPr>
        <w:t>0.</w:t>
      </w:r>
      <w:r>
        <w:rPr>
          <w:rFonts w:hint="eastAsia" w:ascii="Times New Roman" w:hAnsi="Times New Roman" w:eastAsia="仿宋_GB2312"/>
          <w:sz w:val="32"/>
          <w:szCs w:val="11"/>
          <w:lang w:val="en-US" w:eastAsia="zh-CN"/>
        </w:rPr>
        <w:t>4</w:t>
      </w:r>
      <w:r>
        <w:rPr>
          <w:rFonts w:hint="eastAsia" w:ascii="Times New Roman" w:eastAsia="仿宋_GB2312"/>
          <w:sz w:val="32"/>
          <w:szCs w:val="11"/>
        </w:rPr>
        <w:t>万元，相比上年度</w:t>
      </w:r>
      <w:r>
        <w:rPr>
          <w:rFonts w:hint="eastAsia" w:ascii="Times New Roman" w:eastAsia="仿宋_GB2312"/>
          <w:sz w:val="32"/>
          <w:szCs w:val="11"/>
          <w:lang w:eastAsia="zh-CN"/>
        </w:rPr>
        <w:t>见增加</w:t>
      </w:r>
      <w:r>
        <w:rPr>
          <w:rFonts w:hint="eastAsia" w:ascii="Times New Roman" w:eastAsia="仿宋_GB2312"/>
          <w:sz w:val="32"/>
          <w:szCs w:val="11"/>
          <w:lang w:val="en-US" w:eastAsia="zh-CN"/>
        </w:rPr>
        <w:t>0.09</w:t>
      </w:r>
      <w:r>
        <w:rPr>
          <w:rFonts w:hint="eastAsia" w:ascii="Times New Roman" w:eastAsia="仿宋_GB2312"/>
          <w:sz w:val="32"/>
          <w:szCs w:val="11"/>
        </w:rPr>
        <w:t>万元，</w:t>
      </w:r>
      <w:r>
        <w:rPr>
          <w:rStyle w:val="18"/>
          <w:rFonts w:hint="eastAsia" w:ascii="Times New Roman" w:eastAsia="仿宋_GB2312"/>
          <w:sz w:val="32"/>
          <w:szCs w:val="11"/>
        </w:rPr>
        <w:t>主要原因为</w:t>
      </w:r>
      <w:r>
        <w:rPr>
          <w:rStyle w:val="18"/>
          <w:rFonts w:hint="eastAsia" w:ascii="Times New Roman" w:eastAsia="仿宋_GB2312"/>
          <w:sz w:val="32"/>
          <w:szCs w:val="11"/>
          <w:lang w:eastAsia="zh-CN"/>
        </w:rPr>
        <w:t>接待人次增加</w:t>
      </w:r>
      <w:r>
        <w:rPr>
          <w:rFonts w:hint="eastAsia" w:ascii="Times New Roman" w:eastAsia="仿宋_GB2312"/>
          <w:sz w:val="32"/>
          <w:szCs w:val="11"/>
        </w:rPr>
        <w:t>。</w:t>
      </w:r>
      <w:r>
        <w:rPr>
          <w:rFonts w:hint="eastAsia" w:ascii="Times New Roman" w:hAnsi="Times New Roman" w:eastAsia="仿宋_GB2312"/>
          <w:sz w:val="32"/>
          <w:szCs w:val="11"/>
        </w:rPr>
        <w:t xml:space="preserve"> </w:t>
      </w:r>
      <w:r>
        <w:rPr>
          <w:rFonts w:hint="eastAsia" w:ascii="Times New Roman" w:eastAsia="仿宋_GB2312"/>
          <w:sz w:val="32"/>
          <w:szCs w:val="11"/>
        </w:rPr>
        <w:t>本年度</w:t>
      </w:r>
      <w:r>
        <w:rPr>
          <w:rFonts w:hint="eastAsia" w:ascii="Times New Roman" w:hAnsi="Times New Roman" w:eastAsia="仿宋_GB2312"/>
          <w:sz w:val="32"/>
          <w:szCs w:val="11"/>
        </w:rPr>
        <w:t>“</w:t>
      </w:r>
      <w:r>
        <w:rPr>
          <w:rFonts w:hint="eastAsia" w:ascii="Times New Roman" w:eastAsia="仿宋_GB2312"/>
          <w:sz w:val="32"/>
          <w:szCs w:val="11"/>
        </w:rPr>
        <w:t>三公</w:t>
      </w:r>
      <w:r>
        <w:rPr>
          <w:rFonts w:hint="eastAsia" w:ascii="Times New Roman" w:hAnsi="Times New Roman" w:eastAsia="仿宋_GB2312"/>
          <w:sz w:val="32"/>
          <w:szCs w:val="11"/>
        </w:rPr>
        <w:t>”</w:t>
      </w:r>
      <w:r>
        <w:rPr>
          <w:rFonts w:hint="eastAsia" w:ascii="Times New Roman" w:eastAsia="仿宋_GB2312"/>
          <w:sz w:val="32"/>
          <w:szCs w:val="11"/>
        </w:rPr>
        <w:t>经费支出预算数为</w:t>
      </w:r>
      <w:r>
        <w:rPr>
          <w:rFonts w:hint="eastAsia" w:ascii="Times New Roman" w:eastAsia="仿宋_GB2312"/>
          <w:sz w:val="32"/>
          <w:szCs w:val="11"/>
          <w:lang w:val="en-US" w:eastAsia="zh-CN"/>
        </w:rPr>
        <w:t>79.51</w:t>
      </w:r>
      <w:r>
        <w:rPr>
          <w:rFonts w:hint="eastAsia" w:ascii="Times New Roman" w:eastAsia="仿宋_GB2312"/>
          <w:sz w:val="32"/>
          <w:szCs w:val="11"/>
        </w:rPr>
        <w:t>万元，决算数为</w:t>
      </w:r>
      <w:r>
        <w:rPr>
          <w:rFonts w:hint="eastAsia" w:ascii="Times New Roman" w:hAnsi="Times New Roman" w:eastAsia="仿宋_GB2312"/>
          <w:sz w:val="32"/>
          <w:szCs w:val="11"/>
          <w:lang w:val="en-US" w:eastAsia="zh-CN"/>
        </w:rPr>
        <w:t>79.51</w:t>
      </w:r>
      <w:r>
        <w:rPr>
          <w:rFonts w:hint="eastAsia" w:ascii="Times New Roman" w:eastAsia="仿宋_GB2312"/>
          <w:sz w:val="32"/>
          <w:szCs w:val="11"/>
        </w:rPr>
        <w:t>万元，预算完成度为</w:t>
      </w:r>
      <w:r>
        <w:rPr>
          <w:rFonts w:hint="eastAsia" w:ascii="Times New Roman" w:hAnsi="Times New Roman" w:eastAsia="仿宋_GB2312"/>
          <w:sz w:val="32"/>
          <w:szCs w:val="11"/>
        </w:rPr>
        <w:t>100.00%</w:t>
      </w:r>
      <w:r>
        <w:rPr>
          <w:rFonts w:hint="eastAsia" w:ascii="Times New Roman" w:eastAsia="仿宋_GB2312"/>
          <w:sz w:val="32"/>
          <w:szCs w:val="11"/>
        </w:rPr>
        <w:t>，本年度因公出国（境）费人均支出为</w:t>
      </w:r>
      <w:r>
        <w:rPr>
          <w:rFonts w:hint="eastAsia" w:ascii="Times New Roman" w:hAnsi="Times New Roman" w:eastAsia="仿宋_GB2312"/>
          <w:sz w:val="32"/>
          <w:szCs w:val="11"/>
        </w:rPr>
        <w:t>0.00</w:t>
      </w:r>
      <w:r>
        <w:rPr>
          <w:rFonts w:hint="eastAsia" w:ascii="Times New Roman" w:eastAsia="仿宋_GB2312"/>
          <w:sz w:val="32"/>
          <w:szCs w:val="11"/>
        </w:rPr>
        <w:t>万元，公务用车购置及运行维护费人均支出为</w:t>
      </w:r>
      <w:r>
        <w:rPr>
          <w:rFonts w:hint="eastAsia" w:ascii="Times New Roman" w:hAnsi="Times New Roman" w:eastAsia="仿宋_GB2312"/>
          <w:sz w:val="32"/>
          <w:szCs w:val="11"/>
        </w:rPr>
        <w:t>0.90</w:t>
      </w:r>
      <w:r>
        <w:rPr>
          <w:rFonts w:hint="eastAsia" w:ascii="Times New Roman" w:eastAsia="仿宋_GB2312"/>
          <w:sz w:val="32"/>
          <w:szCs w:val="11"/>
        </w:rPr>
        <w:t>万元，公务接待费人均支出为</w:t>
      </w:r>
      <w:r>
        <w:rPr>
          <w:rFonts w:hint="eastAsia" w:ascii="Times New Roman" w:hAnsi="Times New Roman" w:eastAsia="仿宋_GB2312"/>
          <w:sz w:val="32"/>
          <w:szCs w:val="11"/>
        </w:rPr>
        <w:t>0.00</w:t>
      </w:r>
      <w:r>
        <w:rPr>
          <w:rFonts w:hint="eastAsia" w:ascii="Times New Roman" w:eastAsia="仿宋_GB2312"/>
          <w:sz w:val="32"/>
          <w:szCs w:val="11"/>
        </w:rPr>
        <w:t>万元。</w:t>
      </w:r>
    </w:p>
    <w:p w14:paraId="760BBCE6">
      <w:pPr>
        <w:spacing w:line="600" w:lineRule="exact"/>
        <w:ind w:firstLine="640"/>
        <w:rPr>
          <w:rFonts w:ascii="仿宋" w:hAnsi="仿宋" w:eastAsia="仿宋"/>
          <w:b/>
          <w:sz w:val="32"/>
          <w:szCs w:val="32"/>
        </w:rPr>
      </w:pPr>
      <w:bookmarkStart w:id="49" w:name="_GoBack"/>
      <w:bookmarkEnd w:id="49"/>
      <w:r>
        <w:rPr>
          <w:rFonts w:hint="eastAsia" w:ascii="仿宋" w:hAnsi="仿宋" w:eastAsia="仿宋"/>
          <w:b/>
          <w:sz w:val="32"/>
          <w:szCs w:val="32"/>
        </w:rPr>
        <w:t>（注：上述“预算”口径为全年预算数，包括一般公共预算和政府性基金预算财政拨款支出决算情况。）</w:t>
      </w:r>
    </w:p>
    <w:p w14:paraId="1B28EAE6">
      <w:pPr>
        <w:spacing w:line="600" w:lineRule="exact"/>
        <w:ind w:firstLine="640"/>
        <w:outlineLvl w:val="2"/>
        <w:rPr>
          <w:rFonts w:ascii="仿宋" w:hAnsi="仿宋" w:eastAsia="仿宋"/>
          <w:b/>
          <w:sz w:val="32"/>
          <w:szCs w:val="32"/>
        </w:rPr>
      </w:pPr>
      <w:bookmarkStart w:id="39" w:name="_Toc15377217"/>
      <w:r>
        <w:rPr>
          <w:rFonts w:hint="eastAsia" w:ascii="仿宋" w:hAnsi="仿宋" w:eastAsia="仿宋"/>
          <w:b/>
          <w:sz w:val="32"/>
          <w:szCs w:val="32"/>
        </w:rPr>
        <w:t>（二）“三公”经费财政拨款支出决算具体情况说明</w:t>
      </w:r>
      <w:bookmarkEnd w:id="39"/>
    </w:p>
    <w:p w14:paraId="7258A807">
      <w:pPr>
        <w:spacing w:line="600" w:lineRule="exact"/>
        <w:ind w:firstLine="640"/>
        <w:rPr>
          <w:rFonts w:ascii="仿宋" w:hAnsi="仿宋" w:eastAsia="仿宋"/>
          <w:sz w:val="32"/>
          <w:szCs w:val="32"/>
        </w:rPr>
      </w:pPr>
      <w:r>
        <w:rPr>
          <w:rFonts w:hint="eastAsia" w:ascii="仿宋" w:hAnsi="仿宋" w:eastAsia="仿宋"/>
          <w:sz w:val="32"/>
          <w:szCs w:val="32"/>
          <w:lang w:eastAsia="zh-CN"/>
        </w:rPr>
        <w:t>2024</w:t>
      </w:r>
      <w:r>
        <w:rPr>
          <w:rFonts w:hint="eastAsia" w:ascii="仿宋" w:hAnsi="仿宋" w:eastAsia="仿宋"/>
          <w:sz w:val="32"/>
          <w:szCs w:val="32"/>
        </w:rPr>
        <w:t>年度“三公”经费财政拨款支出决算中，因公出国（境）费支出决算</w:t>
      </w:r>
      <w:r>
        <w:rPr>
          <w:sz w:val="32"/>
          <w:szCs w:val="32"/>
        </w:rPr>
        <w:t>0</w:t>
      </w:r>
      <w:r>
        <w:rPr>
          <w:rFonts w:hint="eastAsia" w:ascii="仿宋" w:hAnsi="仿宋" w:eastAsia="仿宋"/>
          <w:sz w:val="32"/>
          <w:szCs w:val="32"/>
        </w:rPr>
        <w:t>万元，占</w:t>
      </w:r>
      <w:r>
        <w:rPr>
          <w:sz w:val="32"/>
          <w:szCs w:val="32"/>
        </w:rPr>
        <w:t>0</w:t>
      </w:r>
      <w:r>
        <w:rPr>
          <w:rFonts w:ascii="仿宋" w:hAnsi="仿宋" w:eastAsia="仿宋"/>
          <w:sz w:val="32"/>
          <w:szCs w:val="32"/>
        </w:rPr>
        <w:t>%</w:t>
      </w:r>
      <w:r>
        <w:rPr>
          <w:rFonts w:hint="eastAsia" w:ascii="仿宋" w:hAnsi="仿宋" w:eastAsia="仿宋"/>
          <w:sz w:val="32"/>
          <w:szCs w:val="32"/>
        </w:rPr>
        <w:t>；公务用车购置及运行维护费支出决算</w:t>
      </w:r>
      <w:r>
        <w:rPr>
          <w:sz w:val="32"/>
          <w:szCs w:val="32"/>
        </w:rPr>
        <w:t>86.67</w:t>
      </w:r>
      <w:r>
        <w:rPr>
          <w:rFonts w:hint="eastAsia" w:ascii="仿宋" w:hAnsi="仿宋" w:eastAsia="仿宋"/>
          <w:sz w:val="32"/>
          <w:szCs w:val="32"/>
        </w:rPr>
        <w:t>万元，占</w:t>
      </w:r>
      <w:r>
        <w:rPr>
          <w:sz w:val="32"/>
          <w:szCs w:val="32"/>
        </w:rPr>
        <w:t>99.64</w:t>
      </w:r>
      <w:r>
        <w:rPr>
          <w:rFonts w:ascii="仿宋" w:hAnsi="仿宋" w:eastAsia="仿宋"/>
          <w:sz w:val="32"/>
          <w:szCs w:val="32"/>
        </w:rPr>
        <w:t>%</w:t>
      </w:r>
      <w:r>
        <w:rPr>
          <w:rFonts w:hint="eastAsia" w:ascii="仿宋" w:hAnsi="仿宋" w:eastAsia="仿宋"/>
          <w:sz w:val="32"/>
          <w:szCs w:val="32"/>
        </w:rPr>
        <w:t>；公务接待费支出决算</w:t>
      </w:r>
      <w:r>
        <w:rPr>
          <w:sz w:val="32"/>
          <w:szCs w:val="32"/>
        </w:rPr>
        <w:t>0.31</w:t>
      </w:r>
      <w:r>
        <w:rPr>
          <w:rFonts w:hint="eastAsia" w:ascii="仿宋" w:hAnsi="仿宋" w:eastAsia="仿宋"/>
          <w:sz w:val="32"/>
          <w:szCs w:val="32"/>
        </w:rPr>
        <w:t>万元，占</w:t>
      </w:r>
      <w:r>
        <w:rPr>
          <w:sz w:val="32"/>
          <w:szCs w:val="32"/>
        </w:rPr>
        <w:t>0.35</w:t>
      </w:r>
      <w:r>
        <w:rPr>
          <w:rFonts w:ascii="仿宋" w:hAnsi="仿宋" w:eastAsia="仿宋"/>
          <w:sz w:val="32"/>
          <w:szCs w:val="32"/>
        </w:rPr>
        <w:t>%</w:t>
      </w:r>
      <w:r>
        <w:rPr>
          <w:rFonts w:hint="eastAsia" w:ascii="仿宋" w:hAnsi="仿宋" w:eastAsia="仿宋"/>
          <w:sz w:val="32"/>
          <w:szCs w:val="32"/>
        </w:rPr>
        <w:t>。具体情况如下：</w:t>
      </w:r>
    </w:p>
    <w:p w14:paraId="643B9C95">
      <w:pPr>
        <w:spacing w:line="600" w:lineRule="exact"/>
        <w:ind w:firstLine="640"/>
        <w:rPr>
          <w:rFonts w:hint="eastAsia" w:ascii="仿宋" w:hAnsi="仿宋" w:eastAsia="仿宋"/>
          <w:sz w:val="32"/>
          <w:szCs w:val="32"/>
        </w:rPr>
      </w:pPr>
      <w:r>
        <w:rPr>
          <w:rFonts w:hint="eastAsia" w:ascii="仿宋" w:hAnsi="仿宋" w:eastAsia="仿宋"/>
          <w:sz w:val="32"/>
          <w:szCs w:val="32"/>
        </w:rPr>
        <w:t>（图7：“三公”经费财政拨款支出结构）（饼状图）</w:t>
      </w:r>
    </w:p>
    <w:p w14:paraId="4D469ABB">
      <w:pPr>
        <w:spacing w:line="600" w:lineRule="exact"/>
        <w:ind w:firstLine="640"/>
        <w:rPr>
          <w:rFonts w:hint="eastAsia" w:ascii="仿宋" w:hAnsi="仿宋" w:eastAsia="仿宋"/>
          <w:sz w:val="32"/>
          <w:szCs w:val="32"/>
        </w:rPr>
      </w:pPr>
    </w:p>
    <w:p w14:paraId="0660E870">
      <w:pPr>
        <w:spacing w:line="600" w:lineRule="exact"/>
        <w:ind w:firstLine="640"/>
        <w:rPr>
          <w:rFonts w:ascii="仿宋_GB2312" w:eastAsia="仿宋_GB2312"/>
          <w:b/>
          <w:sz w:val="32"/>
          <w:szCs w:val="32"/>
        </w:rPr>
      </w:pPr>
    </w:p>
    <w:p w14:paraId="5913C4A2">
      <w:pPr>
        <w:spacing w:line="600" w:lineRule="exact"/>
        <w:ind w:firstLine="640"/>
        <w:rPr>
          <w:rFonts w:ascii="仿宋_GB2312" w:eastAsia="仿宋_GB2312"/>
          <w:b/>
          <w:sz w:val="32"/>
          <w:szCs w:val="32"/>
        </w:rPr>
      </w:pPr>
    </w:p>
    <w:p w14:paraId="28DDEDA2">
      <w:pPr>
        <w:spacing w:line="600" w:lineRule="exact"/>
        <w:ind w:firstLine="640"/>
        <w:rPr>
          <w:rFonts w:hint="eastAsia" w:ascii="仿宋_GB2312" w:eastAsia="仿宋_GB2312"/>
          <w:b/>
          <w:sz w:val="32"/>
          <w:szCs w:val="32"/>
          <w:lang w:eastAsia="zh-CN"/>
        </w:rPr>
      </w:pPr>
      <w:r>
        <w:rPr>
          <w:rFonts w:hint="eastAsia" w:ascii="仿宋_GB2312" w:eastAsia="仿宋_GB2312"/>
          <w:b/>
          <w:sz w:val="32"/>
          <w:szCs w:val="32"/>
          <w:lang w:eastAsia="zh-CN"/>
        </w:rPr>
        <w:drawing>
          <wp:anchor distT="0" distB="0" distL="114300" distR="114300" simplePos="0" relativeHeight="251665408" behindDoc="0" locked="0" layoutInCell="1" allowOverlap="1">
            <wp:simplePos x="0" y="0"/>
            <wp:positionH relativeFrom="column">
              <wp:posOffset>97155</wp:posOffset>
            </wp:positionH>
            <wp:positionV relativeFrom="paragraph">
              <wp:posOffset>126365</wp:posOffset>
            </wp:positionV>
            <wp:extent cx="4932680" cy="2379345"/>
            <wp:effectExtent l="4445" t="4445" r="15875" b="8890"/>
            <wp:wrapNone/>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p w14:paraId="12A1C7D2">
      <w:pPr>
        <w:spacing w:line="600" w:lineRule="exact"/>
        <w:ind w:firstLine="640"/>
        <w:rPr>
          <w:rFonts w:ascii="仿宋_GB2312" w:eastAsia="仿宋_GB2312"/>
          <w:b/>
          <w:sz w:val="32"/>
          <w:szCs w:val="32"/>
        </w:rPr>
      </w:pPr>
    </w:p>
    <w:p w14:paraId="4AB45B71">
      <w:pPr>
        <w:spacing w:line="600" w:lineRule="exact"/>
        <w:ind w:firstLine="640"/>
        <w:rPr>
          <w:rFonts w:ascii="仿宋_GB2312" w:eastAsia="仿宋_GB2312"/>
          <w:b/>
          <w:sz w:val="32"/>
          <w:szCs w:val="32"/>
        </w:rPr>
      </w:pPr>
    </w:p>
    <w:p w14:paraId="2CBE94E4">
      <w:pPr>
        <w:spacing w:line="600" w:lineRule="exact"/>
        <w:ind w:firstLine="640"/>
        <w:rPr>
          <w:rFonts w:ascii="仿宋_GB2312" w:eastAsia="仿宋_GB2312"/>
          <w:b/>
          <w:sz w:val="32"/>
          <w:szCs w:val="32"/>
        </w:rPr>
      </w:pPr>
    </w:p>
    <w:p w14:paraId="1FD77126">
      <w:pPr>
        <w:spacing w:line="600" w:lineRule="exact"/>
        <w:ind w:firstLine="640"/>
        <w:rPr>
          <w:rFonts w:ascii="仿宋_GB2312" w:eastAsia="仿宋_GB2312"/>
          <w:b/>
          <w:sz w:val="32"/>
          <w:szCs w:val="32"/>
        </w:rPr>
      </w:pPr>
    </w:p>
    <w:p w14:paraId="2B0498C2">
      <w:pPr>
        <w:spacing w:line="600" w:lineRule="exact"/>
        <w:ind w:firstLine="640"/>
        <w:rPr>
          <w:rFonts w:ascii="仿宋_GB2312" w:eastAsia="仿宋_GB2312"/>
          <w:b/>
          <w:sz w:val="32"/>
          <w:szCs w:val="32"/>
        </w:rPr>
      </w:pPr>
    </w:p>
    <w:p w14:paraId="6B01C7A8">
      <w:pPr>
        <w:spacing w:line="600" w:lineRule="exact"/>
        <w:ind w:firstLine="640"/>
        <w:rPr>
          <w:rFonts w:ascii="仿宋_GB2312" w:eastAsia="仿宋_GB2312"/>
          <w:b/>
          <w:sz w:val="32"/>
          <w:szCs w:val="32"/>
        </w:rPr>
      </w:pPr>
    </w:p>
    <w:p w14:paraId="672A21DA">
      <w:pPr>
        <w:spacing w:line="600" w:lineRule="exact"/>
        <w:ind w:firstLine="640"/>
        <w:rPr>
          <w:rFonts w:ascii="仿宋_GB2312" w:eastAsia="仿宋_GB2312"/>
          <w:b/>
          <w:sz w:val="32"/>
          <w:szCs w:val="32"/>
        </w:rPr>
      </w:pPr>
      <w:r>
        <w:rPr>
          <w:rFonts w:ascii="仿宋_GB2312" w:eastAsia="仿宋_GB2312"/>
          <w:b/>
          <w:sz w:val="32"/>
          <w:szCs w:val="32"/>
        </w:rPr>
        <w:t>1.</w:t>
      </w:r>
      <w:r>
        <w:rPr>
          <w:rFonts w:hint="eastAsia" w:ascii="仿宋_GB2312" w:eastAsia="仿宋_GB2312"/>
          <w:b/>
          <w:sz w:val="32"/>
          <w:szCs w:val="32"/>
        </w:rPr>
        <w:t>因公出国（境）经费支出</w:t>
      </w:r>
      <w:r>
        <w:rPr>
          <w:sz w:val="32"/>
          <w:szCs w:val="32"/>
        </w:rPr>
        <w:t>0</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sz w:val="32"/>
          <w:szCs w:val="32"/>
        </w:rPr>
        <w:t>0</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全年安排因公出国（境）团组</w:t>
      </w:r>
      <w:r>
        <w:rPr>
          <w:sz w:val="32"/>
          <w:szCs w:val="32"/>
        </w:rPr>
        <w:t>0</w:t>
      </w:r>
      <w:r>
        <w:rPr>
          <w:rFonts w:hint="eastAsia" w:ascii="仿宋_GB2312" w:eastAsia="仿宋_GB2312"/>
          <w:sz w:val="32"/>
          <w:szCs w:val="32"/>
        </w:rPr>
        <w:t>次，出国（境）</w:t>
      </w:r>
      <w:r>
        <w:rPr>
          <w:sz w:val="32"/>
          <w:szCs w:val="32"/>
        </w:rPr>
        <w:t>0</w:t>
      </w:r>
      <w:r>
        <w:rPr>
          <w:rFonts w:hint="eastAsia" w:ascii="仿宋_GB2312" w:eastAsia="仿宋_GB2312"/>
          <w:sz w:val="32"/>
          <w:szCs w:val="32"/>
        </w:rPr>
        <w:t>人。因公出国（境）支出决算比</w:t>
      </w:r>
      <w:r>
        <w:rPr>
          <w:rFonts w:hint="eastAsia" w:ascii="仿宋_GB2312" w:eastAsia="仿宋_GB2312"/>
          <w:sz w:val="32"/>
          <w:szCs w:val="32"/>
          <w:lang w:eastAsia="zh-CN"/>
        </w:rPr>
        <w:t>2023</w:t>
      </w:r>
      <w:r>
        <w:rPr>
          <w:rFonts w:hint="eastAsia" w:ascii="仿宋_GB2312" w:eastAsia="仿宋_GB2312"/>
          <w:sz w:val="32"/>
          <w:szCs w:val="32"/>
        </w:rPr>
        <w:t>年增加</w:t>
      </w:r>
      <w:r>
        <w:rPr>
          <w:rFonts w:ascii="仿宋_GB2312" w:eastAsia="仿宋_GB2312"/>
          <w:sz w:val="32"/>
          <w:szCs w:val="32"/>
        </w:rPr>
        <w:t>/</w:t>
      </w:r>
      <w:r>
        <w:rPr>
          <w:rFonts w:hint="eastAsia" w:ascii="仿宋_GB2312" w:eastAsia="仿宋_GB2312"/>
          <w:sz w:val="32"/>
          <w:szCs w:val="32"/>
        </w:rPr>
        <w:t>减少</w:t>
      </w:r>
      <w:r>
        <w:rPr>
          <w:rFonts w:ascii="仿宋_GB2312" w:eastAsia="仿宋_GB2312"/>
          <w:sz w:val="32"/>
          <w:szCs w:val="32"/>
        </w:rPr>
        <w:t>**</w:t>
      </w:r>
      <w:r>
        <w:rPr>
          <w:rFonts w:hint="eastAsia" w:ascii="仿宋_GB2312" w:eastAsia="仿宋_GB2312"/>
          <w:sz w:val="32"/>
          <w:szCs w:val="32"/>
        </w:rPr>
        <w:t>万元，增长</w:t>
      </w:r>
      <w:r>
        <w:rPr>
          <w:rFonts w:ascii="仿宋_GB2312" w:eastAsia="仿宋_GB2312"/>
          <w:sz w:val="32"/>
          <w:szCs w:val="32"/>
        </w:rPr>
        <w:t>/</w:t>
      </w:r>
      <w:r>
        <w:rPr>
          <w:rFonts w:hint="eastAsia" w:ascii="仿宋_GB2312" w:eastAsia="仿宋_GB2312"/>
          <w:sz w:val="32"/>
          <w:szCs w:val="32"/>
        </w:rPr>
        <w:t>下降</w:t>
      </w:r>
      <w:r>
        <w:rPr>
          <w:rFonts w:ascii="仿宋_GB2312" w:eastAsia="仿宋_GB2312"/>
          <w:sz w:val="32"/>
          <w:szCs w:val="32"/>
        </w:rPr>
        <w:t>**%</w:t>
      </w:r>
      <w:r>
        <w:rPr>
          <w:rFonts w:hint="eastAsia" w:ascii="仿宋_GB2312" w:eastAsia="仿宋_GB2312"/>
          <w:sz w:val="32"/>
          <w:szCs w:val="32"/>
        </w:rPr>
        <w:t>。主要原因是……。</w:t>
      </w:r>
    </w:p>
    <w:p w14:paraId="52A79D04">
      <w:pPr>
        <w:spacing w:line="600" w:lineRule="exact"/>
        <w:ind w:firstLine="640"/>
        <w:rPr>
          <w:rFonts w:ascii="仿宋_GB2312" w:eastAsia="仿宋_GB2312"/>
          <w:sz w:val="32"/>
          <w:szCs w:val="32"/>
        </w:rPr>
      </w:pPr>
      <w:r>
        <w:rPr>
          <w:rFonts w:hint="eastAsia" w:ascii="仿宋_GB2312" w:eastAsia="仿宋_GB2312"/>
          <w:sz w:val="32"/>
          <w:szCs w:val="32"/>
        </w:rPr>
        <w:t>开支内容包括：…（团组名称、出访地点、取得成效）等。</w:t>
      </w:r>
    </w:p>
    <w:p w14:paraId="6B879B15">
      <w:pPr>
        <w:spacing w:line="600" w:lineRule="exact"/>
        <w:ind w:firstLine="640"/>
        <w:rPr>
          <w:rFonts w:ascii="仿宋_GB2312" w:eastAsia="仿宋_GB2312"/>
          <w:b/>
          <w:sz w:val="32"/>
          <w:szCs w:val="32"/>
        </w:rPr>
      </w:pPr>
      <w:r>
        <w:rPr>
          <w:rFonts w:ascii="仿宋_GB2312" w:eastAsia="仿宋_GB2312"/>
          <w:b/>
          <w:sz w:val="32"/>
          <w:szCs w:val="32"/>
        </w:rPr>
        <w:t>2.</w:t>
      </w:r>
      <w:r>
        <w:rPr>
          <w:rFonts w:hint="eastAsia" w:ascii="仿宋_GB2312" w:eastAsia="仿宋_GB2312"/>
          <w:b/>
          <w:sz w:val="32"/>
          <w:szCs w:val="32"/>
        </w:rPr>
        <w:t>公务用车购置及运行维护费支出</w:t>
      </w:r>
      <w:r>
        <w:rPr>
          <w:sz w:val="32"/>
          <w:szCs w:val="32"/>
        </w:rPr>
        <w:t>86.67</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sz w:val="32"/>
          <w:szCs w:val="32"/>
        </w:rPr>
        <w:t>99.99</w:t>
      </w:r>
      <w:r>
        <w:rPr>
          <w:rStyle w:val="18"/>
          <w:rFonts w:ascii="仿宋" w:hAnsi="仿宋" w:eastAsia="仿宋"/>
          <w:b w:val="0"/>
          <w:bCs/>
          <w:sz w:val="32"/>
          <w:szCs w:val="32"/>
        </w:rPr>
        <w:t>%</w:t>
      </w:r>
      <w:r>
        <w:rPr>
          <w:rStyle w:val="18"/>
          <w:rFonts w:hint="eastAsia" w:ascii="仿宋" w:hAnsi="仿宋" w:eastAsia="仿宋"/>
          <w:b w:val="0"/>
          <w:bCs/>
          <w:sz w:val="32"/>
          <w:szCs w:val="32"/>
        </w:rPr>
        <w:t>。</w:t>
      </w:r>
      <w:r>
        <w:rPr>
          <w:rFonts w:hint="eastAsia" w:ascii="仿宋_GB2312" w:eastAsia="仿宋_GB2312"/>
          <w:sz w:val="32"/>
          <w:szCs w:val="32"/>
        </w:rPr>
        <w:t>公务用车购置及运行维护费支出决算比</w:t>
      </w:r>
      <w:r>
        <w:rPr>
          <w:rFonts w:hint="eastAsia" w:ascii="仿宋_GB2312" w:eastAsia="仿宋_GB2312"/>
          <w:sz w:val="32"/>
          <w:szCs w:val="32"/>
          <w:lang w:eastAsia="zh-CN"/>
        </w:rPr>
        <w:t>2023</w:t>
      </w:r>
      <w:r>
        <w:rPr>
          <w:rFonts w:hint="eastAsia" w:ascii="仿宋_GB2312" w:eastAsia="仿宋_GB2312"/>
          <w:sz w:val="32"/>
          <w:szCs w:val="32"/>
        </w:rPr>
        <w:t>年度减少</w:t>
      </w:r>
      <w:r>
        <w:rPr>
          <w:rFonts w:hint="eastAsia" w:ascii="仿宋_GB2312" w:eastAsia="仿宋_GB2312"/>
          <w:sz w:val="32"/>
          <w:szCs w:val="32"/>
          <w:lang w:val="en-US" w:eastAsia="zh-CN"/>
        </w:rPr>
        <w:t>14.97</w:t>
      </w:r>
      <w:r>
        <w:rPr>
          <w:rFonts w:hint="eastAsia" w:ascii="仿宋_GB2312" w:eastAsia="仿宋_GB2312"/>
          <w:sz w:val="32"/>
          <w:szCs w:val="32"/>
        </w:rPr>
        <w:t>万元，下降</w:t>
      </w:r>
      <w:r>
        <w:rPr>
          <w:rFonts w:hint="eastAsia" w:ascii="仿宋_GB2312" w:eastAsia="仿宋_GB2312"/>
          <w:sz w:val="32"/>
          <w:szCs w:val="32"/>
          <w:lang w:val="en-US" w:eastAsia="zh-CN"/>
        </w:rPr>
        <w:t>14.73</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财政厉行节约，缩减三公经费</w:t>
      </w:r>
      <w:r>
        <w:rPr>
          <w:rFonts w:hint="eastAsia" w:ascii="仿宋_GB2312" w:eastAsia="仿宋_GB2312"/>
          <w:sz w:val="32"/>
          <w:szCs w:val="32"/>
        </w:rPr>
        <w:t>。</w:t>
      </w:r>
    </w:p>
    <w:p w14:paraId="36610A4A">
      <w:pPr>
        <w:spacing w:line="600" w:lineRule="exact"/>
        <w:ind w:firstLine="640" w:firstLineChars="200"/>
        <w:rPr>
          <w:rFonts w:ascii="仿宋_GB2312" w:eastAsia="仿宋_GB2312"/>
          <w:b/>
          <w:sz w:val="32"/>
          <w:szCs w:val="32"/>
        </w:rPr>
      </w:pPr>
      <w:r>
        <w:rPr>
          <w:rFonts w:hint="eastAsia" w:ascii="仿宋_GB2312" w:eastAsia="仿宋_GB2312"/>
          <w:sz w:val="32"/>
          <w:szCs w:val="32"/>
        </w:rPr>
        <w:t>其中：</w:t>
      </w:r>
      <w:r>
        <w:rPr>
          <w:rFonts w:hint="eastAsia" w:ascii="仿宋_GB2312" w:eastAsia="仿宋_GB2312"/>
          <w:b/>
          <w:sz w:val="32"/>
          <w:szCs w:val="32"/>
        </w:rPr>
        <w:t>公务用车购置支出</w:t>
      </w:r>
      <w:r>
        <w:rPr>
          <w:sz w:val="32"/>
          <w:szCs w:val="32"/>
        </w:rPr>
        <w:t>0</w:t>
      </w:r>
      <w:r>
        <w:rPr>
          <w:rFonts w:hint="eastAsia" w:ascii="仿宋_GB2312" w:eastAsia="仿宋_GB2312"/>
          <w:sz w:val="32"/>
          <w:szCs w:val="32"/>
        </w:rPr>
        <w:t>万元。全年按规定更新购置公务用车</w:t>
      </w:r>
      <w:r>
        <w:rPr>
          <w:rFonts w:ascii="仿宋_GB2312" w:eastAsia="仿宋_GB2312"/>
          <w:sz w:val="32"/>
          <w:szCs w:val="32"/>
        </w:rPr>
        <w:t>**</w:t>
      </w:r>
      <w:r>
        <w:rPr>
          <w:rFonts w:hint="eastAsia" w:ascii="仿宋_GB2312" w:eastAsia="仿宋_GB2312"/>
          <w:sz w:val="32"/>
          <w:szCs w:val="32"/>
        </w:rPr>
        <w:t>辆，其中：轿车</w:t>
      </w:r>
      <w:r>
        <w:rPr>
          <w:rFonts w:ascii="仿宋_GB2312" w:eastAsia="仿宋_GB2312"/>
          <w:sz w:val="32"/>
          <w:szCs w:val="32"/>
        </w:rPr>
        <w:t>**</w:t>
      </w:r>
      <w:r>
        <w:rPr>
          <w:rFonts w:hint="eastAsia" w:ascii="仿宋_GB2312" w:eastAsia="仿宋_GB2312"/>
          <w:sz w:val="32"/>
          <w:szCs w:val="32"/>
        </w:rPr>
        <w:t>辆、金额</w:t>
      </w:r>
      <w:r>
        <w:rPr>
          <w:rFonts w:ascii="仿宋_GB2312" w:eastAsia="仿宋_GB2312"/>
          <w:sz w:val="32"/>
          <w:szCs w:val="32"/>
        </w:rPr>
        <w:t>**</w:t>
      </w:r>
      <w:r>
        <w:rPr>
          <w:rFonts w:hint="eastAsia" w:ascii="仿宋_GB2312" w:eastAsia="仿宋_GB2312"/>
          <w:sz w:val="32"/>
          <w:szCs w:val="32"/>
        </w:rPr>
        <w:t>万元，越野车</w:t>
      </w:r>
      <w:r>
        <w:rPr>
          <w:rFonts w:ascii="仿宋_GB2312" w:eastAsia="仿宋_GB2312"/>
          <w:sz w:val="32"/>
          <w:szCs w:val="32"/>
        </w:rPr>
        <w:t>**</w:t>
      </w:r>
      <w:r>
        <w:rPr>
          <w:rFonts w:hint="eastAsia" w:ascii="仿宋_GB2312" w:eastAsia="仿宋_GB2312"/>
          <w:sz w:val="32"/>
          <w:szCs w:val="32"/>
        </w:rPr>
        <w:t>辆、金额</w:t>
      </w:r>
      <w:r>
        <w:rPr>
          <w:rFonts w:ascii="仿宋_GB2312" w:eastAsia="仿宋_GB2312"/>
          <w:sz w:val="32"/>
          <w:szCs w:val="32"/>
        </w:rPr>
        <w:t>**</w:t>
      </w:r>
      <w:r>
        <w:rPr>
          <w:rFonts w:hint="eastAsia" w:ascii="仿宋_GB2312" w:eastAsia="仿宋_GB2312"/>
          <w:sz w:val="32"/>
          <w:szCs w:val="32"/>
        </w:rPr>
        <w:t>万元，载客汽车</w:t>
      </w:r>
      <w:r>
        <w:rPr>
          <w:rFonts w:ascii="仿宋_GB2312" w:eastAsia="仿宋_GB2312"/>
          <w:sz w:val="32"/>
          <w:szCs w:val="32"/>
        </w:rPr>
        <w:t>**</w:t>
      </w:r>
      <w:r>
        <w:rPr>
          <w:rFonts w:hint="eastAsia" w:ascii="仿宋_GB2312" w:eastAsia="仿宋_GB2312"/>
          <w:sz w:val="32"/>
          <w:szCs w:val="32"/>
        </w:rPr>
        <w:t>辆、金额</w:t>
      </w:r>
      <w:r>
        <w:rPr>
          <w:rFonts w:ascii="仿宋_GB2312" w:eastAsia="仿宋_GB2312"/>
          <w:sz w:val="32"/>
          <w:szCs w:val="32"/>
        </w:rPr>
        <w:t>**</w:t>
      </w:r>
      <w:r>
        <w:rPr>
          <w:rFonts w:hint="eastAsia" w:ascii="仿宋_GB2312" w:eastAsia="仿宋_GB2312"/>
          <w:sz w:val="32"/>
          <w:szCs w:val="32"/>
        </w:rPr>
        <w:t>万元，主要用于…。截至</w:t>
      </w:r>
      <w:r>
        <w:rPr>
          <w:rFonts w:hint="eastAsia" w:ascii="仿宋_GB2312" w:eastAsia="仿宋_GB2312"/>
          <w:sz w:val="32"/>
          <w:szCs w:val="32"/>
          <w:lang w:eastAsia="zh-CN"/>
        </w:rPr>
        <w:t>2024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月31日，单位共有公务用车</w:t>
      </w:r>
      <w:r>
        <w:rPr>
          <w:rFonts w:ascii="仿宋_GB2312" w:eastAsia="仿宋_GB2312"/>
          <w:sz w:val="32"/>
          <w:szCs w:val="32"/>
        </w:rPr>
        <w:t>**</w:t>
      </w:r>
      <w:r>
        <w:rPr>
          <w:rFonts w:hint="eastAsia" w:ascii="仿宋_GB2312" w:eastAsia="仿宋_GB2312"/>
          <w:sz w:val="32"/>
          <w:szCs w:val="32"/>
        </w:rPr>
        <w:t>辆，其中：轿车</w:t>
      </w:r>
      <w:r>
        <w:rPr>
          <w:rFonts w:ascii="仿宋_GB2312" w:eastAsia="仿宋_GB2312"/>
          <w:sz w:val="32"/>
          <w:szCs w:val="32"/>
        </w:rPr>
        <w:t>**</w:t>
      </w:r>
      <w:r>
        <w:rPr>
          <w:rFonts w:hint="eastAsia" w:ascii="仿宋_GB2312" w:eastAsia="仿宋_GB2312"/>
          <w:sz w:val="32"/>
          <w:szCs w:val="32"/>
        </w:rPr>
        <w:t>辆、越野车</w:t>
      </w:r>
      <w:r>
        <w:rPr>
          <w:rFonts w:ascii="仿宋_GB2312" w:eastAsia="仿宋_GB2312"/>
          <w:sz w:val="32"/>
          <w:szCs w:val="32"/>
        </w:rPr>
        <w:t>**</w:t>
      </w:r>
      <w:r>
        <w:rPr>
          <w:rFonts w:hint="eastAsia" w:ascii="仿宋_GB2312" w:eastAsia="仿宋_GB2312"/>
          <w:sz w:val="32"/>
          <w:szCs w:val="32"/>
        </w:rPr>
        <w:t>辆、载客汽车</w:t>
      </w:r>
      <w:r>
        <w:rPr>
          <w:rFonts w:ascii="仿宋_GB2312" w:eastAsia="仿宋_GB2312"/>
          <w:sz w:val="32"/>
          <w:szCs w:val="32"/>
        </w:rPr>
        <w:t>**</w:t>
      </w:r>
      <w:r>
        <w:rPr>
          <w:rFonts w:hint="eastAsia" w:ascii="仿宋_GB2312" w:eastAsia="仿宋_GB2312"/>
          <w:sz w:val="32"/>
          <w:szCs w:val="32"/>
        </w:rPr>
        <w:t>辆。</w:t>
      </w:r>
    </w:p>
    <w:p w14:paraId="2A2752EC">
      <w:pPr>
        <w:spacing w:line="600" w:lineRule="exact"/>
        <w:ind w:firstLine="640"/>
        <w:rPr>
          <w:rFonts w:ascii="仿宋_GB2312" w:eastAsia="仿宋_GB2312"/>
          <w:sz w:val="32"/>
          <w:szCs w:val="32"/>
        </w:rPr>
      </w:pPr>
      <w:r>
        <w:rPr>
          <w:rFonts w:hint="eastAsia" w:ascii="仿宋_GB2312" w:eastAsia="仿宋_GB2312"/>
          <w:b/>
          <w:sz w:val="32"/>
          <w:szCs w:val="32"/>
        </w:rPr>
        <w:t>公务用车运行维护费支出</w:t>
      </w:r>
      <w:r>
        <w:rPr>
          <w:sz w:val="32"/>
          <w:szCs w:val="32"/>
        </w:rPr>
        <w:t>86.67</w:t>
      </w:r>
      <w:r>
        <w:rPr>
          <w:rFonts w:hint="eastAsia" w:ascii="仿宋_GB2312" w:eastAsia="仿宋_GB2312"/>
          <w:sz w:val="32"/>
          <w:szCs w:val="32"/>
        </w:rPr>
        <w:t>万元。主要用于</w:t>
      </w:r>
      <w:r>
        <w:rPr>
          <w:rFonts w:hint="eastAsia" w:ascii="仿宋_GB2312" w:eastAsia="仿宋_GB2312"/>
          <w:sz w:val="32"/>
          <w:szCs w:val="32"/>
          <w:lang w:eastAsia="zh-CN"/>
        </w:rPr>
        <w:t>应急保障用车</w:t>
      </w:r>
      <w:r>
        <w:rPr>
          <w:rFonts w:hint="eastAsia" w:ascii="仿宋_GB2312" w:eastAsia="仿宋_GB2312"/>
          <w:sz w:val="32"/>
          <w:szCs w:val="32"/>
        </w:rPr>
        <w:t>等所需的公务用车燃料费、维修费、过路过桥费、保险费等支出。</w:t>
      </w:r>
    </w:p>
    <w:p w14:paraId="01433631">
      <w:pPr>
        <w:spacing w:line="600" w:lineRule="exact"/>
        <w:ind w:firstLine="640"/>
        <w:rPr>
          <w:rFonts w:ascii="仿宋_GB2312" w:eastAsia="仿宋_GB2312"/>
          <w:sz w:val="32"/>
          <w:szCs w:val="32"/>
        </w:rPr>
      </w:pPr>
      <w:r>
        <w:rPr>
          <w:rFonts w:ascii="仿宋_GB2312" w:eastAsia="仿宋_GB2312"/>
          <w:b/>
          <w:sz w:val="32"/>
          <w:szCs w:val="32"/>
        </w:rPr>
        <w:t>3.</w:t>
      </w:r>
      <w:r>
        <w:rPr>
          <w:rFonts w:hint="eastAsia" w:ascii="仿宋_GB2312" w:eastAsia="仿宋_GB2312"/>
          <w:b/>
          <w:sz w:val="32"/>
          <w:szCs w:val="32"/>
        </w:rPr>
        <w:t>公务接待费支出</w:t>
      </w:r>
      <w:r>
        <w:rPr>
          <w:sz w:val="32"/>
          <w:szCs w:val="32"/>
        </w:rPr>
        <w:t>0.31</w:t>
      </w:r>
      <w:r>
        <w:rPr>
          <w:rFonts w:hint="eastAsia" w:ascii="仿宋_GB2312" w:eastAsia="仿宋_GB2312"/>
          <w:sz w:val="32"/>
          <w:szCs w:val="32"/>
        </w:rPr>
        <w:t>万元，</w:t>
      </w:r>
      <w:r>
        <w:rPr>
          <w:rStyle w:val="18"/>
          <w:rFonts w:hint="eastAsia" w:ascii="仿宋" w:hAnsi="仿宋" w:eastAsia="仿宋"/>
          <w:b w:val="0"/>
          <w:bCs/>
          <w:sz w:val="32"/>
          <w:szCs w:val="32"/>
        </w:rPr>
        <w:t>完成预算</w:t>
      </w:r>
      <w:r>
        <w:rPr>
          <w:sz w:val="32"/>
          <w:szCs w:val="32"/>
        </w:rPr>
        <w:t>100%</w:t>
      </w:r>
      <w:r>
        <w:rPr>
          <w:rStyle w:val="18"/>
          <w:rFonts w:hint="eastAsia" w:ascii="仿宋" w:hAnsi="仿宋" w:eastAsia="仿宋"/>
          <w:b w:val="0"/>
          <w:bCs/>
          <w:sz w:val="32"/>
          <w:szCs w:val="32"/>
        </w:rPr>
        <w:t>。</w:t>
      </w:r>
      <w:r>
        <w:rPr>
          <w:rFonts w:hint="eastAsia" w:ascii="仿宋_GB2312" w:eastAsia="仿宋_GB2312"/>
          <w:sz w:val="32"/>
          <w:szCs w:val="32"/>
        </w:rPr>
        <w:t>公务接待费支出决算比</w:t>
      </w:r>
      <w:r>
        <w:rPr>
          <w:rFonts w:hint="eastAsia" w:ascii="仿宋_GB2312" w:eastAsia="仿宋_GB2312"/>
          <w:sz w:val="32"/>
          <w:szCs w:val="32"/>
          <w:lang w:eastAsia="zh-CN"/>
        </w:rPr>
        <w:t>2023</w:t>
      </w:r>
      <w:r>
        <w:rPr>
          <w:rFonts w:hint="eastAsia" w:ascii="仿宋_GB2312" w:eastAsia="仿宋_GB2312"/>
          <w:sz w:val="32"/>
          <w:szCs w:val="32"/>
        </w:rPr>
        <w:t>年度减少</w:t>
      </w:r>
      <w:r>
        <w:rPr>
          <w:rFonts w:hint="eastAsia" w:ascii="仿宋_GB2312" w:eastAsia="仿宋_GB2312"/>
          <w:sz w:val="32"/>
          <w:szCs w:val="32"/>
          <w:lang w:val="en-US" w:eastAsia="zh-CN"/>
        </w:rPr>
        <w:t>0.09</w:t>
      </w:r>
      <w:r>
        <w:rPr>
          <w:rFonts w:hint="eastAsia" w:ascii="仿宋_GB2312" w:eastAsia="仿宋_GB2312"/>
          <w:sz w:val="32"/>
          <w:szCs w:val="32"/>
        </w:rPr>
        <w:t>万元，下降</w:t>
      </w:r>
      <w:r>
        <w:rPr>
          <w:rFonts w:hint="eastAsia" w:ascii="仿宋_GB2312" w:eastAsia="仿宋_GB2312"/>
          <w:sz w:val="32"/>
          <w:szCs w:val="32"/>
          <w:lang w:val="en-US" w:eastAsia="zh-CN"/>
        </w:rPr>
        <w:t>23</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财政厉行节约，缩减三公经费</w:t>
      </w:r>
      <w:r>
        <w:rPr>
          <w:rFonts w:hint="eastAsia" w:ascii="仿宋_GB2312" w:eastAsia="仿宋_GB2312"/>
          <w:sz w:val="32"/>
          <w:szCs w:val="32"/>
        </w:rPr>
        <w:t>。其中：</w:t>
      </w:r>
    </w:p>
    <w:p w14:paraId="361431BB">
      <w:pPr>
        <w:spacing w:line="600" w:lineRule="exact"/>
        <w:ind w:firstLine="640"/>
        <w:rPr>
          <w:rFonts w:hint="eastAsia" w:ascii="仿宋_GB2312" w:eastAsia="仿宋_GB2312"/>
          <w:sz w:val="32"/>
          <w:szCs w:val="32"/>
          <w:lang w:eastAsia="zh-CN"/>
        </w:rPr>
      </w:pPr>
      <w:r>
        <w:rPr>
          <w:rFonts w:hint="eastAsia" w:ascii="仿宋" w:hAnsi="仿宋" w:eastAsia="仿宋"/>
          <w:b/>
          <w:sz w:val="32"/>
          <w:szCs w:val="32"/>
        </w:rPr>
        <w:t>国内公务接待支出</w:t>
      </w:r>
      <w:r>
        <w:rPr>
          <w:rFonts w:hint="eastAsia" w:ascii="仿宋" w:hAnsi="仿宋" w:eastAsia="仿宋"/>
          <w:b/>
          <w:sz w:val="32"/>
          <w:szCs w:val="32"/>
          <w:lang w:val="en-US" w:eastAsia="zh-CN"/>
        </w:rPr>
        <w:t>0.31</w:t>
      </w:r>
      <w:r>
        <w:rPr>
          <w:rFonts w:hint="eastAsia" w:ascii="仿宋_GB2312" w:eastAsia="仿宋_GB2312"/>
          <w:sz w:val="32"/>
          <w:szCs w:val="32"/>
        </w:rPr>
        <w:t>万元，主要用于开展业务活动开支的用餐费等。国内公务接待</w:t>
      </w:r>
      <w:r>
        <w:rPr>
          <w:rFonts w:hint="eastAsia" w:ascii="仿宋_GB2312" w:eastAsia="仿宋_GB2312"/>
          <w:sz w:val="32"/>
          <w:szCs w:val="32"/>
          <w:lang w:val="en-US" w:eastAsia="zh-CN"/>
        </w:rPr>
        <w:t>3</w:t>
      </w:r>
      <w:r>
        <w:rPr>
          <w:rFonts w:hint="eastAsia" w:ascii="仿宋_GB2312" w:eastAsia="仿宋_GB2312"/>
          <w:sz w:val="32"/>
          <w:szCs w:val="32"/>
        </w:rPr>
        <w:t>批次，</w:t>
      </w:r>
      <w:r>
        <w:rPr>
          <w:rFonts w:hint="eastAsia" w:ascii="仿宋_GB2312" w:eastAsia="仿宋_GB2312"/>
          <w:sz w:val="32"/>
          <w:szCs w:val="32"/>
          <w:lang w:val="en-US" w:eastAsia="zh-CN"/>
        </w:rPr>
        <w:t>26</w:t>
      </w:r>
      <w:r>
        <w:rPr>
          <w:rFonts w:hint="eastAsia" w:ascii="仿宋_GB2312" w:eastAsia="仿宋_GB2312"/>
          <w:sz w:val="32"/>
          <w:szCs w:val="32"/>
        </w:rPr>
        <w:t>人次（不包括陪同人员），共计支出</w:t>
      </w:r>
      <w:r>
        <w:rPr>
          <w:rFonts w:hint="eastAsia" w:ascii="仿宋_GB2312" w:eastAsia="仿宋_GB2312"/>
          <w:sz w:val="32"/>
          <w:szCs w:val="32"/>
          <w:lang w:val="en-US" w:eastAsia="zh-CN"/>
        </w:rPr>
        <w:t>0.31</w:t>
      </w:r>
      <w:r>
        <w:rPr>
          <w:rFonts w:hint="eastAsia" w:ascii="仿宋_GB2312" w:eastAsia="仿宋_GB2312"/>
          <w:sz w:val="32"/>
          <w:szCs w:val="32"/>
        </w:rPr>
        <w:t>万元，具体内容包括：接待</w:t>
      </w:r>
      <w:r>
        <w:rPr>
          <w:rFonts w:hint="eastAsia" w:ascii="仿宋_GB2312" w:eastAsia="仿宋_GB2312"/>
          <w:sz w:val="32"/>
          <w:szCs w:val="32"/>
          <w:lang w:eastAsia="zh-CN"/>
        </w:rPr>
        <w:t>用餐费。</w:t>
      </w:r>
    </w:p>
    <w:p w14:paraId="2835B502">
      <w:pPr>
        <w:spacing w:line="600" w:lineRule="exact"/>
        <w:ind w:firstLine="643" w:firstLineChars="200"/>
        <w:rPr>
          <w:rFonts w:ascii="仿宋_GB2312" w:eastAsia="仿宋_GB2312"/>
          <w:sz w:val="32"/>
          <w:szCs w:val="32"/>
        </w:rPr>
      </w:pPr>
      <w:r>
        <w:rPr>
          <w:rFonts w:hint="eastAsia" w:ascii="仿宋" w:hAnsi="仿宋" w:eastAsia="仿宋"/>
          <w:b/>
          <w:sz w:val="32"/>
          <w:szCs w:val="32"/>
        </w:rPr>
        <w:t>外事接待支出**</w:t>
      </w:r>
      <w:r>
        <w:rPr>
          <w:rFonts w:hint="eastAsia" w:ascii="仿宋_GB2312" w:eastAsia="仿宋_GB2312"/>
          <w:sz w:val="32"/>
          <w:szCs w:val="32"/>
        </w:rPr>
        <w:t>万元，主要用于接待</w:t>
      </w:r>
      <w:r>
        <w:rPr>
          <w:rFonts w:ascii="仿宋_GB2312" w:eastAsia="仿宋_GB2312"/>
          <w:sz w:val="32"/>
          <w:szCs w:val="32"/>
        </w:rPr>
        <w:t>…</w:t>
      </w:r>
      <w:r>
        <w:rPr>
          <w:rFonts w:hint="eastAsia" w:ascii="仿宋_GB2312" w:eastAsia="仿宋_GB2312"/>
          <w:sz w:val="32"/>
          <w:szCs w:val="32"/>
        </w:rPr>
        <w:t>（具体项目）。外事接待</w:t>
      </w:r>
      <w:r>
        <w:rPr>
          <w:rFonts w:ascii="仿宋_GB2312" w:eastAsia="仿宋_GB2312"/>
          <w:sz w:val="32"/>
          <w:szCs w:val="32"/>
        </w:rPr>
        <w:t>**</w:t>
      </w:r>
      <w:r>
        <w:rPr>
          <w:rFonts w:hint="eastAsia" w:ascii="仿宋_GB2312" w:eastAsia="仿宋_GB2312"/>
          <w:sz w:val="32"/>
          <w:szCs w:val="32"/>
        </w:rPr>
        <w:t>批次，</w:t>
      </w:r>
      <w:r>
        <w:rPr>
          <w:rFonts w:ascii="仿宋_GB2312" w:eastAsia="仿宋_GB2312"/>
          <w:sz w:val="32"/>
          <w:szCs w:val="32"/>
        </w:rPr>
        <w:t>**</w:t>
      </w:r>
      <w:r>
        <w:rPr>
          <w:rFonts w:hint="eastAsia" w:ascii="仿宋_GB2312" w:eastAsia="仿宋_GB2312"/>
          <w:sz w:val="32"/>
          <w:szCs w:val="32"/>
        </w:rPr>
        <w:t>人次（不包括陪同人员），共计支出</w:t>
      </w:r>
      <w:r>
        <w:rPr>
          <w:rFonts w:ascii="仿宋_GB2312" w:eastAsia="仿宋_GB2312"/>
          <w:sz w:val="32"/>
          <w:szCs w:val="32"/>
        </w:rPr>
        <w:t>**</w:t>
      </w:r>
      <w:r>
        <w:rPr>
          <w:rFonts w:hint="eastAsia" w:ascii="仿宋_GB2312" w:eastAsia="仿宋_GB2312"/>
          <w:sz w:val="32"/>
          <w:szCs w:val="32"/>
        </w:rPr>
        <w:t>万元。</w:t>
      </w:r>
    </w:p>
    <w:p w14:paraId="23D8D36F">
      <w:pPr>
        <w:spacing w:line="600" w:lineRule="exact"/>
        <w:ind w:firstLine="640"/>
        <w:outlineLvl w:val="1"/>
        <w:rPr>
          <w:rFonts w:ascii="黑体" w:eastAsia="黑体"/>
          <w:sz w:val="32"/>
          <w:szCs w:val="32"/>
        </w:rPr>
      </w:pPr>
      <w:bookmarkStart w:id="40" w:name="_Toc15377218"/>
      <w:bookmarkStart w:id="41" w:name="_Toc15396610"/>
    </w:p>
    <w:p w14:paraId="43A03BF1">
      <w:pPr>
        <w:spacing w:line="600" w:lineRule="exact"/>
        <w:ind w:firstLine="640"/>
        <w:outlineLvl w:val="1"/>
        <w:rPr>
          <w:rStyle w:val="30"/>
          <w:rFonts w:ascii="黑体" w:hAnsi="黑体" w:eastAsia="黑体"/>
        </w:rPr>
      </w:pPr>
      <w:r>
        <w:rPr>
          <w:rFonts w:hint="eastAsia" w:ascii="黑体" w:eastAsia="黑体"/>
          <w:sz w:val="32"/>
          <w:szCs w:val="32"/>
        </w:rPr>
        <w:t>八、</w:t>
      </w:r>
      <w:r>
        <w:rPr>
          <w:rStyle w:val="30"/>
          <w:rFonts w:hint="eastAsia" w:ascii="黑体" w:hAnsi="黑体" w:eastAsia="黑体"/>
          <w:b w:val="0"/>
        </w:rPr>
        <w:t>政府性基金预算支出决算情况说明</w:t>
      </w:r>
      <w:bookmarkEnd w:id="40"/>
      <w:bookmarkEnd w:id="41"/>
    </w:p>
    <w:p w14:paraId="38DF6ED7">
      <w:pPr>
        <w:spacing w:line="600" w:lineRule="exact"/>
        <w:ind w:firstLine="64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年度政府性基金预算财政拨款支出</w:t>
      </w:r>
      <w:r>
        <w:rPr>
          <w:sz w:val="32"/>
          <w:szCs w:val="32"/>
        </w:rPr>
        <w:t>0</w:t>
      </w:r>
      <w:r>
        <w:rPr>
          <w:rFonts w:hint="eastAsia" w:ascii="仿宋_GB2312" w:eastAsia="仿宋_GB2312"/>
          <w:sz w:val="32"/>
          <w:szCs w:val="32"/>
        </w:rPr>
        <w:t>万元。</w:t>
      </w:r>
    </w:p>
    <w:p w14:paraId="55C7F1E2">
      <w:pPr>
        <w:spacing w:line="600" w:lineRule="exact"/>
        <w:ind w:firstLine="640"/>
        <w:rPr>
          <w:rFonts w:ascii="仿宋_GB2312" w:eastAsia="仿宋_GB2312"/>
          <w:sz w:val="32"/>
          <w:szCs w:val="32"/>
        </w:rPr>
      </w:pPr>
    </w:p>
    <w:p w14:paraId="692119A9">
      <w:pPr>
        <w:numPr>
          <w:ilvl w:val="0"/>
          <w:numId w:val="1"/>
        </w:numPr>
        <w:spacing w:line="600" w:lineRule="exact"/>
        <w:ind w:firstLine="640"/>
        <w:outlineLvl w:val="1"/>
        <w:rPr>
          <w:rStyle w:val="30"/>
          <w:rFonts w:ascii="黑体" w:hAnsi="黑体" w:eastAsia="黑体"/>
          <w:b w:val="0"/>
        </w:rPr>
      </w:pPr>
      <w:bookmarkStart w:id="42" w:name="_Toc15377219"/>
      <w:bookmarkStart w:id="43" w:name="_Toc15396611"/>
      <w:r>
        <w:rPr>
          <w:rStyle w:val="30"/>
          <w:rFonts w:hint="eastAsia" w:ascii="黑体" w:hAnsi="黑体" w:eastAsia="黑体"/>
          <w:b w:val="0"/>
        </w:rPr>
        <w:t>国有资本经营预算支出决算情况说明</w:t>
      </w:r>
      <w:bookmarkEnd w:id="42"/>
      <w:bookmarkEnd w:id="43"/>
    </w:p>
    <w:p w14:paraId="2936F54D">
      <w:pPr>
        <w:spacing w:line="600" w:lineRule="exact"/>
        <w:ind w:firstLine="64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年度国有资本经营预算财政拨款支出</w:t>
      </w:r>
      <w:r>
        <w:rPr>
          <w:sz w:val="32"/>
          <w:szCs w:val="32"/>
        </w:rPr>
        <w:t>0</w:t>
      </w:r>
      <w:r>
        <w:rPr>
          <w:rFonts w:hint="eastAsia" w:ascii="仿宋_GB2312" w:eastAsia="仿宋_GB2312"/>
          <w:sz w:val="32"/>
          <w:szCs w:val="32"/>
        </w:rPr>
        <w:t>万元。</w:t>
      </w:r>
    </w:p>
    <w:p w14:paraId="7AEE8B1E">
      <w:pPr>
        <w:spacing w:line="580" w:lineRule="exact"/>
        <w:jc w:val="center"/>
        <w:rPr>
          <w:rFonts w:ascii="方正小标宋简体" w:hAnsi="方正小标宋简体" w:eastAsia="方正小标宋简体" w:cs="方正小标宋简体"/>
          <w:sz w:val="44"/>
          <w:szCs w:val="44"/>
        </w:rPr>
      </w:pPr>
    </w:p>
    <w:p w14:paraId="6A51295E">
      <w:pPr>
        <w:numPr>
          <w:ilvl w:val="0"/>
          <w:numId w:val="1"/>
        </w:numPr>
        <w:spacing w:line="600" w:lineRule="exact"/>
        <w:ind w:firstLine="640"/>
        <w:outlineLvl w:val="1"/>
        <w:rPr>
          <w:rStyle w:val="30"/>
          <w:rFonts w:ascii="黑体" w:hAnsi="黑体" w:eastAsia="黑体"/>
          <w:b w:val="0"/>
        </w:rPr>
      </w:pPr>
      <w:bookmarkStart w:id="44" w:name="_Toc15396612"/>
      <w:bookmarkStart w:id="45" w:name="_Toc15377221"/>
      <w:r>
        <w:rPr>
          <w:rStyle w:val="30"/>
          <w:rFonts w:hint="eastAsia" w:ascii="黑体" w:hAnsi="黑体" w:eastAsia="黑体"/>
          <w:b w:val="0"/>
        </w:rPr>
        <w:t>其他重要事项的情况说明</w:t>
      </w:r>
      <w:bookmarkEnd w:id="44"/>
      <w:bookmarkEnd w:id="45"/>
    </w:p>
    <w:p w14:paraId="3219B558">
      <w:pPr>
        <w:spacing w:line="600" w:lineRule="exact"/>
        <w:ind w:firstLine="643" w:firstLineChars="200"/>
        <w:outlineLvl w:val="2"/>
        <w:rPr>
          <w:rFonts w:ascii="仿宋" w:hAnsi="仿宋" w:eastAsia="仿宋"/>
          <w:sz w:val="32"/>
          <w:szCs w:val="32"/>
        </w:rPr>
      </w:pPr>
      <w:bookmarkStart w:id="46" w:name="_Toc15377222"/>
      <w:r>
        <w:rPr>
          <w:rFonts w:hint="eastAsia" w:ascii="仿宋" w:hAnsi="仿宋" w:eastAsia="仿宋"/>
          <w:b/>
          <w:sz w:val="32"/>
          <w:szCs w:val="32"/>
        </w:rPr>
        <w:t>（一）机关运行经费支出情况</w:t>
      </w:r>
      <w:bookmarkEnd w:id="46"/>
    </w:p>
    <w:p w14:paraId="7590738F">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w:t>
      </w:r>
      <w:r>
        <w:rPr>
          <w:rFonts w:hint="eastAsia"/>
          <w:sz w:val="32"/>
          <w:szCs w:val="32"/>
        </w:rPr>
        <w:t>四川省阿坝州财政局</w:t>
      </w:r>
      <w:r>
        <w:rPr>
          <w:rFonts w:hint="eastAsia" w:ascii="仿宋_GB2312" w:eastAsia="仿宋_GB2312"/>
          <w:sz w:val="32"/>
          <w:szCs w:val="32"/>
        </w:rPr>
        <w:t>机关运行经费支出</w:t>
      </w:r>
      <w:r>
        <w:rPr>
          <w:sz w:val="32"/>
          <w:szCs w:val="32"/>
        </w:rPr>
        <w:t>326.36</w:t>
      </w:r>
      <w:r>
        <w:rPr>
          <w:rFonts w:hint="eastAsia" w:ascii="仿宋_GB2312" w:eastAsia="仿宋_GB2312"/>
          <w:sz w:val="32"/>
          <w:szCs w:val="32"/>
        </w:rPr>
        <w:t>万元，比</w:t>
      </w:r>
      <w:r>
        <w:rPr>
          <w:rFonts w:hint="eastAsia" w:ascii="仿宋_GB2312" w:eastAsia="仿宋_GB2312"/>
          <w:sz w:val="32"/>
          <w:szCs w:val="32"/>
          <w:lang w:eastAsia="zh-CN"/>
        </w:rPr>
        <w:t>2023</w:t>
      </w:r>
      <w:r>
        <w:rPr>
          <w:rFonts w:hint="eastAsia" w:ascii="仿宋_GB2312" w:eastAsia="仿宋_GB2312"/>
          <w:sz w:val="32"/>
          <w:szCs w:val="32"/>
        </w:rPr>
        <w:t>年度增加</w:t>
      </w:r>
      <w:r>
        <w:rPr>
          <w:rFonts w:hint="eastAsia" w:ascii="仿宋_GB2312" w:eastAsia="仿宋_GB2312"/>
          <w:sz w:val="32"/>
          <w:szCs w:val="32"/>
          <w:lang w:val="en-US" w:eastAsia="zh-CN"/>
        </w:rPr>
        <w:t>102.86</w:t>
      </w:r>
      <w:r>
        <w:rPr>
          <w:rFonts w:hint="eastAsia" w:ascii="仿宋_GB2312" w:eastAsia="仿宋_GB2312"/>
          <w:sz w:val="32"/>
          <w:szCs w:val="32"/>
        </w:rPr>
        <w:t>万元，增长</w:t>
      </w:r>
      <w:r>
        <w:rPr>
          <w:rFonts w:hint="eastAsia" w:ascii="仿宋_GB2312" w:eastAsia="仿宋_GB2312"/>
          <w:sz w:val="32"/>
          <w:szCs w:val="32"/>
          <w:lang w:val="en-US" w:eastAsia="zh-CN"/>
        </w:rPr>
        <w:t>46.02</w:t>
      </w:r>
      <w:r>
        <w:rPr>
          <w:rFonts w:ascii="仿宋_GB2312" w:eastAsia="仿宋_GB2312"/>
          <w:sz w:val="32"/>
          <w:szCs w:val="32"/>
        </w:rPr>
        <w:t>%</w:t>
      </w:r>
      <w:r>
        <w:rPr>
          <w:rFonts w:hint="eastAsia" w:ascii="仿宋_GB2312" w:eastAsia="仿宋_GB2312"/>
          <w:sz w:val="32"/>
          <w:szCs w:val="32"/>
        </w:rPr>
        <w:t>。主要原因是</w:t>
      </w:r>
      <w:r>
        <w:rPr>
          <w:rFonts w:hint="eastAsia" w:ascii="仿宋_GB2312" w:eastAsia="仿宋_GB2312"/>
          <w:sz w:val="32"/>
          <w:szCs w:val="32"/>
          <w:lang w:eastAsia="zh-CN"/>
        </w:rPr>
        <w:t>机关运行经费增加</w:t>
      </w:r>
      <w:r>
        <w:rPr>
          <w:rFonts w:hint="eastAsia" w:ascii="仿宋_GB2312" w:eastAsia="仿宋_GB2312"/>
          <w:sz w:val="32"/>
          <w:szCs w:val="32"/>
        </w:rPr>
        <w:t>。</w:t>
      </w:r>
    </w:p>
    <w:p w14:paraId="6068F708">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27C16DCA">
      <w:pPr>
        <w:autoSpaceDE w:val="0"/>
        <w:autoSpaceDN w:val="0"/>
        <w:adjustRightInd w:val="0"/>
        <w:spacing w:line="600" w:lineRule="exact"/>
        <w:ind w:firstLine="643" w:firstLineChars="200"/>
        <w:jc w:val="left"/>
        <w:outlineLvl w:val="2"/>
        <w:rPr>
          <w:rFonts w:ascii="仿宋" w:hAnsi="仿宋" w:eastAsia="仿宋"/>
          <w:b/>
          <w:sz w:val="32"/>
          <w:szCs w:val="32"/>
        </w:rPr>
      </w:pPr>
      <w:bookmarkStart w:id="47" w:name="_Toc15377223"/>
      <w:r>
        <w:rPr>
          <w:rFonts w:hint="eastAsia" w:ascii="仿宋" w:hAnsi="仿宋" w:eastAsia="仿宋"/>
          <w:b/>
          <w:sz w:val="32"/>
          <w:szCs w:val="32"/>
        </w:rPr>
        <w:t>（二）政府采购支出情况</w:t>
      </w:r>
      <w:bookmarkEnd w:id="47"/>
    </w:p>
    <w:p w14:paraId="6DC7DA7B">
      <w:pPr>
        <w:spacing w:line="600" w:lineRule="exact"/>
        <w:ind w:firstLine="640" w:firstLineChars="200"/>
        <w:rPr>
          <w:rFonts w:ascii="仿宋_GB2312" w:eastAsia="仿宋_GB2312"/>
          <w:sz w:val="32"/>
          <w:szCs w:val="32"/>
        </w:rPr>
      </w:pPr>
      <w:r>
        <w:rPr>
          <w:rFonts w:hint="eastAsia" w:ascii="仿宋_GB2312" w:eastAsia="仿宋_GB2312"/>
          <w:sz w:val="32"/>
          <w:szCs w:val="32"/>
          <w:lang w:eastAsia="zh-CN"/>
        </w:rPr>
        <w:t>2024</w:t>
      </w:r>
      <w:r>
        <w:rPr>
          <w:rFonts w:hint="eastAsia" w:ascii="仿宋_GB2312" w:eastAsia="仿宋_GB2312"/>
          <w:sz w:val="32"/>
          <w:szCs w:val="32"/>
        </w:rPr>
        <w:t>年度，</w:t>
      </w:r>
      <w:r>
        <w:rPr>
          <w:rFonts w:hint="eastAsia"/>
          <w:sz w:val="32"/>
          <w:szCs w:val="32"/>
        </w:rPr>
        <w:t>四川省阿坝州财政局</w:t>
      </w:r>
      <w:r>
        <w:rPr>
          <w:rFonts w:hint="eastAsia" w:ascii="仿宋_GB2312" w:eastAsia="仿宋_GB2312"/>
          <w:sz w:val="32"/>
          <w:szCs w:val="32"/>
        </w:rPr>
        <w:t>政府采购支出总额</w:t>
      </w:r>
      <w:r>
        <w:rPr>
          <w:sz w:val="32"/>
          <w:szCs w:val="32"/>
        </w:rPr>
        <w:t>185.07</w:t>
      </w:r>
      <w:r>
        <w:rPr>
          <w:rFonts w:hint="eastAsia" w:ascii="仿宋_GB2312" w:eastAsia="仿宋_GB2312"/>
          <w:sz w:val="32"/>
          <w:szCs w:val="32"/>
        </w:rPr>
        <w:t>万元，其中：政府采购货物支出</w:t>
      </w:r>
      <w:r>
        <w:rPr>
          <w:sz w:val="32"/>
          <w:szCs w:val="32"/>
        </w:rPr>
        <w:t>28.91</w:t>
      </w:r>
      <w:r>
        <w:rPr>
          <w:rFonts w:hint="eastAsia" w:ascii="仿宋_GB2312" w:eastAsia="仿宋_GB2312"/>
          <w:sz w:val="32"/>
          <w:szCs w:val="32"/>
        </w:rPr>
        <w:t>万元、政府采购工程支出</w:t>
      </w:r>
      <w:r>
        <w:rPr>
          <w:sz w:val="32"/>
          <w:szCs w:val="32"/>
        </w:rPr>
        <w:t>0</w:t>
      </w:r>
      <w:r>
        <w:rPr>
          <w:rFonts w:hint="eastAsia" w:ascii="仿宋_GB2312" w:eastAsia="仿宋_GB2312"/>
          <w:sz w:val="32"/>
          <w:szCs w:val="32"/>
        </w:rPr>
        <w:t>万元、政府采购服务支出</w:t>
      </w:r>
      <w:r>
        <w:rPr>
          <w:sz w:val="32"/>
          <w:szCs w:val="32"/>
        </w:rPr>
        <w:t>156.17</w:t>
      </w:r>
      <w:r>
        <w:rPr>
          <w:rFonts w:hint="eastAsia" w:ascii="仿宋_GB2312" w:eastAsia="仿宋_GB2312"/>
          <w:sz w:val="32"/>
          <w:szCs w:val="32"/>
        </w:rPr>
        <w:t>万元。主要用于</w:t>
      </w:r>
      <w:r>
        <w:rPr>
          <w:rFonts w:ascii="仿宋_GB2312" w:eastAsia="仿宋_GB2312"/>
          <w:sz w:val="32"/>
          <w:szCs w:val="32"/>
        </w:rPr>
        <w:t>…</w:t>
      </w:r>
      <w:r>
        <w:rPr>
          <w:rFonts w:hint="eastAsia" w:ascii="仿宋_GB2312" w:eastAsia="仿宋_GB2312"/>
          <w:sz w:val="32"/>
          <w:szCs w:val="32"/>
        </w:rPr>
        <w:t>（具体工作）。授予中小企业合同金额</w:t>
      </w:r>
      <w:r>
        <w:rPr>
          <w:sz w:val="32"/>
          <w:szCs w:val="32"/>
        </w:rPr>
        <w:t>0</w:t>
      </w:r>
      <w:r>
        <w:rPr>
          <w:rFonts w:hint="eastAsia" w:ascii="仿宋_GB2312" w:eastAsia="仿宋_GB2312"/>
          <w:sz w:val="32"/>
          <w:szCs w:val="32"/>
        </w:rPr>
        <w:t>万元，占政府采购支出总额的</w:t>
      </w:r>
      <w:r>
        <w:rPr>
          <w:sz w:val="32"/>
          <w:szCs w:val="32"/>
        </w:rPr>
        <w:t>0</w:t>
      </w:r>
      <w:r>
        <w:rPr>
          <w:rFonts w:ascii="仿宋_GB2312" w:eastAsia="仿宋_GB2312"/>
          <w:sz w:val="32"/>
          <w:szCs w:val="32"/>
        </w:rPr>
        <w:t>%</w:t>
      </w:r>
      <w:r>
        <w:rPr>
          <w:rFonts w:hint="eastAsia" w:ascii="仿宋_GB2312" w:eastAsia="仿宋_GB2312"/>
          <w:sz w:val="32"/>
          <w:szCs w:val="32"/>
        </w:rPr>
        <w:t>，其中：授予小微企业合同金额</w:t>
      </w:r>
      <w:r>
        <w:rPr>
          <w:sz w:val="32"/>
          <w:szCs w:val="32"/>
        </w:rPr>
        <w:t>0</w:t>
      </w:r>
      <w:r>
        <w:rPr>
          <w:rFonts w:hint="eastAsia" w:ascii="仿宋_GB2312" w:eastAsia="仿宋_GB2312"/>
          <w:sz w:val="32"/>
          <w:szCs w:val="32"/>
        </w:rPr>
        <w:t>万元，占政府采购支出总额的</w:t>
      </w:r>
      <w:r>
        <w:rPr>
          <w:sz w:val="32"/>
          <w:szCs w:val="32"/>
        </w:rPr>
        <w:t>0</w:t>
      </w:r>
      <w:r>
        <w:rPr>
          <w:rFonts w:ascii="仿宋_GB2312" w:eastAsia="仿宋_GB2312"/>
          <w:sz w:val="32"/>
          <w:szCs w:val="32"/>
        </w:rPr>
        <w:t>%</w:t>
      </w:r>
      <w:r>
        <w:rPr>
          <w:rFonts w:hint="eastAsia" w:ascii="仿宋_GB2312" w:eastAsia="仿宋_GB2312"/>
          <w:sz w:val="32"/>
          <w:szCs w:val="32"/>
        </w:rPr>
        <w:t>。</w:t>
      </w:r>
    </w:p>
    <w:p w14:paraId="4D51DE5C">
      <w:pPr>
        <w:spacing w:line="600" w:lineRule="exact"/>
        <w:ind w:firstLine="643" w:firstLineChars="200"/>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w:t>
      </w:r>
    </w:p>
    <w:p w14:paraId="00E3C5A7">
      <w:pPr>
        <w:autoSpaceDE w:val="0"/>
        <w:autoSpaceDN w:val="0"/>
        <w:adjustRightInd w:val="0"/>
        <w:spacing w:line="600" w:lineRule="exact"/>
        <w:ind w:firstLine="643" w:firstLineChars="200"/>
        <w:jc w:val="left"/>
        <w:outlineLvl w:val="2"/>
        <w:rPr>
          <w:rFonts w:ascii="仿宋" w:hAnsi="仿宋" w:eastAsia="仿宋"/>
          <w:b/>
          <w:sz w:val="32"/>
          <w:szCs w:val="32"/>
        </w:rPr>
      </w:pPr>
      <w:bookmarkStart w:id="48" w:name="_Toc15377224"/>
      <w:r>
        <w:rPr>
          <w:rFonts w:hint="eastAsia" w:ascii="仿宋" w:hAnsi="仿宋" w:eastAsia="仿宋"/>
          <w:b/>
          <w:sz w:val="32"/>
          <w:szCs w:val="32"/>
        </w:rPr>
        <w:t>（三）国有资产占有使用情况</w:t>
      </w:r>
      <w:bookmarkEnd w:id="48"/>
    </w:p>
    <w:p w14:paraId="785B6070">
      <w:pPr>
        <w:autoSpaceDE w:val="0"/>
        <w:autoSpaceDN w:val="0"/>
        <w:adjustRightInd w:val="0"/>
        <w:spacing w:line="600" w:lineRule="exact"/>
        <w:ind w:firstLine="640" w:firstLineChars="200"/>
        <w:jc w:val="left"/>
        <w:rPr>
          <w:rFonts w:ascii="仿宋_GB2312" w:eastAsia="仿宋_GB2312"/>
          <w:sz w:val="32"/>
          <w:szCs w:val="32"/>
        </w:rPr>
      </w:pPr>
      <w:r>
        <w:rPr>
          <w:rFonts w:hint="eastAsia" w:ascii="仿宋_GB2312" w:eastAsia="仿宋_GB2312"/>
          <w:sz w:val="32"/>
          <w:szCs w:val="32"/>
        </w:rPr>
        <w:t>截至</w:t>
      </w:r>
      <w:r>
        <w:rPr>
          <w:rFonts w:hint="eastAsia" w:ascii="仿宋_GB2312" w:eastAsia="仿宋_GB2312"/>
          <w:sz w:val="32"/>
          <w:szCs w:val="32"/>
          <w:lang w:eastAsia="zh-CN"/>
        </w:rPr>
        <w:t>2024</w:t>
      </w:r>
      <w:r>
        <w:rPr>
          <w:rFonts w:hint="eastAsia" w:ascii="仿宋_GB2312" w:eastAsia="仿宋_GB2312"/>
          <w:sz w:val="32"/>
          <w:szCs w:val="32"/>
        </w:rPr>
        <w:t>年</w:t>
      </w:r>
      <w:r>
        <w:rPr>
          <w:rFonts w:ascii="仿宋_GB2312" w:eastAsia="仿宋_GB2312"/>
          <w:sz w:val="32"/>
          <w:szCs w:val="32"/>
        </w:rPr>
        <w:t>12</w:t>
      </w:r>
      <w:r>
        <w:rPr>
          <w:rFonts w:hint="eastAsia" w:ascii="仿宋_GB2312" w:eastAsia="仿宋_GB2312"/>
          <w:sz w:val="32"/>
          <w:szCs w:val="32"/>
        </w:rPr>
        <w:t>月</w:t>
      </w:r>
      <w:r>
        <w:rPr>
          <w:rFonts w:ascii="仿宋_GB2312" w:eastAsia="仿宋_GB2312"/>
          <w:sz w:val="32"/>
          <w:szCs w:val="32"/>
        </w:rPr>
        <w:t>31</w:t>
      </w:r>
      <w:r>
        <w:rPr>
          <w:rFonts w:hint="eastAsia" w:ascii="仿宋_GB2312" w:eastAsia="仿宋_GB2312"/>
          <w:sz w:val="32"/>
          <w:szCs w:val="32"/>
        </w:rPr>
        <w:t>日，</w:t>
      </w:r>
      <w:r>
        <w:rPr>
          <w:rFonts w:hint="eastAsia"/>
          <w:sz w:val="32"/>
          <w:szCs w:val="32"/>
        </w:rPr>
        <w:t>四川省阿坝州财政局</w:t>
      </w:r>
      <w:r>
        <w:rPr>
          <w:rFonts w:hint="eastAsia" w:ascii="仿宋_GB2312" w:eastAsia="仿宋_GB2312"/>
          <w:sz w:val="32"/>
          <w:szCs w:val="32"/>
        </w:rPr>
        <w:t>共有车辆</w:t>
      </w:r>
      <w:r>
        <w:rPr>
          <w:rFonts w:ascii="仿宋_GB2312" w:eastAsia="仿宋_GB2312"/>
          <w:sz w:val="32"/>
          <w:szCs w:val="32"/>
        </w:rPr>
        <w:t>11</w:t>
      </w:r>
      <w:r>
        <w:rPr>
          <w:rFonts w:hint="eastAsia" w:ascii="仿宋_GB2312" w:eastAsia="仿宋_GB2312"/>
          <w:sz w:val="32"/>
          <w:szCs w:val="32"/>
        </w:rPr>
        <w:t>辆，其中：主要领导干部用车</w:t>
      </w:r>
      <w:r>
        <w:rPr>
          <w:rFonts w:hint="eastAsia" w:ascii="仿宋_GB2312" w:eastAsia="仿宋_GB2312"/>
          <w:sz w:val="32"/>
          <w:szCs w:val="32"/>
          <w:lang w:val="en-US" w:eastAsia="zh-CN"/>
        </w:rPr>
        <w:t>0</w:t>
      </w:r>
      <w:r>
        <w:rPr>
          <w:rFonts w:hint="eastAsia" w:ascii="仿宋_GB2312" w:eastAsia="仿宋_GB2312"/>
          <w:sz w:val="32"/>
          <w:szCs w:val="32"/>
        </w:rPr>
        <w:t>辆、机要通信用车</w:t>
      </w:r>
      <w:r>
        <w:rPr>
          <w:rFonts w:hint="eastAsia" w:ascii="仿宋_GB2312" w:eastAsia="仿宋_GB2312"/>
          <w:sz w:val="32"/>
          <w:szCs w:val="32"/>
          <w:lang w:val="en-US" w:eastAsia="zh-CN"/>
        </w:rPr>
        <w:t>0</w:t>
      </w:r>
      <w:r>
        <w:rPr>
          <w:rFonts w:hint="eastAsia" w:ascii="仿宋_GB2312" w:eastAsia="仿宋_GB2312"/>
          <w:sz w:val="32"/>
          <w:szCs w:val="32"/>
        </w:rPr>
        <w:t>辆、应急保障用车</w:t>
      </w:r>
      <w:r>
        <w:rPr>
          <w:rFonts w:hint="eastAsia" w:ascii="仿宋_GB2312" w:eastAsia="仿宋_GB2312"/>
          <w:sz w:val="32"/>
          <w:szCs w:val="32"/>
          <w:lang w:val="en-US" w:eastAsia="zh-CN"/>
        </w:rPr>
        <w:t>11</w:t>
      </w:r>
      <w:r>
        <w:rPr>
          <w:rFonts w:hint="eastAsia" w:ascii="仿宋_GB2312" w:eastAsia="仿宋_GB2312"/>
          <w:sz w:val="32"/>
          <w:szCs w:val="32"/>
        </w:rPr>
        <w:t>辆、其他用车</w:t>
      </w:r>
      <w:r>
        <w:rPr>
          <w:rFonts w:hint="eastAsia" w:ascii="仿宋_GB2312" w:eastAsia="仿宋_GB2312"/>
          <w:sz w:val="32"/>
          <w:szCs w:val="32"/>
          <w:lang w:val="en-US" w:eastAsia="zh-CN"/>
        </w:rPr>
        <w:t>0</w:t>
      </w:r>
      <w:r>
        <w:rPr>
          <w:rFonts w:hint="eastAsia" w:ascii="仿宋_GB2312" w:eastAsia="仿宋_GB2312"/>
          <w:sz w:val="32"/>
          <w:szCs w:val="32"/>
        </w:rPr>
        <w:t>辆，其他用车主要是用于……。单价</w:t>
      </w:r>
      <w:r>
        <w:rPr>
          <w:rFonts w:ascii="仿宋_GB2312" w:eastAsia="仿宋_GB2312"/>
          <w:sz w:val="32"/>
          <w:szCs w:val="32"/>
        </w:rPr>
        <w:t>100</w:t>
      </w:r>
      <w:r>
        <w:rPr>
          <w:rFonts w:hint="eastAsia" w:ascii="仿宋_GB2312" w:eastAsia="仿宋_GB2312"/>
          <w:sz w:val="32"/>
          <w:szCs w:val="32"/>
        </w:rPr>
        <w:t>万元以上设备（不含车辆）</w:t>
      </w:r>
      <w:r>
        <w:rPr>
          <w:sz w:val="32"/>
          <w:szCs w:val="32"/>
        </w:rPr>
        <w:t>0</w:t>
      </w:r>
      <w:r>
        <w:rPr>
          <w:rFonts w:hint="eastAsia" w:ascii="仿宋_GB2312" w:eastAsia="仿宋_GB2312"/>
          <w:sz w:val="32"/>
          <w:szCs w:val="32"/>
        </w:rPr>
        <w:t>台（套）。</w:t>
      </w:r>
    </w:p>
    <w:p w14:paraId="020BBE7A">
      <w:pPr>
        <w:autoSpaceDE w:val="0"/>
        <w:autoSpaceDN w:val="0"/>
        <w:adjustRightInd w:val="0"/>
        <w:spacing w:line="600" w:lineRule="exact"/>
        <w:ind w:firstLine="643" w:firstLineChars="200"/>
        <w:jc w:val="left"/>
        <w:rPr>
          <w:rFonts w:ascii="仿宋" w:hAnsi="仿宋" w:eastAsia="仿宋"/>
          <w:b/>
          <w:sz w:val="32"/>
          <w:szCs w:val="32"/>
        </w:rPr>
      </w:pPr>
      <w:r>
        <w:rPr>
          <w:rFonts w:hint="eastAsia" w:ascii="仿宋" w:hAnsi="仿宋" w:eastAsia="仿宋"/>
          <w:b/>
          <w:sz w:val="32"/>
          <w:szCs w:val="32"/>
        </w:rPr>
        <w:t>（注：数据来源于财决附</w:t>
      </w:r>
      <w:r>
        <w:rPr>
          <w:rFonts w:ascii="仿宋" w:hAnsi="仿宋" w:eastAsia="仿宋"/>
          <w:b/>
          <w:sz w:val="32"/>
          <w:szCs w:val="32"/>
        </w:rPr>
        <w:t>03</w:t>
      </w:r>
      <w:r>
        <w:rPr>
          <w:rFonts w:hint="eastAsia" w:ascii="仿宋" w:hAnsi="仿宋" w:eastAsia="仿宋"/>
          <w:b/>
          <w:sz w:val="32"/>
          <w:szCs w:val="32"/>
        </w:rPr>
        <w:t>表，按部门决算报表填报数据罗列车辆情况。）</w:t>
      </w:r>
    </w:p>
    <w:p w14:paraId="76222BF7">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408E3173">
      <w:pPr>
        <w:autoSpaceDE w:val="0"/>
        <w:autoSpaceDN w:val="0"/>
        <w:adjustRightInd w:val="0"/>
        <w:spacing w:line="600" w:lineRule="exact"/>
        <w:ind w:firstLine="643" w:firstLineChars="200"/>
        <w:jc w:val="left"/>
        <w:outlineLvl w:val="2"/>
        <w:rPr>
          <w:rFonts w:ascii="仿宋" w:hAnsi="仿宋" w:eastAsia="仿宋"/>
          <w:b/>
          <w:sz w:val="32"/>
          <w:szCs w:val="32"/>
        </w:rPr>
      </w:pPr>
      <w:r>
        <w:rPr>
          <w:rFonts w:hint="eastAsia" w:ascii="仿宋" w:hAnsi="仿宋" w:eastAsia="仿宋"/>
          <w:b/>
          <w:sz w:val="32"/>
          <w:szCs w:val="32"/>
        </w:rPr>
        <w:t>（四）预算绩效管理情况</w:t>
      </w:r>
    </w:p>
    <w:p w14:paraId="2167B2EF">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根据预算绩效管理要求，本部门在</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年度预算编制阶段，组织对XX项目（项目名称）等</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个项目开展了预算事前绩效评估，对</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个项目编制了绩效目标，预算执行过程中，选取</w:t>
      </w:r>
      <w:r>
        <w:rPr>
          <w:rFonts w:hint="eastAsia" w:ascii="仿宋_GB2312" w:hAnsi="仿宋_GB2312" w:eastAsia="仿宋_GB2312" w:cs="仿宋_GB2312"/>
          <w:sz w:val="32"/>
          <w:szCs w:val="32"/>
          <w:lang w:val="en-US" w:eastAsia="zh-CN"/>
        </w:rPr>
        <w:t>34</w:t>
      </w:r>
      <w:r>
        <w:rPr>
          <w:rFonts w:hint="eastAsia" w:ascii="仿宋_GB2312" w:hAnsi="仿宋_GB2312" w:eastAsia="仿宋_GB2312" w:cs="仿宋_GB2312"/>
          <w:sz w:val="32"/>
          <w:szCs w:val="32"/>
        </w:rPr>
        <w:t>个项目开展绩效监控。</w:t>
      </w:r>
    </w:p>
    <w:p w14:paraId="0317EAF6">
      <w:pPr>
        <w:spacing w:line="58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组织对</w:t>
      </w:r>
      <w:r>
        <w:rPr>
          <w:rFonts w:hint="eastAsia" w:ascii="仿宋_GB2312" w:hAnsi="仿宋_GB2312" w:eastAsia="仿宋_GB2312" w:cs="仿宋_GB2312"/>
          <w:sz w:val="32"/>
          <w:szCs w:val="32"/>
          <w:lang w:eastAsia="zh-CN"/>
        </w:rPr>
        <w:t>2024</w:t>
      </w:r>
      <w:r>
        <w:rPr>
          <w:rFonts w:hint="eastAsia" w:ascii="仿宋_GB2312" w:hAnsi="仿宋_GB2312" w:eastAsia="仿宋_GB2312" w:cs="仿宋_GB2312"/>
          <w:sz w:val="32"/>
          <w:szCs w:val="32"/>
        </w:rPr>
        <w:t>年度一般公共预算、政府性基金预算、国有资本经营预算、社会保险基金预算以及资本资产、债券资金等全面开展绩效自评，形成</w:t>
      </w:r>
      <w:r>
        <w:rPr>
          <w:rFonts w:hint="eastAsia" w:ascii="仿宋_GB2312" w:hAnsi="仿宋_GB2312" w:eastAsia="仿宋_GB2312" w:cs="仿宋_GB2312"/>
          <w:sz w:val="32"/>
          <w:szCs w:val="32"/>
          <w:lang w:eastAsia="zh-CN"/>
        </w:rPr>
        <w:t>阿坝州财政局</w:t>
      </w:r>
      <w:r>
        <w:rPr>
          <w:rFonts w:hint="eastAsia" w:ascii="仿宋_GB2312" w:hAnsi="仿宋_GB2312" w:eastAsia="仿宋_GB2312" w:cs="仿宋_GB2312"/>
          <w:sz w:val="32"/>
          <w:szCs w:val="32"/>
        </w:rPr>
        <w:t>部门整体（含部门预算项目）绩效自评报告、XX等专项预算项目绩效自评报告，其中，</w:t>
      </w:r>
      <w:r>
        <w:rPr>
          <w:rFonts w:hint="eastAsia" w:ascii="仿宋_GB2312" w:hAnsi="仿宋_GB2312" w:eastAsia="仿宋_GB2312" w:cs="仿宋_GB2312"/>
          <w:sz w:val="32"/>
          <w:szCs w:val="32"/>
          <w:lang w:eastAsia="zh-CN"/>
        </w:rPr>
        <w:t>阿坝州财政局</w:t>
      </w:r>
      <w:r>
        <w:rPr>
          <w:rFonts w:hint="eastAsia" w:ascii="仿宋_GB2312" w:hAnsi="仿宋_GB2312" w:eastAsia="仿宋_GB2312" w:cs="仿宋_GB2312"/>
          <w:sz w:val="32"/>
          <w:szCs w:val="32"/>
        </w:rPr>
        <w:t>部门整体（含部门预算项目）绩效自评得分为</w:t>
      </w:r>
      <w:r>
        <w:rPr>
          <w:rFonts w:hint="eastAsia" w:ascii="仿宋_GB2312" w:hAnsi="仿宋_GB2312" w:eastAsia="仿宋_GB2312" w:cs="仿宋_GB2312"/>
          <w:sz w:val="32"/>
          <w:szCs w:val="32"/>
          <w:lang w:val="en-US" w:eastAsia="zh-CN"/>
        </w:rPr>
        <w:t>92</w:t>
      </w:r>
      <w:r>
        <w:rPr>
          <w:rFonts w:hint="eastAsia" w:ascii="仿宋_GB2312" w:hAnsi="仿宋_GB2312" w:eastAsia="仿宋_GB2312" w:cs="仿宋_GB2312"/>
          <w:sz w:val="32"/>
          <w:szCs w:val="32"/>
        </w:rPr>
        <w:t>分。绩效自评报告详见附件。（如不涉及，可根据实际修改表述。）</w:t>
      </w:r>
    </w:p>
    <w:p w14:paraId="4B768FCD">
      <w:pPr>
        <w:pStyle w:val="2"/>
        <w:jc w:val="center"/>
      </w:pPr>
      <w:r>
        <w:rPr>
          <w:rFonts w:hint="eastAsia"/>
        </w:rPr>
        <w:t>第三部分 名词解释</w:t>
      </w:r>
    </w:p>
    <w:p w14:paraId="338CA40B"/>
    <w:p w14:paraId="0C733BEC">
      <w:pPr>
        <w:ind w:firstLine="640" w:firstLineChars="200"/>
        <w:rPr>
          <w:rFonts w:hint="eastAsia" w:ascii="仿宋_GB2312" w:eastAsia="仿宋_GB2312"/>
          <w:sz w:val="32"/>
          <w:szCs w:val="32"/>
        </w:rPr>
      </w:pPr>
      <w:r>
        <w:rPr>
          <w:rFonts w:hint="eastAsia" w:ascii="仿宋_GB2312" w:eastAsia="仿宋_GB2312"/>
          <w:sz w:val="32"/>
          <w:szCs w:val="32"/>
        </w:rPr>
        <w:t>1.财政拨款收入：指单位从同级财政部门取得的财政预算资金。</w:t>
      </w:r>
    </w:p>
    <w:p w14:paraId="7C76F212">
      <w:pPr>
        <w:ind w:firstLine="640" w:firstLineChars="200"/>
        <w:rPr>
          <w:rFonts w:hint="eastAsia" w:ascii="仿宋_GB2312" w:eastAsia="仿宋_GB2312"/>
          <w:sz w:val="32"/>
          <w:szCs w:val="32"/>
        </w:rPr>
      </w:pPr>
      <w:r>
        <w:rPr>
          <w:rFonts w:hint="eastAsia" w:ascii="仿宋_GB2312" w:eastAsia="仿宋_GB2312"/>
          <w:sz w:val="32"/>
          <w:szCs w:val="32"/>
        </w:rPr>
        <w:t>2.事业收入：指事业单位开展专业业务活动及辅助活动取得的收入。如…（二级预算单位事业收入情况）等。</w:t>
      </w:r>
    </w:p>
    <w:p w14:paraId="32B4C71F">
      <w:pPr>
        <w:ind w:firstLine="640" w:firstLineChars="200"/>
        <w:rPr>
          <w:rFonts w:hint="eastAsia" w:ascii="仿宋_GB2312" w:eastAsia="仿宋_GB2312"/>
          <w:sz w:val="32"/>
          <w:szCs w:val="32"/>
        </w:rPr>
      </w:pPr>
      <w:r>
        <w:rPr>
          <w:rFonts w:hint="eastAsia" w:ascii="仿宋_GB2312" w:eastAsia="仿宋_GB2312"/>
          <w:sz w:val="32"/>
          <w:szCs w:val="32"/>
        </w:rPr>
        <w:t>3.经营收入：指事业单位在专业业务活动及其辅助活动之外开展非独立核算经营活动取得的收入。如…（二级预算单位经营收入情况）等。</w:t>
      </w:r>
    </w:p>
    <w:p w14:paraId="31E3BF24">
      <w:pPr>
        <w:ind w:firstLine="640" w:firstLineChars="200"/>
        <w:rPr>
          <w:rFonts w:hint="eastAsia" w:ascii="仿宋_GB2312" w:eastAsia="仿宋_GB2312"/>
          <w:sz w:val="32"/>
          <w:szCs w:val="32"/>
        </w:rPr>
      </w:pPr>
      <w:r>
        <w:rPr>
          <w:rFonts w:hint="eastAsia" w:ascii="仿宋_GB2312" w:eastAsia="仿宋_GB2312"/>
          <w:sz w:val="32"/>
          <w:szCs w:val="32"/>
        </w:rPr>
        <w:t xml:space="preserve">4.其他收入：指单位取得的除上述收入以外的各项收入。主要是…（收入类型）等。 </w:t>
      </w:r>
    </w:p>
    <w:p w14:paraId="10104D0D">
      <w:pPr>
        <w:ind w:firstLine="640" w:firstLineChars="200"/>
        <w:rPr>
          <w:rFonts w:hint="eastAsia" w:ascii="仿宋_GB2312" w:eastAsia="仿宋_GB2312"/>
          <w:sz w:val="32"/>
          <w:szCs w:val="32"/>
        </w:rPr>
      </w:pPr>
      <w:r>
        <w:rPr>
          <w:rFonts w:hint="eastAsia" w:ascii="仿宋_GB2312" w:eastAsia="仿宋_GB2312"/>
          <w:sz w:val="32"/>
          <w:szCs w:val="32"/>
        </w:rPr>
        <w:t xml:space="preserve">5.使用非财政拨款结余（含专用结余）：指事业单位使用以前年度积累的非财政拨款结余弥补当年收支差额的金额。 </w:t>
      </w:r>
    </w:p>
    <w:p w14:paraId="083EB65B">
      <w:pPr>
        <w:ind w:firstLine="640" w:firstLineChars="200"/>
        <w:rPr>
          <w:rFonts w:hint="eastAsia" w:ascii="仿宋_GB2312" w:eastAsia="仿宋_GB2312"/>
          <w:sz w:val="32"/>
          <w:szCs w:val="32"/>
        </w:rPr>
      </w:pPr>
      <w:r>
        <w:rPr>
          <w:rFonts w:hint="eastAsia" w:ascii="仿宋_GB2312" w:eastAsia="仿宋_GB2312"/>
          <w:sz w:val="32"/>
          <w:szCs w:val="32"/>
        </w:rPr>
        <w:t xml:space="preserve">6.年初结转和结余：指以前年度尚未完成、结转到本年按有关规定继续使用的资金。 </w:t>
      </w:r>
    </w:p>
    <w:p w14:paraId="04DAEADC">
      <w:pPr>
        <w:ind w:firstLine="640" w:firstLineChars="200"/>
        <w:rPr>
          <w:rFonts w:hint="eastAsia" w:ascii="仿宋_GB2312" w:eastAsia="仿宋_GB2312"/>
          <w:sz w:val="32"/>
          <w:szCs w:val="32"/>
        </w:rPr>
      </w:pPr>
      <w:r>
        <w:rPr>
          <w:rFonts w:hint="eastAsia" w:ascii="仿宋_GB2312" w:eastAsia="仿宋_GB2312"/>
          <w:sz w:val="32"/>
          <w:szCs w:val="32"/>
        </w:rPr>
        <w:t>7.结余分配：指事业单位按照会计制度规定缴纳的所得税、提取的专用结余以及转入非财政拨款结余的金额等。</w:t>
      </w:r>
    </w:p>
    <w:p w14:paraId="7F870ADD">
      <w:pPr>
        <w:ind w:firstLine="640" w:firstLineChars="200"/>
        <w:rPr>
          <w:rFonts w:hint="eastAsia" w:ascii="仿宋_GB2312" w:eastAsia="仿宋_GB2312"/>
          <w:sz w:val="32"/>
          <w:szCs w:val="32"/>
        </w:rPr>
      </w:pPr>
      <w:r>
        <w:rPr>
          <w:rFonts w:hint="eastAsia" w:ascii="仿宋_GB2312" w:eastAsia="仿宋_GB2312"/>
          <w:sz w:val="32"/>
          <w:szCs w:val="32"/>
        </w:rPr>
        <w:t>8.年末结转和结余：指单位按有关规定结转到下年或以后年度继续使用的资金。</w:t>
      </w:r>
    </w:p>
    <w:p w14:paraId="63DBB584">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 xml:space="preserve">9.一般公共服务201（类）06（款）01（项）: </w:t>
      </w:r>
      <w:r>
        <w:rPr>
          <w:rFonts w:hint="eastAsia" w:ascii="仿宋_GB2312" w:hAnsi="宋体" w:eastAsia="仿宋_GB2312" w:cs="仿宋_GB2312"/>
          <w:b w:val="0"/>
          <w:bCs w:val="0"/>
          <w:kern w:val="0"/>
          <w:sz w:val="32"/>
          <w:szCs w:val="32"/>
          <w:shd w:val="clear" w:fill="FFFFFF"/>
        </w:rPr>
        <w:t>指反映行政单位（包括实行公务员管理的事业单位）的基本支出。</w:t>
      </w:r>
    </w:p>
    <w:p w14:paraId="3C02DC08">
      <w:pPr>
        <w:keepNext w:val="0"/>
        <w:keepLines w:val="0"/>
        <w:widowControl/>
        <w:suppressLineNumbers w:val="0"/>
        <w:autoSpaceDE w:val="0"/>
        <w:autoSpaceDN/>
        <w:spacing w:before="0" w:beforeAutospacing="0" w:after="0" w:afterAutospacing="0" w:line="560" w:lineRule="exact"/>
        <w:ind w:firstLine="640" w:firstLineChars="200"/>
        <w:rPr>
          <w:rFonts w:hint="eastAsia" w:ascii="仿宋_GB2312" w:hAnsi="宋体" w:eastAsia="仿宋_GB2312" w:cs="仿宋_GB2312"/>
          <w:b w:val="0"/>
          <w:bCs w:val="0"/>
          <w:kern w:val="0"/>
          <w:sz w:val="32"/>
          <w:szCs w:val="32"/>
        </w:rPr>
      </w:pPr>
      <w:r>
        <w:rPr>
          <w:rStyle w:val="37"/>
          <w:rFonts w:hint="eastAsia" w:ascii="仿宋_GB2312" w:hAnsi="Times New Roman" w:eastAsia="仿宋_GB2312" w:cs="仿宋_GB2312"/>
          <w:b w:val="0"/>
          <w:bCs w:val="0"/>
          <w:sz w:val="32"/>
          <w:szCs w:val="32"/>
        </w:rPr>
        <w:t>10.一般公共服务201（类）06（款）02（项）:</w:t>
      </w:r>
      <w:r>
        <w:rPr>
          <w:rFonts w:hint="eastAsia" w:ascii="仿宋_GB2312" w:hAnsi="宋体" w:eastAsia="仿宋_GB2312" w:cs="仿宋_GB2312"/>
          <w:b w:val="0"/>
          <w:bCs w:val="0"/>
          <w:kern w:val="0"/>
          <w:sz w:val="32"/>
          <w:szCs w:val="32"/>
        </w:rPr>
        <w:t xml:space="preserve"> 指反映行政单位（包括实行公务员管理的事业单位）未单独设置项级科目的其他项目支出。</w:t>
      </w:r>
    </w:p>
    <w:p w14:paraId="07774E82">
      <w:pPr>
        <w:pStyle w:val="36"/>
        <w:keepNext w:val="0"/>
        <w:keepLines w:val="0"/>
        <w:widowControl/>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 xml:space="preserve">11.一般公共服务201（类）06（款）05（项）: </w:t>
      </w:r>
      <w:r>
        <w:rPr>
          <w:rFonts w:hint="eastAsia" w:ascii="仿宋_GB2312" w:hAnsi="宋体" w:eastAsia="仿宋_GB2312" w:cs="仿宋_GB2312"/>
          <w:b w:val="0"/>
          <w:bCs w:val="0"/>
          <w:kern w:val="0"/>
          <w:sz w:val="32"/>
          <w:szCs w:val="32"/>
          <w:shd w:val="clear" w:fill="FFFFFF"/>
        </w:rPr>
        <w:t>指反映财政部门用于财政国库集中支付收付业务方面的支出。</w:t>
      </w:r>
    </w:p>
    <w:p w14:paraId="6DE04A7D">
      <w:pPr>
        <w:keepNext w:val="0"/>
        <w:keepLines w:val="0"/>
        <w:widowControl/>
        <w:suppressLineNumbers w:val="0"/>
        <w:autoSpaceDE w:val="0"/>
        <w:autoSpaceDN/>
        <w:spacing w:before="0" w:beforeAutospacing="0" w:after="0" w:afterAutospacing="0" w:line="560" w:lineRule="exact"/>
        <w:ind w:firstLine="640" w:firstLineChars="200"/>
        <w:rPr>
          <w:rFonts w:hint="eastAsia" w:ascii="仿宋_GB2312" w:hAnsi="宋体" w:eastAsia="仿宋_GB2312" w:cs="仿宋_GB2312"/>
          <w:b w:val="0"/>
          <w:bCs w:val="0"/>
          <w:kern w:val="0"/>
          <w:sz w:val="32"/>
          <w:szCs w:val="32"/>
        </w:rPr>
      </w:pPr>
      <w:r>
        <w:rPr>
          <w:rStyle w:val="37"/>
          <w:rFonts w:hint="eastAsia" w:ascii="仿宋_GB2312" w:hAnsi="Times New Roman" w:eastAsia="仿宋_GB2312" w:cs="仿宋_GB2312"/>
          <w:b w:val="0"/>
          <w:bCs w:val="0"/>
          <w:sz w:val="32"/>
          <w:szCs w:val="32"/>
        </w:rPr>
        <w:t xml:space="preserve">12.一般公共服务201（类）06（款）07（项）: </w:t>
      </w:r>
      <w:r>
        <w:rPr>
          <w:rFonts w:hint="eastAsia" w:ascii="仿宋_GB2312" w:hAnsi="宋体" w:eastAsia="仿宋_GB2312" w:cs="仿宋_GB2312"/>
          <w:b w:val="0"/>
          <w:bCs w:val="0"/>
          <w:kern w:val="0"/>
          <w:sz w:val="32"/>
          <w:szCs w:val="32"/>
        </w:rPr>
        <w:t>指反映财政部门用于信息化建设方面的支出。</w:t>
      </w:r>
    </w:p>
    <w:p w14:paraId="4E7CF22B">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 xml:space="preserve">13.一般公共服务201（类）06（款）50（项）: </w:t>
      </w:r>
      <w:r>
        <w:rPr>
          <w:rFonts w:hint="eastAsia" w:ascii="仿宋_GB2312" w:hAnsi="宋体" w:eastAsia="仿宋_GB2312" w:cs="仿宋_GB2312"/>
          <w:b w:val="0"/>
          <w:bCs w:val="0"/>
          <w:kern w:val="0"/>
          <w:sz w:val="32"/>
          <w:szCs w:val="32"/>
          <w:shd w:val="clear" w:fill="FFFFFF"/>
        </w:rPr>
        <w:t>指反映事业单位的基本支出，不包括行政单位（包括实行公务员管理的事业单位）后勤服务中心、医务室等附属事业单位。</w:t>
      </w:r>
    </w:p>
    <w:p w14:paraId="230DAFDE">
      <w:pPr>
        <w:pStyle w:val="36"/>
        <w:keepNext w:val="0"/>
        <w:keepLines w:val="0"/>
        <w:widowControl/>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14.一般公共服务201（类）06（款）99（项）: 指反映除上述项目以外其他财政事务方面的支出。</w:t>
      </w:r>
    </w:p>
    <w:p w14:paraId="09D0C1F5">
      <w:pPr>
        <w:keepNext w:val="0"/>
        <w:keepLines w:val="0"/>
        <w:widowControl/>
        <w:suppressLineNumbers w:val="0"/>
        <w:autoSpaceDE w:val="0"/>
        <w:autoSpaceDN/>
        <w:spacing w:line="560" w:lineRule="exact"/>
        <w:ind w:firstLine="640" w:firstLineChars="200"/>
        <w:rPr>
          <w:rFonts w:hint="eastAsia" w:ascii="仿宋_GB2312" w:hAnsi="宋体" w:eastAsia="仿宋_GB2312" w:cs="仿宋_GB2312"/>
          <w:b w:val="0"/>
          <w:bCs w:val="0"/>
          <w:kern w:val="0"/>
          <w:sz w:val="32"/>
          <w:szCs w:val="32"/>
        </w:rPr>
      </w:pPr>
      <w:r>
        <w:rPr>
          <w:rStyle w:val="37"/>
          <w:rFonts w:hint="eastAsia" w:ascii="仿宋_GB2312" w:hAnsi="Times New Roman" w:eastAsia="仿宋_GB2312" w:cs="仿宋_GB2312"/>
          <w:b w:val="0"/>
          <w:bCs w:val="0"/>
          <w:sz w:val="32"/>
          <w:szCs w:val="32"/>
        </w:rPr>
        <w:t xml:space="preserve">15.社会保障和就业208（类）05（款）05（项）: </w:t>
      </w:r>
      <w:r>
        <w:rPr>
          <w:rFonts w:hint="eastAsia" w:ascii="仿宋_GB2312" w:hAnsi="宋体" w:eastAsia="仿宋_GB2312" w:cs="仿宋_GB2312"/>
          <w:b w:val="0"/>
          <w:bCs w:val="0"/>
          <w:kern w:val="0"/>
          <w:sz w:val="32"/>
          <w:szCs w:val="32"/>
        </w:rPr>
        <w:t>指反映机关事业单位实施养老保险制度由单位缴纳的职业年金支出。</w:t>
      </w:r>
    </w:p>
    <w:p w14:paraId="3A152C99">
      <w:pPr>
        <w:keepNext w:val="0"/>
        <w:keepLines w:val="0"/>
        <w:widowControl/>
        <w:suppressLineNumbers w:val="0"/>
        <w:autoSpaceDE w:val="0"/>
        <w:autoSpaceDN/>
        <w:spacing w:line="560" w:lineRule="exact"/>
        <w:ind w:firstLine="640" w:firstLineChars="200"/>
        <w:rPr>
          <w:rFonts w:hint="eastAsia" w:ascii="仿宋_GB2312" w:hAnsi="宋体" w:eastAsia="仿宋_GB2312" w:cs="仿宋_GB2312"/>
          <w:b w:val="0"/>
          <w:bCs w:val="0"/>
          <w:kern w:val="0"/>
          <w:sz w:val="32"/>
          <w:szCs w:val="32"/>
        </w:rPr>
      </w:pPr>
      <w:r>
        <w:rPr>
          <w:rStyle w:val="37"/>
          <w:rFonts w:hint="eastAsia" w:ascii="仿宋_GB2312" w:hAnsi="Times New Roman" w:eastAsia="仿宋_GB2312" w:cs="仿宋_GB2312"/>
          <w:b w:val="0"/>
          <w:bCs w:val="0"/>
          <w:sz w:val="32"/>
          <w:szCs w:val="32"/>
        </w:rPr>
        <w:t xml:space="preserve">16.社会保障和就业208（类）05（款）06（项）: </w:t>
      </w:r>
      <w:r>
        <w:rPr>
          <w:rFonts w:hint="eastAsia" w:ascii="仿宋_GB2312" w:hAnsi="宋体" w:eastAsia="仿宋_GB2312" w:cs="仿宋_GB2312"/>
          <w:b w:val="0"/>
          <w:bCs w:val="0"/>
          <w:kern w:val="0"/>
          <w:sz w:val="32"/>
          <w:szCs w:val="32"/>
        </w:rPr>
        <w:t>指反映机关事业单位实施养老保险制度由单位实际缴纳的基本养老保险费支出。</w:t>
      </w:r>
    </w:p>
    <w:p w14:paraId="463C6436">
      <w:pPr>
        <w:keepNext w:val="0"/>
        <w:keepLines w:val="0"/>
        <w:widowControl/>
        <w:suppressLineNumbers w:val="0"/>
        <w:autoSpaceDE w:val="0"/>
        <w:autoSpaceDN/>
        <w:spacing w:line="560" w:lineRule="exact"/>
        <w:ind w:firstLine="640" w:firstLineChars="200"/>
        <w:rPr>
          <w:rFonts w:hint="eastAsia" w:ascii="仿宋_GB2312" w:hAnsi="宋体" w:eastAsia="仿宋_GB2312" w:cs="仿宋_GB2312"/>
          <w:b w:val="0"/>
          <w:bCs w:val="0"/>
          <w:kern w:val="0"/>
          <w:sz w:val="32"/>
          <w:szCs w:val="32"/>
        </w:rPr>
      </w:pPr>
      <w:r>
        <w:rPr>
          <w:rStyle w:val="37"/>
          <w:rFonts w:hint="eastAsia" w:ascii="仿宋_GB2312" w:hAnsi="Times New Roman" w:eastAsia="仿宋_GB2312" w:cs="仿宋_GB2312"/>
          <w:b w:val="0"/>
          <w:bCs w:val="0"/>
          <w:sz w:val="32"/>
          <w:szCs w:val="32"/>
        </w:rPr>
        <w:t>17.卫生健康210（类）11（款）01（项）:</w:t>
      </w:r>
      <w:r>
        <w:rPr>
          <w:rFonts w:hint="eastAsia" w:ascii="仿宋_GB2312" w:hAnsi="宋体" w:eastAsia="仿宋_GB2312" w:cs="仿宋_GB2312"/>
          <w:b w:val="0"/>
          <w:bCs w:val="0"/>
          <w:kern w:val="0"/>
          <w:sz w:val="32"/>
          <w:szCs w:val="32"/>
        </w:rPr>
        <w:t xml:space="preserve"> 反映财政部门安排的行政单位(包括实行公务员管理的事业单位，下同)基本医疗保险缴费经费，未参加医疗保险的行政单位的公费医疗经费，按国家规定享受离休人员、红军老战士待遇人员的医疗经费。</w:t>
      </w:r>
    </w:p>
    <w:p w14:paraId="3BF2CFFF">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18.卫生健康210（类）11（款）02（项）:</w:t>
      </w:r>
      <w:r>
        <w:rPr>
          <w:rFonts w:hint="eastAsia" w:ascii="仿宋_GB2312" w:hAnsi="宋体" w:eastAsia="仿宋_GB2312" w:cs="仿宋_GB2312"/>
          <w:b w:val="0"/>
          <w:bCs w:val="0"/>
          <w:kern w:val="0"/>
          <w:sz w:val="32"/>
          <w:szCs w:val="32"/>
          <w:shd w:val="clear" w:fill="FFFFFF"/>
        </w:rPr>
        <w:t xml:space="preserve"> </w:t>
      </w:r>
      <w:r>
        <w:rPr>
          <w:rStyle w:val="37"/>
          <w:rFonts w:hint="eastAsia" w:ascii="仿宋_GB2312" w:hAnsi="Times New Roman" w:eastAsia="仿宋_GB2312" w:cs="仿宋_GB2312"/>
          <w:b w:val="0"/>
          <w:bCs w:val="0"/>
          <w:sz w:val="32"/>
          <w:szCs w:val="32"/>
          <w:shd w:val="clear" w:fill="FFFFFF"/>
        </w:rPr>
        <w:t>反映财政部门安排的事业单位基本医疗保险缴费经费，未参加医疗保险的事业单位的公费医疗经费，按国家规定享受离休人员待遇的医疗经费。</w:t>
      </w:r>
    </w:p>
    <w:p w14:paraId="65AF79F2">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19.卫生健康210（类）11（款）03（项）:</w:t>
      </w:r>
      <w:r>
        <w:rPr>
          <w:rFonts w:hint="eastAsia" w:ascii="仿宋_GB2312" w:hAnsi="宋体" w:eastAsia="仿宋_GB2312" w:cs="仿宋_GB2312"/>
          <w:b w:val="0"/>
          <w:bCs w:val="0"/>
          <w:kern w:val="0"/>
          <w:sz w:val="32"/>
          <w:szCs w:val="32"/>
          <w:shd w:val="clear" w:fill="FFFFFF"/>
        </w:rPr>
        <w:t xml:space="preserve"> 反映财政部门安排的公务员医疗补助经费。</w:t>
      </w:r>
    </w:p>
    <w:p w14:paraId="65D0E6D4">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20.卫生健康210（类）11（款）99（项）:</w:t>
      </w:r>
      <w:r>
        <w:rPr>
          <w:rFonts w:hint="eastAsia" w:ascii="仿宋_GB2312" w:hAnsi="宋体" w:eastAsia="仿宋_GB2312" w:cs="仿宋_GB2312"/>
          <w:b w:val="0"/>
          <w:bCs w:val="0"/>
          <w:kern w:val="0"/>
          <w:sz w:val="32"/>
          <w:szCs w:val="32"/>
          <w:shd w:val="clear" w:fill="FFFFFF"/>
        </w:rPr>
        <w:t xml:space="preserve"> </w:t>
      </w:r>
      <w:r>
        <w:rPr>
          <w:rStyle w:val="37"/>
          <w:rFonts w:hint="eastAsia" w:ascii="仿宋_GB2312" w:hAnsi="Times New Roman" w:eastAsia="仿宋_GB2312" w:cs="仿宋_GB2312"/>
          <w:b w:val="0"/>
          <w:bCs w:val="0"/>
          <w:sz w:val="32"/>
          <w:szCs w:val="32"/>
          <w:shd w:val="clear" w:fill="FFFFFF"/>
        </w:rPr>
        <w:t>反映除上述项目以外的其他用于行政事业单位医疗方面的支出。</w:t>
      </w:r>
    </w:p>
    <w:p w14:paraId="422111E8">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21.</w:t>
      </w:r>
      <w:r>
        <w:rPr>
          <w:rFonts w:hint="eastAsia" w:ascii="仿宋_GB2312" w:hAnsi="宋体" w:eastAsia="仿宋_GB2312" w:cs="仿宋_GB2312"/>
          <w:b w:val="0"/>
          <w:bCs w:val="0"/>
          <w:kern w:val="0"/>
          <w:sz w:val="32"/>
          <w:szCs w:val="32"/>
          <w:shd w:val="clear" w:fill="FFFFFF"/>
        </w:rPr>
        <w:t xml:space="preserve"> </w:t>
      </w:r>
      <w:r>
        <w:rPr>
          <w:rStyle w:val="37"/>
          <w:rFonts w:hint="eastAsia" w:ascii="仿宋_GB2312" w:hAnsi="Times New Roman" w:eastAsia="仿宋_GB2312" w:cs="仿宋_GB2312"/>
          <w:b w:val="0"/>
          <w:bCs w:val="0"/>
          <w:sz w:val="32"/>
          <w:szCs w:val="32"/>
          <w:shd w:val="clear" w:fill="FFFFFF"/>
        </w:rPr>
        <w:t>商业服务业216（类）99（款）99（项）:</w:t>
      </w:r>
      <w:r>
        <w:rPr>
          <w:rFonts w:hint="eastAsia" w:ascii="仿宋_GB2312" w:hAnsi="宋体" w:eastAsia="仿宋_GB2312" w:cs="仿宋_GB2312"/>
          <w:b w:val="0"/>
          <w:bCs w:val="0"/>
          <w:kern w:val="0"/>
          <w:sz w:val="32"/>
          <w:szCs w:val="32"/>
          <w:shd w:val="clear" w:fill="FFFFFF"/>
        </w:rPr>
        <w:t xml:space="preserve"> 反映其他商业服务业等支出中除上述项目以外的其他支出。</w:t>
      </w:r>
    </w:p>
    <w:p w14:paraId="491235EB">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22.</w:t>
      </w:r>
      <w:r>
        <w:rPr>
          <w:rFonts w:hint="eastAsia" w:ascii="仿宋_GB2312" w:hAnsi="宋体" w:eastAsia="仿宋_GB2312" w:cs="仿宋_GB2312"/>
          <w:b w:val="0"/>
          <w:bCs w:val="0"/>
          <w:kern w:val="0"/>
          <w:sz w:val="32"/>
          <w:szCs w:val="32"/>
          <w:shd w:val="clear" w:fill="FFFFFF"/>
        </w:rPr>
        <w:t>住房保障</w:t>
      </w:r>
      <w:r>
        <w:rPr>
          <w:rStyle w:val="37"/>
          <w:rFonts w:hint="eastAsia" w:ascii="仿宋_GB2312" w:hAnsi="Times New Roman" w:eastAsia="仿宋_GB2312" w:cs="仿宋_GB2312"/>
          <w:b w:val="0"/>
          <w:bCs w:val="0"/>
          <w:sz w:val="32"/>
          <w:szCs w:val="32"/>
          <w:shd w:val="clear" w:fill="FFFFFF"/>
        </w:rPr>
        <w:t>221（类）02（款）01（项）:</w:t>
      </w:r>
      <w:r>
        <w:rPr>
          <w:rFonts w:hint="eastAsia" w:ascii="仿宋_GB2312" w:hAnsi="宋体" w:eastAsia="仿宋_GB2312" w:cs="仿宋_GB2312"/>
          <w:b w:val="0"/>
          <w:bCs w:val="0"/>
          <w:kern w:val="0"/>
          <w:sz w:val="32"/>
          <w:szCs w:val="32"/>
          <w:shd w:val="clear" w:fill="FFFFFF"/>
        </w:rPr>
        <w:t xml:space="preserve"> </w:t>
      </w:r>
      <w:r>
        <w:rPr>
          <w:rStyle w:val="37"/>
          <w:rFonts w:hint="eastAsia" w:ascii="仿宋_GB2312" w:hAnsi="Times New Roman" w:eastAsia="仿宋_GB2312" w:cs="仿宋_GB2312"/>
          <w:b w:val="0"/>
          <w:bCs w:val="0"/>
          <w:sz w:val="32"/>
          <w:szCs w:val="32"/>
          <w:shd w:val="clear" w:fill="FFFFFF"/>
        </w:rPr>
        <w:t>反映行政事业单位按人力资源和社会保障部、财政部规定的基本工资和津贴补贴以及规定为职工缴纳的住房公积金。</w:t>
      </w:r>
    </w:p>
    <w:p w14:paraId="5269AF3C">
      <w:pPr>
        <w:pStyle w:val="36"/>
        <w:keepNext w:val="0"/>
        <w:keepLines w:val="0"/>
        <w:widowControl w:val="0"/>
        <w:suppressLineNumbers w:val="0"/>
        <w:shd w:val="clear" w:fill="FFFFFF"/>
        <w:autoSpaceDE w:val="0"/>
        <w:autoSpaceDN/>
        <w:spacing w:line="560" w:lineRule="exact"/>
        <w:ind w:firstLine="640" w:firstLineChars="200"/>
        <w:rPr>
          <w:rFonts w:hint="eastAsia" w:ascii="仿宋_GB2312" w:hAnsi="宋体" w:eastAsia="仿宋_GB2312" w:cs="仿宋_GB2312"/>
          <w:b w:val="0"/>
          <w:bCs w:val="0"/>
          <w:kern w:val="0"/>
          <w:sz w:val="32"/>
          <w:szCs w:val="32"/>
          <w:shd w:val="clear" w:fill="FFFFFF"/>
        </w:rPr>
      </w:pPr>
      <w:r>
        <w:rPr>
          <w:rStyle w:val="37"/>
          <w:rFonts w:hint="eastAsia" w:ascii="仿宋_GB2312" w:hAnsi="Times New Roman" w:eastAsia="仿宋_GB2312" w:cs="仿宋_GB2312"/>
          <w:b w:val="0"/>
          <w:bCs w:val="0"/>
          <w:sz w:val="32"/>
          <w:szCs w:val="32"/>
          <w:shd w:val="clear" w:fill="FFFFFF"/>
        </w:rPr>
        <w:t>23.</w:t>
      </w:r>
      <w:r>
        <w:rPr>
          <w:rFonts w:hint="eastAsia" w:ascii="仿宋_GB2312" w:hAnsi="宋体" w:eastAsia="仿宋_GB2312" w:cs="仿宋_GB2312"/>
          <w:b w:val="0"/>
          <w:bCs w:val="0"/>
          <w:kern w:val="0"/>
          <w:sz w:val="32"/>
          <w:szCs w:val="32"/>
          <w:shd w:val="clear" w:fill="FFFFFF"/>
        </w:rPr>
        <w:t xml:space="preserve"> </w:t>
      </w:r>
      <w:r>
        <w:rPr>
          <w:rStyle w:val="37"/>
          <w:rFonts w:hint="eastAsia" w:ascii="仿宋_GB2312" w:hAnsi="Times New Roman" w:eastAsia="仿宋_GB2312" w:cs="仿宋_GB2312"/>
          <w:b w:val="0"/>
          <w:bCs w:val="0"/>
          <w:sz w:val="32"/>
          <w:szCs w:val="32"/>
          <w:shd w:val="clear" w:fill="FFFFFF"/>
        </w:rPr>
        <w:t xml:space="preserve">住房保障221（类）02（款）03（项）:指反映按房改政策规定，行政事业单位向符合条件职工（含离退休人员）、军队（含武警）向转役复员离退休人员发放的用于购买住房的补贴。 </w:t>
      </w:r>
    </w:p>
    <w:p w14:paraId="4B0481AB">
      <w:pPr>
        <w:ind w:firstLine="643" w:firstLineChars="200"/>
        <w:rPr>
          <w:rFonts w:ascii="仿宋" w:hAnsi="仿宋" w:eastAsia="仿宋"/>
          <w:b/>
          <w:sz w:val="32"/>
          <w:szCs w:val="32"/>
        </w:rPr>
      </w:pPr>
      <w:r>
        <w:rPr>
          <w:rFonts w:hint="eastAsia" w:ascii="仿宋" w:hAnsi="仿宋" w:eastAsia="仿宋"/>
          <w:b/>
          <w:sz w:val="32"/>
          <w:szCs w:val="32"/>
        </w:rPr>
        <w:t>（解释本部门决算报表中涉及的全部功能分类科目至项级，不涉及的科目请自行删除。请参照《</w:t>
      </w:r>
      <w:r>
        <w:rPr>
          <w:rFonts w:hint="eastAsia" w:ascii="仿宋" w:hAnsi="仿宋" w:eastAsia="仿宋"/>
          <w:b/>
          <w:sz w:val="32"/>
          <w:szCs w:val="32"/>
          <w:lang w:eastAsia="zh-CN"/>
        </w:rPr>
        <w:t>2024</w:t>
      </w:r>
      <w:r>
        <w:rPr>
          <w:rFonts w:hint="eastAsia" w:ascii="仿宋" w:hAnsi="仿宋" w:eastAsia="仿宋"/>
          <w:b/>
          <w:sz w:val="32"/>
          <w:szCs w:val="32"/>
        </w:rPr>
        <w:t>年政府收支分类科目》增减内容。）</w:t>
      </w:r>
    </w:p>
    <w:p w14:paraId="5CB94490">
      <w:pPr>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val="en-US" w:eastAsia="zh-CN"/>
        </w:rPr>
        <w:t>4</w:t>
      </w:r>
      <w:r>
        <w:rPr>
          <w:rFonts w:hint="eastAsia" w:ascii="仿宋_GB2312" w:eastAsia="仿宋_GB2312"/>
          <w:sz w:val="32"/>
          <w:szCs w:val="32"/>
        </w:rPr>
        <w:t>.基本支出：指为保障机构正常运转、完成日常工作任务而发生的人员支出和公用支出。</w:t>
      </w:r>
    </w:p>
    <w:p w14:paraId="55AD252E">
      <w:pPr>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val="en-US" w:eastAsia="zh-CN"/>
        </w:rPr>
        <w:t>5</w:t>
      </w:r>
      <w:r>
        <w:rPr>
          <w:rFonts w:hint="eastAsia" w:ascii="仿宋_GB2312" w:eastAsia="仿宋_GB2312"/>
          <w:sz w:val="32"/>
          <w:szCs w:val="32"/>
        </w:rPr>
        <w:t xml:space="preserve">.项目支出：指在基本支出之外为完成特定行政任务和事业发展目标所发生的支出。 </w:t>
      </w:r>
    </w:p>
    <w:p w14:paraId="23926102">
      <w:pPr>
        <w:ind w:firstLine="640" w:firstLineChars="200"/>
        <w:rPr>
          <w:rFonts w:ascii="仿宋_GB2312" w:eastAsia="仿宋_GB2312"/>
          <w:sz w:val="32"/>
          <w:szCs w:val="32"/>
        </w:rPr>
      </w:pPr>
      <w:r>
        <w:rPr>
          <w:rFonts w:hint="eastAsia" w:ascii="仿宋_GB2312" w:eastAsia="仿宋_GB2312"/>
          <w:sz w:val="32"/>
          <w:szCs w:val="32"/>
        </w:rPr>
        <w:t>2</w:t>
      </w:r>
      <w:r>
        <w:rPr>
          <w:rFonts w:hint="eastAsia" w:ascii="仿宋_GB2312" w:eastAsia="仿宋_GB2312"/>
          <w:sz w:val="32"/>
          <w:szCs w:val="32"/>
          <w:lang w:val="en-US" w:eastAsia="zh-CN"/>
        </w:rPr>
        <w:t>6</w:t>
      </w:r>
      <w:r>
        <w:rPr>
          <w:rFonts w:hint="eastAsia" w:ascii="仿宋_GB2312" w:eastAsia="仿宋_GB2312"/>
          <w:sz w:val="32"/>
          <w:szCs w:val="32"/>
        </w:rPr>
        <w:t>.经营支出：指事业单位在专业业务活动及其辅助活动之外开展非独立核算经营活动发生的支出。</w:t>
      </w:r>
    </w:p>
    <w:p w14:paraId="2F559336">
      <w:pPr>
        <w:ind w:firstLine="640" w:firstLineChars="200"/>
        <w:rPr>
          <w:rFonts w:ascii="仿宋_GB2312" w:eastAsia="仿宋_GB2312"/>
          <w:sz w:val="32"/>
          <w:szCs w:val="32"/>
        </w:rPr>
      </w:pPr>
      <w:r>
        <w:rPr>
          <w:rFonts w:hint="eastAsia" w:ascii="仿宋_GB2312" w:eastAsia="仿宋_GB2312"/>
          <w:sz w:val="32"/>
          <w:szCs w:val="32"/>
          <w:lang w:val="en-US" w:eastAsia="zh-CN"/>
        </w:rPr>
        <w:t>27</w:t>
      </w:r>
      <w:r>
        <w:rPr>
          <w:rFonts w:hint="eastAsia" w:ascii="仿宋_GB2312" w:eastAsia="仿宋_GB2312"/>
          <w:sz w:val="32"/>
          <w:szCs w:val="32"/>
        </w:rPr>
        <w:t>.“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14:paraId="3647DE13">
      <w:pPr>
        <w:ind w:firstLine="640" w:firstLineChars="200"/>
        <w:rPr>
          <w:rFonts w:ascii="仿宋_GB2312" w:eastAsia="仿宋_GB2312"/>
          <w:sz w:val="32"/>
          <w:szCs w:val="32"/>
        </w:rPr>
      </w:pPr>
      <w:r>
        <w:rPr>
          <w:rFonts w:hint="eastAsia" w:ascii="仿宋_GB2312" w:eastAsia="仿宋_GB2312"/>
          <w:sz w:val="32"/>
          <w:szCs w:val="32"/>
          <w:lang w:val="en-US" w:eastAsia="zh-CN"/>
        </w:rPr>
        <w:t>28</w:t>
      </w: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500D719">
      <w:pPr>
        <w:ind w:firstLine="640" w:firstLineChars="200"/>
        <w:rPr>
          <w:rFonts w:ascii="仿宋_GB2312" w:eastAsia="仿宋_GB2312"/>
          <w:sz w:val="32"/>
          <w:szCs w:val="32"/>
        </w:rPr>
      </w:pPr>
      <w:r>
        <w:rPr>
          <w:rFonts w:hint="eastAsia" w:ascii="仿宋_GB2312" w:eastAsia="仿宋_GB2312"/>
          <w:sz w:val="32"/>
          <w:szCs w:val="32"/>
          <w:lang w:val="en-US" w:eastAsia="zh-CN"/>
        </w:rPr>
        <w:t>29</w:t>
      </w:r>
      <w:r>
        <w:rPr>
          <w:rFonts w:hint="eastAsia" w:ascii="仿宋_GB2312" w:eastAsia="仿宋_GB2312"/>
          <w:sz w:val="32"/>
          <w:szCs w:val="32"/>
        </w:rPr>
        <w:t>.……。</w:t>
      </w:r>
    </w:p>
    <w:p w14:paraId="719EAF7B">
      <w:pPr>
        <w:ind w:firstLine="420" w:firstLineChars="200"/>
      </w:pPr>
    </w:p>
    <w:p w14:paraId="79B0775B">
      <w:pPr>
        <w:ind w:firstLine="643" w:firstLineChars="200"/>
        <w:rPr>
          <w:rFonts w:ascii="仿宋" w:hAnsi="仿宋" w:eastAsia="仿宋"/>
          <w:b/>
          <w:sz w:val="32"/>
          <w:szCs w:val="32"/>
        </w:rPr>
      </w:pPr>
      <w:r>
        <w:rPr>
          <w:rFonts w:hint="eastAsia" w:ascii="仿宋" w:hAnsi="仿宋" w:eastAsia="仿宋"/>
          <w:b/>
          <w:sz w:val="32"/>
          <w:szCs w:val="32"/>
        </w:rPr>
        <w:t>（名词解释部分请根据各部门实际列支情况罗列，并根据本部门职责职能增减名词解释内容。）</w:t>
      </w:r>
      <w:r>
        <w:rPr>
          <w:rFonts w:ascii="仿宋" w:hAnsi="仿宋" w:eastAsia="仿宋"/>
          <w:b/>
          <w:sz w:val="32"/>
          <w:szCs w:val="32"/>
        </w:rPr>
        <w:br w:type="page"/>
      </w:r>
    </w:p>
    <w:p w14:paraId="07868EA9">
      <w:pPr>
        <w:pStyle w:val="2"/>
        <w:jc w:val="center"/>
        <w:rPr>
          <w:rFonts w:ascii="黑体" w:hAnsi="黑体" w:eastAsia="黑体"/>
          <w:b w:val="0"/>
        </w:rPr>
      </w:pPr>
      <w:r>
        <w:rPr>
          <w:rFonts w:hint="eastAsia" w:ascii="黑体" w:hAnsi="黑体" w:eastAsia="黑体"/>
          <w:b w:val="0"/>
        </w:rPr>
        <w:t>第四部分 附件</w:t>
      </w:r>
    </w:p>
    <w:p w14:paraId="05E0DAF3"/>
    <w:p w14:paraId="3D09D5BB">
      <w:pPr>
        <w:rPr>
          <w:rFonts w:ascii="黑体" w:hAnsi="黑体" w:eastAsia="黑体"/>
          <w:sz w:val="32"/>
          <w:szCs w:val="32"/>
        </w:rPr>
      </w:pPr>
      <w:r>
        <w:rPr>
          <w:rFonts w:hint="eastAsia" w:ascii="黑体" w:hAnsi="黑体" w:eastAsia="黑体"/>
          <w:sz w:val="32"/>
          <w:szCs w:val="32"/>
        </w:rPr>
        <w:t>附件1</w:t>
      </w:r>
    </w:p>
    <w:p w14:paraId="4EC964FC">
      <w:pPr>
        <w:jc w:val="center"/>
        <w:rPr>
          <w:rFonts w:hint="eastAsia" w:ascii="方正小标宋简体" w:hAnsi="方正小标宋简体" w:eastAsia="方正小标宋简体"/>
          <w:sz w:val="44"/>
          <w:szCs w:val="44"/>
        </w:rPr>
      </w:pPr>
      <w:r>
        <w:rPr>
          <w:rFonts w:hint="eastAsia" w:ascii="方正小标宋简体" w:hAnsi="方正小标宋简体" w:eastAsia="方正小标宋简体"/>
          <w:sz w:val="44"/>
          <w:szCs w:val="44"/>
          <w:lang w:val="en-US" w:eastAsia="zh-CN"/>
        </w:rPr>
        <w:t>2024年阿坝州财政局</w:t>
      </w:r>
      <w:r>
        <w:rPr>
          <w:rFonts w:hint="eastAsia" w:ascii="方正小标宋简体" w:hAnsi="方正小标宋简体" w:eastAsia="方正小标宋简体"/>
          <w:sz w:val="44"/>
          <w:szCs w:val="44"/>
        </w:rPr>
        <w:t>部门预算绩效评价</w:t>
      </w:r>
    </w:p>
    <w:p w14:paraId="6A7D664B">
      <w:pPr>
        <w:jc w:val="center"/>
        <w:rPr>
          <w:rFonts w:ascii="方正小标宋简体" w:hAnsi="方正小标宋简体" w:eastAsia="方正小标宋简体"/>
          <w:sz w:val="44"/>
          <w:szCs w:val="44"/>
        </w:rPr>
      </w:pPr>
      <w:r>
        <w:rPr>
          <w:rFonts w:hint="eastAsia" w:ascii="方正小标宋简体" w:hAnsi="方正小标宋简体" w:eastAsia="方正小标宋简体"/>
          <w:sz w:val="44"/>
          <w:szCs w:val="44"/>
        </w:rPr>
        <w:t>报告</w:t>
      </w:r>
    </w:p>
    <w:p w14:paraId="0D069F65">
      <w:pPr>
        <w:jc w:val="center"/>
        <w:rPr>
          <w:rFonts w:ascii="仿宋_GB2312" w:eastAsia="仿宋_GB2312"/>
          <w:sz w:val="32"/>
          <w:szCs w:val="32"/>
        </w:rPr>
      </w:pPr>
      <w:r>
        <w:rPr>
          <w:rFonts w:hint="eastAsia" w:ascii="仿宋_GB2312" w:eastAsia="仿宋_GB2312"/>
          <w:sz w:val="32"/>
          <w:szCs w:val="32"/>
        </w:rPr>
        <w:t>（报告范围包括机关和下属单位）</w:t>
      </w:r>
    </w:p>
    <w:p w14:paraId="69E93429"/>
    <w:p w14:paraId="553E7AD0">
      <w:pPr>
        <w:ind w:firstLine="640" w:firstLineChars="200"/>
        <w:rPr>
          <w:rFonts w:hint="eastAsia" w:ascii="仿宋_GB2312" w:eastAsia="仿宋_GB2312"/>
          <w:sz w:val="32"/>
          <w:szCs w:val="32"/>
        </w:rPr>
      </w:pPr>
      <w:r>
        <w:rPr>
          <w:rFonts w:hint="eastAsia" w:ascii="仿宋_GB2312" w:eastAsia="仿宋_GB2312"/>
          <w:sz w:val="32"/>
          <w:szCs w:val="32"/>
          <w:lang w:val="zh-CN"/>
        </w:rPr>
        <w:t>一、部门（单位）基本情况</w:t>
      </w:r>
    </w:p>
    <w:p w14:paraId="34CC0E42">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（一）机构组成。</w:t>
      </w:r>
    </w:p>
    <w:p w14:paraId="1A862DB2">
      <w:pPr>
        <w:ind w:firstLine="640" w:firstLineChars="200"/>
        <w:rPr>
          <w:rFonts w:hint="eastAsia" w:ascii="仿宋_GB2312" w:eastAsia="仿宋_GB2312"/>
          <w:sz w:val="32"/>
          <w:szCs w:val="32"/>
        </w:rPr>
      </w:pPr>
      <w:r>
        <w:rPr>
          <w:rFonts w:hint="eastAsia" w:ascii="仿宋_GB2312" w:eastAsia="仿宋_GB2312"/>
          <w:sz w:val="32"/>
          <w:szCs w:val="32"/>
        </w:rPr>
        <w:t>阿坝州财政局属一级预算单位，含行政单位1个、参公单位3个、事业单位5个。阿坝州财政局（行政及参公）含行政单位1个，参照公务员法管理的事业单位3个,分别为阿坝州国库集中支付中心、阿坝州财政绩效管理服务中心、阿坝州票据监管中心。阿坝州财政信息网络管理中心直属事业单位5个，分别为阿坝州财政信息网络管理中心、阿坝州财政投资评审中心、阿坝州财政离退休干部服务中心、阿坝州财政政务后勤服务中心、阿坝州财政预算编审中心。</w:t>
      </w:r>
    </w:p>
    <w:p w14:paraId="3D16F772">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机构职能。</w:t>
      </w:r>
    </w:p>
    <w:p w14:paraId="5C713600">
      <w:pPr>
        <w:ind w:firstLine="640" w:firstLineChars="200"/>
        <w:rPr>
          <w:rFonts w:hint="eastAsia" w:ascii="仿宋_GB2312" w:eastAsia="仿宋_GB2312"/>
          <w:sz w:val="32"/>
          <w:szCs w:val="32"/>
          <w:lang w:val="zh-CN"/>
        </w:rPr>
      </w:pPr>
      <w:r>
        <w:rPr>
          <w:rFonts w:hint="eastAsia" w:ascii="仿宋_GB2312" w:eastAsia="仿宋_GB2312"/>
          <w:sz w:val="32"/>
          <w:szCs w:val="32"/>
        </w:rPr>
        <w:t>贯彻执行党和国家关于预算、税收、行政事业单位国有资产、财务、会计等法律、法规、规章和方针、政策。根据全州国民经济和社会发展战略，编制中长期财政计划；研究制定地方财政政策，参与制定各项宏观经济政策；推进财政改革，提出运用财政政策实施宏观调控和综合平衡社会财力的建议。编制年度州本级财政预决算草案，经批准后组织执行。汇编全州年度财政预算，审编财政决算；指导各县财政预算编制、执行工作；办理州对各县、州本级各部门的预算追加、追减和调整；受州政府委托，向州人民代表大会报告全州财政预算及其执行情况，向州人民代表大会常务委员会报告财政决算；管理州级各项财政收入及州级财政专户；管理有关政府性基金和行政事业性收费。管理州级各项财政支出，指导和监管州级各部门财务活动，实施国库集中支付，指导和监督县级财政收支活动。指导、协调和监督全州政府采购工作，负责州本级政府采购监督管理。按照规定权限和程序，参与研究税收减免及审批工作。管理全州财政性资金基本建设投资，负责财政性资金投资项目工程概、预、决算的评审。负责贯彻执行国家和省、州有关农业综合开发方针、政策；参与制订农业综合开发的中长期计划，并组织实施；负责全州农业综合开发项目资金的监督、管理及有偿使用资金的回收工作。参与研究社会保障制度改革和制定相关政策；制定并组织实施社会保障资金的财务管理制度；对社会保障资金的使用实施财政监督。管理和指导全州的会计、资产评估和社会审计等工作；依法对注册会计师、注册资产评估师和会计事务所、资产评估事务所等中介机构及注册会计师协会、资产评估协会等行业自律管理组织进行监督和指导。监督财税方针政策、法律法规的执行情况；检查反映财政收支管理中的重大问题；强化财政监督，建立预算收入保障机制、预算支出有效监控机制和财政内部监督制约机制。制定财政学术研究和教育规划，组织开展系统内公务员、职员的教育和财政、税收、财会学术研究；指导州级财税、财会社会学术团体的工作；负责财政宣传工作和财政信息管理系统建设。承办州委、州政府、省财政厅交办的其他事项。</w:t>
      </w:r>
    </w:p>
    <w:p w14:paraId="3C958DD6">
      <w:pPr>
        <w:ind w:firstLine="640" w:firstLineChars="200"/>
        <w:rPr>
          <w:rFonts w:hint="eastAsia" w:ascii="仿宋_GB2312" w:eastAsia="仿宋_GB2312"/>
          <w:sz w:val="32"/>
          <w:szCs w:val="32"/>
        </w:rPr>
      </w:pPr>
      <w:r>
        <w:rPr>
          <w:rFonts w:hint="eastAsia" w:ascii="仿宋_GB2312" w:eastAsia="仿宋_GB2312"/>
          <w:sz w:val="32"/>
          <w:szCs w:val="32"/>
          <w:lang w:val="zh-CN"/>
        </w:rPr>
        <w:t>（三）人员概况。</w:t>
      </w:r>
      <w:r>
        <w:rPr>
          <w:rFonts w:hint="eastAsia" w:ascii="仿宋_GB2312" w:eastAsia="仿宋_GB2312"/>
          <w:sz w:val="32"/>
          <w:szCs w:val="32"/>
        </w:rPr>
        <w:t>我单位共有编制数150个，公务员编制53个、行政工勤编制11个、参照公务员法管理人员23个，事业编制数86个；截止</w:t>
      </w:r>
      <w:r>
        <w:rPr>
          <w:rFonts w:hint="eastAsia" w:ascii="仿宋_GB2312" w:eastAsia="仿宋_GB2312"/>
          <w:sz w:val="32"/>
          <w:szCs w:val="32"/>
          <w:lang w:eastAsia="zh-CN"/>
        </w:rPr>
        <w:t>2024</w:t>
      </w:r>
      <w:r>
        <w:rPr>
          <w:rFonts w:hint="eastAsia" w:ascii="仿宋_GB2312" w:eastAsia="仿宋_GB2312"/>
          <w:sz w:val="32"/>
          <w:szCs w:val="32"/>
        </w:rPr>
        <w:t>年末，单位实有人数110人，其中：在职113人（公务员41人、行政工勤9人、参公人员21人、事业39人）。</w:t>
      </w:r>
    </w:p>
    <w:p w14:paraId="3E9DF7A5">
      <w:pPr>
        <w:ind w:firstLine="640" w:firstLineChars="200"/>
        <w:rPr>
          <w:rFonts w:hint="eastAsia" w:ascii="仿宋_GB2312" w:eastAsia="仿宋_GB2312"/>
          <w:sz w:val="32"/>
          <w:szCs w:val="32"/>
        </w:rPr>
      </w:pPr>
      <w:r>
        <w:rPr>
          <w:rFonts w:hint="eastAsia" w:ascii="仿宋_GB2312" w:eastAsia="仿宋_GB2312"/>
          <w:sz w:val="32"/>
          <w:szCs w:val="32"/>
        </w:rPr>
        <w:t>二、部门资金收支情况</w:t>
      </w:r>
    </w:p>
    <w:p w14:paraId="1D518FCE">
      <w:pPr>
        <w:ind w:firstLine="640" w:firstLineChars="200"/>
        <w:rPr>
          <w:rFonts w:hint="eastAsia" w:ascii="仿宋_GB2312" w:eastAsia="仿宋_GB2312"/>
          <w:sz w:val="32"/>
          <w:szCs w:val="32"/>
        </w:rPr>
      </w:pPr>
      <w:r>
        <w:rPr>
          <w:rFonts w:hint="eastAsia" w:ascii="仿宋_GB2312" w:eastAsia="仿宋_GB2312"/>
          <w:sz w:val="32"/>
          <w:szCs w:val="32"/>
          <w:lang w:val="zh-CN"/>
        </w:rPr>
        <w:t>（一）收入情况。</w:t>
      </w:r>
      <w:r>
        <w:rPr>
          <w:rFonts w:hint="eastAsia" w:ascii="仿宋_GB2312" w:eastAsia="仿宋_GB2312"/>
          <w:sz w:val="32"/>
          <w:szCs w:val="32"/>
        </w:rPr>
        <w:t>阿坝州财政局（部门）</w:t>
      </w:r>
      <w:r>
        <w:rPr>
          <w:rFonts w:hint="eastAsia" w:ascii="仿宋_GB2312" w:eastAsia="仿宋_GB2312"/>
          <w:sz w:val="32"/>
          <w:szCs w:val="32"/>
          <w:lang w:eastAsia="zh-CN"/>
        </w:rPr>
        <w:t>2024</w:t>
      </w:r>
      <w:r>
        <w:rPr>
          <w:rFonts w:hint="eastAsia" w:ascii="仿宋_GB2312" w:eastAsia="仿宋_GB2312"/>
          <w:sz w:val="32"/>
          <w:szCs w:val="32"/>
        </w:rPr>
        <w:t>年年初预算收入本单位本年度总收入为</w:t>
      </w:r>
      <w:r>
        <w:rPr>
          <w:rFonts w:hint="eastAsia" w:ascii="仿宋_GB2312" w:eastAsia="仿宋_GB2312"/>
          <w:sz w:val="32"/>
          <w:szCs w:val="32"/>
          <w:lang w:eastAsia="zh-CN"/>
        </w:rPr>
        <w:t>5779.04</w:t>
      </w:r>
      <w:r>
        <w:rPr>
          <w:rFonts w:hint="eastAsia" w:ascii="仿宋_GB2312" w:eastAsia="仿宋_GB2312"/>
          <w:sz w:val="32"/>
          <w:szCs w:val="32"/>
        </w:rPr>
        <w:t>万元。其中：一般公共预算财政拨款收入为4963.26万元，占比100.00%；</w:t>
      </w:r>
    </w:p>
    <w:p w14:paraId="56C4A0AC">
      <w:pPr>
        <w:ind w:firstLine="640" w:firstLineChars="200"/>
        <w:rPr>
          <w:rFonts w:hint="eastAsia" w:ascii="仿宋_GB2312" w:eastAsia="仿宋_GB2312"/>
          <w:sz w:val="32"/>
          <w:szCs w:val="32"/>
        </w:rPr>
      </w:pPr>
      <w:r>
        <w:rPr>
          <w:rFonts w:hint="eastAsia" w:ascii="仿宋_GB2312" w:eastAsia="仿宋_GB2312"/>
          <w:sz w:val="32"/>
          <w:szCs w:val="32"/>
          <w:lang w:val="zh-CN"/>
        </w:rPr>
        <w:t>（二）支出情况。</w:t>
      </w:r>
      <w:r>
        <w:rPr>
          <w:rFonts w:hint="eastAsia" w:ascii="仿宋_GB2312" w:eastAsia="仿宋_GB2312"/>
          <w:sz w:val="32"/>
          <w:szCs w:val="32"/>
        </w:rPr>
        <w:t>阿坝州财政局（部门）</w:t>
      </w:r>
      <w:r>
        <w:rPr>
          <w:rFonts w:hint="eastAsia" w:ascii="仿宋_GB2312" w:eastAsia="仿宋_GB2312"/>
          <w:sz w:val="32"/>
          <w:szCs w:val="32"/>
          <w:lang w:eastAsia="zh-CN"/>
        </w:rPr>
        <w:t>2024</w:t>
      </w:r>
      <w:r>
        <w:rPr>
          <w:rFonts w:hint="eastAsia" w:ascii="仿宋_GB2312" w:eastAsia="仿宋_GB2312"/>
          <w:sz w:val="32"/>
          <w:szCs w:val="32"/>
        </w:rPr>
        <w:t>年年初预算支出情况本年度总支出为4963.26万元。其中：一般公共服务支出为4272.56万元，占比86.08%；社会保障和就业支出为355.67万元，占比7.17%；卫生健康支出为131.99万元，占比2.66%；住房保障支出为203.05万元，占比4.09%.</w:t>
      </w:r>
    </w:p>
    <w:p w14:paraId="78B92B13">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（三）</w:t>
      </w:r>
      <w:r>
        <w:rPr>
          <w:rFonts w:hint="eastAsia" w:ascii="仿宋_GB2312" w:eastAsia="仿宋_GB2312"/>
          <w:sz w:val="32"/>
          <w:szCs w:val="32"/>
        </w:rPr>
        <w:t>结余分配和结转结余情况。阿坝州财政局（部门）</w:t>
      </w:r>
      <w:r>
        <w:rPr>
          <w:rFonts w:hint="eastAsia" w:ascii="仿宋_GB2312" w:eastAsia="仿宋_GB2312"/>
          <w:sz w:val="32"/>
          <w:szCs w:val="32"/>
          <w:lang w:eastAsia="zh-CN"/>
        </w:rPr>
        <w:t>2024</w:t>
      </w:r>
      <w:r>
        <w:rPr>
          <w:rFonts w:hint="eastAsia" w:ascii="仿宋_GB2312" w:eastAsia="仿宋_GB2312"/>
          <w:sz w:val="32"/>
          <w:szCs w:val="32"/>
        </w:rPr>
        <w:t>年决算报表结转结余情况无。</w:t>
      </w:r>
    </w:p>
    <w:p w14:paraId="5FD1BAFA">
      <w:pPr>
        <w:ind w:firstLine="640" w:firstLineChars="200"/>
        <w:rPr>
          <w:rFonts w:hint="eastAsia" w:ascii="仿宋_GB2312" w:eastAsia="仿宋_GB2312"/>
          <w:sz w:val="32"/>
          <w:szCs w:val="32"/>
        </w:rPr>
      </w:pPr>
      <w:r>
        <w:rPr>
          <w:rFonts w:hint="eastAsia" w:ascii="仿宋_GB2312" w:eastAsia="仿宋_GB2312"/>
          <w:sz w:val="32"/>
          <w:szCs w:val="32"/>
        </w:rPr>
        <w:t>三、部门预算绩效分析</w:t>
      </w:r>
    </w:p>
    <w:p w14:paraId="6431ED76">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（一）部门预算总体绩效分析。根据部门预算绩效评价指标体系“总体绩效”涉及二、三级指标进行逐项绩效分析并评分，依次包括履职效能、预算管理、财务管理、资产管理、采购管理等情况。</w:t>
      </w:r>
    </w:p>
    <w:p w14:paraId="097113F7">
      <w:pPr>
        <w:ind w:firstLine="640" w:firstLineChars="200"/>
        <w:rPr>
          <w:rFonts w:hint="eastAsia" w:ascii="仿宋_GB2312" w:eastAsia="仿宋_GB2312"/>
          <w:sz w:val="32"/>
          <w:szCs w:val="32"/>
          <w:lang w:val="zh-CN"/>
        </w:rPr>
      </w:pPr>
      <w:r>
        <w:rPr>
          <w:rFonts w:hint="eastAsia" w:ascii="仿宋_GB2312" w:eastAsia="仿宋_GB2312"/>
          <w:sz w:val="32"/>
          <w:szCs w:val="32"/>
        </w:rPr>
        <w:t>1.</w:t>
      </w:r>
      <w:r>
        <w:rPr>
          <w:rFonts w:hint="eastAsia" w:ascii="仿宋_GB2312" w:eastAsia="仿宋_GB2312"/>
          <w:sz w:val="32"/>
          <w:szCs w:val="32"/>
          <w:lang w:val="zh-CN"/>
        </w:rPr>
        <w:t>履职效能。</w:t>
      </w:r>
    </w:p>
    <w:p w14:paraId="3DCE707B">
      <w:pPr>
        <w:ind w:firstLine="640" w:firstLineChars="200"/>
        <w:rPr>
          <w:rFonts w:hint="eastAsia" w:ascii="仿宋_GB2312" w:eastAsia="仿宋_GB2312"/>
          <w:sz w:val="32"/>
          <w:szCs w:val="32"/>
        </w:rPr>
      </w:pPr>
      <w:r>
        <w:rPr>
          <w:rFonts w:hint="eastAsia" w:ascii="仿宋_GB2312" w:eastAsia="仿宋_GB2312"/>
          <w:sz w:val="32"/>
          <w:szCs w:val="32"/>
        </w:rPr>
        <w:t>（一）履行政治领导责任，做好理论武装和思想政治工作，负责学习、宣传、贯彻执行党的理论和路线方针政策，贯彻落实党中央、省委、州委的决策部署，发挥好把方向、管大局、保落实的重要作用。</w:t>
      </w:r>
    </w:p>
    <w:p w14:paraId="374D2167">
      <w:pPr>
        <w:ind w:firstLine="640" w:firstLineChars="200"/>
        <w:rPr>
          <w:rFonts w:hint="eastAsia" w:ascii="仿宋_GB2312" w:eastAsia="仿宋_GB2312"/>
          <w:sz w:val="32"/>
          <w:szCs w:val="32"/>
        </w:rPr>
      </w:pPr>
      <w:r>
        <w:rPr>
          <w:rFonts w:hint="eastAsia" w:ascii="仿宋_GB2312" w:eastAsia="仿宋_GB2312"/>
          <w:sz w:val="32"/>
          <w:szCs w:val="32"/>
        </w:rPr>
        <w:t>（二）讨论和决定本单位下列重大问题。党的路线方针政策、国家法律法规和上级党组织重要会议、重要文件、重大决策部署的贯彻落实事项。需要向上级党组织请示报告的重要事项。内部机构设置、职责、人员编制等事项。重大决策、重要人事任免、重大项目安排、大额资金使用等事项。基层党组织和党员队伍建设方面的重要事项。意识形态工作、思想政治工作和精神文明建设方面的重要事项。党风廉政建设和反腐败工作方面的重要事项，其他应当由党组讨论和决定的重大问题。</w:t>
      </w:r>
    </w:p>
    <w:p w14:paraId="5380ED6F">
      <w:pPr>
        <w:ind w:firstLine="640" w:firstLineChars="200"/>
        <w:rPr>
          <w:rFonts w:hint="eastAsia" w:ascii="仿宋_GB2312" w:eastAsia="仿宋_GB2312"/>
          <w:sz w:val="32"/>
          <w:szCs w:val="32"/>
        </w:rPr>
      </w:pPr>
      <w:r>
        <w:rPr>
          <w:rFonts w:hint="eastAsia" w:ascii="仿宋_GB2312" w:eastAsia="仿宋_GB2312"/>
          <w:sz w:val="32"/>
          <w:szCs w:val="32"/>
        </w:rPr>
        <w:t>（三）贯彻党管干部原则，加强干部队伍建设，完善干部培养选拔机制，加强干部教育管理监督。贯彻党管人才原则，加强人才队伍建设。加强对本单位工会、共青团、妇联等群团工作的领导。</w:t>
      </w:r>
    </w:p>
    <w:p w14:paraId="18CF02C8">
      <w:pPr>
        <w:ind w:firstLine="640" w:firstLineChars="200"/>
        <w:rPr>
          <w:rFonts w:hint="eastAsia" w:ascii="仿宋_GB2312" w:eastAsia="仿宋_GB2312"/>
          <w:sz w:val="32"/>
          <w:szCs w:val="32"/>
          <w:lang w:val="zh-CN"/>
        </w:rPr>
      </w:pPr>
      <w:r>
        <w:rPr>
          <w:rFonts w:hint="eastAsia" w:ascii="仿宋_GB2312" w:eastAsia="仿宋_GB2312"/>
          <w:sz w:val="32"/>
          <w:szCs w:val="32"/>
        </w:rPr>
        <w:t>（四）履行党要管党、从严治党责任，加强对本单位党的建设的领导，落实党建工作责任制。认真履行党风廉政建设主体责任，支持纪检监察机构履行监督责任。</w:t>
      </w:r>
    </w:p>
    <w:p w14:paraId="37C9489D">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预算管理。</w:t>
      </w:r>
    </w:p>
    <w:p w14:paraId="350E80AD">
      <w:pPr>
        <w:ind w:firstLine="640" w:firstLineChars="200"/>
        <w:rPr>
          <w:rFonts w:hint="eastAsia" w:ascii="仿宋_GB2312" w:eastAsia="仿宋_GB2312"/>
          <w:sz w:val="32"/>
          <w:szCs w:val="32"/>
          <w:lang w:val="zh-CN"/>
        </w:rPr>
      </w:pPr>
      <w:r>
        <w:rPr>
          <w:rFonts w:hint="eastAsia" w:ascii="仿宋_GB2312" w:eastAsia="仿宋_GB2312"/>
          <w:sz w:val="32"/>
          <w:szCs w:val="32"/>
          <w:lang w:eastAsia="zh-CN"/>
        </w:rPr>
        <w:t>2024</w:t>
      </w:r>
      <w:r>
        <w:rPr>
          <w:rFonts w:hint="eastAsia" w:ascii="仿宋_GB2312" w:eastAsia="仿宋_GB2312"/>
          <w:sz w:val="32"/>
          <w:szCs w:val="32"/>
        </w:rPr>
        <w:t>年局机关严格按照《预算法》、《阿坝州州级预算绩效目标管理办法》、《预算编制通知》等文件要求，完整编制部门整体绩效目标，合理量化项目绩效目标，准确编制部门预算，支出控制，预算动态调整，按时完成基础库、项目库报送工作，</w:t>
      </w:r>
      <w:r>
        <w:rPr>
          <w:rFonts w:hint="eastAsia" w:ascii="仿宋_GB2312" w:eastAsia="仿宋_GB2312"/>
          <w:sz w:val="32"/>
          <w:szCs w:val="32"/>
          <w:lang w:eastAsia="zh-CN"/>
        </w:rPr>
        <w:t>2024</w:t>
      </w:r>
      <w:r>
        <w:rPr>
          <w:rFonts w:hint="eastAsia" w:ascii="仿宋_GB2312" w:eastAsia="仿宋_GB2312"/>
          <w:sz w:val="32"/>
          <w:szCs w:val="32"/>
        </w:rPr>
        <w:t>年均通过人大预工委的预算草案审核；不涉及转移支付资金，无违规记录。</w:t>
      </w:r>
    </w:p>
    <w:p w14:paraId="2C789678">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财务管理。</w:t>
      </w:r>
    </w:p>
    <w:p w14:paraId="4626DB3F">
      <w:pPr>
        <w:ind w:firstLine="640" w:firstLineChars="200"/>
        <w:rPr>
          <w:rFonts w:hint="eastAsia" w:ascii="仿宋_GB2312" w:eastAsia="仿宋_GB2312"/>
          <w:sz w:val="32"/>
          <w:szCs w:val="32"/>
        </w:rPr>
      </w:pPr>
      <w:r>
        <w:rPr>
          <w:rFonts w:hint="eastAsia" w:ascii="仿宋_GB2312" w:eastAsia="仿宋_GB2312"/>
          <w:sz w:val="32"/>
          <w:szCs w:val="32"/>
        </w:rPr>
        <w:t>我单位办公室下设财务室，设置会计岗位一名，出纳岗位一名，岗位职责明确，并严格实行不相容岗位分离，严格按照阿坝州财政局制度报销各项费用，涉及政府采购严格按照政府采购要求实施采购。</w:t>
      </w:r>
    </w:p>
    <w:p w14:paraId="501B3A55">
      <w:pPr>
        <w:ind w:firstLine="640" w:firstLineChars="200"/>
        <w:rPr>
          <w:rFonts w:hint="eastAsia" w:ascii="仿宋_GB2312" w:eastAsia="仿宋_GB2312"/>
          <w:sz w:val="32"/>
          <w:szCs w:val="32"/>
          <w:lang w:val="zh-CN"/>
        </w:rPr>
      </w:pPr>
      <w:r>
        <w:rPr>
          <w:rFonts w:hint="eastAsia" w:ascii="仿宋_GB2312" w:eastAsia="仿宋_GB2312"/>
          <w:sz w:val="32"/>
          <w:szCs w:val="32"/>
        </w:rPr>
        <w:t>综上，根据评分标准，该项指标不扣分，得4分。</w:t>
      </w:r>
    </w:p>
    <w:p w14:paraId="1C4D93A0">
      <w:pPr>
        <w:ind w:firstLine="640" w:firstLineChars="200"/>
        <w:rPr>
          <w:rFonts w:hint="eastAsia" w:ascii="仿宋_GB2312" w:eastAsia="仿宋_GB2312"/>
          <w:sz w:val="32"/>
          <w:szCs w:val="32"/>
          <w:lang w:val="zh-CN"/>
        </w:rPr>
      </w:pPr>
      <w:r>
        <w:rPr>
          <w:rFonts w:hint="eastAsia" w:ascii="仿宋_GB2312" w:eastAsia="仿宋_GB2312"/>
          <w:sz w:val="32"/>
          <w:szCs w:val="32"/>
        </w:rPr>
        <w:t>4.</w:t>
      </w:r>
      <w:r>
        <w:rPr>
          <w:rFonts w:hint="eastAsia" w:ascii="仿宋_GB2312" w:eastAsia="仿宋_GB2312"/>
          <w:sz w:val="32"/>
          <w:szCs w:val="32"/>
          <w:lang w:val="zh-CN"/>
        </w:rPr>
        <w:t>资产管理。我单位无债务资金、无非税收入；在政府采购实施计划方面，实施计划与政府采购预算、备案计划一致，中期无调整；在资产管理方面，我单位将国有资产纳入资产信息系统管理，按要求及时、准确、全面开展资产清查工作。落实专人负责资产报表，设立资产专员，及时上报资产报表，报表填报规范、内容完整、数据真实；在内部制度管理方面，我单位内部控制制度健全完整并执行良好，</w:t>
      </w:r>
      <w:r>
        <w:rPr>
          <w:rFonts w:hint="eastAsia" w:ascii="仿宋_GB2312" w:eastAsia="仿宋_GB2312"/>
          <w:sz w:val="32"/>
          <w:szCs w:val="32"/>
        </w:rPr>
        <w:t>积极开展内控信息化平台建设工作，确保内部控制覆盖单位经济和业务活动的全范围；在信息公开方面，严格按照要求及时对部门预、决算、绩效信息向社会公开，依法接受财政监督。</w:t>
      </w:r>
    </w:p>
    <w:p w14:paraId="63502F26">
      <w:pPr>
        <w:ind w:firstLine="640" w:firstLineChars="200"/>
        <w:rPr>
          <w:rFonts w:hint="eastAsia" w:ascii="仿宋_GB2312" w:eastAsia="仿宋_GB2312"/>
          <w:sz w:val="32"/>
          <w:szCs w:val="32"/>
        </w:rPr>
      </w:pPr>
      <w:r>
        <w:rPr>
          <w:rFonts w:hint="eastAsia" w:ascii="仿宋_GB2312" w:eastAsia="仿宋_GB2312"/>
          <w:sz w:val="32"/>
          <w:szCs w:val="32"/>
        </w:rPr>
        <w:t>5.</w:t>
      </w:r>
      <w:r>
        <w:rPr>
          <w:rFonts w:hint="eastAsia" w:ascii="仿宋_GB2312" w:eastAsia="仿宋_GB2312"/>
          <w:sz w:val="32"/>
          <w:szCs w:val="32"/>
          <w:lang w:val="zh-CN"/>
        </w:rPr>
        <w:t>采购管理。围绕支持中小企业发展、采购执行率进行绩效分析。</w:t>
      </w:r>
      <w:r>
        <w:rPr>
          <w:rFonts w:hint="eastAsia" w:ascii="仿宋_GB2312" w:eastAsia="仿宋_GB2312"/>
          <w:sz w:val="32"/>
          <w:szCs w:val="32"/>
        </w:rPr>
        <w:t>支持中小企业发展。本单位严格执行政府采购促进中小企业发展相关管理办法，采用部门集中采购的形式进行采购，已预留采购份额专门面向中小企业采购，并在采购预算中单独列示，采购物资均为必需、急需，采购程序合理、合规。</w:t>
      </w:r>
    </w:p>
    <w:p w14:paraId="0D4E6014">
      <w:pPr>
        <w:ind w:firstLine="640" w:firstLineChars="200"/>
        <w:rPr>
          <w:rFonts w:hint="eastAsia" w:ascii="仿宋_GB2312" w:eastAsia="仿宋_GB2312"/>
          <w:sz w:val="32"/>
          <w:szCs w:val="32"/>
          <w:lang w:val="zh-CN"/>
        </w:rPr>
      </w:pPr>
    </w:p>
    <w:p w14:paraId="1FB659FB">
      <w:pPr>
        <w:ind w:firstLine="640" w:firstLineChars="200"/>
        <w:rPr>
          <w:rFonts w:hint="eastAsia" w:ascii="仿宋_GB2312" w:eastAsia="仿宋_GB2312"/>
          <w:sz w:val="32"/>
          <w:szCs w:val="32"/>
        </w:rPr>
      </w:pPr>
      <w:r>
        <w:rPr>
          <w:rFonts w:hint="eastAsia" w:ascii="仿宋_GB2312" w:eastAsia="仿宋_GB2312"/>
          <w:sz w:val="32"/>
          <w:szCs w:val="32"/>
          <w:lang w:val="zh-CN"/>
        </w:rPr>
        <w:t>（二）部门预算项目绩效分析。填报以下数据，并根据部门预算绩效评价指标体系“项目绩效”涉及二、三级指标进行逐项绩效分析并评分，依次包括项目</w:t>
      </w:r>
      <w:r>
        <w:rPr>
          <w:rFonts w:hint="eastAsia" w:ascii="仿宋_GB2312" w:eastAsia="仿宋_GB2312"/>
          <w:sz w:val="32"/>
          <w:szCs w:val="32"/>
        </w:rPr>
        <w:t>决策、项目执行、目标实现等情况。</w:t>
      </w:r>
    </w:p>
    <w:p w14:paraId="50D597A3">
      <w:pPr>
        <w:ind w:firstLine="640" w:firstLineChars="200"/>
        <w:rPr>
          <w:rFonts w:hint="eastAsia" w:ascii="仿宋_GB2312" w:eastAsia="仿宋_GB2312"/>
          <w:sz w:val="32"/>
          <w:szCs w:val="32"/>
          <w:lang w:val="zh-CN"/>
        </w:rPr>
      </w:pPr>
      <w:r>
        <w:rPr>
          <w:rFonts w:hint="eastAsia" w:ascii="仿宋_GB2312" w:eastAsia="仿宋_GB2312"/>
          <w:sz w:val="32"/>
          <w:szCs w:val="32"/>
        </w:rPr>
        <w:t>常年项目绩效分析。</w:t>
      </w:r>
      <w:r>
        <w:rPr>
          <w:rFonts w:hint="eastAsia" w:ascii="仿宋_GB2312" w:eastAsia="仿宋_GB2312"/>
          <w:sz w:val="32"/>
          <w:szCs w:val="32"/>
          <w:lang w:val="zh-CN"/>
        </w:rPr>
        <w:t>该类项目总数</w:t>
      </w:r>
      <w:r>
        <w:rPr>
          <w:rFonts w:hint="eastAsia" w:ascii="仿宋_GB2312" w:eastAsia="仿宋_GB2312"/>
          <w:sz w:val="32"/>
          <w:szCs w:val="32"/>
        </w:rPr>
        <w:t>23</w:t>
      </w:r>
      <w:r>
        <w:rPr>
          <w:rFonts w:hint="eastAsia" w:ascii="仿宋_GB2312" w:eastAsia="仿宋_GB2312"/>
          <w:sz w:val="32"/>
          <w:szCs w:val="32"/>
          <w:lang w:val="zh-CN"/>
        </w:rPr>
        <w:t>个，涉及预算总金额万元，1—1</w:t>
      </w:r>
      <w:r>
        <w:rPr>
          <w:rFonts w:hint="eastAsia" w:ascii="仿宋_GB2312" w:eastAsia="仿宋_GB2312"/>
          <w:sz w:val="32"/>
          <w:szCs w:val="32"/>
        </w:rPr>
        <w:t>2</w:t>
      </w:r>
      <w:r>
        <w:rPr>
          <w:rFonts w:hint="eastAsia" w:ascii="仿宋_GB2312" w:eastAsia="仿宋_GB2312"/>
          <w:sz w:val="32"/>
          <w:szCs w:val="32"/>
          <w:lang w:val="zh-CN"/>
        </w:rPr>
        <w:t>月预算执行总体进度为</w:t>
      </w:r>
      <w:r>
        <w:rPr>
          <w:rFonts w:hint="eastAsia" w:ascii="仿宋_GB2312" w:eastAsia="仿宋_GB2312"/>
          <w:sz w:val="32"/>
          <w:szCs w:val="32"/>
        </w:rPr>
        <w:t>100</w:t>
      </w:r>
      <w:r>
        <w:rPr>
          <w:rFonts w:hint="eastAsia" w:ascii="仿宋_GB2312" w:eastAsia="仿宋_GB2312"/>
          <w:sz w:val="32"/>
          <w:szCs w:val="32"/>
          <w:lang w:val="zh-CN"/>
        </w:rPr>
        <w:t>%，其中：预算结余率大于</w:t>
      </w:r>
      <w:r>
        <w:rPr>
          <w:rFonts w:hint="eastAsia" w:ascii="仿宋_GB2312" w:eastAsia="仿宋_GB2312"/>
          <w:sz w:val="32"/>
          <w:szCs w:val="32"/>
        </w:rPr>
        <w:t>10%</w:t>
      </w:r>
      <w:r>
        <w:rPr>
          <w:rFonts w:hint="eastAsia" w:ascii="仿宋_GB2312" w:eastAsia="仿宋_GB2312"/>
          <w:sz w:val="32"/>
          <w:szCs w:val="32"/>
          <w:lang w:val="zh-CN"/>
        </w:rPr>
        <w:t>的项目共计</w:t>
      </w:r>
      <w:r>
        <w:rPr>
          <w:rFonts w:hint="eastAsia" w:ascii="仿宋_GB2312" w:eastAsia="仿宋_GB2312"/>
          <w:sz w:val="32"/>
          <w:szCs w:val="32"/>
        </w:rPr>
        <w:t>0</w:t>
      </w:r>
      <w:r>
        <w:rPr>
          <w:rFonts w:hint="eastAsia" w:ascii="仿宋_GB2312" w:eastAsia="仿宋_GB2312"/>
          <w:sz w:val="32"/>
          <w:szCs w:val="32"/>
          <w:lang w:val="zh-CN"/>
        </w:rPr>
        <w:t>个。</w:t>
      </w:r>
    </w:p>
    <w:p w14:paraId="029ED851">
      <w:pPr>
        <w:ind w:firstLine="640" w:firstLineChars="200"/>
        <w:rPr>
          <w:rFonts w:hint="eastAsia" w:ascii="仿宋_GB2312" w:eastAsia="仿宋_GB2312"/>
          <w:sz w:val="32"/>
          <w:szCs w:val="32"/>
          <w:lang w:val="zh-CN"/>
        </w:rPr>
      </w:pPr>
      <w:r>
        <w:rPr>
          <w:rFonts w:hint="eastAsia" w:ascii="仿宋_GB2312" w:eastAsia="仿宋_GB2312"/>
          <w:sz w:val="32"/>
          <w:szCs w:val="32"/>
        </w:rPr>
        <w:t>阶段（一次性）项目绩效分析。</w:t>
      </w:r>
      <w:r>
        <w:rPr>
          <w:rFonts w:hint="eastAsia" w:ascii="仿宋_GB2312" w:eastAsia="仿宋_GB2312"/>
          <w:sz w:val="32"/>
          <w:szCs w:val="32"/>
          <w:lang w:val="zh-CN"/>
        </w:rPr>
        <w:t>该类项目总数</w:t>
      </w:r>
      <w:r>
        <w:rPr>
          <w:rFonts w:hint="eastAsia" w:ascii="仿宋_GB2312" w:eastAsia="仿宋_GB2312"/>
          <w:sz w:val="32"/>
          <w:szCs w:val="32"/>
        </w:rPr>
        <w:t>23</w:t>
      </w:r>
      <w:r>
        <w:rPr>
          <w:rFonts w:hint="eastAsia" w:ascii="仿宋_GB2312" w:eastAsia="仿宋_GB2312"/>
          <w:sz w:val="32"/>
          <w:szCs w:val="32"/>
          <w:lang w:val="zh-CN"/>
        </w:rPr>
        <w:t>个，涉及预算总金额</w:t>
      </w:r>
      <w:r>
        <w:rPr>
          <w:rFonts w:hint="eastAsia" w:ascii="仿宋_GB2312" w:eastAsia="仿宋_GB2312"/>
          <w:sz w:val="32"/>
          <w:szCs w:val="32"/>
          <w:lang w:eastAsia="zh-CN"/>
        </w:rPr>
        <w:t>1294.81</w:t>
      </w:r>
      <w:r>
        <w:rPr>
          <w:rFonts w:hint="eastAsia" w:ascii="仿宋_GB2312" w:eastAsia="仿宋_GB2312"/>
          <w:sz w:val="32"/>
          <w:szCs w:val="32"/>
          <w:lang w:val="zh-CN"/>
        </w:rPr>
        <w:t>万元，1—1</w:t>
      </w:r>
      <w:r>
        <w:rPr>
          <w:rFonts w:hint="eastAsia" w:ascii="仿宋_GB2312" w:eastAsia="仿宋_GB2312"/>
          <w:sz w:val="32"/>
          <w:szCs w:val="32"/>
        </w:rPr>
        <w:t>2</w:t>
      </w:r>
      <w:r>
        <w:rPr>
          <w:rFonts w:hint="eastAsia" w:ascii="仿宋_GB2312" w:eastAsia="仿宋_GB2312"/>
          <w:sz w:val="32"/>
          <w:szCs w:val="32"/>
          <w:lang w:val="zh-CN"/>
        </w:rPr>
        <w:t>月预算执行总体进度为</w:t>
      </w:r>
      <w:r>
        <w:rPr>
          <w:rFonts w:hint="eastAsia" w:ascii="仿宋_GB2312" w:eastAsia="仿宋_GB2312"/>
          <w:sz w:val="32"/>
          <w:szCs w:val="32"/>
        </w:rPr>
        <w:t>100</w:t>
      </w:r>
      <w:r>
        <w:rPr>
          <w:rFonts w:hint="eastAsia" w:ascii="仿宋_GB2312" w:eastAsia="仿宋_GB2312"/>
          <w:sz w:val="32"/>
          <w:szCs w:val="32"/>
          <w:lang w:val="zh-CN"/>
        </w:rPr>
        <w:t>%，其中：预算结余率大于</w:t>
      </w:r>
      <w:r>
        <w:rPr>
          <w:rFonts w:hint="eastAsia" w:ascii="仿宋_GB2312" w:eastAsia="仿宋_GB2312"/>
          <w:sz w:val="32"/>
          <w:szCs w:val="32"/>
        </w:rPr>
        <w:t>10%</w:t>
      </w:r>
      <w:r>
        <w:rPr>
          <w:rFonts w:hint="eastAsia" w:ascii="仿宋_GB2312" w:eastAsia="仿宋_GB2312"/>
          <w:sz w:val="32"/>
          <w:szCs w:val="32"/>
          <w:lang w:val="zh-CN"/>
        </w:rPr>
        <w:t>的项目共计</w:t>
      </w:r>
      <w:r>
        <w:rPr>
          <w:rFonts w:hint="eastAsia" w:ascii="仿宋_GB2312" w:eastAsia="仿宋_GB2312"/>
          <w:sz w:val="32"/>
          <w:szCs w:val="32"/>
        </w:rPr>
        <w:t>0</w:t>
      </w:r>
      <w:r>
        <w:rPr>
          <w:rFonts w:hint="eastAsia" w:ascii="仿宋_GB2312" w:eastAsia="仿宋_GB2312"/>
          <w:sz w:val="32"/>
          <w:szCs w:val="32"/>
          <w:lang w:val="zh-CN"/>
        </w:rPr>
        <w:t>个。</w:t>
      </w:r>
    </w:p>
    <w:p w14:paraId="49D0C3AE">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1.</w:t>
      </w:r>
      <w:r>
        <w:rPr>
          <w:rFonts w:hint="eastAsia" w:ascii="仿宋_GB2312" w:eastAsia="仿宋_GB2312"/>
          <w:sz w:val="32"/>
          <w:szCs w:val="32"/>
          <w:lang w:val="zh-CN"/>
        </w:rPr>
        <w:t>项目决策</w:t>
      </w:r>
    </w:p>
    <w:p w14:paraId="02CB0966">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1</w:t>
      </w:r>
      <w:r>
        <w:rPr>
          <w:rFonts w:hint="eastAsia" w:ascii="仿宋_GB2312" w:eastAsia="仿宋_GB2312"/>
          <w:sz w:val="32"/>
          <w:szCs w:val="32"/>
          <w:lang w:val="zh-CN"/>
        </w:rPr>
        <w:t>）决策程序</w:t>
      </w:r>
    </w:p>
    <w:p w14:paraId="7F30C8BB">
      <w:pPr>
        <w:ind w:firstLine="640" w:firstLineChars="200"/>
        <w:rPr>
          <w:rFonts w:hint="eastAsia" w:ascii="仿宋_GB2312" w:eastAsia="仿宋_GB2312"/>
          <w:sz w:val="32"/>
          <w:szCs w:val="32"/>
        </w:rPr>
      </w:pPr>
      <w:r>
        <w:rPr>
          <w:rFonts w:hint="eastAsia" w:ascii="仿宋_GB2312" w:eastAsia="仿宋_GB2312"/>
          <w:sz w:val="32"/>
          <w:szCs w:val="32"/>
        </w:rPr>
        <w:t>根据可执行情况表，本单位预算阶段项目无未履行事前评估程序的部门预算阶段项目。</w:t>
      </w:r>
    </w:p>
    <w:p w14:paraId="46C00845">
      <w:pPr>
        <w:ind w:firstLine="640" w:firstLineChars="200"/>
        <w:rPr>
          <w:rFonts w:hint="eastAsia" w:ascii="仿宋_GB2312" w:eastAsia="仿宋_GB2312"/>
          <w:sz w:val="32"/>
          <w:szCs w:val="32"/>
        </w:rPr>
      </w:pPr>
      <w:r>
        <w:rPr>
          <w:rFonts w:hint="eastAsia" w:ascii="仿宋_GB2312" w:eastAsia="仿宋_GB2312"/>
          <w:sz w:val="32"/>
          <w:szCs w:val="32"/>
        </w:rPr>
        <w:t>综上，根据评分标准，该项指标不扣分，得4分。</w:t>
      </w:r>
    </w:p>
    <w:p w14:paraId="45EDA206">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2</w:t>
      </w:r>
      <w:r>
        <w:rPr>
          <w:rFonts w:hint="eastAsia" w:ascii="仿宋_GB2312" w:eastAsia="仿宋_GB2312"/>
          <w:sz w:val="32"/>
          <w:szCs w:val="32"/>
          <w:lang w:val="zh-CN"/>
        </w:rPr>
        <w:t>）目标设置</w:t>
      </w:r>
    </w:p>
    <w:p w14:paraId="14A3F08A">
      <w:pPr>
        <w:ind w:firstLine="640" w:firstLineChars="200"/>
        <w:rPr>
          <w:rFonts w:hint="eastAsia" w:ascii="仿宋_GB2312" w:eastAsia="仿宋_GB2312"/>
          <w:sz w:val="32"/>
          <w:szCs w:val="32"/>
          <w:lang w:val="zh-CN"/>
        </w:rPr>
      </w:pPr>
      <w:r>
        <w:rPr>
          <w:rFonts w:hint="eastAsia" w:ascii="仿宋_GB2312" w:eastAsia="仿宋_GB2312"/>
          <w:sz w:val="32"/>
          <w:szCs w:val="32"/>
        </w:rPr>
        <w:t>本单位</w:t>
      </w:r>
      <w:r>
        <w:rPr>
          <w:rFonts w:hint="eastAsia" w:ascii="仿宋_GB2312" w:eastAsia="仿宋_GB2312"/>
          <w:sz w:val="32"/>
          <w:szCs w:val="32"/>
          <w:lang w:val="zh-CN"/>
        </w:rPr>
        <w:t>预算阶段项目</w:t>
      </w:r>
      <w:r>
        <w:rPr>
          <w:rFonts w:hint="eastAsia" w:ascii="仿宋_GB2312" w:eastAsia="仿宋_GB2312"/>
          <w:sz w:val="32"/>
          <w:szCs w:val="32"/>
        </w:rPr>
        <w:t>无绩效目标与计划期内的任务量、预算安排不相匹配的部门预算阶段项目。</w:t>
      </w:r>
    </w:p>
    <w:p w14:paraId="57687990">
      <w:pPr>
        <w:ind w:firstLine="640" w:firstLineChars="200"/>
        <w:rPr>
          <w:rFonts w:hint="eastAsia" w:ascii="仿宋_GB2312" w:eastAsia="仿宋_GB2312"/>
          <w:sz w:val="32"/>
          <w:szCs w:val="32"/>
        </w:rPr>
      </w:pPr>
      <w:r>
        <w:rPr>
          <w:rFonts w:hint="eastAsia" w:ascii="仿宋_GB2312" w:eastAsia="仿宋_GB2312"/>
          <w:sz w:val="32"/>
          <w:szCs w:val="32"/>
        </w:rPr>
        <w:t>综上，根据评分标准，该项指标不扣分，得4分。</w:t>
      </w:r>
    </w:p>
    <w:p w14:paraId="675C305D">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3</w:t>
      </w:r>
      <w:r>
        <w:rPr>
          <w:rFonts w:hint="eastAsia" w:ascii="仿宋_GB2312" w:eastAsia="仿宋_GB2312"/>
          <w:sz w:val="32"/>
          <w:szCs w:val="32"/>
          <w:lang w:val="zh-CN"/>
        </w:rPr>
        <w:t>）项目入库</w:t>
      </w:r>
    </w:p>
    <w:p w14:paraId="6AA9785B">
      <w:pPr>
        <w:ind w:firstLine="640" w:firstLineChars="200"/>
        <w:rPr>
          <w:rFonts w:hint="eastAsia" w:ascii="仿宋_GB2312" w:eastAsia="仿宋_GB2312"/>
          <w:sz w:val="32"/>
          <w:szCs w:val="32"/>
        </w:rPr>
      </w:pPr>
      <w:r>
        <w:rPr>
          <w:rFonts w:hint="eastAsia" w:ascii="仿宋_GB2312" w:eastAsia="仿宋_GB2312"/>
          <w:sz w:val="32"/>
          <w:szCs w:val="32"/>
        </w:rPr>
        <w:t>本单位</w:t>
      </w:r>
      <w:r>
        <w:rPr>
          <w:rFonts w:hint="eastAsia" w:ascii="仿宋_GB2312" w:eastAsia="仿宋_GB2312"/>
          <w:sz w:val="32"/>
          <w:szCs w:val="32"/>
          <w:lang w:val="zh-CN"/>
        </w:rPr>
        <w:t>预算阶段项目</w:t>
      </w:r>
      <w:r>
        <w:rPr>
          <w:rFonts w:hint="eastAsia" w:ascii="仿宋_GB2312" w:eastAsia="仿宋_GB2312"/>
          <w:sz w:val="32"/>
          <w:szCs w:val="32"/>
        </w:rPr>
        <w:t>均已在规定时间内入财政库。</w:t>
      </w:r>
    </w:p>
    <w:p w14:paraId="7522D1B9">
      <w:pPr>
        <w:ind w:firstLine="640" w:firstLineChars="200"/>
        <w:rPr>
          <w:rFonts w:hint="eastAsia" w:ascii="仿宋_GB2312" w:eastAsia="仿宋_GB2312"/>
          <w:sz w:val="32"/>
          <w:szCs w:val="32"/>
        </w:rPr>
      </w:pPr>
      <w:r>
        <w:rPr>
          <w:rFonts w:hint="eastAsia" w:ascii="仿宋_GB2312" w:eastAsia="仿宋_GB2312"/>
          <w:sz w:val="32"/>
          <w:szCs w:val="32"/>
        </w:rPr>
        <w:t>综上，根据评分标准，该项指标不扣分，得4分。</w:t>
      </w:r>
    </w:p>
    <w:p w14:paraId="20B3143D">
      <w:pPr>
        <w:ind w:firstLine="640" w:firstLineChars="200"/>
        <w:rPr>
          <w:rFonts w:hint="eastAsia" w:ascii="仿宋_GB2312" w:eastAsia="仿宋_GB2312"/>
          <w:sz w:val="32"/>
          <w:szCs w:val="32"/>
          <w:lang w:val="zh-CN"/>
        </w:rPr>
      </w:pPr>
      <w:r>
        <w:rPr>
          <w:rFonts w:hint="eastAsia" w:ascii="仿宋_GB2312" w:eastAsia="仿宋_GB2312"/>
          <w:sz w:val="32"/>
          <w:szCs w:val="32"/>
        </w:rPr>
        <w:t>2.项目执行</w:t>
      </w:r>
    </w:p>
    <w:p w14:paraId="563F98A0">
      <w:pPr>
        <w:ind w:firstLine="640" w:firstLineChars="200"/>
        <w:rPr>
          <w:rFonts w:hint="eastAsia" w:ascii="仿宋_GB2312" w:eastAsia="仿宋_GB2312"/>
          <w:sz w:val="32"/>
          <w:szCs w:val="32"/>
          <w:lang w:val="zh-CN"/>
        </w:rPr>
      </w:pPr>
      <w:r>
        <w:rPr>
          <w:rFonts w:hint="eastAsia" w:ascii="仿宋_GB2312" w:eastAsia="仿宋_GB2312"/>
          <w:sz w:val="32"/>
          <w:szCs w:val="32"/>
        </w:rPr>
        <w:t>（1）</w:t>
      </w:r>
      <w:r>
        <w:rPr>
          <w:rFonts w:hint="eastAsia" w:ascii="仿宋_GB2312" w:eastAsia="仿宋_GB2312"/>
          <w:sz w:val="32"/>
          <w:szCs w:val="32"/>
          <w:lang w:val="zh-CN"/>
        </w:rPr>
        <w:t>资金执行同向</w:t>
      </w:r>
    </w:p>
    <w:p w14:paraId="4516A586">
      <w:pPr>
        <w:ind w:firstLine="640" w:firstLineChars="200"/>
        <w:rPr>
          <w:rFonts w:hint="eastAsia" w:ascii="仿宋_GB2312" w:eastAsia="仿宋_GB2312"/>
          <w:sz w:val="32"/>
          <w:szCs w:val="32"/>
        </w:rPr>
      </w:pPr>
      <w:r>
        <w:rPr>
          <w:rFonts w:hint="eastAsia" w:ascii="仿宋_GB2312" w:eastAsia="仿宋_GB2312"/>
          <w:sz w:val="32"/>
          <w:szCs w:val="32"/>
        </w:rPr>
        <w:t>本单位</w:t>
      </w:r>
      <w:r>
        <w:rPr>
          <w:rFonts w:hint="eastAsia" w:ascii="仿宋_GB2312" w:eastAsia="仿宋_GB2312"/>
          <w:sz w:val="32"/>
          <w:szCs w:val="32"/>
          <w:lang w:val="zh-CN"/>
        </w:rPr>
        <w:t>预算阶段项目</w:t>
      </w:r>
      <w:r>
        <w:rPr>
          <w:rFonts w:hint="eastAsia" w:ascii="仿宋_GB2312" w:eastAsia="仿宋_GB2312"/>
          <w:sz w:val="32"/>
          <w:szCs w:val="32"/>
        </w:rPr>
        <w:t>无实际列支内容与绩效目标设置方向不相符的部门预算阶段项目。</w:t>
      </w:r>
    </w:p>
    <w:p w14:paraId="769091AC">
      <w:pPr>
        <w:ind w:firstLine="640" w:firstLineChars="200"/>
        <w:rPr>
          <w:rFonts w:hint="eastAsia" w:ascii="仿宋_GB2312" w:eastAsia="仿宋_GB2312"/>
          <w:sz w:val="32"/>
          <w:szCs w:val="32"/>
          <w:lang w:val="zh-CN"/>
        </w:rPr>
      </w:pPr>
      <w:r>
        <w:rPr>
          <w:rFonts w:hint="eastAsia" w:ascii="仿宋_GB2312" w:eastAsia="仿宋_GB2312"/>
          <w:sz w:val="32"/>
          <w:szCs w:val="32"/>
        </w:rPr>
        <w:t>综上，根据评分标准，该项指标不扣分，得4分。</w:t>
      </w:r>
    </w:p>
    <w:p w14:paraId="04A4485B">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2</w:t>
      </w:r>
      <w:r>
        <w:rPr>
          <w:rFonts w:hint="eastAsia" w:ascii="仿宋_GB2312" w:eastAsia="仿宋_GB2312"/>
          <w:sz w:val="32"/>
          <w:szCs w:val="32"/>
          <w:lang w:val="zh-CN"/>
        </w:rPr>
        <w:t>）项目调整</w:t>
      </w:r>
    </w:p>
    <w:p w14:paraId="4D8A6D52">
      <w:pPr>
        <w:ind w:firstLine="640" w:firstLineChars="200"/>
        <w:rPr>
          <w:rFonts w:hint="eastAsia" w:ascii="仿宋_GB2312" w:eastAsia="仿宋_GB2312"/>
          <w:sz w:val="32"/>
          <w:szCs w:val="32"/>
        </w:rPr>
      </w:pPr>
      <w:r>
        <w:rPr>
          <w:rFonts w:hint="eastAsia" w:ascii="仿宋_GB2312" w:eastAsia="仿宋_GB2312"/>
          <w:sz w:val="32"/>
          <w:szCs w:val="32"/>
        </w:rPr>
        <w:t>本单位应采取收回预算、调整目标等处置措施的部门预算项目均按程序进行预算收回和目标调整。</w:t>
      </w:r>
    </w:p>
    <w:p w14:paraId="1AC7BA4B">
      <w:pPr>
        <w:ind w:firstLine="640" w:firstLineChars="200"/>
        <w:rPr>
          <w:rFonts w:hint="eastAsia" w:ascii="仿宋_GB2312" w:eastAsia="仿宋_GB2312"/>
          <w:sz w:val="32"/>
          <w:szCs w:val="32"/>
        </w:rPr>
      </w:pPr>
      <w:r>
        <w:rPr>
          <w:rFonts w:hint="eastAsia" w:ascii="仿宋_GB2312" w:eastAsia="仿宋_GB2312"/>
          <w:sz w:val="32"/>
          <w:szCs w:val="32"/>
        </w:rPr>
        <w:t>综上，根据评分标准，该项指标不扣分，得4分。</w:t>
      </w:r>
    </w:p>
    <w:p w14:paraId="35FA3E20">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3</w:t>
      </w:r>
      <w:r>
        <w:rPr>
          <w:rFonts w:hint="eastAsia" w:ascii="仿宋_GB2312" w:eastAsia="仿宋_GB2312"/>
          <w:sz w:val="32"/>
          <w:szCs w:val="32"/>
          <w:lang w:val="zh-CN"/>
        </w:rPr>
        <w:t>）执行结果</w:t>
      </w:r>
    </w:p>
    <w:p w14:paraId="220535CC">
      <w:pPr>
        <w:ind w:firstLine="640" w:firstLineChars="200"/>
        <w:rPr>
          <w:rFonts w:hint="eastAsia" w:ascii="仿宋_GB2312" w:eastAsia="仿宋_GB2312"/>
          <w:sz w:val="32"/>
          <w:szCs w:val="32"/>
        </w:rPr>
      </w:pPr>
      <w:r>
        <w:rPr>
          <w:rFonts w:hint="eastAsia" w:ascii="仿宋_GB2312" w:eastAsia="仿宋_GB2312"/>
          <w:sz w:val="32"/>
          <w:szCs w:val="32"/>
        </w:rPr>
        <w:t>本单位预算项目预算结余率均小于10%。</w:t>
      </w:r>
    </w:p>
    <w:p w14:paraId="1A8ACE1A">
      <w:pPr>
        <w:ind w:firstLine="640" w:firstLineChars="200"/>
        <w:rPr>
          <w:rFonts w:hint="eastAsia" w:ascii="仿宋_GB2312" w:eastAsia="仿宋_GB2312"/>
          <w:sz w:val="32"/>
          <w:szCs w:val="32"/>
          <w:lang w:val="zh-CN"/>
        </w:rPr>
      </w:pPr>
      <w:r>
        <w:rPr>
          <w:rFonts w:hint="eastAsia" w:ascii="仿宋_GB2312" w:eastAsia="仿宋_GB2312"/>
          <w:sz w:val="32"/>
          <w:szCs w:val="32"/>
        </w:rPr>
        <w:t>综上，根据评分标准，该项指标不扣分，得4分。</w:t>
      </w:r>
    </w:p>
    <w:p w14:paraId="4154753A">
      <w:pPr>
        <w:ind w:firstLine="640" w:firstLineChars="200"/>
        <w:rPr>
          <w:rFonts w:hint="eastAsia" w:ascii="仿宋_GB2312" w:eastAsia="仿宋_GB2312"/>
          <w:sz w:val="32"/>
          <w:szCs w:val="32"/>
          <w:lang w:val="zh-CN"/>
        </w:rPr>
      </w:pPr>
      <w:r>
        <w:rPr>
          <w:rFonts w:hint="eastAsia" w:ascii="仿宋_GB2312" w:eastAsia="仿宋_GB2312"/>
          <w:sz w:val="32"/>
          <w:szCs w:val="32"/>
        </w:rPr>
        <w:t>3.</w:t>
      </w:r>
      <w:r>
        <w:rPr>
          <w:rFonts w:hint="eastAsia" w:ascii="仿宋_GB2312" w:eastAsia="仿宋_GB2312"/>
          <w:sz w:val="32"/>
          <w:szCs w:val="32"/>
          <w:lang w:val="zh-CN"/>
        </w:rPr>
        <w:t>目标实现</w:t>
      </w:r>
    </w:p>
    <w:p w14:paraId="6172B220">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1</w:t>
      </w:r>
      <w:r>
        <w:rPr>
          <w:rFonts w:hint="eastAsia" w:ascii="仿宋_GB2312" w:eastAsia="仿宋_GB2312"/>
          <w:sz w:val="32"/>
          <w:szCs w:val="32"/>
          <w:lang w:val="zh-CN"/>
        </w:rPr>
        <w:t>）目标完成</w:t>
      </w:r>
    </w:p>
    <w:p w14:paraId="448A7271">
      <w:pPr>
        <w:ind w:firstLine="640" w:firstLineChars="200"/>
        <w:rPr>
          <w:rFonts w:hint="eastAsia" w:ascii="仿宋_GB2312" w:eastAsia="仿宋_GB2312"/>
          <w:sz w:val="32"/>
          <w:szCs w:val="32"/>
        </w:rPr>
      </w:pPr>
      <w:r>
        <w:rPr>
          <w:rFonts w:hint="eastAsia" w:ascii="仿宋_GB2312" w:eastAsia="仿宋_GB2312"/>
          <w:sz w:val="32"/>
          <w:szCs w:val="32"/>
        </w:rPr>
        <w:t>本单位</w:t>
      </w:r>
      <w:r>
        <w:rPr>
          <w:rFonts w:hint="eastAsia" w:ascii="仿宋_GB2312" w:eastAsia="仿宋_GB2312"/>
          <w:sz w:val="32"/>
          <w:szCs w:val="32"/>
          <w:lang w:val="zh-CN"/>
        </w:rPr>
        <w:t>预算项目</w:t>
      </w:r>
      <w:r>
        <w:rPr>
          <w:rFonts w:hint="eastAsia" w:ascii="仿宋_GB2312" w:eastAsia="仿宋_GB2312"/>
          <w:sz w:val="32"/>
          <w:szCs w:val="32"/>
        </w:rPr>
        <w:t>均已完成绩效目标数量指标。</w:t>
      </w:r>
    </w:p>
    <w:p w14:paraId="57C76DEE">
      <w:pPr>
        <w:ind w:firstLine="640" w:firstLineChars="200"/>
        <w:rPr>
          <w:rFonts w:hint="eastAsia" w:ascii="仿宋_GB2312" w:eastAsia="仿宋_GB2312"/>
          <w:sz w:val="32"/>
          <w:szCs w:val="32"/>
          <w:lang w:val="zh-CN"/>
        </w:rPr>
      </w:pPr>
      <w:r>
        <w:rPr>
          <w:rFonts w:hint="eastAsia" w:ascii="仿宋_GB2312" w:eastAsia="仿宋_GB2312"/>
          <w:sz w:val="32"/>
          <w:szCs w:val="32"/>
        </w:rPr>
        <w:t>综上，根据评分标准，该项指标不扣分，得4分。</w:t>
      </w:r>
    </w:p>
    <w:p w14:paraId="1FD8DB02">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2</w:t>
      </w:r>
      <w:r>
        <w:rPr>
          <w:rFonts w:hint="eastAsia" w:ascii="仿宋_GB2312" w:eastAsia="仿宋_GB2312"/>
          <w:sz w:val="32"/>
          <w:szCs w:val="32"/>
          <w:lang w:val="zh-CN"/>
        </w:rPr>
        <w:t>）目标偏离</w:t>
      </w:r>
    </w:p>
    <w:p w14:paraId="1107BE4D">
      <w:pPr>
        <w:ind w:firstLine="640" w:firstLineChars="200"/>
        <w:rPr>
          <w:rFonts w:hint="eastAsia" w:ascii="仿宋_GB2312" w:eastAsia="仿宋_GB2312"/>
          <w:sz w:val="32"/>
          <w:szCs w:val="32"/>
        </w:rPr>
      </w:pPr>
      <w:r>
        <w:rPr>
          <w:rFonts w:hint="eastAsia" w:ascii="仿宋_GB2312" w:eastAsia="仿宋_GB2312"/>
          <w:sz w:val="32"/>
          <w:szCs w:val="32"/>
        </w:rPr>
        <w:t>本单位已完成预期指标值的数量指标中偏离度均在30%以内。</w:t>
      </w:r>
    </w:p>
    <w:p w14:paraId="726B9F51">
      <w:pPr>
        <w:ind w:firstLine="640" w:firstLineChars="200"/>
        <w:rPr>
          <w:rFonts w:hint="eastAsia" w:ascii="仿宋_GB2312" w:eastAsia="仿宋_GB2312"/>
          <w:sz w:val="32"/>
          <w:szCs w:val="32"/>
          <w:lang w:val="zh-CN"/>
        </w:rPr>
      </w:pPr>
      <w:r>
        <w:rPr>
          <w:rFonts w:hint="eastAsia" w:ascii="仿宋_GB2312" w:eastAsia="仿宋_GB2312"/>
          <w:sz w:val="32"/>
          <w:szCs w:val="32"/>
        </w:rPr>
        <w:t>综上，根据评分标准，该项指标不扣分，得4分。</w:t>
      </w:r>
    </w:p>
    <w:p w14:paraId="5B26BA5A">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w:t>
      </w:r>
      <w:r>
        <w:rPr>
          <w:rFonts w:hint="eastAsia" w:ascii="仿宋_GB2312" w:eastAsia="仿宋_GB2312"/>
          <w:sz w:val="32"/>
          <w:szCs w:val="32"/>
        </w:rPr>
        <w:t>3</w:t>
      </w:r>
      <w:r>
        <w:rPr>
          <w:rFonts w:hint="eastAsia" w:ascii="仿宋_GB2312" w:eastAsia="仿宋_GB2312"/>
          <w:sz w:val="32"/>
          <w:szCs w:val="32"/>
          <w:lang w:val="zh-CN"/>
        </w:rPr>
        <w:t>）实现效果</w:t>
      </w:r>
    </w:p>
    <w:p w14:paraId="5EC69DE4">
      <w:pPr>
        <w:ind w:firstLine="640" w:firstLineChars="200"/>
        <w:rPr>
          <w:rFonts w:hint="eastAsia" w:ascii="仿宋_GB2312" w:eastAsia="仿宋_GB2312"/>
          <w:sz w:val="32"/>
          <w:szCs w:val="32"/>
        </w:rPr>
      </w:pPr>
      <w:r>
        <w:rPr>
          <w:rFonts w:hint="eastAsia" w:ascii="仿宋_GB2312" w:eastAsia="仿宋_GB2312"/>
          <w:sz w:val="32"/>
          <w:szCs w:val="32"/>
        </w:rPr>
        <w:t>本单位预算项目绩效目标效益指标实施效果较好，均已达到设定指标值。</w:t>
      </w:r>
    </w:p>
    <w:p w14:paraId="5EF665B0">
      <w:pPr>
        <w:ind w:firstLine="640" w:firstLineChars="200"/>
        <w:rPr>
          <w:rFonts w:hint="eastAsia" w:ascii="仿宋_GB2312" w:eastAsia="仿宋_GB2312"/>
          <w:sz w:val="32"/>
          <w:szCs w:val="32"/>
        </w:rPr>
      </w:pPr>
      <w:r>
        <w:rPr>
          <w:rFonts w:hint="eastAsia" w:ascii="仿宋_GB2312" w:eastAsia="仿宋_GB2312"/>
          <w:sz w:val="32"/>
          <w:szCs w:val="32"/>
        </w:rPr>
        <w:t>综上，根据评分标准，该项指标不扣分，得3分。</w:t>
      </w:r>
    </w:p>
    <w:p w14:paraId="38092586">
      <w:pPr>
        <w:ind w:firstLine="640" w:firstLineChars="200"/>
        <w:rPr>
          <w:rFonts w:hint="eastAsia" w:ascii="仿宋_GB2312" w:eastAsia="仿宋_GB2312"/>
          <w:sz w:val="32"/>
          <w:szCs w:val="32"/>
        </w:rPr>
      </w:pPr>
      <w:r>
        <w:rPr>
          <w:rFonts w:hint="eastAsia" w:ascii="仿宋_GB2312" w:eastAsia="仿宋_GB2312"/>
          <w:sz w:val="32"/>
          <w:szCs w:val="32"/>
          <w:lang w:val="zh-CN"/>
        </w:rPr>
        <w:t>（三）重点领域绩效分析。</w:t>
      </w:r>
      <w:r>
        <w:rPr>
          <w:rFonts w:hint="eastAsia" w:ascii="仿宋_GB2312" w:eastAsia="仿宋_GB2312"/>
          <w:sz w:val="32"/>
          <w:szCs w:val="32"/>
        </w:rPr>
        <w:t>无</w:t>
      </w:r>
    </w:p>
    <w:p w14:paraId="40F189BF">
      <w:pPr>
        <w:ind w:firstLine="640" w:firstLineChars="200"/>
        <w:rPr>
          <w:rFonts w:hint="eastAsia" w:ascii="仿宋_GB2312" w:eastAsia="仿宋_GB2312"/>
          <w:sz w:val="32"/>
          <w:szCs w:val="32"/>
        </w:rPr>
      </w:pPr>
      <w:r>
        <w:rPr>
          <w:rFonts w:hint="eastAsia" w:ascii="仿宋_GB2312" w:eastAsia="仿宋_GB2312"/>
          <w:sz w:val="32"/>
          <w:szCs w:val="32"/>
          <w:lang w:val="zh-CN"/>
        </w:rPr>
        <w:t>（四）绩效结果应用情况。围绕内部应用情况、信息公开情况、整改反馈情况进行分析。</w:t>
      </w:r>
      <w:r>
        <w:rPr>
          <w:rFonts w:hint="eastAsia" w:ascii="仿宋_GB2312" w:eastAsia="仿宋_GB2312"/>
          <w:sz w:val="32"/>
          <w:szCs w:val="32"/>
        </w:rPr>
        <w:t>我局准确把握政策，合理编制收入预算。支出预算遵循“及时性、平衡性、真实性、合理性、全口径”的预算原则，按照人员经费按标准、日常公用经费按定额、专项经费按项目的原则分别编制。对预算项目专项资金做到及时分配、专款专用。</w:t>
      </w:r>
      <w:r>
        <w:rPr>
          <w:rFonts w:hint="eastAsia" w:ascii="仿宋_GB2312" w:eastAsia="仿宋_GB2312"/>
          <w:sz w:val="32"/>
          <w:szCs w:val="32"/>
          <w:lang w:eastAsia="zh-CN"/>
        </w:rPr>
        <w:t>2024</w:t>
      </w:r>
      <w:r>
        <w:rPr>
          <w:rFonts w:hint="eastAsia" w:ascii="仿宋_GB2312" w:eastAsia="仿宋_GB2312"/>
          <w:sz w:val="32"/>
          <w:szCs w:val="32"/>
        </w:rPr>
        <w:t>年预算执行进度正常，无注销资金和中期评估调整取消资金。</w:t>
      </w:r>
    </w:p>
    <w:p w14:paraId="2079976B">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在“三公”经费控制方面，我局严格执行厉行节约、反对浪费原则，不断努力压减经费支出，“三公”经费支出均控制在预算内。</w:t>
      </w:r>
      <w:r>
        <w:rPr>
          <w:rFonts w:hint="eastAsia" w:ascii="仿宋_GB2312" w:eastAsia="仿宋_GB2312"/>
          <w:sz w:val="32"/>
          <w:szCs w:val="32"/>
        </w:rPr>
        <w:t>今年我单位进一步加强了对“三公”经费支出的控制监督。对公务接待活动拟定更加严格、更加规范的审批程序。对公务用车的管理也进一步增强，对加油种类、每百公里耗油、停车过路费均进行了严格的审核。</w:t>
      </w:r>
    </w:p>
    <w:p w14:paraId="53EFE4EA">
      <w:pPr>
        <w:ind w:firstLine="640" w:firstLineChars="200"/>
        <w:rPr>
          <w:rFonts w:hint="eastAsia" w:ascii="仿宋_GB2312" w:eastAsia="仿宋_GB2312"/>
          <w:sz w:val="32"/>
          <w:szCs w:val="32"/>
        </w:rPr>
      </w:pPr>
      <w:r>
        <w:rPr>
          <w:rFonts w:hint="eastAsia" w:ascii="仿宋_GB2312" w:eastAsia="仿宋_GB2312"/>
          <w:sz w:val="32"/>
          <w:szCs w:val="32"/>
          <w:lang w:val="zh-CN"/>
        </w:rPr>
        <w:t>我单位无债务资金、无非税收入；在政府采购实施计划方面，实施计划与政府采购预算、备案计划一致，中期无调整；在资产管理方面，我单位将国有资产纳入资产信息系统管理，按要求及时、准确、全面开展资产清查工作。落实专人负责资产报表，设立资产专员，及时上报资产报表，报表填报规范、内容完整、数据真实；在内部制度管理方面，我单位内部控制制度健全完整并执行良好，</w:t>
      </w:r>
      <w:r>
        <w:rPr>
          <w:rFonts w:hint="eastAsia" w:ascii="仿宋_GB2312" w:eastAsia="仿宋_GB2312"/>
          <w:sz w:val="32"/>
          <w:szCs w:val="32"/>
        </w:rPr>
        <w:t>积极开展内控信息化平台建设工作，确保内部控制覆盖单位经济和业务活动的全范围；在信息公开方面，严格按照要求及时对部门预、决算、绩效信息向社会公开，依法接受财政监督。</w:t>
      </w:r>
    </w:p>
    <w:p w14:paraId="31C0D8A9">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从整体情况来看，我局严格按照预算批复执行部门支出，始终坚持现有预算、后有执行、“用钱必问效、无效必问责”的原则。在支出过程中，能严格遵守各项规章制度，尤其是在项目经费支出上，实现专款专用，按项目实施计划的进度情况进行资金拨付，无截留、无挪用等现象。</w:t>
      </w:r>
    </w:p>
    <w:p w14:paraId="2DAC074E">
      <w:pPr>
        <w:ind w:firstLine="640" w:firstLineChars="200"/>
        <w:rPr>
          <w:rFonts w:hint="eastAsia" w:ascii="仿宋_GB2312" w:eastAsia="仿宋_GB2312"/>
          <w:sz w:val="32"/>
          <w:szCs w:val="32"/>
        </w:rPr>
      </w:pPr>
      <w:r>
        <w:rPr>
          <w:rFonts w:hint="eastAsia" w:ascii="仿宋_GB2312" w:eastAsia="仿宋_GB2312"/>
          <w:sz w:val="32"/>
          <w:szCs w:val="32"/>
        </w:rPr>
        <w:t>四、评价结论及建议</w:t>
      </w:r>
    </w:p>
    <w:p w14:paraId="2D4C2745">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（一）评价结论。</w:t>
      </w:r>
    </w:p>
    <w:p w14:paraId="4F7EF30D">
      <w:pPr>
        <w:ind w:firstLine="640" w:firstLineChars="200"/>
        <w:rPr>
          <w:rFonts w:hint="eastAsia" w:ascii="仿宋_GB2312" w:eastAsia="仿宋_GB2312"/>
          <w:sz w:val="32"/>
          <w:szCs w:val="32"/>
        </w:rPr>
      </w:pPr>
      <w:r>
        <w:rPr>
          <w:rFonts w:hint="eastAsia" w:ascii="仿宋_GB2312" w:eastAsia="仿宋_GB2312"/>
          <w:sz w:val="32"/>
          <w:szCs w:val="32"/>
        </w:rPr>
        <w:t xml:space="preserve">按照《阿坝州财政局关于开展2024年州级部门绩效自评工作的通知》（阿州财监绩〔2024〕19号）文件精神，我单位对照《2024年阿坝州部门支出绩效评价指标体系》，秉承客观公正、实事求是的原则开展自评，自评得分92分。    </w:t>
      </w:r>
    </w:p>
    <w:p w14:paraId="6B087639">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（二）存在问题。</w:t>
      </w:r>
    </w:p>
    <w:p w14:paraId="67C67369">
      <w:pPr>
        <w:ind w:firstLine="640" w:firstLineChars="200"/>
        <w:rPr>
          <w:rFonts w:hint="eastAsia" w:ascii="仿宋_GB2312" w:eastAsia="仿宋_GB2312"/>
          <w:sz w:val="32"/>
          <w:szCs w:val="32"/>
        </w:rPr>
      </w:pPr>
      <w:r>
        <w:rPr>
          <w:rFonts w:hint="eastAsia" w:ascii="仿宋_GB2312" w:eastAsia="仿宋_GB2312"/>
          <w:sz w:val="32"/>
          <w:szCs w:val="32"/>
        </w:rPr>
        <w:t>我局</w:t>
      </w:r>
      <w:r>
        <w:rPr>
          <w:rFonts w:hint="eastAsia" w:ascii="仿宋_GB2312" w:eastAsia="仿宋_GB2312"/>
          <w:sz w:val="32"/>
          <w:szCs w:val="32"/>
          <w:lang w:eastAsia="zh-CN"/>
        </w:rPr>
        <w:t>2024</w:t>
      </w:r>
      <w:r>
        <w:rPr>
          <w:rFonts w:hint="eastAsia" w:ascii="仿宋_GB2312" w:eastAsia="仿宋_GB2312"/>
          <w:sz w:val="32"/>
          <w:szCs w:val="32"/>
        </w:rPr>
        <w:t>年部门支出与年初预算基本一致，达到预期绩效目标，但预算编制还需进一步细化。</w:t>
      </w:r>
    </w:p>
    <w:p w14:paraId="4C278E35">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（三）改进建议。</w:t>
      </w:r>
    </w:p>
    <w:p w14:paraId="34047C99">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1.科学合理编制预算。加强预算编制的前瞻性，按照新《预算法》极其实施条例的相关规定，按政策规定及本部门的发展规划，结合上一年度预算执行情况和本年度预算收支变化因素，提高预算编制的科学性、严谨性和可控性。</w:t>
      </w:r>
    </w:p>
    <w:p w14:paraId="4D1BD3FC">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2.严格预算执行。在预算执行中严格按照预算项目进行，不得随意调整和变更预算，确需调剂预算的，按规定程序报经批准，以确保预算的刚性。在资金安全合规的情况下加快预算执行力度。</w:t>
      </w:r>
    </w:p>
    <w:p w14:paraId="64EB5656">
      <w:pPr>
        <w:ind w:firstLine="640" w:firstLineChars="200"/>
        <w:rPr>
          <w:rFonts w:hint="eastAsia" w:ascii="仿宋_GB2312" w:eastAsia="仿宋_GB2312"/>
          <w:sz w:val="32"/>
          <w:szCs w:val="32"/>
          <w:lang w:val="zh-CN"/>
        </w:rPr>
      </w:pPr>
      <w:r>
        <w:rPr>
          <w:rFonts w:hint="eastAsia" w:ascii="仿宋_GB2312" w:eastAsia="仿宋_GB2312"/>
          <w:sz w:val="32"/>
          <w:szCs w:val="32"/>
          <w:lang w:val="zh-CN"/>
        </w:rPr>
        <w:t>3.加强学习培训。我单位</w:t>
      </w:r>
      <w:r>
        <w:rPr>
          <w:rFonts w:hint="eastAsia" w:ascii="仿宋_GB2312" w:eastAsia="仿宋_GB2312"/>
          <w:sz w:val="32"/>
          <w:szCs w:val="32"/>
        </w:rPr>
        <w:t>财务人员应</w:t>
      </w:r>
      <w:r>
        <w:rPr>
          <w:rFonts w:hint="eastAsia" w:ascii="仿宋_GB2312" w:eastAsia="仿宋_GB2312"/>
          <w:sz w:val="32"/>
          <w:szCs w:val="32"/>
          <w:lang w:val="zh-CN"/>
        </w:rPr>
        <w:t>加快加强业务知识、财政政策的培训学习、做好及时进行账务处理。以规范部门预算的收支核算，落实预算执行分析责任，及时了解预算执行差异，合理调整、纠正预算执行偏差，切实提高部门预算收支水平管理。</w:t>
      </w:r>
    </w:p>
    <w:p w14:paraId="011E7631">
      <w:pPr>
        <w:ind w:firstLine="640" w:firstLineChars="200"/>
        <w:rPr>
          <w:rFonts w:hint="eastAsia" w:ascii="仿宋_GB2312" w:eastAsia="仿宋_GB2312"/>
          <w:sz w:val="32"/>
          <w:szCs w:val="32"/>
          <w:lang w:val="zh-CN"/>
        </w:rPr>
      </w:pPr>
    </w:p>
    <w:p w14:paraId="028BB1FD">
      <w:pPr>
        <w:ind w:firstLine="640" w:firstLineChars="200"/>
      </w:pPr>
      <w:r>
        <w:rPr>
          <w:rFonts w:hint="eastAsia" w:ascii="仿宋_GB2312" w:eastAsia="仿宋_GB2312"/>
          <w:sz w:val="32"/>
          <w:szCs w:val="32"/>
        </w:rPr>
        <w:t>附表：部门整体支出绩效目标完成情况自评表</w:t>
      </w:r>
      <w:r>
        <w:rPr>
          <w:rFonts w:hint="eastAsia" w:ascii="仿宋_GB2312" w:eastAsia="仿宋_GB2312"/>
          <w:sz w:val="32"/>
          <w:szCs w:val="32"/>
        </w:rPr>
        <w:br w:type="page"/>
      </w:r>
      <w:r>
        <w:rPr>
          <w:rFonts w:hint="eastAsia" w:ascii="黑体" w:hAnsi="黑体" w:eastAsia="黑体" w:cs="黑体"/>
        </w:rPr>
        <w:t>附表</w:t>
      </w:r>
    </w:p>
    <w:tbl>
      <w:tblPr>
        <w:tblStyle w:val="16"/>
        <w:tblW w:w="10560" w:type="dxa"/>
        <w:jc w:val="center"/>
        <w:tblLayout w:type="fixed"/>
        <w:tblCellMar>
          <w:top w:w="15" w:type="dxa"/>
          <w:left w:w="15" w:type="dxa"/>
          <w:bottom w:w="15" w:type="dxa"/>
          <w:right w:w="15" w:type="dxa"/>
        </w:tblCellMar>
      </w:tblPr>
      <w:tblGrid>
        <w:gridCol w:w="1308"/>
        <w:gridCol w:w="1347"/>
        <w:gridCol w:w="1273"/>
        <w:gridCol w:w="1100"/>
        <w:gridCol w:w="1145"/>
        <w:gridCol w:w="1289"/>
        <w:gridCol w:w="1058"/>
        <w:gridCol w:w="926"/>
        <w:gridCol w:w="1114"/>
      </w:tblGrid>
      <w:tr w14:paraId="3F307756">
        <w:tblPrEx>
          <w:tblCellMar>
            <w:top w:w="15" w:type="dxa"/>
            <w:left w:w="15" w:type="dxa"/>
            <w:bottom w:w="15" w:type="dxa"/>
            <w:right w:w="15" w:type="dxa"/>
          </w:tblCellMar>
        </w:tblPrEx>
        <w:trPr>
          <w:trHeight w:val="762" w:hRule="exact"/>
          <w:jc w:val="center"/>
        </w:trPr>
        <w:tc>
          <w:tcPr>
            <w:tcW w:w="10560" w:type="dxa"/>
            <w:gridSpan w:val="9"/>
            <w:shd w:val="clear" w:color="auto" w:fill="auto"/>
            <w:vAlign w:val="center"/>
          </w:tcPr>
          <w:p w14:paraId="7FEFB14A">
            <w:pPr>
              <w:widowControl/>
              <w:spacing w:line="600" w:lineRule="exact"/>
              <w:jc w:val="center"/>
              <w:textAlignment w:val="center"/>
              <w:rPr>
                <w:rFonts w:eastAsia="黑体"/>
                <w:color w:val="000000"/>
                <w:sz w:val="28"/>
                <w:szCs w:val="28"/>
              </w:rPr>
            </w:pPr>
            <w:r>
              <w:rPr>
                <w:rFonts w:eastAsia="方正小标宋简体"/>
                <w:color w:val="000000"/>
                <w:kern w:val="0"/>
                <w:sz w:val="44"/>
                <w:szCs w:val="44"/>
              </w:rPr>
              <w:t>部门整体支出绩效目标完成情况自评表</w:t>
            </w:r>
          </w:p>
        </w:tc>
      </w:tr>
      <w:tr w14:paraId="0B4F4341">
        <w:tblPrEx>
          <w:tblCellMar>
            <w:top w:w="15" w:type="dxa"/>
            <w:left w:w="15" w:type="dxa"/>
            <w:bottom w:w="15" w:type="dxa"/>
            <w:right w:w="15" w:type="dxa"/>
          </w:tblCellMar>
        </w:tblPrEx>
        <w:trPr>
          <w:trHeight w:val="23" w:hRule="atLeast"/>
          <w:jc w:val="center"/>
        </w:trPr>
        <w:tc>
          <w:tcPr>
            <w:tcW w:w="10560" w:type="dxa"/>
            <w:gridSpan w:val="9"/>
            <w:shd w:val="clear" w:color="auto" w:fill="auto"/>
            <w:vAlign w:val="center"/>
          </w:tcPr>
          <w:p w14:paraId="1671BB0A">
            <w:pPr>
              <w:widowControl/>
              <w:spacing w:line="300" w:lineRule="exact"/>
              <w:jc w:val="center"/>
              <w:textAlignment w:val="center"/>
              <w:rPr>
                <w:rFonts w:eastAsia="宋体"/>
                <w:color w:val="000000"/>
                <w:sz w:val="28"/>
                <w:szCs w:val="28"/>
              </w:rPr>
            </w:pPr>
            <w:r>
              <w:rPr>
                <w:rFonts w:eastAsia="宋体"/>
                <w:color w:val="000000"/>
                <w:kern w:val="0"/>
                <w:sz w:val="28"/>
                <w:szCs w:val="28"/>
              </w:rPr>
              <w:t>（</w:t>
            </w:r>
            <w:r>
              <w:rPr>
                <w:rFonts w:hint="eastAsia"/>
                <w:color w:val="000000"/>
                <w:kern w:val="0"/>
                <w:sz w:val="28"/>
                <w:szCs w:val="28"/>
                <w:lang w:eastAsia="zh-CN"/>
              </w:rPr>
              <w:t>2024</w:t>
            </w:r>
            <w:r>
              <w:rPr>
                <w:rFonts w:eastAsia="宋体"/>
                <w:color w:val="000000"/>
                <w:kern w:val="0"/>
                <w:sz w:val="28"/>
                <w:szCs w:val="28"/>
              </w:rPr>
              <w:t>年度）</w:t>
            </w:r>
          </w:p>
        </w:tc>
      </w:tr>
      <w:tr w14:paraId="1C7EA7E9">
        <w:tblPrEx>
          <w:tblCellMar>
            <w:top w:w="15" w:type="dxa"/>
            <w:left w:w="15" w:type="dxa"/>
            <w:bottom w:w="15" w:type="dxa"/>
            <w:right w:w="15" w:type="dxa"/>
          </w:tblCellMar>
        </w:tblPrEx>
        <w:trPr>
          <w:trHeight w:val="23" w:hRule="atLeast"/>
          <w:jc w:val="center"/>
        </w:trPr>
        <w:tc>
          <w:tcPr>
            <w:tcW w:w="10560" w:type="dxa"/>
            <w:gridSpan w:val="9"/>
            <w:tcBorders>
              <w:bottom w:val="single" w:color="000000" w:sz="4" w:space="0"/>
            </w:tcBorders>
            <w:shd w:val="clear" w:color="auto" w:fill="auto"/>
            <w:vAlign w:val="center"/>
          </w:tcPr>
          <w:p w14:paraId="115AB7FE">
            <w:pPr>
              <w:widowControl/>
              <w:spacing w:line="300" w:lineRule="exact"/>
              <w:jc w:val="right"/>
              <w:textAlignment w:val="center"/>
              <w:rPr>
                <w:rFonts w:eastAsia="宋体"/>
                <w:color w:val="000000"/>
                <w:sz w:val="21"/>
                <w:szCs w:val="21"/>
              </w:rPr>
            </w:pPr>
            <w:r>
              <w:rPr>
                <w:rFonts w:eastAsia="宋体"/>
                <w:color w:val="000000"/>
                <w:kern w:val="0"/>
                <w:sz w:val="21"/>
                <w:szCs w:val="21"/>
              </w:rPr>
              <w:t>单位：万元</w:t>
            </w:r>
          </w:p>
        </w:tc>
      </w:tr>
      <w:tr w14:paraId="451C608D">
        <w:tblPrEx>
          <w:tblCellMar>
            <w:top w:w="15" w:type="dxa"/>
            <w:left w:w="15" w:type="dxa"/>
            <w:bottom w:w="15" w:type="dxa"/>
            <w:right w:w="15" w:type="dxa"/>
          </w:tblCellMar>
        </w:tblPrEx>
        <w:trPr>
          <w:trHeight w:val="23" w:hRule="atLeast"/>
          <w:jc w:val="center"/>
        </w:trPr>
        <w:tc>
          <w:tcPr>
            <w:tcW w:w="39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B161FA1">
            <w:pPr>
              <w:widowControl/>
              <w:spacing w:line="300" w:lineRule="exact"/>
              <w:jc w:val="center"/>
              <w:textAlignment w:val="center"/>
              <w:rPr>
                <w:rFonts w:eastAsia="宋体"/>
                <w:color w:val="000000"/>
                <w:sz w:val="24"/>
              </w:rPr>
            </w:pPr>
            <w:r>
              <w:rPr>
                <w:rFonts w:eastAsia="宋体"/>
                <w:color w:val="000000"/>
                <w:kern w:val="0"/>
                <w:sz w:val="24"/>
              </w:rPr>
              <w:t>部门名称</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C6147F2">
            <w:pPr>
              <w:widowControl/>
              <w:spacing w:line="300" w:lineRule="exact"/>
              <w:jc w:val="center"/>
              <w:textAlignment w:val="center"/>
              <w:rPr>
                <w:rFonts w:eastAsia="宋体"/>
                <w:color w:val="000000"/>
                <w:sz w:val="24"/>
              </w:rPr>
            </w:pPr>
            <w:r>
              <w:rPr>
                <w:rFonts w:eastAsia="宋体"/>
                <w:color w:val="000000"/>
                <w:kern w:val="0"/>
                <w:sz w:val="24"/>
              </w:rPr>
              <w:t>XXXX</w:t>
            </w:r>
          </w:p>
        </w:tc>
      </w:tr>
      <w:tr w14:paraId="60397A22">
        <w:tblPrEx>
          <w:tblCellMar>
            <w:top w:w="15" w:type="dxa"/>
            <w:left w:w="15" w:type="dxa"/>
            <w:bottom w:w="15" w:type="dxa"/>
            <w:right w:w="15" w:type="dxa"/>
          </w:tblCellMar>
        </w:tblPrEx>
        <w:trPr>
          <w:trHeight w:val="23" w:hRule="atLeast"/>
          <w:jc w:val="center"/>
        </w:trPr>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7C442D">
            <w:pPr>
              <w:widowControl/>
              <w:spacing w:line="300" w:lineRule="exact"/>
              <w:jc w:val="center"/>
              <w:textAlignment w:val="center"/>
              <w:rPr>
                <w:rFonts w:eastAsia="宋体"/>
                <w:color w:val="000000"/>
                <w:sz w:val="24"/>
              </w:rPr>
            </w:pPr>
            <w:r>
              <w:rPr>
                <w:rFonts w:eastAsia="宋体"/>
                <w:color w:val="000000"/>
                <w:kern w:val="0"/>
                <w:sz w:val="24"/>
              </w:rPr>
              <w:t>年度部门整体支出预算</w:t>
            </w: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CAF4668">
            <w:pPr>
              <w:widowControl/>
              <w:spacing w:line="300" w:lineRule="exact"/>
              <w:jc w:val="center"/>
              <w:textAlignment w:val="center"/>
              <w:rPr>
                <w:rFonts w:eastAsia="宋体"/>
                <w:color w:val="000000"/>
                <w:sz w:val="24"/>
              </w:rPr>
            </w:pPr>
            <w:r>
              <w:rPr>
                <w:rFonts w:eastAsia="宋体"/>
                <w:color w:val="000000"/>
                <w:kern w:val="0"/>
                <w:sz w:val="24"/>
              </w:rPr>
              <w:t>资金总额</w:t>
            </w:r>
          </w:p>
        </w:tc>
        <w:tc>
          <w:tcPr>
            <w:tcW w:w="2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0B53308">
            <w:pPr>
              <w:widowControl/>
              <w:spacing w:line="300" w:lineRule="exact"/>
              <w:jc w:val="center"/>
              <w:textAlignment w:val="center"/>
              <w:rPr>
                <w:rFonts w:eastAsia="宋体"/>
                <w:color w:val="000000"/>
                <w:sz w:val="24"/>
              </w:rPr>
            </w:pPr>
            <w:r>
              <w:rPr>
                <w:rFonts w:eastAsia="宋体"/>
                <w:color w:val="000000"/>
                <w:kern w:val="0"/>
                <w:sz w:val="24"/>
              </w:rPr>
              <w:t>财政拨款</w:t>
            </w:r>
          </w:p>
        </w:tc>
        <w:tc>
          <w:tcPr>
            <w:tcW w:w="43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4B2BF8E0">
            <w:pPr>
              <w:widowControl/>
              <w:spacing w:line="300" w:lineRule="exact"/>
              <w:jc w:val="center"/>
              <w:textAlignment w:val="center"/>
              <w:rPr>
                <w:rFonts w:eastAsia="宋体"/>
                <w:color w:val="000000"/>
                <w:sz w:val="24"/>
              </w:rPr>
            </w:pPr>
            <w:r>
              <w:rPr>
                <w:rFonts w:eastAsia="宋体"/>
                <w:color w:val="000000"/>
                <w:kern w:val="0"/>
                <w:sz w:val="24"/>
              </w:rPr>
              <w:t>其他资金</w:t>
            </w:r>
          </w:p>
        </w:tc>
      </w:tr>
      <w:tr w14:paraId="42484499">
        <w:tblPrEx>
          <w:tblCellMar>
            <w:top w:w="15" w:type="dxa"/>
            <w:left w:w="15" w:type="dxa"/>
            <w:bottom w:w="15" w:type="dxa"/>
            <w:right w:w="15" w:type="dxa"/>
          </w:tblCellMar>
        </w:tblPrEx>
        <w:trPr>
          <w:trHeight w:val="23" w:hRule="atLeast"/>
          <w:jc w:val="center"/>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326AEA">
            <w:pPr>
              <w:widowControl/>
              <w:spacing w:line="300" w:lineRule="exact"/>
              <w:jc w:val="center"/>
              <w:rPr>
                <w:rFonts w:eastAsia="宋体"/>
                <w:color w:val="000000"/>
                <w:sz w:val="24"/>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395D723">
            <w:pPr>
              <w:widowControl/>
              <w:spacing w:line="300" w:lineRule="exact"/>
              <w:jc w:val="center"/>
              <w:textAlignment w:val="center"/>
              <w:rPr>
                <w:rFonts w:eastAsia="宋体"/>
                <w:color w:val="000000"/>
                <w:sz w:val="24"/>
              </w:rPr>
            </w:pPr>
            <w:r>
              <w:rPr>
                <w:rFonts w:eastAsia="宋体"/>
                <w:color w:val="000000"/>
                <w:kern w:val="0"/>
                <w:sz w:val="24"/>
              </w:rPr>
              <w:t>32273765.51</w:t>
            </w:r>
          </w:p>
        </w:tc>
        <w:tc>
          <w:tcPr>
            <w:tcW w:w="22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1F375CD">
            <w:pPr>
              <w:widowControl/>
              <w:spacing w:line="300" w:lineRule="exact"/>
              <w:jc w:val="center"/>
              <w:textAlignment w:val="center"/>
              <w:rPr>
                <w:rFonts w:eastAsia="宋体"/>
                <w:color w:val="000000"/>
                <w:sz w:val="24"/>
              </w:rPr>
            </w:pPr>
            <w:r>
              <w:rPr>
                <w:rFonts w:eastAsia="宋体"/>
                <w:color w:val="000000"/>
                <w:kern w:val="0"/>
                <w:sz w:val="24"/>
              </w:rPr>
              <w:t>32273765.51</w:t>
            </w:r>
          </w:p>
        </w:tc>
        <w:tc>
          <w:tcPr>
            <w:tcW w:w="4387"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3550A93">
            <w:pPr>
              <w:widowControl/>
              <w:spacing w:line="300" w:lineRule="exact"/>
              <w:jc w:val="center"/>
              <w:textAlignment w:val="center"/>
              <w:rPr>
                <w:rFonts w:eastAsia="宋体"/>
                <w:color w:val="000000"/>
                <w:sz w:val="24"/>
              </w:rPr>
            </w:pPr>
            <w:r>
              <w:rPr>
                <w:rFonts w:hint="eastAsia" w:eastAsia="宋体"/>
                <w:color w:val="000000"/>
                <w:kern w:val="0"/>
                <w:sz w:val="24"/>
              </w:rPr>
              <w:t>0</w:t>
            </w:r>
          </w:p>
        </w:tc>
      </w:tr>
      <w:tr w14:paraId="72A746FB">
        <w:tblPrEx>
          <w:tblCellMar>
            <w:top w:w="15" w:type="dxa"/>
            <w:left w:w="15" w:type="dxa"/>
            <w:bottom w:w="15" w:type="dxa"/>
            <w:right w:w="15" w:type="dxa"/>
          </w:tblCellMar>
        </w:tblPrEx>
        <w:trPr>
          <w:trHeight w:val="23" w:hRule="atLeast"/>
          <w:jc w:val="center"/>
        </w:trPr>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ECD2C">
            <w:pPr>
              <w:widowControl/>
              <w:spacing w:line="300" w:lineRule="exact"/>
              <w:jc w:val="center"/>
              <w:textAlignment w:val="center"/>
              <w:rPr>
                <w:rFonts w:eastAsia="宋体"/>
                <w:color w:val="000000"/>
                <w:kern w:val="0"/>
                <w:sz w:val="24"/>
              </w:rPr>
            </w:pPr>
            <w:r>
              <w:rPr>
                <w:rFonts w:eastAsia="宋体"/>
                <w:color w:val="000000"/>
                <w:kern w:val="0"/>
                <w:sz w:val="24"/>
              </w:rPr>
              <w:t>年度总体</w:t>
            </w:r>
          </w:p>
          <w:p w14:paraId="3E14E7F5">
            <w:pPr>
              <w:widowControl/>
              <w:spacing w:line="300" w:lineRule="exact"/>
              <w:jc w:val="center"/>
              <w:textAlignment w:val="center"/>
              <w:rPr>
                <w:rFonts w:eastAsia="宋体"/>
                <w:color w:val="000000"/>
                <w:sz w:val="24"/>
              </w:rPr>
            </w:pPr>
            <w:r>
              <w:rPr>
                <w:rFonts w:eastAsia="宋体"/>
                <w:color w:val="000000"/>
                <w:kern w:val="0"/>
                <w:sz w:val="24"/>
              </w:rPr>
              <w:t>目标</w:t>
            </w:r>
          </w:p>
        </w:tc>
        <w:tc>
          <w:tcPr>
            <w:tcW w:w="9252"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7BE5DBE">
            <w:pPr>
              <w:widowControl/>
              <w:spacing w:line="300" w:lineRule="exact"/>
              <w:jc w:val="left"/>
              <w:textAlignment w:val="center"/>
              <w:rPr>
                <w:rFonts w:eastAsia="宋体"/>
                <w:color w:val="000000"/>
                <w:sz w:val="24"/>
              </w:rPr>
            </w:pPr>
            <w:r>
              <w:rPr>
                <w:rFonts w:hint="eastAsia" w:eastAsia="宋体"/>
                <w:color w:val="000000"/>
                <w:kern w:val="0"/>
                <w:sz w:val="24"/>
              </w:rPr>
              <w:t>按分工负责政府非税收入管理。负责政府性基金管理,按规定管理行政事业性收费等其他非税收入。组织制定全州国库管理制度、国库集中收付制度,指导和监督国库业务,开展国库现金管理工作。负责审核并汇总编制全州国有资本经营预决算草案。制定国有资本经营预算制度和办法,收取州本级企业国有资本收益。组织实施企业财务制度,负责财政预算内行政事业单位和社会团体的非贸易外汇和财政预算内的国际收支管理。会计人员规范管理;财政其他工作编制年度州级预决算草案并组织执行。顺利完成财政各项收支组织制定经费开支标准、定额,审核批复部门(单位)年度预决算。受州政府委托,向州人大及其常委会报告财政预算、执行和决算等情况国库管理工作;</w:t>
            </w:r>
          </w:p>
        </w:tc>
      </w:tr>
      <w:tr w14:paraId="27BAE699">
        <w:tblPrEx>
          <w:tblCellMar>
            <w:top w:w="15" w:type="dxa"/>
            <w:left w:w="15" w:type="dxa"/>
            <w:bottom w:w="15" w:type="dxa"/>
            <w:right w:w="15" w:type="dxa"/>
          </w:tblCellMar>
        </w:tblPrEx>
        <w:trPr>
          <w:trHeight w:val="23" w:hRule="atLeast"/>
          <w:jc w:val="center"/>
        </w:trPr>
        <w:tc>
          <w:tcPr>
            <w:tcW w:w="1308" w:type="dxa"/>
            <w:vMerge w:val="restart"/>
            <w:tcBorders>
              <w:top w:val="single" w:color="000000" w:sz="4" w:space="0"/>
              <w:left w:val="single" w:color="000000" w:sz="4" w:space="0"/>
              <w:right w:val="single" w:color="000000" w:sz="4" w:space="0"/>
            </w:tcBorders>
            <w:shd w:val="clear" w:color="auto" w:fill="auto"/>
            <w:vAlign w:val="center"/>
          </w:tcPr>
          <w:p w14:paraId="48E5C157">
            <w:pPr>
              <w:widowControl/>
              <w:spacing w:line="300" w:lineRule="exact"/>
              <w:jc w:val="center"/>
              <w:textAlignment w:val="center"/>
              <w:rPr>
                <w:rFonts w:eastAsia="宋体"/>
                <w:color w:val="000000"/>
                <w:kern w:val="0"/>
                <w:sz w:val="24"/>
              </w:rPr>
            </w:pPr>
            <w:r>
              <w:rPr>
                <w:rFonts w:eastAsia="宋体"/>
                <w:color w:val="000000"/>
                <w:kern w:val="0"/>
                <w:sz w:val="24"/>
              </w:rPr>
              <w:t>年度主要</w:t>
            </w:r>
          </w:p>
          <w:p w14:paraId="7C070F0B">
            <w:pPr>
              <w:widowControl/>
              <w:spacing w:line="300" w:lineRule="exact"/>
              <w:jc w:val="center"/>
              <w:textAlignment w:val="center"/>
              <w:rPr>
                <w:rFonts w:eastAsia="宋体"/>
                <w:color w:val="000000"/>
                <w:sz w:val="24"/>
              </w:rPr>
            </w:pPr>
            <w:r>
              <w:rPr>
                <w:rFonts w:eastAsia="宋体"/>
                <w:color w:val="000000"/>
                <w:kern w:val="0"/>
                <w:sz w:val="24"/>
              </w:rPr>
              <w:t>任务</w:t>
            </w: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5F9F343">
            <w:pPr>
              <w:widowControl/>
              <w:spacing w:line="300" w:lineRule="exact"/>
              <w:jc w:val="center"/>
              <w:textAlignment w:val="center"/>
              <w:rPr>
                <w:rFonts w:eastAsia="宋体"/>
                <w:color w:val="000000"/>
                <w:sz w:val="24"/>
              </w:rPr>
            </w:pPr>
            <w:r>
              <w:rPr>
                <w:rFonts w:eastAsia="宋体"/>
                <w:color w:val="000000"/>
                <w:kern w:val="0"/>
                <w:sz w:val="24"/>
              </w:rPr>
              <w:t>任务名称</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39459CCF">
            <w:pPr>
              <w:widowControl/>
              <w:spacing w:line="300" w:lineRule="exact"/>
              <w:jc w:val="center"/>
              <w:textAlignment w:val="center"/>
              <w:rPr>
                <w:rFonts w:eastAsia="宋体"/>
                <w:color w:val="000000"/>
                <w:sz w:val="24"/>
              </w:rPr>
            </w:pPr>
            <w:r>
              <w:rPr>
                <w:rFonts w:eastAsia="宋体"/>
                <w:color w:val="000000"/>
                <w:kern w:val="0"/>
                <w:sz w:val="24"/>
              </w:rPr>
              <w:t>主要内容</w:t>
            </w:r>
          </w:p>
        </w:tc>
      </w:tr>
      <w:tr w14:paraId="18B94185">
        <w:tblPrEx>
          <w:tblCellMar>
            <w:top w:w="15" w:type="dxa"/>
            <w:left w:w="15" w:type="dxa"/>
            <w:bottom w:w="15" w:type="dxa"/>
            <w:right w:w="15" w:type="dxa"/>
          </w:tblCellMar>
        </w:tblPrEx>
        <w:trPr>
          <w:trHeight w:val="23" w:hRule="atLeast"/>
          <w:jc w:val="center"/>
        </w:trPr>
        <w:tc>
          <w:tcPr>
            <w:tcW w:w="1308" w:type="dxa"/>
            <w:vMerge w:val="continue"/>
            <w:tcBorders>
              <w:left w:val="single" w:color="000000" w:sz="4" w:space="0"/>
              <w:right w:val="single" w:color="000000" w:sz="4" w:space="0"/>
            </w:tcBorders>
            <w:shd w:val="clear" w:color="auto" w:fill="auto"/>
            <w:vAlign w:val="center"/>
          </w:tcPr>
          <w:p w14:paraId="52176FA4">
            <w:pPr>
              <w:widowControl/>
              <w:spacing w:line="300" w:lineRule="exact"/>
              <w:jc w:val="center"/>
              <w:rPr>
                <w:rFonts w:eastAsia="宋体"/>
                <w:color w:val="000000"/>
                <w:sz w:val="24"/>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71ADBB7">
            <w:pPr>
              <w:widowControl/>
              <w:spacing w:line="300" w:lineRule="exact"/>
              <w:jc w:val="left"/>
              <w:textAlignment w:val="center"/>
              <w:rPr>
                <w:rFonts w:eastAsia="宋体"/>
                <w:color w:val="000000"/>
                <w:sz w:val="24"/>
              </w:rPr>
            </w:pPr>
            <w:r>
              <w:rPr>
                <w:rFonts w:hint="eastAsia" w:eastAsia="宋体"/>
                <w:color w:val="000000"/>
                <w:kern w:val="0"/>
                <w:sz w:val="24"/>
              </w:rPr>
              <w:t>加强财政资金统筹，增强保障支撑能力</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3B5B247">
            <w:pPr>
              <w:widowControl/>
              <w:spacing w:line="300" w:lineRule="exact"/>
              <w:jc w:val="left"/>
              <w:textAlignment w:val="center"/>
              <w:rPr>
                <w:rFonts w:eastAsia="宋体"/>
                <w:color w:val="000000"/>
                <w:sz w:val="24"/>
              </w:rPr>
            </w:pPr>
            <w:r>
              <w:rPr>
                <w:rFonts w:hint="eastAsia" w:eastAsia="宋体"/>
                <w:color w:val="000000"/>
                <w:kern w:val="0"/>
                <w:sz w:val="24"/>
              </w:rPr>
              <w:t>支持全州13个县（市）环节财政减收增支压力，保障基层稳定运转</w:t>
            </w:r>
          </w:p>
        </w:tc>
      </w:tr>
      <w:tr w14:paraId="543382E6">
        <w:tblPrEx>
          <w:tblCellMar>
            <w:top w:w="15" w:type="dxa"/>
            <w:left w:w="15" w:type="dxa"/>
            <w:bottom w:w="15" w:type="dxa"/>
            <w:right w:w="15" w:type="dxa"/>
          </w:tblCellMar>
        </w:tblPrEx>
        <w:trPr>
          <w:trHeight w:val="23" w:hRule="atLeast"/>
          <w:jc w:val="center"/>
        </w:trPr>
        <w:tc>
          <w:tcPr>
            <w:tcW w:w="1308" w:type="dxa"/>
            <w:vMerge w:val="continue"/>
            <w:tcBorders>
              <w:left w:val="single" w:color="000000" w:sz="4" w:space="0"/>
              <w:right w:val="single" w:color="000000" w:sz="4" w:space="0"/>
            </w:tcBorders>
            <w:shd w:val="clear" w:color="auto" w:fill="auto"/>
            <w:vAlign w:val="center"/>
          </w:tcPr>
          <w:p w14:paraId="068DBB80">
            <w:pPr>
              <w:widowControl/>
              <w:spacing w:line="300" w:lineRule="exact"/>
              <w:jc w:val="center"/>
              <w:rPr>
                <w:rFonts w:eastAsia="宋体"/>
                <w:color w:val="000000"/>
                <w:sz w:val="24"/>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03830C">
            <w:pPr>
              <w:widowControl/>
              <w:spacing w:line="300" w:lineRule="exact"/>
              <w:jc w:val="left"/>
              <w:rPr>
                <w:rFonts w:eastAsia="宋体"/>
                <w:color w:val="000000"/>
                <w:sz w:val="24"/>
              </w:rPr>
            </w:pPr>
            <w:r>
              <w:rPr>
                <w:rFonts w:hint="eastAsia" w:eastAsia="宋体"/>
                <w:color w:val="000000"/>
                <w:sz w:val="24"/>
              </w:rPr>
              <w:t>充分发挥财政职能，支持抗震救灾和灾后重建</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DCC2042">
            <w:pPr>
              <w:widowControl/>
              <w:spacing w:line="300" w:lineRule="exact"/>
              <w:jc w:val="left"/>
              <w:rPr>
                <w:rFonts w:eastAsia="宋体"/>
                <w:color w:val="000000"/>
                <w:sz w:val="24"/>
              </w:rPr>
            </w:pPr>
            <w:r>
              <w:rPr>
                <w:rFonts w:hint="eastAsia" w:eastAsia="宋体"/>
                <w:color w:val="000000"/>
                <w:sz w:val="24"/>
              </w:rPr>
              <w:t>完成全州抗震救灾和灾后重建，助力恢复</w:t>
            </w:r>
          </w:p>
        </w:tc>
      </w:tr>
      <w:tr w14:paraId="342FB63A">
        <w:tblPrEx>
          <w:tblCellMar>
            <w:top w:w="15" w:type="dxa"/>
            <w:left w:w="15" w:type="dxa"/>
            <w:bottom w:w="15" w:type="dxa"/>
            <w:right w:w="15" w:type="dxa"/>
          </w:tblCellMar>
        </w:tblPrEx>
        <w:trPr>
          <w:trHeight w:val="23" w:hRule="atLeast"/>
          <w:jc w:val="center"/>
        </w:trPr>
        <w:tc>
          <w:tcPr>
            <w:tcW w:w="1308" w:type="dxa"/>
            <w:vMerge w:val="continue"/>
            <w:tcBorders>
              <w:left w:val="single" w:color="000000" w:sz="4" w:space="0"/>
              <w:right w:val="single" w:color="000000" w:sz="4" w:space="0"/>
            </w:tcBorders>
            <w:shd w:val="clear" w:color="auto" w:fill="auto"/>
            <w:vAlign w:val="center"/>
          </w:tcPr>
          <w:p w14:paraId="5CB2DCCF">
            <w:pPr>
              <w:widowControl/>
              <w:spacing w:line="300" w:lineRule="exact"/>
              <w:jc w:val="center"/>
              <w:rPr>
                <w:rFonts w:eastAsia="宋体"/>
                <w:color w:val="000000"/>
                <w:sz w:val="24"/>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6E05C3">
            <w:pPr>
              <w:widowControl/>
              <w:spacing w:line="300" w:lineRule="exact"/>
              <w:jc w:val="left"/>
              <w:rPr>
                <w:rFonts w:hint="eastAsia" w:eastAsia="宋体"/>
                <w:color w:val="000000"/>
                <w:sz w:val="24"/>
              </w:rPr>
            </w:pPr>
            <w:r>
              <w:rPr>
                <w:rFonts w:hint="eastAsia" w:eastAsia="宋体"/>
                <w:color w:val="000000"/>
                <w:sz w:val="24"/>
              </w:rPr>
              <w:t>深入实施绩效管理</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75B00879">
            <w:pPr>
              <w:widowControl/>
              <w:spacing w:line="300" w:lineRule="exact"/>
              <w:jc w:val="left"/>
              <w:rPr>
                <w:rFonts w:hint="eastAsia" w:eastAsia="宋体"/>
                <w:color w:val="000000"/>
                <w:sz w:val="24"/>
              </w:rPr>
            </w:pPr>
            <w:r>
              <w:rPr>
                <w:rFonts w:hint="eastAsia" w:eastAsia="宋体"/>
                <w:color w:val="000000"/>
                <w:sz w:val="24"/>
              </w:rPr>
              <w:t>提升全州财政资金使用效益</w:t>
            </w:r>
          </w:p>
        </w:tc>
      </w:tr>
      <w:tr w14:paraId="5444852E">
        <w:tblPrEx>
          <w:tblCellMar>
            <w:top w:w="15" w:type="dxa"/>
            <w:left w:w="15" w:type="dxa"/>
            <w:bottom w:w="15" w:type="dxa"/>
            <w:right w:w="15" w:type="dxa"/>
          </w:tblCellMar>
        </w:tblPrEx>
        <w:trPr>
          <w:trHeight w:val="23" w:hRule="atLeast"/>
          <w:jc w:val="center"/>
        </w:trPr>
        <w:tc>
          <w:tcPr>
            <w:tcW w:w="1308" w:type="dxa"/>
            <w:vMerge w:val="continue"/>
            <w:tcBorders>
              <w:left w:val="single" w:color="000000" w:sz="4" w:space="0"/>
              <w:right w:val="single" w:color="000000" w:sz="4" w:space="0"/>
            </w:tcBorders>
            <w:shd w:val="clear" w:color="auto" w:fill="auto"/>
            <w:vAlign w:val="center"/>
          </w:tcPr>
          <w:p w14:paraId="5362BA13">
            <w:pPr>
              <w:widowControl/>
              <w:spacing w:line="300" w:lineRule="exact"/>
              <w:jc w:val="center"/>
              <w:rPr>
                <w:rFonts w:eastAsia="宋体"/>
                <w:color w:val="000000"/>
                <w:sz w:val="24"/>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F373D1C">
            <w:pPr>
              <w:widowControl/>
              <w:spacing w:line="300" w:lineRule="exact"/>
              <w:jc w:val="left"/>
              <w:rPr>
                <w:rFonts w:hint="eastAsia" w:eastAsia="宋体"/>
                <w:color w:val="000000"/>
                <w:sz w:val="24"/>
              </w:rPr>
            </w:pPr>
            <w:r>
              <w:rPr>
                <w:rFonts w:hint="eastAsia" w:eastAsia="宋体"/>
                <w:color w:val="000000"/>
                <w:sz w:val="24"/>
              </w:rPr>
              <w:t>全州资产管理</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29119EF6">
            <w:pPr>
              <w:widowControl/>
              <w:spacing w:line="300" w:lineRule="exact"/>
              <w:jc w:val="left"/>
              <w:rPr>
                <w:rFonts w:hint="eastAsia" w:eastAsia="宋体"/>
                <w:color w:val="000000"/>
                <w:sz w:val="24"/>
              </w:rPr>
            </w:pPr>
            <w:r>
              <w:rPr>
                <w:rFonts w:hint="eastAsia" w:eastAsia="宋体"/>
                <w:color w:val="000000"/>
                <w:sz w:val="24"/>
              </w:rPr>
              <w:t>编制全州国有资本经营预决算草案，制定国有资本经营预算制度和办法,收取州本级企业国有资本收益</w:t>
            </w:r>
          </w:p>
        </w:tc>
      </w:tr>
      <w:tr w14:paraId="0F5100ED">
        <w:tblPrEx>
          <w:tblCellMar>
            <w:top w:w="15" w:type="dxa"/>
            <w:left w:w="15" w:type="dxa"/>
            <w:bottom w:w="15" w:type="dxa"/>
            <w:right w:w="15" w:type="dxa"/>
          </w:tblCellMar>
        </w:tblPrEx>
        <w:trPr>
          <w:trHeight w:val="23" w:hRule="atLeast"/>
          <w:jc w:val="center"/>
        </w:trPr>
        <w:tc>
          <w:tcPr>
            <w:tcW w:w="1308" w:type="dxa"/>
            <w:vMerge w:val="continue"/>
            <w:tcBorders>
              <w:left w:val="single" w:color="000000" w:sz="4" w:space="0"/>
              <w:bottom w:val="single" w:color="000000" w:sz="4" w:space="0"/>
              <w:right w:val="single" w:color="000000" w:sz="4" w:space="0"/>
            </w:tcBorders>
            <w:shd w:val="clear" w:color="auto" w:fill="auto"/>
            <w:vAlign w:val="center"/>
          </w:tcPr>
          <w:p w14:paraId="716018D9">
            <w:pPr>
              <w:widowControl/>
              <w:spacing w:line="300" w:lineRule="exact"/>
              <w:jc w:val="center"/>
              <w:rPr>
                <w:rFonts w:eastAsia="宋体"/>
                <w:color w:val="000000"/>
                <w:sz w:val="24"/>
              </w:rPr>
            </w:pPr>
          </w:p>
        </w:tc>
        <w:tc>
          <w:tcPr>
            <w:tcW w:w="262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11F3F76">
            <w:pPr>
              <w:widowControl/>
              <w:spacing w:line="300" w:lineRule="exact"/>
              <w:jc w:val="left"/>
              <w:rPr>
                <w:rFonts w:hint="eastAsia" w:eastAsia="宋体"/>
                <w:color w:val="000000"/>
                <w:sz w:val="24"/>
              </w:rPr>
            </w:pPr>
            <w:r>
              <w:rPr>
                <w:rFonts w:hint="eastAsia" w:eastAsia="宋体"/>
                <w:color w:val="000000"/>
                <w:sz w:val="24"/>
              </w:rPr>
              <w:t>积极落实财政政策，全力以赴拼经济促发展</w:t>
            </w:r>
          </w:p>
        </w:tc>
        <w:tc>
          <w:tcPr>
            <w:tcW w:w="6632"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4B0E5A33">
            <w:pPr>
              <w:widowControl/>
              <w:spacing w:line="300" w:lineRule="exact"/>
              <w:jc w:val="left"/>
              <w:rPr>
                <w:rFonts w:hint="eastAsia" w:eastAsia="宋体"/>
                <w:color w:val="000000"/>
                <w:sz w:val="24"/>
              </w:rPr>
            </w:pPr>
            <w:r>
              <w:rPr>
                <w:rFonts w:hint="eastAsia" w:eastAsia="宋体"/>
                <w:color w:val="000000"/>
                <w:sz w:val="24"/>
              </w:rPr>
              <w:t>巩固减税降费成效，全面落实阶段性减税降低政策。</w:t>
            </w:r>
          </w:p>
        </w:tc>
      </w:tr>
      <w:tr w14:paraId="453906F1">
        <w:tblPrEx>
          <w:tblCellMar>
            <w:top w:w="15" w:type="dxa"/>
            <w:left w:w="15" w:type="dxa"/>
            <w:bottom w:w="15" w:type="dxa"/>
            <w:right w:w="15" w:type="dxa"/>
          </w:tblCellMar>
        </w:tblPrEx>
        <w:trPr>
          <w:trHeight w:val="23" w:hRule="atLeast"/>
          <w:jc w:val="center"/>
        </w:trPr>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E20D27C">
            <w:pPr>
              <w:widowControl/>
              <w:spacing w:line="300" w:lineRule="exact"/>
              <w:jc w:val="center"/>
              <w:textAlignment w:val="center"/>
              <w:rPr>
                <w:rFonts w:eastAsia="宋体"/>
                <w:color w:val="000000"/>
                <w:kern w:val="0"/>
                <w:sz w:val="24"/>
              </w:rPr>
            </w:pPr>
            <w:r>
              <w:rPr>
                <w:rFonts w:eastAsia="宋体"/>
                <w:color w:val="000000"/>
                <w:kern w:val="0"/>
                <w:sz w:val="24"/>
              </w:rPr>
              <w:t>年度绩效</w:t>
            </w:r>
          </w:p>
          <w:p w14:paraId="63998004">
            <w:pPr>
              <w:widowControl/>
              <w:spacing w:line="300" w:lineRule="exact"/>
              <w:jc w:val="center"/>
              <w:textAlignment w:val="center"/>
              <w:rPr>
                <w:rFonts w:eastAsia="宋体"/>
                <w:color w:val="000000"/>
                <w:sz w:val="24"/>
              </w:rPr>
            </w:pPr>
            <w:r>
              <w:rPr>
                <w:rFonts w:eastAsia="宋体"/>
                <w:color w:val="000000"/>
                <w:kern w:val="0"/>
                <w:sz w:val="24"/>
              </w:rPr>
              <w:t>指标</w:t>
            </w: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CC82">
            <w:pPr>
              <w:widowControl/>
              <w:spacing w:line="300" w:lineRule="exact"/>
              <w:jc w:val="center"/>
              <w:textAlignment w:val="center"/>
              <w:rPr>
                <w:rFonts w:eastAsia="宋体"/>
                <w:color w:val="000000"/>
                <w:sz w:val="24"/>
              </w:rPr>
            </w:pPr>
            <w:r>
              <w:rPr>
                <w:rFonts w:eastAsia="宋体"/>
                <w:color w:val="000000"/>
                <w:kern w:val="0"/>
                <w:sz w:val="24"/>
              </w:rPr>
              <w:t>一级指标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6888F">
            <w:pPr>
              <w:widowControl/>
              <w:spacing w:line="300" w:lineRule="exact"/>
              <w:jc w:val="center"/>
              <w:textAlignment w:val="center"/>
              <w:rPr>
                <w:rFonts w:eastAsia="宋体"/>
                <w:color w:val="000000"/>
                <w:sz w:val="24"/>
              </w:rPr>
            </w:pPr>
            <w:r>
              <w:rPr>
                <w:rFonts w:eastAsia="宋体"/>
                <w:color w:val="000000"/>
                <w:kern w:val="0"/>
                <w:sz w:val="24"/>
              </w:rPr>
              <w:t>二级指标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6F46D6">
            <w:pPr>
              <w:widowControl/>
              <w:spacing w:line="300" w:lineRule="exact"/>
              <w:jc w:val="center"/>
              <w:textAlignment w:val="center"/>
              <w:rPr>
                <w:rFonts w:eastAsia="宋体"/>
                <w:color w:val="000000"/>
                <w:sz w:val="24"/>
              </w:rPr>
            </w:pPr>
            <w:r>
              <w:rPr>
                <w:rFonts w:eastAsia="宋体"/>
                <w:color w:val="000000"/>
                <w:kern w:val="0"/>
                <w:sz w:val="24"/>
              </w:rPr>
              <w:t>三级指标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5A18A">
            <w:pPr>
              <w:widowControl/>
              <w:spacing w:line="300" w:lineRule="exact"/>
              <w:jc w:val="center"/>
              <w:textAlignment w:val="center"/>
              <w:rPr>
                <w:rFonts w:eastAsia="宋体"/>
                <w:color w:val="000000"/>
                <w:kern w:val="0"/>
                <w:sz w:val="24"/>
              </w:rPr>
            </w:pPr>
            <w:r>
              <w:rPr>
                <w:rFonts w:eastAsia="宋体"/>
                <w:color w:val="000000"/>
                <w:kern w:val="0"/>
                <w:sz w:val="24"/>
              </w:rPr>
              <w:t>绩效指标</w:t>
            </w:r>
          </w:p>
          <w:p w14:paraId="4F189ECF">
            <w:pPr>
              <w:widowControl/>
              <w:spacing w:line="300" w:lineRule="exact"/>
              <w:jc w:val="center"/>
              <w:textAlignment w:val="center"/>
              <w:rPr>
                <w:rFonts w:eastAsia="宋体"/>
                <w:color w:val="000000"/>
                <w:sz w:val="24"/>
              </w:rPr>
            </w:pPr>
            <w:r>
              <w:rPr>
                <w:rFonts w:eastAsia="宋体"/>
                <w:color w:val="000000"/>
                <w:kern w:val="0"/>
                <w:sz w:val="24"/>
              </w:rPr>
              <w:t>性质</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07C5A">
            <w:pPr>
              <w:widowControl/>
              <w:spacing w:line="300" w:lineRule="exact"/>
              <w:jc w:val="center"/>
              <w:textAlignment w:val="center"/>
              <w:rPr>
                <w:rFonts w:eastAsia="宋体"/>
                <w:color w:val="000000"/>
                <w:sz w:val="24"/>
              </w:rPr>
            </w:pPr>
            <w:r>
              <w:rPr>
                <w:rFonts w:eastAsia="宋体"/>
                <w:color w:val="000000"/>
                <w:kern w:val="0"/>
                <w:sz w:val="24"/>
              </w:rPr>
              <w:t>绩效指标值</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257CE8">
            <w:pPr>
              <w:widowControl/>
              <w:spacing w:line="300" w:lineRule="exact"/>
              <w:jc w:val="center"/>
              <w:textAlignment w:val="center"/>
              <w:rPr>
                <w:rFonts w:eastAsia="宋体"/>
                <w:color w:val="000000"/>
                <w:sz w:val="24"/>
              </w:rPr>
            </w:pPr>
            <w:r>
              <w:rPr>
                <w:rFonts w:eastAsia="宋体"/>
                <w:color w:val="000000"/>
                <w:kern w:val="0"/>
                <w:sz w:val="24"/>
              </w:rPr>
              <w:t>绩效度量单位</w:t>
            </w:r>
          </w:p>
        </w:tc>
        <w:tc>
          <w:tcPr>
            <w:tcW w:w="926" w:type="dxa"/>
            <w:tcBorders>
              <w:top w:val="single" w:color="000000" w:sz="4" w:space="0"/>
              <w:left w:val="single" w:color="000000" w:sz="4" w:space="0"/>
              <w:bottom w:val="single" w:color="000000" w:sz="4" w:space="0"/>
            </w:tcBorders>
            <w:shd w:val="clear" w:color="auto" w:fill="auto"/>
            <w:vAlign w:val="center"/>
          </w:tcPr>
          <w:p w14:paraId="0C541860">
            <w:pPr>
              <w:widowControl/>
              <w:spacing w:line="300" w:lineRule="exact"/>
              <w:jc w:val="center"/>
              <w:textAlignment w:val="center"/>
              <w:rPr>
                <w:rFonts w:eastAsia="宋体"/>
                <w:color w:val="000000"/>
                <w:sz w:val="24"/>
              </w:rPr>
            </w:pPr>
            <w:r>
              <w:rPr>
                <w:rFonts w:eastAsia="宋体"/>
                <w:color w:val="000000"/>
                <w:kern w:val="0"/>
                <w:sz w:val="24"/>
              </w:rPr>
              <w:t>权重</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AC66F">
            <w:pPr>
              <w:widowControl/>
              <w:spacing w:line="300" w:lineRule="exact"/>
              <w:jc w:val="center"/>
              <w:textAlignment w:val="center"/>
              <w:rPr>
                <w:rFonts w:eastAsia="宋体"/>
                <w:color w:val="000000"/>
                <w:kern w:val="0"/>
                <w:sz w:val="24"/>
              </w:rPr>
            </w:pPr>
            <w:r>
              <w:rPr>
                <w:rFonts w:eastAsia="宋体"/>
                <w:color w:val="000000"/>
                <w:kern w:val="0"/>
                <w:sz w:val="24"/>
              </w:rPr>
              <w:t>实际完成</w:t>
            </w:r>
          </w:p>
          <w:p w14:paraId="369A97A3">
            <w:pPr>
              <w:widowControl/>
              <w:spacing w:line="300" w:lineRule="exact"/>
              <w:jc w:val="center"/>
              <w:textAlignment w:val="center"/>
              <w:rPr>
                <w:rFonts w:eastAsia="宋体"/>
                <w:color w:val="000000"/>
                <w:sz w:val="24"/>
              </w:rPr>
            </w:pPr>
            <w:r>
              <w:rPr>
                <w:rFonts w:eastAsia="宋体"/>
                <w:color w:val="000000"/>
                <w:kern w:val="0"/>
                <w:sz w:val="24"/>
              </w:rPr>
              <w:t>指标值</w:t>
            </w:r>
          </w:p>
        </w:tc>
      </w:tr>
      <w:tr w14:paraId="6A69A372">
        <w:tblPrEx>
          <w:tblCellMar>
            <w:top w:w="15" w:type="dxa"/>
            <w:left w:w="15" w:type="dxa"/>
            <w:bottom w:w="15" w:type="dxa"/>
            <w:right w:w="15" w:type="dxa"/>
          </w:tblCellMar>
        </w:tblPrEx>
        <w:trPr>
          <w:trHeight w:val="23" w:hRule="atLeast"/>
          <w:jc w:val="center"/>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ADC42C4">
            <w:pPr>
              <w:widowControl/>
              <w:spacing w:line="300" w:lineRule="exact"/>
              <w:jc w:val="center"/>
              <w:rPr>
                <w:rFonts w:eastAsia="宋体"/>
                <w:color w:val="000000"/>
                <w:sz w:val="24"/>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47DD8E">
            <w:pPr>
              <w:widowControl/>
              <w:spacing w:line="300" w:lineRule="exact"/>
              <w:jc w:val="center"/>
              <w:rPr>
                <w:rFonts w:eastAsia="宋体"/>
                <w:color w:val="000000"/>
                <w:sz w:val="24"/>
              </w:rPr>
            </w:pPr>
            <w:r>
              <w:rPr>
                <w:rFonts w:eastAsia="宋体"/>
                <w:color w:val="000000"/>
                <w:sz w:val="24"/>
              </w:rPr>
              <w:t>产出指标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5002A">
            <w:pPr>
              <w:widowControl/>
              <w:spacing w:line="300" w:lineRule="exact"/>
              <w:jc w:val="center"/>
              <w:textAlignment w:val="center"/>
              <w:rPr>
                <w:rFonts w:eastAsia="宋体"/>
                <w:color w:val="000000"/>
                <w:sz w:val="24"/>
              </w:rPr>
            </w:pPr>
            <w:r>
              <w:rPr>
                <w:rFonts w:eastAsia="宋体"/>
                <w:color w:val="000000"/>
                <w:kern w:val="0"/>
                <w:sz w:val="24"/>
              </w:rPr>
              <w:t>质量指标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9F87B">
            <w:pPr>
              <w:widowControl/>
              <w:spacing w:line="300" w:lineRule="exact"/>
              <w:jc w:val="left"/>
              <w:rPr>
                <w:rFonts w:eastAsia="宋体"/>
                <w:color w:val="000000"/>
                <w:sz w:val="24"/>
              </w:rPr>
            </w:pPr>
            <w:r>
              <w:rPr>
                <w:rFonts w:hint="eastAsia" w:eastAsia="宋体"/>
                <w:color w:val="000000"/>
                <w:sz w:val="24"/>
              </w:rPr>
              <w:t>全州财政资金收支及使用情况</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02D0">
            <w:pPr>
              <w:widowControl/>
              <w:spacing w:line="300" w:lineRule="exact"/>
              <w:jc w:val="left"/>
              <w:rPr>
                <w:rFonts w:eastAsia="宋体"/>
                <w:color w:val="000000"/>
                <w:sz w:val="24"/>
              </w:rPr>
            </w:pPr>
            <w:r>
              <w:rPr>
                <w:rFonts w:eastAsia="宋体"/>
                <w:color w:val="000000"/>
                <w:sz w:val="24"/>
              </w:rPr>
              <w:t>定性</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98DF9">
            <w:pPr>
              <w:widowControl/>
              <w:spacing w:line="300" w:lineRule="exact"/>
              <w:jc w:val="left"/>
              <w:rPr>
                <w:rFonts w:eastAsia="宋体"/>
                <w:color w:val="000000"/>
                <w:sz w:val="24"/>
              </w:rPr>
            </w:pPr>
            <w:r>
              <w:rPr>
                <w:rFonts w:eastAsia="宋体"/>
                <w:color w:val="000000"/>
                <w:sz w:val="24"/>
              </w:rPr>
              <w:t>优良中差</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6AE29">
            <w:pPr>
              <w:widowControl/>
              <w:spacing w:line="300" w:lineRule="exact"/>
              <w:jc w:val="left"/>
              <w:rPr>
                <w:rFonts w:eastAsia="宋体"/>
                <w:color w:val="000000"/>
                <w:sz w:val="24"/>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B4B88">
            <w:pPr>
              <w:widowControl/>
              <w:spacing w:line="300" w:lineRule="exact"/>
              <w:jc w:val="left"/>
              <w:rPr>
                <w:rFonts w:eastAsia="宋体"/>
                <w:color w:val="000000"/>
                <w:sz w:val="24"/>
              </w:rPr>
            </w:pPr>
            <w:r>
              <w:rPr>
                <w:rFonts w:hint="eastAsia" w:eastAsia="宋体"/>
                <w:color w:val="000000"/>
                <w:sz w:val="24"/>
              </w:rPr>
              <w:t>20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711D4">
            <w:pPr>
              <w:widowControl/>
              <w:spacing w:line="300" w:lineRule="exact"/>
              <w:jc w:val="left"/>
              <w:rPr>
                <w:rFonts w:eastAsia="宋体"/>
                <w:color w:val="000000"/>
                <w:sz w:val="24"/>
              </w:rPr>
            </w:pPr>
            <w:r>
              <w:rPr>
                <w:rFonts w:hint="eastAsia" w:eastAsia="宋体"/>
                <w:color w:val="000000"/>
                <w:sz w:val="24"/>
              </w:rPr>
              <w:t>20</w:t>
            </w:r>
          </w:p>
        </w:tc>
      </w:tr>
      <w:tr w14:paraId="27AD905B">
        <w:tblPrEx>
          <w:tblCellMar>
            <w:top w:w="15" w:type="dxa"/>
            <w:left w:w="15" w:type="dxa"/>
            <w:bottom w:w="15" w:type="dxa"/>
            <w:right w:w="15" w:type="dxa"/>
          </w:tblCellMar>
        </w:tblPrEx>
        <w:trPr>
          <w:trHeight w:val="23" w:hRule="atLeast"/>
          <w:jc w:val="center"/>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027157">
            <w:pPr>
              <w:widowControl/>
              <w:spacing w:line="300" w:lineRule="exact"/>
              <w:jc w:val="center"/>
              <w:rPr>
                <w:rFonts w:eastAsia="宋体"/>
                <w:color w:val="000000"/>
                <w:sz w:val="24"/>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943A2">
            <w:pPr>
              <w:widowControl/>
              <w:spacing w:line="300" w:lineRule="exact"/>
              <w:jc w:val="center"/>
              <w:rPr>
                <w:rFonts w:eastAsia="宋体"/>
                <w:color w:val="000000"/>
                <w:sz w:val="24"/>
              </w:rPr>
            </w:pP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955A2">
            <w:pPr>
              <w:widowControl/>
              <w:spacing w:line="300" w:lineRule="exact"/>
              <w:jc w:val="center"/>
              <w:textAlignment w:val="center"/>
              <w:rPr>
                <w:rFonts w:eastAsia="宋体"/>
                <w:color w:val="000000"/>
                <w:sz w:val="24"/>
              </w:rPr>
            </w:pPr>
            <w:r>
              <w:rPr>
                <w:rFonts w:eastAsia="宋体"/>
                <w:color w:val="000000"/>
                <w:kern w:val="0"/>
                <w:sz w:val="24"/>
              </w:rPr>
              <w:t>时效指标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4CA4A">
            <w:pPr>
              <w:widowControl/>
              <w:spacing w:line="300" w:lineRule="exact"/>
              <w:jc w:val="left"/>
              <w:rPr>
                <w:rFonts w:eastAsia="宋体"/>
                <w:color w:val="000000"/>
                <w:sz w:val="24"/>
              </w:rPr>
            </w:pPr>
            <w:r>
              <w:rPr>
                <w:rFonts w:hint="eastAsia" w:eastAsia="宋体"/>
                <w:color w:val="000000"/>
                <w:sz w:val="24"/>
              </w:rPr>
              <w:t>发挥财政职能，开启灵活资金到位拨付渠道，资金拨付及时率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A172B">
            <w:pPr>
              <w:widowControl/>
              <w:spacing w:line="300" w:lineRule="exact"/>
              <w:jc w:val="left"/>
              <w:rPr>
                <w:rFonts w:eastAsia="宋体"/>
                <w:color w:val="000000"/>
                <w:sz w:val="24"/>
              </w:rPr>
            </w:pPr>
            <w:r>
              <w:rPr>
                <w:rFonts w:hint="eastAsia" w:eastAsia="宋体"/>
                <w:color w:val="000000"/>
                <w:sz w:val="24"/>
              </w:rPr>
              <w:t>=</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6B714">
            <w:pPr>
              <w:widowControl/>
              <w:spacing w:line="300" w:lineRule="exact"/>
              <w:jc w:val="left"/>
              <w:rPr>
                <w:rFonts w:eastAsia="宋体"/>
                <w:color w:val="000000"/>
                <w:sz w:val="24"/>
              </w:rPr>
            </w:pPr>
            <w:r>
              <w:rPr>
                <w:rFonts w:hint="eastAsia" w:eastAsia="宋体"/>
                <w:color w:val="000000"/>
                <w:sz w:val="24"/>
              </w:rPr>
              <w:t>100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6326AC">
            <w:pPr>
              <w:widowControl/>
              <w:spacing w:line="300" w:lineRule="exact"/>
              <w:jc w:val="left"/>
              <w:rPr>
                <w:rFonts w:eastAsia="宋体"/>
                <w:color w:val="000000"/>
                <w:sz w:val="24"/>
              </w:rPr>
            </w:pPr>
            <w:r>
              <w:rPr>
                <w:rFonts w:hint="eastAsia" w:eastAsia="宋体"/>
                <w:color w:val="000000"/>
                <w:sz w:val="24"/>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A7B30">
            <w:pPr>
              <w:widowControl/>
              <w:spacing w:line="300" w:lineRule="exact"/>
              <w:jc w:val="left"/>
              <w:rPr>
                <w:rFonts w:eastAsia="宋体"/>
                <w:color w:val="000000"/>
                <w:sz w:val="24"/>
              </w:rPr>
            </w:pPr>
            <w:r>
              <w:rPr>
                <w:rFonts w:hint="eastAsia" w:eastAsia="宋体"/>
                <w:color w:val="000000"/>
                <w:sz w:val="24"/>
              </w:rPr>
              <w:t>20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3AC73">
            <w:pPr>
              <w:widowControl/>
              <w:spacing w:line="300" w:lineRule="exact"/>
              <w:jc w:val="left"/>
              <w:rPr>
                <w:rFonts w:eastAsia="宋体"/>
                <w:color w:val="000000"/>
                <w:sz w:val="24"/>
              </w:rPr>
            </w:pPr>
            <w:r>
              <w:rPr>
                <w:rFonts w:hint="eastAsia" w:eastAsia="宋体"/>
                <w:color w:val="000000"/>
                <w:sz w:val="24"/>
              </w:rPr>
              <w:t>20</w:t>
            </w:r>
          </w:p>
        </w:tc>
      </w:tr>
      <w:tr w14:paraId="0E3D97EC">
        <w:tblPrEx>
          <w:tblCellMar>
            <w:top w:w="15" w:type="dxa"/>
            <w:left w:w="15" w:type="dxa"/>
            <w:bottom w:w="15" w:type="dxa"/>
            <w:right w:w="15" w:type="dxa"/>
          </w:tblCellMar>
        </w:tblPrEx>
        <w:trPr>
          <w:trHeight w:val="23" w:hRule="atLeast"/>
          <w:jc w:val="center"/>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262720">
            <w:pPr>
              <w:widowControl/>
              <w:spacing w:line="300" w:lineRule="exact"/>
              <w:jc w:val="center"/>
              <w:rPr>
                <w:rFonts w:eastAsia="宋体"/>
                <w:color w:val="000000"/>
                <w:sz w:val="24"/>
              </w:rPr>
            </w:pPr>
          </w:p>
        </w:tc>
        <w:tc>
          <w:tcPr>
            <w:tcW w:w="134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5EC754">
            <w:pPr>
              <w:widowControl/>
              <w:spacing w:line="300" w:lineRule="exact"/>
              <w:jc w:val="center"/>
              <w:textAlignment w:val="center"/>
              <w:rPr>
                <w:rFonts w:eastAsia="宋体"/>
                <w:color w:val="000000"/>
                <w:sz w:val="24"/>
              </w:rPr>
            </w:pPr>
            <w:r>
              <w:rPr>
                <w:rFonts w:eastAsia="宋体"/>
                <w:color w:val="000000"/>
                <w:kern w:val="0"/>
                <w:sz w:val="24"/>
              </w:rPr>
              <w:t>效益指标</w:t>
            </w:r>
          </w:p>
        </w:tc>
        <w:tc>
          <w:tcPr>
            <w:tcW w:w="1273" w:type="dxa"/>
            <w:vMerge w:val="restart"/>
            <w:tcBorders>
              <w:top w:val="single" w:color="000000" w:sz="4" w:space="0"/>
              <w:left w:val="single" w:color="000000" w:sz="4" w:space="0"/>
              <w:right w:val="single" w:color="000000" w:sz="4" w:space="0"/>
            </w:tcBorders>
            <w:shd w:val="clear" w:color="auto" w:fill="auto"/>
            <w:vAlign w:val="center"/>
          </w:tcPr>
          <w:p w14:paraId="7AEF3F6A">
            <w:pPr>
              <w:widowControl/>
              <w:spacing w:line="300" w:lineRule="exact"/>
              <w:jc w:val="center"/>
              <w:textAlignment w:val="center"/>
              <w:rPr>
                <w:rFonts w:eastAsia="宋体"/>
                <w:color w:val="000000"/>
                <w:kern w:val="0"/>
                <w:sz w:val="24"/>
              </w:rPr>
            </w:pPr>
            <w:r>
              <w:rPr>
                <w:rFonts w:hint="eastAsia" w:eastAsia="宋体"/>
                <w:color w:val="000000"/>
                <w:kern w:val="0"/>
                <w:sz w:val="24"/>
              </w:rPr>
              <w:t>经济</w:t>
            </w:r>
            <w:r>
              <w:rPr>
                <w:rFonts w:eastAsia="宋体"/>
                <w:color w:val="000000"/>
                <w:kern w:val="0"/>
                <w:sz w:val="24"/>
              </w:rPr>
              <w:t>效益</w:t>
            </w:r>
          </w:p>
          <w:p w14:paraId="393E5ED6">
            <w:pPr>
              <w:widowControl/>
              <w:spacing w:line="300" w:lineRule="exact"/>
              <w:jc w:val="center"/>
              <w:textAlignment w:val="center"/>
              <w:rPr>
                <w:rFonts w:eastAsia="宋体"/>
                <w:color w:val="000000"/>
                <w:sz w:val="24"/>
              </w:rPr>
            </w:pPr>
            <w:r>
              <w:rPr>
                <w:rFonts w:eastAsia="宋体"/>
                <w:color w:val="000000"/>
                <w:kern w:val="0"/>
                <w:sz w:val="24"/>
              </w:rPr>
              <w:t>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A2337">
            <w:pPr>
              <w:widowControl/>
              <w:spacing w:line="300" w:lineRule="exact"/>
              <w:jc w:val="left"/>
              <w:rPr>
                <w:rFonts w:eastAsia="宋体"/>
                <w:color w:val="000000"/>
                <w:sz w:val="24"/>
              </w:rPr>
            </w:pPr>
            <w:r>
              <w:rPr>
                <w:rFonts w:hint="eastAsia" w:eastAsia="宋体"/>
                <w:color w:val="000000"/>
                <w:sz w:val="24"/>
              </w:rPr>
              <w:t>全州财政资金绩效管理</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BC5A2A">
            <w:pPr>
              <w:widowControl/>
              <w:spacing w:line="300" w:lineRule="exact"/>
              <w:jc w:val="left"/>
              <w:rPr>
                <w:rFonts w:eastAsia="宋体"/>
                <w:color w:val="000000"/>
                <w:sz w:val="24"/>
              </w:rPr>
            </w:pPr>
            <w:r>
              <w:rPr>
                <w:rFonts w:eastAsia="宋体"/>
                <w:color w:val="000000"/>
                <w:sz w:val="24"/>
              </w:rPr>
              <w:t>定性</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9910DF">
            <w:pPr>
              <w:widowControl/>
              <w:spacing w:line="300" w:lineRule="exact"/>
              <w:jc w:val="left"/>
              <w:rPr>
                <w:rFonts w:eastAsia="宋体"/>
                <w:color w:val="000000"/>
                <w:sz w:val="24"/>
              </w:rPr>
            </w:pPr>
            <w:r>
              <w:rPr>
                <w:rFonts w:eastAsia="宋体"/>
                <w:color w:val="000000"/>
                <w:sz w:val="24"/>
              </w:rPr>
              <w:t>优良中差</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EF1981">
            <w:pPr>
              <w:widowControl/>
              <w:spacing w:line="300" w:lineRule="exact"/>
              <w:jc w:val="left"/>
              <w:rPr>
                <w:rFonts w:eastAsia="宋体"/>
                <w:color w:val="000000"/>
                <w:sz w:val="24"/>
              </w:rPr>
            </w:pPr>
            <w:r>
              <w:rPr>
                <w:rFonts w:eastAsia="宋体"/>
                <w:color w:val="000000"/>
                <w:sz w:val="24"/>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6654CF">
            <w:pPr>
              <w:widowControl/>
              <w:spacing w:line="300" w:lineRule="exact"/>
              <w:jc w:val="left"/>
              <w:rPr>
                <w:rFonts w:eastAsia="宋体"/>
                <w:color w:val="000000"/>
                <w:sz w:val="24"/>
              </w:rPr>
            </w:pPr>
            <w:r>
              <w:rPr>
                <w:rFonts w:hint="eastAsia" w:eastAsia="宋体"/>
                <w:color w:val="000000"/>
                <w:sz w:val="24"/>
              </w:rPr>
              <w:t>10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B43E5">
            <w:pPr>
              <w:widowControl/>
              <w:spacing w:line="300" w:lineRule="exact"/>
              <w:jc w:val="left"/>
              <w:rPr>
                <w:rFonts w:eastAsia="宋体"/>
                <w:color w:val="000000"/>
                <w:sz w:val="24"/>
              </w:rPr>
            </w:pPr>
            <w:r>
              <w:rPr>
                <w:rFonts w:hint="eastAsia" w:eastAsia="宋体"/>
                <w:color w:val="000000"/>
                <w:sz w:val="24"/>
              </w:rPr>
              <w:t>10</w:t>
            </w:r>
          </w:p>
        </w:tc>
      </w:tr>
      <w:tr w14:paraId="7B095577">
        <w:tblPrEx>
          <w:tblCellMar>
            <w:top w:w="15" w:type="dxa"/>
            <w:left w:w="15" w:type="dxa"/>
            <w:bottom w:w="15" w:type="dxa"/>
            <w:right w:w="15" w:type="dxa"/>
          </w:tblCellMar>
        </w:tblPrEx>
        <w:trPr>
          <w:trHeight w:val="23" w:hRule="atLeast"/>
          <w:jc w:val="center"/>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1BC1AC1">
            <w:pPr>
              <w:widowControl/>
              <w:spacing w:line="300" w:lineRule="exact"/>
              <w:jc w:val="center"/>
              <w:rPr>
                <w:rFonts w:eastAsia="宋体"/>
                <w:color w:val="000000"/>
                <w:sz w:val="24"/>
              </w:rPr>
            </w:pPr>
          </w:p>
        </w:tc>
        <w:tc>
          <w:tcPr>
            <w:tcW w:w="134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F0081C">
            <w:pPr>
              <w:widowControl/>
              <w:spacing w:line="300" w:lineRule="exact"/>
              <w:jc w:val="center"/>
              <w:rPr>
                <w:rFonts w:eastAsia="宋体"/>
                <w:color w:val="000000"/>
                <w:sz w:val="24"/>
              </w:rPr>
            </w:pPr>
          </w:p>
        </w:tc>
        <w:tc>
          <w:tcPr>
            <w:tcW w:w="1273" w:type="dxa"/>
            <w:vMerge w:val="continue"/>
            <w:tcBorders>
              <w:top w:val="single" w:color="000000" w:sz="4" w:space="0"/>
              <w:left w:val="single" w:color="000000" w:sz="4" w:space="0"/>
              <w:right w:val="single" w:color="000000" w:sz="4" w:space="0"/>
            </w:tcBorders>
            <w:shd w:val="clear" w:color="auto" w:fill="auto"/>
            <w:vAlign w:val="center"/>
          </w:tcPr>
          <w:p w14:paraId="14B72182">
            <w:pPr>
              <w:widowControl/>
              <w:spacing w:line="300" w:lineRule="exact"/>
              <w:jc w:val="center"/>
              <w:rPr>
                <w:rFonts w:eastAsia="宋体"/>
                <w:color w:val="000000"/>
                <w:sz w:val="24"/>
              </w:rPr>
            </w:pP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BDD34B">
            <w:pPr>
              <w:widowControl/>
              <w:spacing w:line="300" w:lineRule="exact"/>
              <w:jc w:val="left"/>
              <w:rPr>
                <w:rFonts w:eastAsia="宋体"/>
                <w:color w:val="000000"/>
                <w:sz w:val="24"/>
              </w:rPr>
            </w:pPr>
            <w:r>
              <w:rPr>
                <w:rFonts w:hint="eastAsia" w:eastAsia="宋体"/>
                <w:color w:val="000000"/>
                <w:sz w:val="24"/>
              </w:rPr>
              <w:t>收入增长率</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005C0">
            <w:pPr>
              <w:widowControl/>
              <w:spacing w:line="300" w:lineRule="exact"/>
              <w:jc w:val="left"/>
              <w:rPr>
                <w:rFonts w:eastAsia="宋体"/>
                <w:color w:val="000000"/>
                <w:sz w:val="24"/>
              </w:rPr>
            </w:pPr>
            <w:r>
              <w:rPr>
                <w:rFonts w:hint="eastAsia" w:eastAsia="宋体"/>
                <w:color w:val="000000"/>
                <w:sz w:val="24"/>
              </w:rPr>
              <w:t>≥</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E7F2A">
            <w:pPr>
              <w:widowControl/>
              <w:spacing w:line="300" w:lineRule="exact"/>
              <w:jc w:val="left"/>
              <w:rPr>
                <w:rFonts w:eastAsia="宋体"/>
                <w:color w:val="000000"/>
                <w:sz w:val="24"/>
              </w:rPr>
            </w:pPr>
            <w:r>
              <w:rPr>
                <w:rFonts w:hint="eastAsia" w:eastAsia="宋体"/>
                <w:color w:val="000000"/>
                <w:sz w:val="24"/>
              </w:rPr>
              <w:t>7</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EF2975">
            <w:pPr>
              <w:widowControl/>
              <w:spacing w:line="300" w:lineRule="exact"/>
              <w:jc w:val="left"/>
              <w:rPr>
                <w:rFonts w:eastAsia="宋体"/>
                <w:color w:val="000000"/>
                <w:sz w:val="24"/>
              </w:rPr>
            </w:pPr>
            <w:r>
              <w:rPr>
                <w:rFonts w:eastAsia="宋体"/>
                <w:color w:val="000000"/>
                <w:sz w:val="24"/>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CBADF">
            <w:pPr>
              <w:widowControl/>
              <w:spacing w:line="300" w:lineRule="exact"/>
              <w:jc w:val="left"/>
              <w:rPr>
                <w:rFonts w:eastAsia="宋体"/>
                <w:color w:val="000000"/>
                <w:sz w:val="24"/>
              </w:rPr>
            </w:pPr>
            <w:r>
              <w:rPr>
                <w:rFonts w:hint="eastAsia" w:eastAsia="宋体"/>
                <w:color w:val="000000"/>
                <w:sz w:val="24"/>
              </w:rPr>
              <w:t>10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B014">
            <w:pPr>
              <w:widowControl/>
              <w:spacing w:line="300" w:lineRule="exact"/>
              <w:jc w:val="left"/>
              <w:rPr>
                <w:rFonts w:eastAsia="宋体"/>
                <w:color w:val="000000"/>
                <w:sz w:val="24"/>
              </w:rPr>
            </w:pPr>
            <w:r>
              <w:rPr>
                <w:rFonts w:hint="eastAsia" w:eastAsia="宋体"/>
                <w:color w:val="000000"/>
                <w:sz w:val="24"/>
              </w:rPr>
              <w:t>10</w:t>
            </w:r>
          </w:p>
        </w:tc>
      </w:tr>
      <w:tr w14:paraId="08631282">
        <w:tblPrEx>
          <w:tblCellMar>
            <w:top w:w="15" w:type="dxa"/>
            <w:left w:w="15" w:type="dxa"/>
            <w:bottom w:w="15" w:type="dxa"/>
            <w:right w:w="15" w:type="dxa"/>
          </w:tblCellMar>
        </w:tblPrEx>
        <w:trPr>
          <w:trHeight w:val="23" w:hRule="atLeast"/>
          <w:jc w:val="center"/>
        </w:trPr>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3F5524">
            <w:pPr>
              <w:widowControl/>
              <w:spacing w:line="300" w:lineRule="exact"/>
              <w:jc w:val="center"/>
              <w:rPr>
                <w:rFonts w:eastAsia="宋体"/>
                <w:color w:val="000000"/>
                <w:sz w:val="24"/>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4EE984">
            <w:pPr>
              <w:widowControl/>
              <w:spacing w:line="300" w:lineRule="exact"/>
              <w:jc w:val="center"/>
              <w:textAlignment w:val="center"/>
              <w:rPr>
                <w:rFonts w:eastAsia="宋体"/>
                <w:color w:val="000000"/>
                <w:sz w:val="24"/>
              </w:rPr>
            </w:pPr>
            <w:r>
              <w:rPr>
                <w:rFonts w:eastAsia="宋体"/>
                <w:color w:val="000000"/>
                <w:kern w:val="0"/>
                <w:sz w:val="24"/>
              </w:rPr>
              <w:t>满意度指标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FFC4C">
            <w:pPr>
              <w:widowControl/>
              <w:spacing w:line="300" w:lineRule="exact"/>
              <w:jc w:val="center"/>
              <w:textAlignment w:val="center"/>
              <w:rPr>
                <w:rFonts w:eastAsia="宋体"/>
                <w:color w:val="000000"/>
                <w:sz w:val="24"/>
              </w:rPr>
            </w:pPr>
            <w:r>
              <w:rPr>
                <w:rFonts w:eastAsia="宋体"/>
                <w:color w:val="000000"/>
                <w:kern w:val="0"/>
                <w:sz w:val="24"/>
              </w:rPr>
              <w:t>满意度指标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9B9B7">
            <w:pPr>
              <w:widowControl/>
              <w:spacing w:line="300" w:lineRule="exact"/>
              <w:jc w:val="left"/>
              <w:rPr>
                <w:rFonts w:eastAsia="宋体"/>
                <w:color w:val="000000"/>
                <w:sz w:val="24"/>
              </w:rPr>
            </w:pPr>
            <w:r>
              <w:rPr>
                <w:rFonts w:hint="eastAsia" w:eastAsia="宋体"/>
                <w:color w:val="000000"/>
                <w:sz w:val="24"/>
              </w:rPr>
              <w:t>年度履职情况受财政服务对象满意度</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B1B6D1">
            <w:pPr>
              <w:widowControl/>
              <w:spacing w:line="300" w:lineRule="exact"/>
              <w:jc w:val="left"/>
              <w:rPr>
                <w:rFonts w:eastAsia="宋体"/>
                <w:color w:val="000000"/>
                <w:sz w:val="24"/>
              </w:rPr>
            </w:pPr>
            <w:r>
              <w:rPr>
                <w:rFonts w:hint="eastAsia" w:eastAsia="宋体"/>
                <w:color w:val="000000"/>
                <w:sz w:val="24"/>
              </w:rPr>
              <w:t>≥</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4869E">
            <w:pPr>
              <w:widowControl/>
              <w:spacing w:line="300" w:lineRule="exact"/>
              <w:jc w:val="left"/>
              <w:rPr>
                <w:rFonts w:eastAsia="宋体"/>
                <w:color w:val="000000"/>
                <w:sz w:val="24"/>
              </w:rPr>
            </w:pPr>
            <w:r>
              <w:rPr>
                <w:rFonts w:hint="eastAsia" w:eastAsia="宋体"/>
                <w:color w:val="000000"/>
                <w:sz w:val="24"/>
              </w:rPr>
              <w:t>90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18827">
            <w:pPr>
              <w:widowControl/>
              <w:spacing w:line="300" w:lineRule="exact"/>
              <w:jc w:val="left"/>
              <w:rPr>
                <w:rFonts w:eastAsia="宋体"/>
                <w:color w:val="000000"/>
                <w:sz w:val="24"/>
              </w:rPr>
            </w:pPr>
            <w:r>
              <w:rPr>
                <w:rFonts w:eastAsia="宋体"/>
                <w:color w:val="000000"/>
                <w:sz w:val="24"/>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FB2DC">
            <w:pPr>
              <w:widowControl/>
              <w:spacing w:line="300" w:lineRule="exact"/>
              <w:jc w:val="left"/>
              <w:rPr>
                <w:rFonts w:eastAsia="宋体"/>
                <w:color w:val="000000"/>
                <w:sz w:val="24"/>
              </w:rPr>
            </w:pPr>
            <w:r>
              <w:rPr>
                <w:rFonts w:hint="eastAsia" w:eastAsia="宋体"/>
                <w:color w:val="000000"/>
                <w:sz w:val="24"/>
              </w:rPr>
              <w:t>10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2F832">
            <w:pPr>
              <w:widowControl/>
              <w:spacing w:line="300" w:lineRule="exact"/>
              <w:jc w:val="left"/>
              <w:rPr>
                <w:rFonts w:eastAsia="宋体"/>
                <w:color w:val="000000"/>
                <w:sz w:val="24"/>
              </w:rPr>
            </w:pPr>
            <w:r>
              <w:rPr>
                <w:rFonts w:hint="eastAsia" w:eastAsia="宋体"/>
                <w:color w:val="000000"/>
                <w:sz w:val="24"/>
              </w:rPr>
              <w:t>10</w:t>
            </w:r>
          </w:p>
        </w:tc>
      </w:tr>
      <w:tr w14:paraId="3A008C29">
        <w:tblPrEx>
          <w:tblCellMar>
            <w:top w:w="15" w:type="dxa"/>
            <w:left w:w="15" w:type="dxa"/>
            <w:bottom w:w="15" w:type="dxa"/>
            <w:right w:w="15" w:type="dxa"/>
          </w:tblCellMar>
        </w:tblPrEx>
        <w:trPr>
          <w:trHeight w:val="23" w:hRule="atLeast"/>
          <w:jc w:val="center"/>
        </w:trPr>
        <w:tc>
          <w:tcPr>
            <w:tcW w:w="13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B6F7FE">
            <w:pPr>
              <w:widowControl/>
              <w:spacing w:line="300" w:lineRule="exact"/>
              <w:jc w:val="center"/>
              <w:rPr>
                <w:rFonts w:eastAsia="宋体"/>
                <w:color w:val="000000"/>
                <w:sz w:val="24"/>
              </w:rPr>
            </w:pPr>
          </w:p>
        </w:tc>
        <w:tc>
          <w:tcPr>
            <w:tcW w:w="134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92486">
            <w:pPr>
              <w:widowControl/>
              <w:spacing w:line="300" w:lineRule="exact"/>
              <w:jc w:val="center"/>
              <w:textAlignment w:val="center"/>
              <w:rPr>
                <w:rFonts w:eastAsia="宋体"/>
                <w:color w:val="000000"/>
                <w:kern w:val="0"/>
                <w:sz w:val="24"/>
              </w:rPr>
            </w:pPr>
            <w:r>
              <w:rPr>
                <w:rFonts w:eastAsia="宋体"/>
                <w:color w:val="000000"/>
                <w:kern w:val="0"/>
                <w:sz w:val="24"/>
              </w:rPr>
              <w:t>成本指标</w:t>
            </w:r>
          </w:p>
        </w:tc>
        <w:tc>
          <w:tcPr>
            <w:tcW w:w="12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B591B5">
            <w:pPr>
              <w:widowControl/>
              <w:spacing w:line="300" w:lineRule="exact"/>
              <w:jc w:val="center"/>
              <w:textAlignment w:val="center"/>
              <w:rPr>
                <w:rFonts w:eastAsia="宋体"/>
                <w:color w:val="000000"/>
                <w:kern w:val="0"/>
                <w:sz w:val="24"/>
              </w:rPr>
            </w:pPr>
            <w:r>
              <w:rPr>
                <w:rFonts w:eastAsia="宋体"/>
                <w:color w:val="000000"/>
                <w:kern w:val="0"/>
                <w:sz w:val="24"/>
              </w:rPr>
              <w:t>经济成本指标</w:t>
            </w:r>
          </w:p>
        </w:tc>
        <w:tc>
          <w:tcPr>
            <w:tcW w:w="110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CC0100">
            <w:pPr>
              <w:widowControl/>
              <w:spacing w:line="300" w:lineRule="exact"/>
              <w:jc w:val="left"/>
              <w:rPr>
                <w:rFonts w:eastAsia="宋体"/>
                <w:color w:val="000000"/>
                <w:sz w:val="24"/>
              </w:rPr>
            </w:pPr>
            <w:r>
              <w:rPr>
                <w:rFonts w:hint="eastAsia" w:eastAsia="宋体"/>
                <w:color w:val="000000"/>
                <w:sz w:val="24"/>
              </w:rPr>
              <w:t>“三公”经费压减，严格一般性支出，压减比例</w:t>
            </w:r>
          </w:p>
        </w:tc>
        <w:tc>
          <w:tcPr>
            <w:tcW w:w="114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640E3">
            <w:pPr>
              <w:widowControl/>
              <w:spacing w:line="300" w:lineRule="exact"/>
              <w:jc w:val="left"/>
              <w:rPr>
                <w:rFonts w:eastAsia="宋体"/>
                <w:color w:val="000000"/>
                <w:sz w:val="24"/>
              </w:rPr>
            </w:pPr>
            <w:r>
              <w:rPr>
                <w:rFonts w:hint="eastAsia" w:eastAsia="宋体"/>
                <w:color w:val="000000"/>
                <w:sz w:val="24"/>
              </w:rPr>
              <w:t>≥</w:t>
            </w:r>
          </w:p>
        </w:tc>
        <w:tc>
          <w:tcPr>
            <w:tcW w:w="128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3093E">
            <w:pPr>
              <w:widowControl/>
              <w:spacing w:line="300" w:lineRule="exact"/>
              <w:jc w:val="left"/>
              <w:rPr>
                <w:rFonts w:eastAsia="宋体"/>
                <w:color w:val="000000"/>
                <w:sz w:val="24"/>
              </w:rPr>
            </w:pPr>
            <w:r>
              <w:rPr>
                <w:rFonts w:hint="eastAsia" w:eastAsia="宋体"/>
                <w:color w:val="000000"/>
                <w:sz w:val="24"/>
              </w:rPr>
              <w:t>10</w:t>
            </w:r>
          </w:p>
        </w:tc>
        <w:tc>
          <w:tcPr>
            <w:tcW w:w="105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9ACF0">
            <w:pPr>
              <w:widowControl/>
              <w:spacing w:line="300" w:lineRule="exact"/>
              <w:jc w:val="left"/>
              <w:rPr>
                <w:rFonts w:eastAsia="宋体"/>
                <w:color w:val="000000"/>
                <w:sz w:val="24"/>
              </w:rPr>
            </w:pPr>
            <w:r>
              <w:rPr>
                <w:rFonts w:eastAsia="宋体"/>
                <w:color w:val="000000"/>
                <w:sz w:val="24"/>
              </w:rPr>
              <w:t>%</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8BE670">
            <w:pPr>
              <w:widowControl/>
              <w:spacing w:line="300" w:lineRule="exact"/>
              <w:jc w:val="left"/>
              <w:rPr>
                <w:rFonts w:eastAsia="宋体"/>
                <w:color w:val="000000"/>
                <w:sz w:val="24"/>
              </w:rPr>
            </w:pPr>
            <w:r>
              <w:rPr>
                <w:rFonts w:hint="eastAsia" w:eastAsia="宋体"/>
                <w:color w:val="000000"/>
                <w:sz w:val="24"/>
              </w:rPr>
              <w:t>20</w:t>
            </w:r>
          </w:p>
        </w:tc>
        <w:tc>
          <w:tcPr>
            <w:tcW w:w="111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25FA6">
            <w:pPr>
              <w:widowControl/>
              <w:spacing w:line="300" w:lineRule="exact"/>
              <w:jc w:val="left"/>
              <w:rPr>
                <w:rFonts w:eastAsia="宋体"/>
                <w:color w:val="000000"/>
                <w:sz w:val="24"/>
              </w:rPr>
            </w:pPr>
            <w:r>
              <w:rPr>
                <w:rFonts w:hint="eastAsia" w:eastAsia="宋体"/>
                <w:color w:val="000000"/>
                <w:sz w:val="24"/>
              </w:rPr>
              <w:t>20</w:t>
            </w:r>
          </w:p>
        </w:tc>
      </w:tr>
    </w:tbl>
    <w:p w14:paraId="0E470527"/>
    <w:p w14:paraId="513CF7FF"/>
    <w:p w14:paraId="404C7C42">
      <w:pPr>
        <w:rPr>
          <w:rFonts w:hint="eastAsia" w:ascii="黑体" w:hAnsi="黑体" w:eastAsia="黑体"/>
          <w:sz w:val="32"/>
          <w:szCs w:val="32"/>
        </w:rPr>
      </w:pPr>
      <w:r>
        <w:rPr>
          <w:rFonts w:hint="eastAsia" w:ascii="黑体" w:hAnsi="黑体" w:eastAsia="黑体"/>
          <w:sz w:val="32"/>
          <w:szCs w:val="32"/>
        </w:rPr>
        <w:br w:type="page"/>
      </w:r>
    </w:p>
    <w:p w14:paraId="5CD16342">
      <w:pPr>
        <w:rPr>
          <w:rFonts w:hint="eastAsia" w:ascii="黑体" w:hAnsi="黑体" w:eastAsia="黑体"/>
        </w:rPr>
      </w:pPr>
    </w:p>
    <w:p w14:paraId="1BDD4E4C">
      <w:pPr>
        <w:pStyle w:val="2"/>
        <w:jc w:val="center"/>
        <w:rPr>
          <w:rFonts w:ascii="黑体" w:hAnsi="黑体" w:eastAsia="黑体"/>
        </w:rPr>
      </w:pPr>
      <w:r>
        <w:rPr>
          <w:rFonts w:hint="eastAsia" w:ascii="黑体" w:hAnsi="黑体" w:eastAsia="黑体"/>
        </w:rPr>
        <w:t>第五部分 附表</w:t>
      </w:r>
    </w:p>
    <w:p w14:paraId="07BA78F2">
      <w:pPr>
        <w:rPr>
          <w:rFonts w:ascii="仿宋" w:hAnsi="仿宋" w:eastAsia="仿宋"/>
          <w:sz w:val="32"/>
          <w:szCs w:val="32"/>
        </w:rPr>
      </w:pPr>
      <w:r>
        <w:rPr>
          <w:rFonts w:hint="eastAsia" w:ascii="仿宋" w:hAnsi="仿宋" w:eastAsia="仿宋"/>
          <w:sz w:val="32"/>
          <w:szCs w:val="32"/>
        </w:rPr>
        <w:t>一、收入支出决算总表</w:t>
      </w:r>
    </w:p>
    <w:p w14:paraId="19BF52CD">
      <w:pPr>
        <w:rPr>
          <w:rFonts w:ascii="仿宋" w:hAnsi="仿宋" w:eastAsia="仿宋"/>
          <w:sz w:val="32"/>
          <w:szCs w:val="32"/>
        </w:rPr>
      </w:pPr>
      <w:r>
        <w:rPr>
          <w:rFonts w:hint="eastAsia" w:ascii="仿宋" w:hAnsi="仿宋" w:eastAsia="仿宋"/>
          <w:sz w:val="32"/>
          <w:szCs w:val="32"/>
        </w:rPr>
        <w:t>二、收入决算表</w:t>
      </w:r>
    </w:p>
    <w:p w14:paraId="6D9B4659">
      <w:pPr>
        <w:rPr>
          <w:rFonts w:ascii="仿宋" w:hAnsi="仿宋" w:eastAsia="仿宋"/>
          <w:sz w:val="32"/>
          <w:szCs w:val="32"/>
        </w:rPr>
      </w:pPr>
      <w:r>
        <w:rPr>
          <w:rFonts w:hint="eastAsia" w:ascii="仿宋" w:hAnsi="仿宋" w:eastAsia="仿宋"/>
          <w:sz w:val="32"/>
          <w:szCs w:val="32"/>
        </w:rPr>
        <w:t>三、支出决算表</w:t>
      </w:r>
    </w:p>
    <w:p w14:paraId="781597E1">
      <w:pPr>
        <w:rPr>
          <w:rFonts w:ascii="仿宋" w:hAnsi="仿宋" w:eastAsia="仿宋"/>
          <w:sz w:val="32"/>
          <w:szCs w:val="32"/>
        </w:rPr>
      </w:pPr>
      <w:r>
        <w:rPr>
          <w:rFonts w:hint="eastAsia" w:ascii="仿宋" w:hAnsi="仿宋" w:eastAsia="仿宋"/>
          <w:sz w:val="32"/>
          <w:szCs w:val="32"/>
        </w:rPr>
        <w:t>四、财政拨款收入支出决算总表</w:t>
      </w:r>
    </w:p>
    <w:p w14:paraId="17BABE3C">
      <w:pPr>
        <w:rPr>
          <w:rFonts w:ascii="仿宋" w:hAnsi="仿宋" w:eastAsia="仿宋"/>
          <w:sz w:val="32"/>
          <w:szCs w:val="32"/>
        </w:rPr>
      </w:pPr>
      <w:r>
        <w:rPr>
          <w:rFonts w:hint="eastAsia" w:ascii="仿宋" w:hAnsi="仿宋" w:eastAsia="仿宋"/>
          <w:sz w:val="32"/>
          <w:szCs w:val="32"/>
        </w:rPr>
        <w:t>五、财政拨款支出决算明细表</w:t>
      </w:r>
    </w:p>
    <w:p w14:paraId="6F880902">
      <w:pPr>
        <w:rPr>
          <w:rFonts w:ascii="仿宋" w:hAnsi="仿宋" w:eastAsia="仿宋"/>
          <w:sz w:val="32"/>
          <w:szCs w:val="32"/>
        </w:rPr>
      </w:pPr>
      <w:r>
        <w:rPr>
          <w:rFonts w:hint="eastAsia" w:ascii="仿宋" w:hAnsi="仿宋" w:eastAsia="仿宋"/>
          <w:sz w:val="32"/>
          <w:szCs w:val="32"/>
        </w:rPr>
        <w:t>六、一般公共预算财政拨款支出决算表</w:t>
      </w:r>
    </w:p>
    <w:p w14:paraId="2EAE2300">
      <w:pPr>
        <w:rPr>
          <w:rFonts w:ascii="仿宋" w:hAnsi="仿宋" w:eastAsia="仿宋"/>
          <w:sz w:val="32"/>
          <w:szCs w:val="32"/>
        </w:rPr>
      </w:pPr>
      <w:r>
        <w:rPr>
          <w:rFonts w:hint="eastAsia" w:ascii="仿宋" w:hAnsi="仿宋" w:eastAsia="仿宋"/>
          <w:sz w:val="32"/>
          <w:szCs w:val="32"/>
        </w:rPr>
        <w:t>七、一般公共预算财政拨款支出决算明细表</w:t>
      </w:r>
    </w:p>
    <w:p w14:paraId="1CA26CBE">
      <w:pPr>
        <w:rPr>
          <w:rFonts w:ascii="仿宋" w:hAnsi="仿宋" w:eastAsia="仿宋"/>
          <w:sz w:val="32"/>
          <w:szCs w:val="32"/>
        </w:rPr>
      </w:pPr>
      <w:r>
        <w:rPr>
          <w:rFonts w:hint="eastAsia" w:ascii="仿宋" w:hAnsi="仿宋" w:eastAsia="仿宋"/>
          <w:sz w:val="32"/>
          <w:szCs w:val="32"/>
        </w:rPr>
        <w:t>八、一般公共预算财政拨款基本支出决算表</w:t>
      </w:r>
    </w:p>
    <w:p w14:paraId="510E7050">
      <w:pPr>
        <w:rPr>
          <w:rFonts w:ascii="仿宋" w:hAnsi="仿宋" w:eastAsia="仿宋"/>
          <w:sz w:val="32"/>
          <w:szCs w:val="32"/>
        </w:rPr>
      </w:pPr>
      <w:r>
        <w:rPr>
          <w:rFonts w:hint="eastAsia" w:ascii="仿宋" w:hAnsi="仿宋" w:eastAsia="仿宋"/>
          <w:sz w:val="32"/>
          <w:szCs w:val="32"/>
        </w:rPr>
        <w:t>九、一般公共预算财政拨款项目支出决算表</w:t>
      </w:r>
    </w:p>
    <w:p w14:paraId="0377C03F">
      <w:pPr>
        <w:rPr>
          <w:rFonts w:ascii="仿宋" w:hAnsi="仿宋" w:eastAsia="仿宋"/>
          <w:sz w:val="32"/>
          <w:szCs w:val="32"/>
        </w:rPr>
      </w:pPr>
      <w:r>
        <w:rPr>
          <w:rFonts w:hint="eastAsia" w:ascii="仿宋" w:hAnsi="仿宋" w:eastAsia="仿宋"/>
          <w:sz w:val="32"/>
          <w:szCs w:val="32"/>
        </w:rPr>
        <w:t>十、政府性基金预算财政拨款收入支出决算表</w:t>
      </w:r>
    </w:p>
    <w:p w14:paraId="109B4AA1">
      <w:pPr>
        <w:rPr>
          <w:rFonts w:ascii="仿宋" w:hAnsi="仿宋" w:eastAsia="仿宋"/>
          <w:sz w:val="32"/>
          <w:szCs w:val="32"/>
        </w:rPr>
      </w:pPr>
      <w:r>
        <w:rPr>
          <w:rFonts w:hint="eastAsia" w:ascii="仿宋" w:hAnsi="仿宋" w:eastAsia="仿宋"/>
          <w:sz w:val="32"/>
          <w:szCs w:val="32"/>
        </w:rPr>
        <w:t>十一、国有资本经营预算财政拨款收入支出决算表</w:t>
      </w:r>
    </w:p>
    <w:p w14:paraId="3612E6E8">
      <w:pPr>
        <w:rPr>
          <w:rFonts w:ascii="仿宋" w:hAnsi="仿宋" w:eastAsia="仿宋"/>
          <w:sz w:val="32"/>
          <w:szCs w:val="32"/>
        </w:rPr>
      </w:pPr>
      <w:r>
        <w:rPr>
          <w:rFonts w:hint="eastAsia" w:ascii="仿宋" w:hAnsi="仿宋" w:eastAsia="仿宋"/>
          <w:sz w:val="32"/>
          <w:szCs w:val="32"/>
        </w:rPr>
        <w:t>十二、国有资本经营预算财政拨款支出决算表</w:t>
      </w:r>
    </w:p>
    <w:p w14:paraId="58076DA2">
      <w:pPr>
        <w:rPr>
          <w:rFonts w:ascii="仿宋" w:hAnsi="仿宋" w:eastAsia="仿宋"/>
          <w:sz w:val="32"/>
          <w:szCs w:val="32"/>
        </w:rPr>
      </w:pPr>
      <w:r>
        <w:rPr>
          <w:rFonts w:hint="eastAsia" w:ascii="仿宋" w:hAnsi="仿宋" w:eastAsia="仿宋"/>
          <w:sz w:val="32"/>
          <w:szCs w:val="32"/>
        </w:rPr>
        <w:t>十三、财政拨款“三公”经费支出决算表</w:t>
      </w:r>
    </w:p>
    <w:sectPr>
      <w:headerReference r:id="rId3" w:type="default"/>
      <w:footerReference r:id="rId4" w:type="default"/>
      <w:pgSz w:w="11906" w:h="16838"/>
      <w:pgMar w:top="1440" w:right="1800" w:bottom="1440" w:left="1800" w:header="851" w:footer="992" w:gutter="0"/>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94781956"/>
    </w:sdtPr>
    <w:sdtContent>
      <w:p w14:paraId="439D583A">
        <w:pPr>
          <w:pStyle w:val="11"/>
          <w:jc w:val="center"/>
        </w:pPr>
        <w:r>
          <w:fldChar w:fldCharType="begin"/>
        </w:r>
        <w:r>
          <w:instrText xml:space="preserve">PAGE   \* MERGEFORMAT</w:instrText>
        </w:r>
        <w:r>
          <w:fldChar w:fldCharType="separate"/>
        </w:r>
        <w:r>
          <w:rPr>
            <w:lang w:val="zh-CN"/>
          </w:rPr>
          <w:t>23</w:t>
        </w:r>
        <w:r>
          <w:fldChar w:fldCharType="end"/>
        </w:r>
      </w:p>
    </w:sdtContent>
  </w:sdt>
  <w:p w14:paraId="06CC5134">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FCB6BA">
    <w:pPr>
      <w:pStyle w:val="12"/>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652CEC"/>
    <w:multiLevelType w:val="singleLevel"/>
    <w:tmpl w:val="CF652CEC"/>
    <w:lvl w:ilvl="0" w:tentative="0">
      <w:start w:val="9"/>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NkYzc1NzFiOWI5NmUwNjJhMzNjZDM5YzdhY2E3ZWQifQ=="/>
  </w:docVars>
  <w:rsids>
    <w:rsidRoot w:val="00F1361C"/>
    <w:rsid w:val="00014A1C"/>
    <w:rsid w:val="000222C6"/>
    <w:rsid w:val="0002549F"/>
    <w:rsid w:val="00035392"/>
    <w:rsid w:val="000468DB"/>
    <w:rsid w:val="0006487A"/>
    <w:rsid w:val="00065F8F"/>
    <w:rsid w:val="00070A43"/>
    <w:rsid w:val="000768F2"/>
    <w:rsid w:val="00082EAC"/>
    <w:rsid w:val="0009184B"/>
    <w:rsid w:val="00094236"/>
    <w:rsid w:val="0009593C"/>
    <w:rsid w:val="00097322"/>
    <w:rsid w:val="00097358"/>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30E5"/>
    <w:rsid w:val="00174518"/>
    <w:rsid w:val="0018106D"/>
    <w:rsid w:val="001877A7"/>
    <w:rsid w:val="00191536"/>
    <w:rsid w:val="00196687"/>
    <w:rsid w:val="001C0962"/>
    <w:rsid w:val="001C2738"/>
    <w:rsid w:val="001D7531"/>
    <w:rsid w:val="001E737D"/>
    <w:rsid w:val="001F0592"/>
    <w:rsid w:val="001F6419"/>
    <w:rsid w:val="001F7506"/>
    <w:rsid w:val="002006CD"/>
    <w:rsid w:val="00202B36"/>
    <w:rsid w:val="00204B7A"/>
    <w:rsid w:val="00204CDE"/>
    <w:rsid w:val="0021101A"/>
    <w:rsid w:val="00220536"/>
    <w:rsid w:val="00235629"/>
    <w:rsid w:val="00260289"/>
    <w:rsid w:val="00260C38"/>
    <w:rsid w:val="002616C0"/>
    <w:rsid w:val="002643DB"/>
    <w:rsid w:val="00265372"/>
    <w:rsid w:val="002662AA"/>
    <w:rsid w:val="00280496"/>
    <w:rsid w:val="00283D47"/>
    <w:rsid w:val="00294DC9"/>
    <w:rsid w:val="00295495"/>
    <w:rsid w:val="002A31DE"/>
    <w:rsid w:val="002A62F7"/>
    <w:rsid w:val="002B2613"/>
    <w:rsid w:val="002C1468"/>
    <w:rsid w:val="002D6D05"/>
    <w:rsid w:val="002F1818"/>
    <w:rsid w:val="002F5109"/>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2919"/>
    <w:rsid w:val="003D66DA"/>
    <w:rsid w:val="003E1310"/>
    <w:rsid w:val="003E2E6A"/>
    <w:rsid w:val="003E6F55"/>
    <w:rsid w:val="00406254"/>
    <w:rsid w:val="00410559"/>
    <w:rsid w:val="0041585D"/>
    <w:rsid w:val="00420B47"/>
    <w:rsid w:val="004223DE"/>
    <w:rsid w:val="00434489"/>
    <w:rsid w:val="00437085"/>
    <w:rsid w:val="00443880"/>
    <w:rsid w:val="004464F4"/>
    <w:rsid w:val="00447329"/>
    <w:rsid w:val="00471401"/>
    <w:rsid w:val="00473F31"/>
    <w:rsid w:val="0048263A"/>
    <w:rsid w:val="004826A2"/>
    <w:rsid w:val="00487E5D"/>
    <w:rsid w:val="004A711F"/>
    <w:rsid w:val="004B199D"/>
    <w:rsid w:val="004B4690"/>
    <w:rsid w:val="004E0A2D"/>
    <w:rsid w:val="004E206B"/>
    <w:rsid w:val="004E3607"/>
    <w:rsid w:val="004E6DF7"/>
    <w:rsid w:val="004F0FBD"/>
    <w:rsid w:val="00505A47"/>
    <w:rsid w:val="00512FDA"/>
    <w:rsid w:val="00520DA0"/>
    <w:rsid w:val="005664BB"/>
    <w:rsid w:val="00566FFA"/>
    <w:rsid w:val="0057481D"/>
    <w:rsid w:val="0058486E"/>
    <w:rsid w:val="00585B33"/>
    <w:rsid w:val="0059014D"/>
    <w:rsid w:val="005A09FD"/>
    <w:rsid w:val="005B0198"/>
    <w:rsid w:val="005B321C"/>
    <w:rsid w:val="005B5C64"/>
    <w:rsid w:val="005C5337"/>
    <w:rsid w:val="005C6BD0"/>
    <w:rsid w:val="005D1C8B"/>
    <w:rsid w:val="005D468D"/>
    <w:rsid w:val="005D5CED"/>
    <w:rsid w:val="005F1A4C"/>
    <w:rsid w:val="00605688"/>
    <w:rsid w:val="006070AF"/>
    <w:rsid w:val="00607E6C"/>
    <w:rsid w:val="006101B1"/>
    <w:rsid w:val="00614E44"/>
    <w:rsid w:val="00620030"/>
    <w:rsid w:val="0062270A"/>
    <w:rsid w:val="00622830"/>
    <w:rsid w:val="00623DA0"/>
    <w:rsid w:val="00630AEF"/>
    <w:rsid w:val="006325F8"/>
    <w:rsid w:val="00633463"/>
    <w:rsid w:val="00634C9A"/>
    <w:rsid w:val="00640417"/>
    <w:rsid w:val="00641F56"/>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516B"/>
    <w:rsid w:val="00746F48"/>
    <w:rsid w:val="0075404D"/>
    <w:rsid w:val="0076182A"/>
    <w:rsid w:val="00762406"/>
    <w:rsid w:val="0076493D"/>
    <w:rsid w:val="00767B7E"/>
    <w:rsid w:val="007770C3"/>
    <w:rsid w:val="00784D24"/>
    <w:rsid w:val="00785FBA"/>
    <w:rsid w:val="00786E4A"/>
    <w:rsid w:val="007875EB"/>
    <w:rsid w:val="0079426B"/>
    <w:rsid w:val="007D1682"/>
    <w:rsid w:val="007D312A"/>
    <w:rsid w:val="007D3F19"/>
    <w:rsid w:val="007E23B0"/>
    <w:rsid w:val="007E23E5"/>
    <w:rsid w:val="007E6A82"/>
    <w:rsid w:val="007F1991"/>
    <w:rsid w:val="007F2C2F"/>
    <w:rsid w:val="007F55FC"/>
    <w:rsid w:val="007F5665"/>
    <w:rsid w:val="007F7385"/>
    <w:rsid w:val="00800112"/>
    <w:rsid w:val="00813348"/>
    <w:rsid w:val="008253BB"/>
    <w:rsid w:val="0083706E"/>
    <w:rsid w:val="008408F6"/>
    <w:rsid w:val="008423A5"/>
    <w:rsid w:val="00850625"/>
    <w:rsid w:val="00853718"/>
    <w:rsid w:val="00855221"/>
    <w:rsid w:val="00860645"/>
    <w:rsid w:val="00871F71"/>
    <w:rsid w:val="00872FD8"/>
    <w:rsid w:val="00875641"/>
    <w:rsid w:val="00885AF4"/>
    <w:rsid w:val="00887F08"/>
    <w:rsid w:val="008914B9"/>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34F0"/>
    <w:rsid w:val="00935C98"/>
    <w:rsid w:val="00946945"/>
    <w:rsid w:val="00951248"/>
    <w:rsid w:val="0095152F"/>
    <w:rsid w:val="009546E4"/>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E50C8"/>
    <w:rsid w:val="009F1185"/>
    <w:rsid w:val="009F18CD"/>
    <w:rsid w:val="009F2A13"/>
    <w:rsid w:val="009F7527"/>
    <w:rsid w:val="00A04EB0"/>
    <w:rsid w:val="00A13CC1"/>
    <w:rsid w:val="00A16847"/>
    <w:rsid w:val="00A237D8"/>
    <w:rsid w:val="00A25C9F"/>
    <w:rsid w:val="00A268C4"/>
    <w:rsid w:val="00A27C77"/>
    <w:rsid w:val="00A307CD"/>
    <w:rsid w:val="00A331C8"/>
    <w:rsid w:val="00A40A00"/>
    <w:rsid w:val="00A4142F"/>
    <w:rsid w:val="00A422EB"/>
    <w:rsid w:val="00A45BB7"/>
    <w:rsid w:val="00A56DF2"/>
    <w:rsid w:val="00A56E6E"/>
    <w:rsid w:val="00A67AB5"/>
    <w:rsid w:val="00A733B2"/>
    <w:rsid w:val="00A741C2"/>
    <w:rsid w:val="00A74A9E"/>
    <w:rsid w:val="00A91760"/>
    <w:rsid w:val="00A93B00"/>
    <w:rsid w:val="00A93C21"/>
    <w:rsid w:val="00AB64C9"/>
    <w:rsid w:val="00AC2E50"/>
    <w:rsid w:val="00AC3C6A"/>
    <w:rsid w:val="00AD5620"/>
    <w:rsid w:val="00AD656B"/>
    <w:rsid w:val="00AD7C1B"/>
    <w:rsid w:val="00AE16BA"/>
    <w:rsid w:val="00AE1EBE"/>
    <w:rsid w:val="00B03C9D"/>
    <w:rsid w:val="00B060AE"/>
    <w:rsid w:val="00B10517"/>
    <w:rsid w:val="00B12E8B"/>
    <w:rsid w:val="00B14E76"/>
    <w:rsid w:val="00B161B8"/>
    <w:rsid w:val="00B2048C"/>
    <w:rsid w:val="00B310B9"/>
    <w:rsid w:val="00B35F3F"/>
    <w:rsid w:val="00B36CBB"/>
    <w:rsid w:val="00B411A6"/>
    <w:rsid w:val="00B425E0"/>
    <w:rsid w:val="00B440AA"/>
    <w:rsid w:val="00B44B70"/>
    <w:rsid w:val="00B53C56"/>
    <w:rsid w:val="00B57DAF"/>
    <w:rsid w:val="00B76F9D"/>
    <w:rsid w:val="00B77EA6"/>
    <w:rsid w:val="00B81598"/>
    <w:rsid w:val="00B841F1"/>
    <w:rsid w:val="00B944D6"/>
    <w:rsid w:val="00BA579E"/>
    <w:rsid w:val="00BB4DF0"/>
    <w:rsid w:val="00BC289F"/>
    <w:rsid w:val="00BC2D50"/>
    <w:rsid w:val="00BC5361"/>
    <w:rsid w:val="00BC5460"/>
    <w:rsid w:val="00BC6B50"/>
    <w:rsid w:val="00BD0E25"/>
    <w:rsid w:val="00BF5BD6"/>
    <w:rsid w:val="00C03E31"/>
    <w:rsid w:val="00C33E72"/>
    <w:rsid w:val="00C354B2"/>
    <w:rsid w:val="00C35554"/>
    <w:rsid w:val="00C42709"/>
    <w:rsid w:val="00C46119"/>
    <w:rsid w:val="00C533CC"/>
    <w:rsid w:val="00C5751C"/>
    <w:rsid w:val="00C61BFC"/>
    <w:rsid w:val="00C62B85"/>
    <w:rsid w:val="00C65438"/>
    <w:rsid w:val="00C860D5"/>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950A1"/>
    <w:rsid w:val="00DA634F"/>
    <w:rsid w:val="00DA65AC"/>
    <w:rsid w:val="00DB1913"/>
    <w:rsid w:val="00DC410D"/>
    <w:rsid w:val="00DC5A81"/>
    <w:rsid w:val="00DC68CA"/>
    <w:rsid w:val="00DC7CBA"/>
    <w:rsid w:val="00DD73B7"/>
    <w:rsid w:val="00DF24DF"/>
    <w:rsid w:val="00DF28BC"/>
    <w:rsid w:val="00DF34B9"/>
    <w:rsid w:val="00E01053"/>
    <w:rsid w:val="00E01B70"/>
    <w:rsid w:val="00E07ACF"/>
    <w:rsid w:val="00E11813"/>
    <w:rsid w:val="00E331A1"/>
    <w:rsid w:val="00E33202"/>
    <w:rsid w:val="00E336A9"/>
    <w:rsid w:val="00E472B1"/>
    <w:rsid w:val="00E50624"/>
    <w:rsid w:val="00E568DF"/>
    <w:rsid w:val="00E64269"/>
    <w:rsid w:val="00E82267"/>
    <w:rsid w:val="00E853CE"/>
    <w:rsid w:val="00E867B6"/>
    <w:rsid w:val="00EA010F"/>
    <w:rsid w:val="00EB0FAE"/>
    <w:rsid w:val="00ED1B63"/>
    <w:rsid w:val="00ED3C1F"/>
    <w:rsid w:val="00ED4085"/>
    <w:rsid w:val="00ED420E"/>
    <w:rsid w:val="00ED6FBE"/>
    <w:rsid w:val="00EE2F57"/>
    <w:rsid w:val="00EF4C34"/>
    <w:rsid w:val="00EF77C6"/>
    <w:rsid w:val="00F03938"/>
    <w:rsid w:val="00F05438"/>
    <w:rsid w:val="00F1361C"/>
    <w:rsid w:val="00F156F0"/>
    <w:rsid w:val="00F160C7"/>
    <w:rsid w:val="00F2408F"/>
    <w:rsid w:val="00F240E9"/>
    <w:rsid w:val="00F36D8F"/>
    <w:rsid w:val="00F417B1"/>
    <w:rsid w:val="00F45853"/>
    <w:rsid w:val="00F5561B"/>
    <w:rsid w:val="00F602DF"/>
    <w:rsid w:val="00F754A1"/>
    <w:rsid w:val="00F81FD9"/>
    <w:rsid w:val="00F841AA"/>
    <w:rsid w:val="00F84A94"/>
    <w:rsid w:val="00F87E96"/>
    <w:rsid w:val="00FA23E8"/>
    <w:rsid w:val="00FA789D"/>
    <w:rsid w:val="00FC7DA4"/>
    <w:rsid w:val="00FD3CC1"/>
    <w:rsid w:val="00FF1E02"/>
    <w:rsid w:val="00FF30B4"/>
    <w:rsid w:val="015975B8"/>
    <w:rsid w:val="02FEBE30"/>
    <w:rsid w:val="036F8141"/>
    <w:rsid w:val="03831917"/>
    <w:rsid w:val="066E0107"/>
    <w:rsid w:val="07996F6E"/>
    <w:rsid w:val="07DFD8BA"/>
    <w:rsid w:val="0A2032A3"/>
    <w:rsid w:val="0D35B1ED"/>
    <w:rsid w:val="0E7ED1F5"/>
    <w:rsid w:val="0F98263C"/>
    <w:rsid w:val="101860EC"/>
    <w:rsid w:val="10C055FF"/>
    <w:rsid w:val="118107EC"/>
    <w:rsid w:val="13D50BC4"/>
    <w:rsid w:val="13F5616D"/>
    <w:rsid w:val="16BB723D"/>
    <w:rsid w:val="17F9714D"/>
    <w:rsid w:val="1918F934"/>
    <w:rsid w:val="1BE8440E"/>
    <w:rsid w:val="1D155CEE"/>
    <w:rsid w:val="1DFBC4B3"/>
    <w:rsid w:val="1E740ACF"/>
    <w:rsid w:val="1F19C781"/>
    <w:rsid w:val="1F33FCE5"/>
    <w:rsid w:val="1F7F7398"/>
    <w:rsid w:val="1FD2DB6F"/>
    <w:rsid w:val="1FF35744"/>
    <w:rsid w:val="1FF6BC77"/>
    <w:rsid w:val="1FF9236D"/>
    <w:rsid w:val="2333840E"/>
    <w:rsid w:val="23860B96"/>
    <w:rsid w:val="240371BF"/>
    <w:rsid w:val="257C638F"/>
    <w:rsid w:val="29FD04D3"/>
    <w:rsid w:val="2BFF7BC6"/>
    <w:rsid w:val="2C8A61B5"/>
    <w:rsid w:val="2CD59C95"/>
    <w:rsid w:val="2DF04E50"/>
    <w:rsid w:val="2EFD05E5"/>
    <w:rsid w:val="2F040D46"/>
    <w:rsid w:val="2F4F95CE"/>
    <w:rsid w:val="2FACAFDD"/>
    <w:rsid w:val="2FAE5751"/>
    <w:rsid w:val="2FB1A395"/>
    <w:rsid w:val="2FCF0B76"/>
    <w:rsid w:val="2FD9A7D8"/>
    <w:rsid w:val="319F7F4E"/>
    <w:rsid w:val="3304709D"/>
    <w:rsid w:val="36AA5135"/>
    <w:rsid w:val="36BE0DA7"/>
    <w:rsid w:val="376B6AA6"/>
    <w:rsid w:val="376D39B2"/>
    <w:rsid w:val="37E16F03"/>
    <w:rsid w:val="37F53A3B"/>
    <w:rsid w:val="38D469F0"/>
    <w:rsid w:val="38F78389"/>
    <w:rsid w:val="397BAF1F"/>
    <w:rsid w:val="39E7B272"/>
    <w:rsid w:val="39F7642F"/>
    <w:rsid w:val="39FF7B37"/>
    <w:rsid w:val="3AB79AF3"/>
    <w:rsid w:val="3AFDCB77"/>
    <w:rsid w:val="3B7EF35A"/>
    <w:rsid w:val="3B9FDB6C"/>
    <w:rsid w:val="3BF5BC2F"/>
    <w:rsid w:val="3BF7C23A"/>
    <w:rsid w:val="3BFF223E"/>
    <w:rsid w:val="3C6EC0A1"/>
    <w:rsid w:val="3CDB0824"/>
    <w:rsid w:val="3CEBA265"/>
    <w:rsid w:val="3D6A7F9F"/>
    <w:rsid w:val="3D7E7F4D"/>
    <w:rsid w:val="3D98207C"/>
    <w:rsid w:val="3D9CF30A"/>
    <w:rsid w:val="3DFF5A3E"/>
    <w:rsid w:val="3E78745D"/>
    <w:rsid w:val="3EEE77E9"/>
    <w:rsid w:val="3F394AF5"/>
    <w:rsid w:val="3FBE5714"/>
    <w:rsid w:val="3FDD8615"/>
    <w:rsid w:val="3FDFB2FF"/>
    <w:rsid w:val="3FF4CAE0"/>
    <w:rsid w:val="3FF75FAF"/>
    <w:rsid w:val="3FF7B227"/>
    <w:rsid w:val="44E268DA"/>
    <w:rsid w:val="457F4F6B"/>
    <w:rsid w:val="4737FB58"/>
    <w:rsid w:val="47ECCB02"/>
    <w:rsid w:val="47FA6A3F"/>
    <w:rsid w:val="49D7AE48"/>
    <w:rsid w:val="4A3F6C7E"/>
    <w:rsid w:val="4A627F82"/>
    <w:rsid w:val="4B0E749A"/>
    <w:rsid w:val="4B4F25DA"/>
    <w:rsid w:val="4BBB4781"/>
    <w:rsid w:val="4BD709A5"/>
    <w:rsid w:val="4BDD9BFF"/>
    <w:rsid w:val="4BE068DB"/>
    <w:rsid w:val="4D577224"/>
    <w:rsid w:val="4DBF1CEB"/>
    <w:rsid w:val="4DBF6A6B"/>
    <w:rsid w:val="4DF6A672"/>
    <w:rsid w:val="4E5973A8"/>
    <w:rsid w:val="4EAB630A"/>
    <w:rsid w:val="4ECE2238"/>
    <w:rsid w:val="4F7EA413"/>
    <w:rsid w:val="4FAB812F"/>
    <w:rsid w:val="4FE9BD67"/>
    <w:rsid w:val="4FEE4C07"/>
    <w:rsid w:val="4FFB052F"/>
    <w:rsid w:val="537E6D0A"/>
    <w:rsid w:val="53AB6B88"/>
    <w:rsid w:val="53AE45E1"/>
    <w:rsid w:val="53F74C96"/>
    <w:rsid w:val="54D56363"/>
    <w:rsid w:val="5583522D"/>
    <w:rsid w:val="57BD3DD4"/>
    <w:rsid w:val="57F9CD1E"/>
    <w:rsid w:val="5AF92295"/>
    <w:rsid w:val="5AF9D8E9"/>
    <w:rsid w:val="5BDD38BD"/>
    <w:rsid w:val="5BDD79E6"/>
    <w:rsid w:val="5BEFC772"/>
    <w:rsid w:val="5BFF5DFC"/>
    <w:rsid w:val="5CD71FC4"/>
    <w:rsid w:val="5D1F11B5"/>
    <w:rsid w:val="5D3647F9"/>
    <w:rsid w:val="5DA644D4"/>
    <w:rsid w:val="5DAE1B18"/>
    <w:rsid w:val="5DE7D9E5"/>
    <w:rsid w:val="5ECEC941"/>
    <w:rsid w:val="5EFF8FC6"/>
    <w:rsid w:val="5F5BA39A"/>
    <w:rsid w:val="5F7D3B79"/>
    <w:rsid w:val="5F7F4610"/>
    <w:rsid w:val="5FBF9FF3"/>
    <w:rsid w:val="5FCD4E2C"/>
    <w:rsid w:val="5FEF394A"/>
    <w:rsid w:val="5FF67715"/>
    <w:rsid w:val="61CA71D5"/>
    <w:rsid w:val="627EE9EA"/>
    <w:rsid w:val="63B23AA5"/>
    <w:rsid w:val="647F5392"/>
    <w:rsid w:val="64E322C4"/>
    <w:rsid w:val="65FB93B9"/>
    <w:rsid w:val="6633C463"/>
    <w:rsid w:val="67D55B77"/>
    <w:rsid w:val="67EE7F84"/>
    <w:rsid w:val="686F5F53"/>
    <w:rsid w:val="6AFFCEAF"/>
    <w:rsid w:val="6B96E9E6"/>
    <w:rsid w:val="6BCE57B5"/>
    <w:rsid w:val="6BFEA4DB"/>
    <w:rsid w:val="6BFFB662"/>
    <w:rsid w:val="6C4A05C8"/>
    <w:rsid w:val="6CFF4FB8"/>
    <w:rsid w:val="6D6BD6E0"/>
    <w:rsid w:val="6D77E73C"/>
    <w:rsid w:val="6DBF5E93"/>
    <w:rsid w:val="6DFF077E"/>
    <w:rsid w:val="6E7E3605"/>
    <w:rsid w:val="6E7FDCC7"/>
    <w:rsid w:val="6ED6A62E"/>
    <w:rsid w:val="6EE00B15"/>
    <w:rsid w:val="6EE737B2"/>
    <w:rsid w:val="6EEB2329"/>
    <w:rsid w:val="6EECE67A"/>
    <w:rsid w:val="6F6F90A8"/>
    <w:rsid w:val="6F6FB3EB"/>
    <w:rsid w:val="6F8731EA"/>
    <w:rsid w:val="6FBC2ADD"/>
    <w:rsid w:val="6FD57C00"/>
    <w:rsid w:val="6FEC70C1"/>
    <w:rsid w:val="6FEFFFD8"/>
    <w:rsid w:val="6FF5CC65"/>
    <w:rsid w:val="6FFB47EC"/>
    <w:rsid w:val="6FFF034A"/>
    <w:rsid w:val="712A28F1"/>
    <w:rsid w:val="715C0E4B"/>
    <w:rsid w:val="71FFD401"/>
    <w:rsid w:val="72233669"/>
    <w:rsid w:val="72734D90"/>
    <w:rsid w:val="729A4718"/>
    <w:rsid w:val="7332FE48"/>
    <w:rsid w:val="73AD73D5"/>
    <w:rsid w:val="73B6EB34"/>
    <w:rsid w:val="73FA497D"/>
    <w:rsid w:val="744731E5"/>
    <w:rsid w:val="74BBD01D"/>
    <w:rsid w:val="74ED5379"/>
    <w:rsid w:val="75DEEEC2"/>
    <w:rsid w:val="767F479D"/>
    <w:rsid w:val="76E3355F"/>
    <w:rsid w:val="76F742AF"/>
    <w:rsid w:val="76F7BE7D"/>
    <w:rsid w:val="76FF5125"/>
    <w:rsid w:val="773570D3"/>
    <w:rsid w:val="77597F31"/>
    <w:rsid w:val="776F6FFA"/>
    <w:rsid w:val="7777A522"/>
    <w:rsid w:val="77858688"/>
    <w:rsid w:val="778769C8"/>
    <w:rsid w:val="77CB741A"/>
    <w:rsid w:val="77D7BE3A"/>
    <w:rsid w:val="77DC22F5"/>
    <w:rsid w:val="797E3A6C"/>
    <w:rsid w:val="79CF70E2"/>
    <w:rsid w:val="79D7FD79"/>
    <w:rsid w:val="79E75806"/>
    <w:rsid w:val="79EE5BA4"/>
    <w:rsid w:val="7A641148"/>
    <w:rsid w:val="7A6F8BF5"/>
    <w:rsid w:val="7A894339"/>
    <w:rsid w:val="7ACF82B5"/>
    <w:rsid w:val="7AFF28C9"/>
    <w:rsid w:val="7AFF72A0"/>
    <w:rsid w:val="7AFF7572"/>
    <w:rsid w:val="7B6C7DFB"/>
    <w:rsid w:val="7B7D76A7"/>
    <w:rsid w:val="7BAE2FE2"/>
    <w:rsid w:val="7BAF6951"/>
    <w:rsid w:val="7BBFBED0"/>
    <w:rsid w:val="7BC3E394"/>
    <w:rsid w:val="7BF3FE4C"/>
    <w:rsid w:val="7BFB5035"/>
    <w:rsid w:val="7BFDE17E"/>
    <w:rsid w:val="7CBFC87B"/>
    <w:rsid w:val="7CFE0F48"/>
    <w:rsid w:val="7D3DE31C"/>
    <w:rsid w:val="7D7EC23E"/>
    <w:rsid w:val="7D7F8A13"/>
    <w:rsid w:val="7DBBCB01"/>
    <w:rsid w:val="7DC765D0"/>
    <w:rsid w:val="7DDB0EE0"/>
    <w:rsid w:val="7DFF51D8"/>
    <w:rsid w:val="7E634199"/>
    <w:rsid w:val="7E8ADEBF"/>
    <w:rsid w:val="7EEF11D3"/>
    <w:rsid w:val="7EF78C20"/>
    <w:rsid w:val="7F3F679B"/>
    <w:rsid w:val="7F4FC4EF"/>
    <w:rsid w:val="7F5E4D54"/>
    <w:rsid w:val="7F6B75FA"/>
    <w:rsid w:val="7F9F518D"/>
    <w:rsid w:val="7FA30C79"/>
    <w:rsid w:val="7FAF8ABF"/>
    <w:rsid w:val="7FB7269E"/>
    <w:rsid w:val="7FBD6753"/>
    <w:rsid w:val="7FBFABB4"/>
    <w:rsid w:val="7FC65084"/>
    <w:rsid w:val="7FC96657"/>
    <w:rsid w:val="7FD72595"/>
    <w:rsid w:val="7FDA9588"/>
    <w:rsid w:val="7FDF220F"/>
    <w:rsid w:val="7FDF4542"/>
    <w:rsid w:val="7FDF5405"/>
    <w:rsid w:val="7FEDC251"/>
    <w:rsid w:val="7FEDC5F7"/>
    <w:rsid w:val="7FEDD9DE"/>
    <w:rsid w:val="7FEFCDB9"/>
    <w:rsid w:val="7FF5890D"/>
    <w:rsid w:val="7FF5EB09"/>
    <w:rsid w:val="7FF89B92"/>
    <w:rsid w:val="7FF8F2E7"/>
    <w:rsid w:val="7FF93490"/>
    <w:rsid w:val="7FFA6237"/>
    <w:rsid w:val="7FFB5275"/>
    <w:rsid w:val="7FFD14DE"/>
    <w:rsid w:val="7FFFF783"/>
    <w:rsid w:val="93F70A9E"/>
    <w:rsid w:val="997D060E"/>
    <w:rsid w:val="99FF2014"/>
    <w:rsid w:val="9E59F895"/>
    <w:rsid w:val="9E7DEDC1"/>
    <w:rsid w:val="9EEF2B0D"/>
    <w:rsid w:val="9FF6F2A6"/>
    <w:rsid w:val="9FFE4AD9"/>
    <w:rsid w:val="9FFF61B9"/>
    <w:rsid w:val="A6DD0D7F"/>
    <w:rsid w:val="A7955197"/>
    <w:rsid w:val="A7FE5E0E"/>
    <w:rsid w:val="ADC6F725"/>
    <w:rsid w:val="AF0FFA84"/>
    <w:rsid w:val="AF9F0A5E"/>
    <w:rsid w:val="AFEF7964"/>
    <w:rsid w:val="B27A6F28"/>
    <w:rsid w:val="B35F0D5A"/>
    <w:rsid w:val="B3F7F693"/>
    <w:rsid w:val="B3FBBB6C"/>
    <w:rsid w:val="B5FFE407"/>
    <w:rsid w:val="B7CF06AB"/>
    <w:rsid w:val="B7CFA926"/>
    <w:rsid w:val="B7F8786B"/>
    <w:rsid w:val="B9EF5647"/>
    <w:rsid w:val="BABB6AA1"/>
    <w:rsid w:val="BAFCD398"/>
    <w:rsid w:val="BAFFDA0F"/>
    <w:rsid w:val="BB2F4199"/>
    <w:rsid w:val="BBFBD24E"/>
    <w:rsid w:val="BD079C78"/>
    <w:rsid w:val="BD2DD278"/>
    <w:rsid w:val="BD733540"/>
    <w:rsid w:val="BDF7970E"/>
    <w:rsid w:val="BDFE68BD"/>
    <w:rsid w:val="BE6FC990"/>
    <w:rsid w:val="BEBE9537"/>
    <w:rsid w:val="BEFF0D62"/>
    <w:rsid w:val="BEFF90EF"/>
    <w:rsid w:val="BF3735D5"/>
    <w:rsid w:val="BF7F09AC"/>
    <w:rsid w:val="BFB3380D"/>
    <w:rsid w:val="BFB7E7A2"/>
    <w:rsid w:val="BFC2F103"/>
    <w:rsid w:val="BFD475C3"/>
    <w:rsid w:val="BFDE5EA6"/>
    <w:rsid w:val="BFEF99E9"/>
    <w:rsid w:val="BFF9E564"/>
    <w:rsid w:val="BFFF3A69"/>
    <w:rsid w:val="C7BFEF9C"/>
    <w:rsid w:val="C8BD8F25"/>
    <w:rsid w:val="C94DA72E"/>
    <w:rsid w:val="CBEEAA00"/>
    <w:rsid w:val="CC7E9ECE"/>
    <w:rsid w:val="CDBFF9FF"/>
    <w:rsid w:val="CDF78664"/>
    <w:rsid w:val="CE3FF57E"/>
    <w:rsid w:val="CF3AB4AC"/>
    <w:rsid w:val="CF6FC6F3"/>
    <w:rsid w:val="CFD3D3D7"/>
    <w:rsid w:val="CFDF1009"/>
    <w:rsid w:val="D6B7E4F6"/>
    <w:rsid w:val="D6CB2739"/>
    <w:rsid w:val="D776A8DB"/>
    <w:rsid w:val="D7B6B268"/>
    <w:rsid w:val="D7D7B16A"/>
    <w:rsid w:val="D7EF2E2A"/>
    <w:rsid w:val="D8D6DB89"/>
    <w:rsid w:val="DB6F4CAB"/>
    <w:rsid w:val="DB777682"/>
    <w:rsid w:val="DBDDA52A"/>
    <w:rsid w:val="DCFFC0D1"/>
    <w:rsid w:val="DD1FB521"/>
    <w:rsid w:val="DDCB2E5E"/>
    <w:rsid w:val="DDFE75CA"/>
    <w:rsid w:val="DEFBBE33"/>
    <w:rsid w:val="DEFBFEAE"/>
    <w:rsid w:val="DF1F3B80"/>
    <w:rsid w:val="DF6F9789"/>
    <w:rsid w:val="DF9B8D55"/>
    <w:rsid w:val="DF9D198A"/>
    <w:rsid w:val="DFDF1D8E"/>
    <w:rsid w:val="DFEFC58B"/>
    <w:rsid w:val="DFF5F241"/>
    <w:rsid w:val="DFFFA9E8"/>
    <w:rsid w:val="E37D5D3F"/>
    <w:rsid w:val="E3FFE98D"/>
    <w:rsid w:val="E5F4E9DC"/>
    <w:rsid w:val="E67FF583"/>
    <w:rsid w:val="E70FE695"/>
    <w:rsid w:val="E7676621"/>
    <w:rsid w:val="E76B2B9A"/>
    <w:rsid w:val="E7AB7A34"/>
    <w:rsid w:val="E7DF1E20"/>
    <w:rsid w:val="E7FF6381"/>
    <w:rsid w:val="E9A30291"/>
    <w:rsid w:val="EBBF924C"/>
    <w:rsid w:val="ECFED1BC"/>
    <w:rsid w:val="ED1D69BB"/>
    <w:rsid w:val="ED2C2584"/>
    <w:rsid w:val="ED7FD312"/>
    <w:rsid w:val="EDBE03E0"/>
    <w:rsid w:val="EDD1A84A"/>
    <w:rsid w:val="EDFF8263"/>
    <w:rsid w:val="EE1FA0C7"/>
    <w:rsid w:val="EF53993F"/>
    <w:rsid w:val="EF7B8152"/>
    <w:rsid w:val="EF8E27E2"/>
    <w:rsid w:val="EFBFB2F4"/>
    <w:rsid w:val="EFBFFA21"/>
    <w:rsid w:val="EFDF4337"/>
    <w:rsid w:val="EFF7097E"/>
    <w:rsid w:val="F2BEBCB8"/>
    <w:rsid w:val="F36FB518"/>
    <w:rsid w:val="F3DE1A04"/>
    <w:rsid w:val="F3E244FA"/>
    <w:rsid w:val="F3EFB7CA"/>
    <w:rsid w:val="F3F722E5"/>
    <w:rsid w:val="F699BB1A"/>
    <w:rsid w:val="F6DEABFE"/>
    <w:rsid w:val="F7B650C7"/>
    <w:rsid w:val="F7EF9033"/>
    <w:rsid w:val="F7FDC2B1"/>
    <w:rsid w:val="F8DDDAC6"/>
    <w:rsid w:val="F96B55C8"/>
    <w:rsid w:val="FA2F5BEB"/>
    <w:rsid w:val="FA5F1E70"/>
    <w:rsid w:val="FA5FDB97"/>
    <w:rsid w:val="FB1BB959"/>
    <w:rsid w:val="FB75E3C8"/>
    <w:rsid w:val="FB7F461B"/>
    <w:rsid w:val="FB7F486A"/>
    <w:rsid w:val="FB7F6E28"/>
    <w:rsid w:val="FB8778F4"/>
    <w:rsid w:val="FBB61866"/>
    <w:rsid w:val="FBEE055A"/>
    <w:rsid w:val="FBF91527"/>
    <w:rsid w:val="FBFD1260"/>
    <w:rsid w:val="FBFF5B2E"/>
    <w:rsid w:val="FC833EBB"/>
    <w:rsid w:val="FCFE0B49"/>
    <w:rsid w:val="FD4B388D"/>
    <w:rsid w:val="FD77A83C"/>
    <w:rsid w:val="FD7FFE2B"/>
    <w:rsid w:val="FDADA43D"/>
    <w:rsid w:val="FDBDC432"/>
    <w:rsid w:val="FDEB412A"/>
    <w:rsid w:val="FDEE196B"/>
    <w:rsid w:val="FDEF50BC"/>
    <w:rsid w:val="FDFD5EC3"/>
    <w:rsid w:val="FDFE6575"/>
    <w:rsid w:val="FE9E11AB"/>
    <w:rsid w:val="FEBF38CD"/>
    <w:rsid w:val="FEDFDDC2"/>
    <w:rsid w:val="FEEB4E4D"/>
    <w:rsid w:val="FEED32F6"/>
    <w:rsid w:val="FEF781DD"/>
    <w:rsid w:val="FEF9D8C4"/>
    <w:rsid w:val="FF3F7E3F"/>
    <w:rsid w:val="FF3FF759"/>
    <w:rsid w:val="FF4749A3"/>
    <w:rsid w:val="FF4D3A28"/>
    <w:rsid w:val="FF5913BC"/>
    <w:rsid w:val="FF7F1E7E"/>
    <w:rsid w:val="FF9BAA5C"/>
    <w:rsid w:val="FFA57884"/>
    <w:rsid w:val="FFB513DD"/>
    <w:rsid w:val="FFBA12D7"/>
    <w:rsid w:val="FFBFE8C6"/>
    <w:rsid w:val="FFCF2925"/>
    <w:rsid w:val="FFD33B6C"/>
    <w:rsid w:val="FFDAD824"/>
    <w:rsid w:val="FFDE4064"/>
    <w:rsid w:val="FFDEA9D8"/>
    <w:rsid w:val="FFDF2DEC"/>
    <w:rsid w:val="FFDF624E"/>
    <w:rsid w:val="FFDF6BC0"/>
    <w:rsid w:val="FFDFFAEE"/>
    <w:rsid w:val="FFE3BA41"/>
    <w:rsid w:val="FFE3BED4"/>
    <w:rsid w:val="FFF316C1"/>
    <w:rsid w:val="FFF63ECC"/>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3"/>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6"/>
    <w:qFormat/>
    <w:uiPriority w:val="99"/>
    <w:pPr>
      <w:spacing w:beforeLines="30"/>
    </w:pPr>
    <w:rPr>
      <w:rFonts w:ascii="仿宋_GB2312" w:eastAsia="仿宋_GB2312"/>
      <w:kern w:val="0"/>
      <w:sz w:val="30"/>
    </w:rPr>
  </w:style>
  <w:style w:type="paragraph" w:styleId="6">
    <w:name w:val="Body Text Indent"/>
    <w:basedOn w:val="1"/>
    <w:next w:val="7"/>
    <w:qFormat/>
    <w:uiPriority w:val="0"/>
    <w:pPr>
      <w:spacing w:after="120"/>
      <w:ind w:left="200" w:leftChars="200"/>
    </w:pPr>
    <w:rPr>
      <w:rFonts w:ascii="仿宋_GB2312"/>
      <w:szCs w:val="32"/>
    </w:rPr>
  </w:style>
  <w:style w:type="paragraph" w:styleId="7">
    <w:name w:val="Body Text First Indent 2"/>
    <w:basedOn w:val="6"/>
    <w:next w:val="8"/>
    <w:unhideWhenUsed/>
    <w:qFormat/>
    <w:uiPriority w:val="99"/>
    <w:pPr>
      <w:ind w:firstLine="420" w:firstLineChars="200"/>
    </w:pPr>
  </w:style>
  <w:style w:type="paragraph" w:styleId="8">
    <w:name w:val="Plain Text"/>
    <w:basedOn w:val="1"/>
    <w:qFormat/>
    <w:uiPriority w:val="0"/>
    <w:pPr>
      <w:widowControl w:val="0"/>
      <w:suppressAutoHyphens/>
      <w:bidi w:val="0"/>
      <w:jc w:val="both"/>
    </w:pPr>
    <w:rPr>
      <w:rFonts w:ascii="宋体" w:eastAsia="宋体" w:cs="Courier New"/>
      <w:color w:val="auto"/>
      <w:kern w:val="2"/>
      <w:sz w:val="32"/>
      <w:szCs w:val="22"/>
      <w:lang w:val="en-US" w:eastAsia="zh-CN" w:bidi="ar-SA"/>
    </w:rPr>
  </w:style>
  <w:style w:type="paragraph" w:styleId="9">
    <w:name w:val="toc 3"/>
    <w:basedOn w:val="1"/>
    <w:next w:val="1"/>
    <w:unhideWhenUsed/>
    <w:qFormat/>
    <w:uiPriority w:val="39"/>
    <w:pPr>
      <w:tabs>
        <w:tab w:val="right" w:leader="dot" w:pos="8296"/>
      </w:tabs>
      <w:ind w:left="840" w:leftChars="400"/>
    </w:pPr>
  </w:style>
  <w:style w:type="paragraph" w:styleId="10">
    <w:name w:val="Balloon Text"/>
    <w:basedOn w:val="1"/>
    <w:link w:val="32"/>
    <w:semiHidden/>
    <w:unhideWhenUsed/>
    <w:qFormat/>
    <w:uiPriority w:val="99"/>
    <w:rPr>
      <w:sz w:val="18"/>
      <w:szCs w:val="18"/>
    </w:rPr>
  </w:style>
  <w:style w:type="paragraph" w:styleId="11">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12">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3">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4">
    <w:name w:val="toc 2"/>
    <w:basedOn w:val="1"/>
    <w:next w:val="1"/>
    <w:unhideWhenUsed/>
    <w:qFormat/>
    <w:uiPriority w:val="39"/>
    <w:pPr>
      <w:tabs>
        <w:tab w:val="right" w:leader="dot" w:pos="8296"/>
      </w:tabs>
      <w:ind w:left="420" w:leftChars="200"/>
    </w:pPr>
  </w:style>
  <w:style w:type="paragraph" w:styleId="15">
    <w:name w:val="Normal (Web)"/>
    <w:basedOn w:val="1"/>
    <w:unhideWhenUsed/>
    <w:qFormat/>
    <w:uiPriority w:val="99"/>
    <w:pPr>
      <w:widowControl/>
      <w:spacing w:line="240" w:lineRule="auto"/>
      <w:ind w:firstLine="0" w:firstLineChars="0"/>
    </w:pPr>
    <w:rPr>
      <w:rFonts w:ascii="宋体" w:hAnsi="宋体" w:eastAsia="宋体"/>
      <w:sz w:val="24"/>
      <w:szCs w:val="24"/>
    </w:rPr>
  </w:style>
  <w:style w:type="character" w:styleId="18">
    <w:name w:val="Strong"/>
    <w:basedOn w:val="17"/>
    <w:qFormat/>
    <w:uiPriority w:val="99"/>
    <w:rPr>
      <w:b/>
    </w:rPr>
  </w:style>
  <w:style w:type="character" w:styleId="19">
    <w:name w:val="Hyperlink"/>
    <w:basedOn w:val="17"/>
    <w:unhideWhenUsed/>
    <w:qFormat/>
    <w:uiPriority w:val="99"/>
    <w:rPr>
      <w:color w:val="0000FF" w:themeColor="hyperlink"/>
      <w:u w:val="single"/>
      <w14:textFill>
        <w14:solidFill>
          <w14:schemeClr w14:val="hlink"/>
        </w14:solidFill>
      </w14:textFill>
    </w:rPr>
  </w:style>
  <w:style w:type="paragraph" w:customStyle="1" w:styleId="20">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1">
    <w:name w:val="Header Char"/>
    <w:basedOn w:val="17"/>
    <w:semiHidden/>
    <w:qFormat/>
    <w:uiPriority w:val="99"/>
    <w:rPr>
      <w:rFonts w:ascii="Times New Roman" w:hAnsi="Times New Roman"/>
      <w:sz w:val="18"/>
      <w:szCs w:val="18"/>
    </w:rPr>
  </w:style>
  <w:style w:type="character" w:customStyle="1" w:styleId="22">
    <w:name w:val="页眉 字符"/>
    <w:link w:val="12"/>
    <w:semiHidden/>
    <w:qFormat/>
    <w:locked/>
    <w:uiPriority w:val="99"/>
    <w:rPr>
      <w:sz w:val="18"/>
    </w:rPr>
  </w:style>
  <w:style w:type="character" w:customStyle="1" w:styleId="23">
    <w:name w:val="Footer Char"/>
    <w:basedOn w:val="17"/>
    <w:semiHidden/>
    <w:qFormat/>
    <w:uiPriority w:val="99"/>
    <w:rPr>
      <w:rFonts w:ascii="Times New Roman" w:hAnsi="Times New Roman"/>
      <w:sz w:val="18"/>
      <w:szCs w:val="18"/>
    </w:rPr>
  </w:style>
  <w:style w:type="character" w:customStyle="1" w:styleId="24">
    <w:name w:val="页脚 字符"/>
    <w:link w:val="11"/>
    <w:qFormat/>
    <w:locked/>
    <w:uiPriority w:val="99"/>
    <w:rPr>
      <w:sz w:val="18"/>
    </w:rPr>
  </w:style>
  <w:style w:type="character" w:customStyle="1" w:styleId="25">
    <w:name w:val="Body Text Char"/>
    <w:basedOn w:val="17"/>
    <w:semiHidden/>
    <w:qFormat/>
    <w:uiPriority w:val="99"/>
    <w:rPr>
      <w:rFonts w:ascii="Times New Roman" w:hAnsi="Times New Roman"/>
      <w:szCs w:val="24"/>
    </w:rPr>
  </w:style>
  <w:style w:type="character" w:customStyle="1" w:styleId="26">
    <w:name w:val="正文文本 字符"/>
    <w:link w:val="5"/>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character" w:customStyle="1" w:styleId="29">
    <w:name w:val="标题 1 字符"/>
    <w:basedOn w:val="17"/>
    <w:link w:val="2"/>
    <w:qFormat/>
    <w:uiPriority w:val="9"/>
    <w:rPr>
      <w:rFonts w:ascii="Times New Roman" w:hAnsi="Times New Roman"/>
      <w:b/>
      <w:bCs/>
      <w:kern w:val="44"/>
      <w:sz w:val="44"/>
      <w:szCs w:val="44"/>
    </w:rPr>
  </w:style>
  <w:style w:type="character" w:customStyle="1" w:styleId="30">
    <w:name w:val="标题 2 字符"/>
    <w:basedOn w:val="17"/>
    <w:link w:val="3"/>
    <w:qFormat/>
    <w:uiPriority w:val="9"/>
    <w:rPr>
      <w:rFonts w:asciiTheme="majorHAnsi" w:hAnsiTheme="majorHAnsi" w:eastAsiaTheme="majorEastAsia" w:cstheme="majorBidi"/>
      <w:b/>
      <w:bCs/>
      <w:kern w:val="2"/>
      <w:sz w:val="32"/>
      <w:szCs w:val="32"/>
    </w:rPr>
  </w:style>
  <w:style w:type="paragraph" w:customStyle="1" w:styleId="31">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批注框文本 字符"/>
    <w:basedOn w:val="17"/>
    <w:link w:val="10"/>
    <w:semiHidden/>
    <w:qFormat/>
    <w:uiPriority w:val="99"/>
    <w:rPr>
      <w:rFonts w:ascii="Times New Roman" w:hAnsi="Times New Roman"/>
      <w:kern w:val="2"/>
      <w:sz w:val="18"/>
      <w:szCs w:val="18"/>
    </w:rPr>
  </w:style>
  <w:style w:type="character" w:customStyle="1" w:styleId="33">
    <w:name w:val="标题 3 字符"/>
    <w:basedOn w:val="17"/>
    <w:link w:val="4"/>
    <w:qFormat/>
    <w:uiPriority w:val="9"/>
    <w:rPr>
      <w:rFonts w:ascii="Times New Roman" w:hAnsi="Times New Roman"/>
      <w:b/>
      <w:bCs/>
      <w:kern w:val="2"/>
      <w:sz w:val="32"/>
      <w:szCs w:val="32"/>
    </w:rPr>
  </w:style>
  <w:style w:type="paragraph" w:customStyle="1" w:styleId="34">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5">
    <w:name w:val="四号正文"/>
    <w:basedOn w:val="1"/>
    <w:qFormat/>
    <w:uiPriority w:val="0"/>
    <w:pPr>
      <w:spacing w:line="360" w:lineRule="auto"/>
    </w:pPr>
    <w:rPr>
      <w:rFonts w:ascii="??" w:hAnsi="??"/>
      <w:color w:val="000000"/>
      <w:kern w:val="0"/>
      <w:sz w:val="28"/>
      <w:szCs w:val="21"/>
      <w:lang w:val="zh-CN"/>
    </w:rPr>
  </w:style>
  <w:style w:type="paragraph" w:customStyle="1" w:styleId="36">
    <w:name w:val="普通(网站) Char"/>
    <w:basedOn w:val="1"/>
    <w:qFormat/>
    <w:uiPriority w:val="0"/>
    <w:pPr>
      <w:keepNext w:val="0"/>
      <w:keepLines w:val="0"/>
      <w:widowControl/>
      <w:suppressLineNumbers w:val="0"/>
      <w:spacing w:before="0" w:beforeAutospacing="1" w:after="0" w:afterAutospacing="1"/>
      <w:ind w:left="0" w:right="0"/>
      <w:jc w:val="left"/>
    </w:pPr>
    <w:rPr>
      <w:rFonts w:hint="eastAsia" w:ascii="宋体" w:hAnsi="宋体" w:eastAsia="宋体" w:cs="宋体"/>
      <w:kern w:val="0"/>
      <w:sz w:val="24"/>
      <w:szCs w:val="24"/>
      <w:lang w:val="en-US" w:eastAsia="zh-CN" w:bidi="ar"/>
    </w:rPr>
  </w:style>
  <w:style w:type="character" w:customStyle="1" w:styleId="37">
    <w:name w:val="18"/>
    <w:basedOn w:val="17"/>
    <w:qFormat/>
    <w:uiPriority w:val="0"/>
    <w:rPr>
      <w:rFonts w:hint="default" w:ascii="Times New Roman" w:hAnsi="Times New Roman" w:cs="Times New Roman"/>
      <w:b/>
    </w:r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hart" Target="charts/chart7.xml"/><Relationship Id="rId11" Type="http://schemas.openxmlformats.org/officeDocument/2006/relationships/chart" Target="charts/chart6.xml"/><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_rels/chart2.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package" Target="../embeddings/Workbook2.xlsx"/></Relationships>
</file>

<file path=word/charts/_rels/chart3.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package" Target="../embeddings/Workbook3.xlsx"/></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package" Target="../embeddings/Workbook4.xlsx"/></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package" Target="../embeddings/Workbook5.xlsx"/></Relationships>
</file>

<file path=word/charts/_rels/chart6.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package" Target="../embeddings/Workbook6.xlsx"/></Relationships>
</file>

<file path=word/charts/_rels/chart7.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package" Target="../embeddings/Workbook7.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lumMod val="75000"/>
                    <a:lumOff val="25000"/>
                  </a:schemeClr>
                </a:solidFill>
                <a:latin typeface="+mn-lt"/>
                <a:ea typeface="+mn-ea"/>
                <a:cs typeface="+mn-cs"/>
              </a:defRPr>
            </a:pPr>
            <a:r>
              <a:t>收支决算总计</a:t>
            </a:r>
            <a:endParaRPr lang="en-US" altLang="zh-CN"/>
          </a:p>
        </c:rich>
      </c:tx>
      <c:layout/>
      <c:overlay val="0"/>
      <c:spPr>
        <a:noFill/>
        <a:ln>
          <a:noFill/>
        </a:ln>
        <a:effectLst/>
      </c:spPr>
    </c:title>
    <c:autoTitleDeleted val="0"/>
    <c:plotArea>
      <c:layout/>
      <c:barChart>
        <c:barDir val="col"/>
        <c:grouping val="clustered"/>
        <c:varyColors val="0"/>
        <c:ser>
          <c:idx val="0"/>
          <c:order val="0"/>
          <c:tx>
            <c:strRef>
              <c:f>Sheet1!$B$1</c:f>
              <c:strCache>
                <c:ptCount val="1"/>
                <c:pt idx="0">
                  <c:v>收、支决算总计</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4963.27</c:v>
                </c:pt>
                <c:pt idx="1">
                  <c:v>5779.04</c:v>
                </c:pt>
              </c:numCache>
            </c:numRef>
          </c:val>
        </c:ser>
        <c:ser>
          <c:idx val="1"/>
          <c:order val="1"/>
          <c:tx>
            <c:strRef>
              <c:f>Sheet1!#REF!</c:f>
              <c:strCache>
                <c:ptCount val="1"/>
                <c:pt idx="0">
                  <c:v/>
                </c:pt>
              </c:strCache>
            </c:strRef>
          </c:tx>
          <c:spPr>
            <a:solidFill>
              <a:schemeClr val="accent2"/>
            </a:solidFill>
            <a:ln>
              <a:noFill/>
            </a:ln>
            <a:effectLst/>
          </c:spPr>
          <c:invertIfNegative val="0"/>
          <c:dLbls>
            <c:delete val="1"/>
          </c:dLbls>
          <c:cat>
            <c:strRef>
              <c:f>Sheet1!$A$2:$A$3</c:f>
              <c:strCache>
                <c:ptCount val="2"/>
                <c:pt idx="0">
                  <c:v>2023年</c:v>
                </c:pt>
                <c:pt idx="1">
                  <c:v>2024年</c:v>
                </c:pt>
              </c:strCache>
            </c:strRef>
          </c:cat>
          <c:val>
            <c:numRef>
              <c:f>Sheet1!#REF!</c:f>
              <c:numCache>
                <c:formatCode>General</c:formatCode>
                <c:ptCount val="1"/>
                <c:pt idx="0">
                  <c:v>1</c:v>
                </c:pt>
              </c:numCache>
            </c:numRef>
          </c:val>
        </c:ser>
        <c:ser>
          <c:idx val="2"/>
          <c:order val="2"/>
          <c:tx>
            <c:strRef>
              <c:f>Sheet1!#REF!</c:f>
              <c:strCache>
                <c:ptCount val="1"/>
                <c:pt idx="0">
                  <c:v/>
                </c:pt>
              </c:strCache>
            </c:strRef>
          </c:tx>
          <c:spPr>
            <a:solidFill>
              <a:schemeClr val="accent3"/>
            </a:solidFill>
            <a:ln>
              <a:noFill/>
            </a:ln>
            <a:effectLst/>
          </c:spPr>
          <c:invertIfNegative val="0"/>
          <c:dLbls>
            <c:delete val="1"/>
          </c:dLbls>
          <c:cat>
            <c:strRef>
              <c:f>Sheet1!$A$2:$A$3</c:f>
              <c:strCache>
                <c:ptCount val="2"/>
                <c:pt idx="0">
                  <c:v>2023年</c:v>
                </c:pt>
                <c:pt idx="1">
                  <c:v>2024年</c:v>
                </c:pt>
              </c:strCache>
            </c:strRef>
          </c:cat>
          <c:val>
            <c:numRef>
              <c:f>Sheet1!#REF!</c:f>
              <c:numCache>
                <c:formatCode>General</c:formatCode>
                <c:ptCount val="1"/>
                <c:pt idx="0">
                  <c:v>1</c:v>
                </c:pt>
              </c:numCache>
            </c:numRef>
          </c:val>
        </c:ser>
        <c:dLbls>
          <c:showLegendKey val="0"/>
          <c:showVal val="0"/>
          <c:showCatName val="0"/>
          <c:showSerName val="0"/>
          <c:showPercent val="0"/>
          <c:showBubbleSize val="0"/>
        </c:dLbls>
        <c:gapWidth val="246"/>
        <c:overlap val="-28"/>
        <c:axId val="420643339"/>
        <c:axId val="320385012"/>
      </c:barChart>
      <c:catAx>
        <c:axId val="420643339"/>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320385012"/>
        <c:crosses val="autoZero"/>
        <c:auto val="1"/>
        <c:lblAlgn val="ctr"/>
        <c:lblOffset val="100"/>
        <c:noMultiLvlLbl val="0"/>
      </c:catAx>
      <c:valAx>
        <c:axId val="320385012"/>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420643339"/>
        <c:crosses val="autoZero"/>
        <c:crossBetween val="between"/>
      </c:valAx>
      <c:spPr>
        <a:noFill/>
        <a:ln>
          <a:noFill/>
        </a:ln>
        <a:effectLst/>
      </c:spPr>
    </c:plotArea>
    <c:legend>
      <c:legendPos val="b"/>
      <c:legendEntry>
        <c:idx val="1"/>
        <c:delete val="1"/>
      </c:legendEntry>
      <c:legendEntry>
        <c:idx val="2"/>
        <c:delete val="1"/>
      </c:legendEntry>
      <c:layout>
        <c:manualLayout>
          <c:xMode val="edge"/>
          <c:yMode val="edge"/>
          <c:x val="0.308499265000668"/>
          <c:y val="0.890387858347386"/>
        </c:manualLayou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9d56236f-582f-483d-9f2b-31549bc61ccc}"/>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收入决算表</c:v>
                </c:pt>
              </c:strCache>
            </c:strRef>
          </c:tx>
          <c:spPr/>
          <c:explosion val="0"/>
          <c:dPt>
            <c:idx val="0"/>
            <c:bubble3D val="0"/>
            <c:spPr>
              <a:solidFill>
                <a:schemeClr val="accent1"/>
              </a:solidFill>
              <a:ln>
                <a:solidFill>
                  <a:schemeClr val="bg1"/>
                </a:solidFill>
              </a:ln>
              <a:effectLst/>
            </c:spPr>
          </c:dPt>
          <c:dLbls>
            <c:delete val="1"/>
          </c:dLbls>
          <c:cat>
            <c:strRef>
              <c:f>Sheet1!$A$2</c:f>
              <c:strCache>
                <c:ptCount val="1"/>
                <c:pt idx="0">
                  <c:v>一般公共预算财政拨款收入</c:v>
                </c:pt>
              </c:strCache>
            </c:strRef>
          </c:cat>
          <c:val>
            <c:numRef>
              <c:f>Sheet1!$B$2</c:f>
              <c:numCache>
                <c:formatCode>General</c:formatCode>
                <c:ptCount val="1"/>
                <c:pt idx="0">
                  <c:v>4963.27</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c58364e-0378-4382-82dd-346977603db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支出决算结构图</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dLbl>
              <c:idx val="0"/>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0"/>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基本支出</c:v>
                </c:pt>
                <c:pt idx="1">
                  <c:v>项目支出</c:v>
                </c:pt>
              </c:strCache>
            </c:strRef>
          </c:cat>
          <c:val>
            <c:numRef>
              <c:f>Sheet1!$B$2:$B$3</c:f>
              <c:numCache>
                <c:formatCode>General</c:formatCode>
                <c:ptCount val="2"/>
                <c:pt idx="0">
                  <c:v>4484.22</c:v>
                </c:pt>
                <c:pt idx="1">
                  <c:v>1294.81</c:v>
                </c:pt>
              </c:numCache>
            </c:numRef>
          </c:val>
        </c:ser>
        <c:dLbls>
          <c:showLegendKey val="0"/>
          <c:showVal val="0"/>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860ac67b-72b7-4f02-8f4c-6cf13ec346c4}"/>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财政拨款收支情况表</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2023年</c:v>
                </c:pt>
                <c:pt idx="1">
                  <c:v>2024年</c:v>
                </c:pt>
              </c:strCache>
            </c:strRef>
          </c:cat>
          <c:val>
            <c:numRef>
              <c:f>Sheet1!$B$2:$B$3</c:f>
              <c:numCache>
                <c:formatCode>General</c:formatCode>
                <c:ptCount val="2"/>
                <c:pt idx="0">
                  <c:v>4963.27</c:v>
                </c:pt>
                <c:pt idx="1">
                  <c:v>5779.04</c:v>
                </c:pt>
              </c:numCache>
            </c:numRef>
          </c:val>
        </c:ser>
        <c:dLbls>
          <c:showLegendKey val="0"/>
          <c:showVal val="0"/>
          <c:showCatName val="0"/>
          <c:showSerName val="0"/>
          <c:showPercent val="0"/>
          <c:showBubbleSize val="0"/>
        </c:dLbls>
        <c:gapWidth val="246"/>
        <c:overlap val="-28"/>
        <c:axId val="509372660"/>
        <c:axId val="744386236"/>
      </c:barChart>
      <c:catAx>
        <c:axId val="50937266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44386236"/>
        <c:crosses val="autoZero"/>
        <c:auto val="1"/>
        <c:lblAlgn val="ctr"/>
        <c:lblOffset val="100"/>
        <c:noMultiLvlLbl val="0"/>
      </c:catAx>
      <c:valAx>
        <c:axId val="744386236"/>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509372660"/>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45bb8be4-f078-4494-a257-cf4ce4bd7df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barChart>
        <c:barDir val="col"/>
        <c:grouping val="clustered"/>
        <c:varyColors val="0"/>
        <c:ser>
          <c:idx val="0"/>
          <c:order val="0"/>
          <c:tx>
            <c:strRef>
              <c:f>Sheet1!$B$1</c:f>
              <c:strCache>
                <c:ptCount val="1"/>
                <c:pt idx="0">
                  <c:v>一般公共预算财政拨款支出</c:v>
                </c:pt>
              </c:strCache>
            </c:strRef>
          </c:tx>
          <c:spPr>
            <a:solidFill>
              <a:schemeClr val="accent1"/>
            </a:solidFill>
            <a:ln>
              <a:noFill/>
            </a:ln>
            <a:effectLst/>
          </c:spPr>
          <c:invertIfNegative val="0"/>
          <c:dLbls>
            <c:delete val="1"/>
          </c:dLbls>
          <c:cat>
            <c:strRef>
              <c:f>Sheet1!$A$2:$A$3</c:f>
              <c:strCache>
                <c:ptCount val="2"/>
                <c:pt idx="0">
                  <c:v>2023年</c:v>
                </c:pt>
                <c:pt idx="1">
                  <c:v>2024年</c:v>
                </c:pt>
              </c:strCache>
            </c:strRef>
          </c:cat>
          <c:val>
            <c:numRef>
              <c:f>Sheet1!$B$2:$B$3</c:f>
              <c:numCache>
                <c:formatCode>General</c:formatCode>
                <c:ptCount val="2"/>
                <c:pt idx="0">
                  <c:v>4963.27</c:v>
                </c:pt>
                <c:pt idx="1">
                  <c:v>5742.24</c:v>
                </c:pt>
              </c:numCache>
            </c:numRef>
          </c:val>
        </c:ser>
        <c:dLbls>
          <c:showLegendKey val="0"/>
          <c:showVal val="0"/>
          <c:showCatName val="0"/>
          <c:showSerName val="0"/>
          <c:showPercent val="0"/>
          <c:showBubbleSize val="0"/>
        </c:dLbls>
        <c:gapWidth val="246"/>
        <c:overlap val="-28"/>
        <c:axId val="78038554"/>
        <c:axId val="862146666"/>
      </c:barChart>
      <c:catAx>
        <c:axId val="78038554"/>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862146666"/>
        <c:crosses val="autoZero"/>
        <c:auto val="1"/>
        <c:lblAlgn val="ctr"/>
        <c:lblOffset val="100"/>
        <c:noMultiLvlLbl val="0"/>
      </c:catAx>
      <c:valAx>
        <c:axId val="862146666"/>
        <c:scaling>
          <c:orientation val="minMax"/>
        </c:scaling>
        <c:delete val="0"/>
        <c:axPos val="l"/>
        <c:majorGridlines>
          <c:spPr>
            <a:ln w="9525" cap="flat" cmpd="sng" algn="ctr">
              <a:solidFill>
                <a:schemeClr val="lt1">
                  <a:lumMod val="90200"/>
                </a:schemeClr>
              </a:solidFill>
              <a:round/>
            </a:ln>
            <a:effectLst/>
          </c:spPr>
        </c:majorGridlines>
        <c:numFmt formatCode="General"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crossAx val="78038554"/>
        <c:crosses val="autoZero"/>
        <c:crossBetween val="between"/>
      </c:valAx>
      <c:spPr>
        <a:noFill/>
        <a:ln>
          <a:noFill/>
        </a:ln>
        <a:effectLst/>
      </c:spPr>
    </c:plotArea>
    <c:legend>
      <c:legendPos val="b"/>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61664805-db6c-470a-9036-8d3f8ae716e0}"/>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一般公共预算财政拨款支出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Pt>
            <c:idx val="2"/>
            <c:bubble3D val="0"/>
            <c:spPr>
              <a:solidFill>
                <a:schemeClr val="accent3"/>
              </a:solidFill>
              <a:ln>
                <a:solidFill>
                  <a:schemeClr val="bg1"/>
                </a:solidFill>
              </a:ln>
              <a:effectLst/>
            </c:spPr>
          </c:dPt>
          <c:dPt>
            <c:idx val="3"/>
            <c:bubble3D val="0"/>
            <c:spPr>
              <a:solidFill>
                <a:schemeClr val="accent4"/>
              </a:solidFill>
              <a:ln>
                <a:solidFill>
                  <a:schemeClr val="bg1"/>
                </a:solidFill>
              </a:ln>
              <a:effectLst/>
            </c:spPr>
          </c:dPt>
          <c:dPt>
            <c:idx val="4"/>
            <c:bubble3D val="0"/>
            <c:spPr>
              <a:solidFill>
                <a:schemeClr val="accent5"/>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Sheet1!$A$2:$A$6</c:f>
              <c:strCache>
                <c:ptCount val="5"/>
                <c:pt idx="0">
                  <c:v>一般公共服务支出</c:v>
                </c:pt>
                <c:pt idx="1">
                  <c:v>社会保障和就业支出</c:v>
                </c:pt>
                <c:pt idx="2">
                  <c:v>卫生健康支出</c:v>
                </c:pt>
                <c:pt idx="3">
                  <c:v>住房保障支出</c:v>
                </c:pt>
                <c:pt idx="4">
                  <c:v>国有资本经营预算</c:v>
                </c:pt>
              </c:strCache>
            </c:strRef>
          </c:cat>
          <c:val>
            <c:numRef>
              <c:f>Sheet1!$B$2:$B$6</c:f>
              <c:numCache>
                <c:formatCode>General</c:formatCode>
                <c:ptCount val="5"/>
                <c:pt idx="0">
                  <c:v>4999.1</c:v>
                </c:pt>
                <c:pt idx="1">
                  <c:v>372.27</c:v>
                </c:pt>
                <c:pt idx="2">
                  <c:v>167.08</c:v>
                </c:pt>
                <c:pt idx="3">
                  <c:v>203.29</c:v>
                </c:pt>
                <c:pt idx="4">
                  <c:v>36.8</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510299d6-e317-4666-abe5-6ba64071762a}"/>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spPr>
        <a:noFill/>
        <a:ln>
          <a:noFill/>
        </a:ln>
        <a:effectLst/>
      </c:spPr>
      <c:txPr>
        <a:bodyPr rot="0" spcFirstLastPara="0" vertOverflow="ellipsis" vert="horz" wrap="square" anchor="ctr" anchorCtr="1"/>
        <a:lstStyle/>
        <a:p>
          <a:pPr>
            <a:defRPr lang="zh-CN" sz="1400" b="1" i="0" u="none" strike="noStrike" kern="1200" baseline="0">
              <a:solidFill>
                <a:schemeClr val="tx1">
                  <a:lumMod val="75000"/>
                  <a:lumOff val="25000"/>
                </a:schemeClr>
              </a:solidFill>
              <a:latin typeface="+mn-lt"/>
              <a:ea typeface="+mn-ea"/>
              <a:cs typeface="+mn-cs"/>
            </a:defRPr>
          </a:pPr>
        </a:p>
      </c:txPr>
    </c:title>
    <c:autoTitleDeleted val="0"/>
    <c:plotArea>
      <c:layout/>
      <c:pieChart>
        <c:varyColors val="1"/>
        <c:ser>
          <c:idx val="0"/>
          <c:order val="0"/>
          <c:tx>
            <c:strRef>
              <c:f>Sheet1!$B$1</c:f>
              <c:strCache>
                <c:ptCount val="1"/>
                <c:pt idx="0">
                  <c:v>三公经费财政拨款支出</c:v>
                </c:pt>
              </c:strCache>
            </c:strRef>
          </c:tx>
          <c:spPr/>
          <c:explosion val="0"/>
          <c:dPt>
            <c:idx val="0"/>
            <c:bubble3D val="0"/>
            <c:spPr>
              <a:solidFill>
                <a:schemeClr val="accent1"/>
              </a:solidFill>
              <a:ln>
                <a:solidFill>
                  <a:schemeClr val="bg1"/>
                </a:solidFill>
              </a:ln>
              <a:effectLst/>
            </c:spPr>
          </c:dPt>
          <c:dPt>
            <c:idx val="1"/>
            <c:bubble3D val="0"/>
            <c:spPr>
              <a:solidFill>
                <a:schemeClr val="accent2"/>
              </a:solidFill>
              <a:ln>
                <a:solidFill>
                  <a:schemeClr val="bg1"/>
                </a:solidFill>
              </a:ln>
              <a:effectLst/>
            </c:spPr>
          </c:dPt>
          <c:dLbls>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lumMod val="75000"/>
                        <a:lumOff val="25000"/>
                      </a:schemeClr>
                    </a:solidFill>
                    <a:latin typeface="+mn-lt"/>
                    <a:ea typeface="+mn-ea"/>
                    <a:cs typeface="+mn-cs"/>
                  </a:defRPr>
                </a:pPr>
              </a:p>
            </c:txPr>
            <c:dLblPos val="bestFit"/>
            <c:showLegendKey val="0"/>
            <c:showVal val="1"/>
            <c:showCatName val="0"/>
            <c:showSerName val="0"/>
            <c:showPercent val="0"/>
            <c:showBubbleSize val="0"/>
            <c:showLeaderLines val="1"/>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公务用车运行维护费</c:v>
                </c:pt>
                <c:pt idx="1">
                  <c:v>公务接待费</c:v>
                </c:pt>
              </c:strCache>
            </c:strRef>
          </c:cat>
          <c:val>
            <c:numRef>
              <c:f>Sheet1!$B$2:$B$3</c:f>
              <c:numCache>
                <c:formatCode>General</c:formatCode>
                <c:ptCount val="2"/>
                <c:pt idx="0">
                  <c:v>86.67</c:v>
                </c:pt>
                <c:pt idx="1">
                  <c:v>0.31</c:v>
                </c:pt>
              </c:numCache>
            </c:numRef>
          </c:val>
        </c:ser>
        <c:dLbls>
          <c:showLegendKey val="0"/>
          <c:showVal val="1"/>
          <c:showCatName val="0"/>
          <c:showSerName val="0"/>
          <c:showPercent val="0"/>
          <c:showBubbleSize val="0"/>
          <c:showLeaderLines val="1"/>
        </c:dLbls>
        <c:firstSliceAng val="0"/>
      </c:pieChart>
      <c:spPr>
        <a:noFill/>
        <a:ln>
          <a:noFill/>
        </a:ln>
        <a:effectLst/>
      </c:spPr>
    </c:plotArea>
    <c:legend>
      <c:legendPos val="t"/>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legend>
    <c:plotVisOnly val="1"/>
    <c:dispBlanksAs val="gap"/>
    <c:showDLblsOverMax val="0"/>
    <c:extLst>
      <c:ext uri="{0b15fc19-7d7d-44ad-8c2d-2c3a37ce22c3}">
        <chartProps xmlns="https://web.wps.cn/et/2018/main" chartId="{7698beaf-0b54-40f3-b906-ef79baddcc71}"/>
      </c:ext>
    </c:extLst>
  </c:chart>
  <c:spPr>
    <a:solidFill>
      <a:schemeClr val="bg1"/>
    </a:solidFill>
    <a:ln w="9525" cap="flat" cmpd="sng" algn="ctr">
      <a:solidFill>
        <a:schemeClr val="tx1">
          <a:lumMod val="15000"/>
          <a:lumOff val="85000"/>
        </a:schemeClr>
      </a:solidFill>
      <a:round/>
    </a:ln>
    <a:effectLst/>
  </c:spPr>
  <c:txPr>
    <a:bodyPr/>
    <a:lstStyle/>
    <a:p>
      <a:pPr>
        <a:defRPr lang="zh-CN"/>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100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noFill/>
      </a:ln>
      <a:effectLst/>
    </cs:spPr>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1008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10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chemeClr val="dk1"/>
    </cs:fontRef>
    <cs:spPr>
      <a:ln>
        <a:solidFill>
          <a:schemeClr val="bg1"/>
        </a:solidFill>
      </a:ln>
      <a:effectLst/>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lt1">
            <a:lumMod val="902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75000"/>
        <a:lumOff val="25000"/>
      </a:schemeClr>
    </cs:fontRef>
    <cs:defRPr sz="1400" b="1" kern="120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四川省财政厅</Company>
  <Pages>36</Pages>
  <Words>12764</Words>
  <Characters>13825</Characters>
  <Lines>72</Lines>
  <Paragraphs>20</Paragraphs>
  <TotalTime>0</TotalTime>
  <ScaleCrop>false</ScaleCrop>
  <LinksUpToDate>false</LinksUpToDate>
  <CharactersWithSpaces>13885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2024-08-05T07:12:00Z</dcterms:created>
  <dc:creator>曹颖</dc:creator>
  <cp:lastModifiedBy>FAAH</cp:lastModifiedBy>
  <cp:lastPrinted>2023-08-03T10:35:00Z</cp:lastPrinted>
  <dcterms:modified xsi:type="dcterms:W3CDTF">2025-09-18T08:46:25Z</dcterms:modified>
  <dc:title>四川省***</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74E30AF384564237814F515881F30C16_12</vt:lpwstr>
  </property>
  <property fmtid="{D5CDD505-2E9C-101B-9397-08002B2CF9AE}" pid="4" name="KSOTemplateDocerSaveRecord">
    <vt:lpwstr>eyJoZGlkIjoiZjNkYzc1NzFiOWI5NmUwNjJhMzNjZDM5YzdhY2E3ZWQiLCJ1c2VySWQiOiIzNjk4Nzc5MDQifQ==</vt:lpwstr>
  </property>
</Properties>
</file>