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阿坝州</w:t>
      </w:r>
      <w:r>
        <w:rPr>
          <w:rFonts w:ascii="方正小标宋简体" w:eastAsia="方正小标宋简体" w:hint="eastAsia"/>
          <w:sz w:val="44"/>
          <w:szCs w:val="44"/>
        </w:rPr>
        <w:t>州本级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</w:t>
      </w:r>
      <w:r>
        <w:rPr>
          <w:rFonts w:ascii="方正小标宋简体" w:eastAsia="方正小标宋简体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年“三公”经费预算安排的说明</w:t>
      </w:r>
    </w:p>
    <w:p>
      <w:pPr>
        <w:spacing w:line="620" w:lineRule="exact"/>
        <w:ind w:leftChars="304" w:left="638"/>
        <w:rPr>
          <w:rFonts w:ascii="仿宋_GB2312" w:eastAsia="仿宋_GB2312" w:cs="Times New Roman" w:hint="eastAsia"/>
          <w:color w:val="333333"/>
          <w:sz w:val="28"/>
          <w:szCs w:val="28"/>
        </w:rPr>
      </w:pPr>
      <w:r>
        <w:rPr>
          <w:rFonts w:ascii="仿宋_GB2312" w:eastAsia="仿宋_GB2312" w:cs="仿宋_GB2312" w:hint="eastAsia"/>
          <w:color w:val="333333"/>
          <w:sz w:val="28"/>
          <w:szCs w:val="28"/>
        </w:rPr>
        <w:t>　</w:t>
      </w:r>
    </w:p>
    <w:p>
      <w:pPr>
        <w:spacing w:line="620" w:lineRule="exact"/>
        <w:ind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2025年，州本级预算安排坚持有保有压，党政机关过紧日子，从严控制一般性支出，加强“三公”经费预算管理，努力降低行政运行成本。</w:t>
      </w:r>
      <w:r>
        <w:rPr>
          <w:rFonts w:ascii="仿宋_GB2312" w:eastAsia="仿宋_GB2312" w:cs="仿宋_GB2312" w:hint="eastAsia"/>
          <w:sz w:val="32"/>
          <w:szCs w:val="32"/>
        </w:rPr>
        <w:t>根据《预算法》和《国务院关于进一步深化预算管理制度改革的意见》（国发〔2021〕5号）的有关规定，经</w:t>
      </w:r>
      <w:r>
        <w:rPr>
          <w:rFonts w:ascii="仿宋_GB2312" w:eastAsia="仿宋_GB2312" w:cs="仿宋_GB2312"/>
          <w:sz w:val="32"/>
          <w:szCs w:val="32"/>
        </w:rPr>
        <w:t>阿坝藏族羌族自治州第十三届人民代表大会第四次会议</w:t>
      </w:r>
      <w:r>
        <w:rPr>
          <w:rFonts w:ascii="仿宋_GB2312" w:eastAsia="仿宋_GB2312" w:cs="仿宋_GB2312" w:hint="eastAsia"/>
          <w:sz w:val="32"/>
          <w:szCs w:val="32"/>
        </w:rPr>
        <w:t>批准，202</w:t>
      </w: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ascii="仿宋_GB2312" w:eastAsia="仿宋_GB2312" w:cs="仿宋_GB2312" w:hint="eastAsia"/>
          <w:sz w:val="32"/>
          <w:szCs w:val="32"/>
        </w:rPr>
        <w:t>州本级一般公共预算安排“三公”经费</w:t>
      </w:r>
      <w:r>
        <w:rPr>
          <w:rFonts w:ascii="仿宋_GB2312" w:eastAsia="仿宋_GB2312" w:cs="仿宋_GB2312"/>
          <w:sz w:val="32"/>
          <w:szCs w:val="32"/>
        </w:rPr>
        <w:t>13978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同比增加453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增长3.4</w:t>
      </w:r>
      <w:r>
        <w:rPr>
          <w:rFonts w:ascii="仿宋_GB2312" w:eastAsia="仿宋_GB2312" w:cs="仿宋_GB2312" w:hint="eastAsia"/>
          <w:sz w:val="32"/>
          <w:szCs w:val="32"/>
        </w:rPr>
        <w:t>%。其中：因公出国（境）经费</w:t>
      </w:r>
      <w:r>
        <w:rPr>
          <w:rFonts w:ascii="仿宋_GB2312" w:eastAsia="仿宋_GB2312" w:cs="仿宋_GB2312"/>
          <w:sz w:val="32"/>
          <w:szCs w:val="32"/>
        </w:rPr>
        <w:t>390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同比减少10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/>
          <w:sz w:val="32"/>
          <w:szCs w:val="32"/>
        </w:rPr>
        <w:t>，下降2.5%</w:t>
      </w:r>
      <w:r>
        <w:rPr>
          <w:rFonts w:ascii="仿宋_GB2312" w:eastAsia="仿宋_GB2312" w:cs="仿宋_GB2312" w:hint="eastAsia"/>
          <w:sz w:val="32"/>
          <w:szCs w:val="32"/>
        </w:rPr>
        <w:t>；公务接待费</w:t>
      </w:r>
      <w:r>
        <w:rPr>
          <w:rFonts w:ascii="仿宋_GB2312" w:eastAsia="仿宋_GB2312" w:cs="仿宋_GB2312"/>
          <w:sz w:val="32"/>
          <w:szCs w:val="32"/>
        </w:rPr>
        <w:t>1321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同比减少43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下降3.1</w:t>
      </w:r>
      <w:r>
        <w:rPr>
          <w:rFonts w:ascii="仿宋_GB2312" w:eastAsia="仿宋_GB2312" w:cs="仿宋_GB2312" w:hint="eastAsia"/>
          <w:sz w:val="32"/>
          <w:szCs w:val="32"/>
        </w:rPr>
        <w:t>%</w:t>
      </w:r>
      <w:r>
        <w:rPr>
          <w:rFonts w:ascii="仿宋_GB2312" w:eastAsia="仿宋_GB2312" w:cs="仿宋_GB2312"/>
          <w:sz w:val="32"/>
          <w:szCs w:val="32"/>
        </w:rPr>
        <w:t>；</w:t>
      </w:r>
      <w:r>
        <w:rPr>
          <w:rFonts w:ascii="仿宋_GB2312" w:eastAsia="仿宋_GB2312" w:cs="仿宋_GB2312" w:hint="eastAsia"/>
          <w:sz w:val="32"/>
          <w:szCs w:val="32"/>
        </w:rPr>
        <w:t>公务用车购置及运行费</w:t>
      </w:r>
      <w:r>
        <w:rPr>
          <w:rFonts w:ascii="仿宋_GB2312" w:eastAsia="仿宋_GB2312" w:cs="仿宋_GB2312"/>
          <w:sz w:val="32"/>
          <w:szCs w:val="32"/>
        </w:rPr>
        <w:t>12267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同比增加506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增长4.3</w:t>
      </w:r>
      <w:r>
        <w:rPr>
          <w:rFonts w:ascii="仿宋_GB2312" w:eastAsia="仿宋_GB2312" w:cs="仿宋_GB2312" w:hint="eastAsia"/>
          <w:sz w:val="32"/>
          <w:szCs w:val="32"/>
        </w:rPr>
        <w:t>%。</w:t>
      </w:r>
      <w:r>
        <w:rPr>
          <w:rFonts w:ascii="仿宋_GB2312" w:eastAsia="仿宋_GB2312" w:cs="仿宋_GB2312"/>
          <w:sz w:val="32"/>
          <w:szCs w:val="32"/>
        </w:rPr>
        <w:t>（</w:t>
      </w:r>
      <w:r>
        <w:rPr>
          <w:rFonts w:ascii="仿宋_GB2312" w:eastAsia="仿宋_GB2312" w:cs="仿宋_GB2312" w:hint="eastAsia"/>
          <w:sz w:val="32"/>
          <w:szCs w:val="32"/>
        </w:rPr>
        <w:t>其中：公务用车购置3000万元，与上年持平；</w:t>
      </w:r>
      <w:r>
        <w:rPr>
          <w:rFonts w:ascii="仿宋_GB2312" w:eastAsia="仿宋_GB2312" w:cs="仿宋_GB2312"/>
          <w:sz w:val="32"/>
          <w:szCs w:val="32"/>
        </w:rPr>
        <w:t>因州级机关车辆老化严重，运行维护费增加，</w:t>
      </w:r>
      <w:r>
        <w:rPr>
          <w:rFonts w:ascii="仿宋_GB2312" w:eastAsia="仿宋_GB2312" w:cs="仿宋_GB2312" w:hint="eastAsia"/>
          <w:sz w:val="32"/>
          <w:szCs w:val="32"/>
        </w:rPr>
        <w:t>公车运行维护费</w:t>
      </w:r>
      <w:r>
        <w:rPr>
          <w:rFonts w:ascii="仿宋_GB2312" w:eastAsia="仿宋_GB2312" w:cs="仿宋_GB2312"/>
          <w:sz w:val="32"/>
          <w:szCs w:val="32"/>
        </w:rPr>
        <w:t>9267</w:t>
      </w:r>
      <w:r>
        <w:rPr>
          <w:rFonts w:ascii="仿宋_GB2312" w:eastAsia="仿宋_GB2312" w:cs="仿宋_GB2312" w:hint="eastAsia"/>
          <w:sz w:val="32"/>
          <w:szCs w:val="32"/>
        </w:rPr>
        <w:t>万元，</w:t>
      </w:r>
      <w:r>
        <w:rPr>
          <w:rFonts w:ascii="仿宋_GB2312" w:eastAsia="仿宋_GB2312" w:cs="仿宋_GB2312"/>
          <w:sz w:val="32"/>
          <w:szCs w:val="32"/>
        </w:rPr>
        <w:t>同比增加506万元。）</w:t>
      </w:r>
      <w:r>
        <w:rPr>
          <w:rFonts w:ascii="仿宋_GB2312" w:eastAsia="仿宋_GB2312" w:cs="仿宋_GB2312" w:hint="eastAsia"/>
          <w:sz w:val="32"/>
          <w:szCs w:val="32"/>
        </w:rPr>
        <w:t>无政府性基金预算安排“三公”经费。</w:t>
      </w:r>
    </w:p>
    <w:p>
      <w:pPr>
        <w:spacing w:line="620" w:lineRule="exact"/>
        <w:ind w:firstLine="64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下一步，我们将按照政府过紧日子要求，在预算执行中从严从紧把好“三公”经费支出关。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·‘“〈《「『【〔〖〝﹙﹛﹝＄（．［｛￡￥"/>
  <w:noLineBreaksBefore w:lang="zh-CN" w:val="¨°·ˇˉ―‖’”…‰′″℃∶、。〃〉》」』】〕〗〞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Document Map"/>
    <w:basedOn w:val="0"/>
    <w:pPr>
      <w:shd w:val="clear" w:color="auto" w:fill="0000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477</TotalTime>
  <Application>Yozo_Office27021597764231179</Application>
  <Pages>1</Pages>
  <Words>385</Words>
  <Characters>436</Characters>
  <Lines>21</Lines>
  <Paragraphs>4</Paragraphs>
  <CharactersWithSpaces>437</CharactersWithSpaces>
  <Company>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唐丹</dc:creator>
  <cp:lastModifiedBy>Administrator</cp:lastModifiedBy>
  <cp:revision>21</cp:revision>
  <cp:lastPrinted>2025-01-23T09:24:26Z</cp:lastPrinted>
  <dcterms:created xsi:type="dcterms:W3CDTF">2020-02-17T09:20:00Z</dcterms:created>
  <dcterms:modified xsi:type="dcterms:W3CDTF">2025-01-23T09:26:47Z</dcterms:modified>
</cp:coreProperties>
</file>