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FDC66">
      <w:pPr>
        <w:spacing w:line="600" w:lineRule="exact"/>
        <w:jc w:val="center"/>
        <w:outlineLvl w:val="0"/>
        <w:rPr>
          <w:rFonts w:ascii="方正小标宋简体" w:hAnsi="宋体" w:eastAsia="方正小标宋简体"/>
          <w:sz w:val="72"/>
          <w:szCs w:val="72"/>
        </w:rPr>
      </w:pPr>
      <w:bookmarkStart w:id="0" w:name="_Toc15377425"/>
      <w:bookmarkStart w:id="1" w:name="_Toc15396597"/>
      <w:bookmarkStart w:id="2" w:name="_Toc15377193"/>
      <w:bookmarkStart w:id="3" w:name="_Toc15378441"/>
      <w:bookmarkStart w:id="4" w:name="_Toc15396475"/>
      <w:bookmarkStart w:id="5" w:name="_Toc15306267"/>
    </w:p>
    <w:p w14:paraId="6978864F">
      <w:pPr>
        <w:pStyle w:val="5"/>
        <w:spacing w:before="93"/>
      </w:pPr>
    </w:p>
    <w:p w14:paraId="4E624BB8">
      <w:pPr>
        <w:spacing w:line="600" w:lineRule="exact"/>
        <w:jc w:val="center"/>
        <w:outlineLvl w:val="0"/>
        <w:rPr>
          <w:rFonts w:ascii="方正小标宋简体" w:hAnsi="宋体" w:eastAsia="方正小标宋简体"/>
          <w:sz w:val="72"/>
          <w:szCs w:val="72"/>
        </w:rPr>
      </w:pPr>
    </w:p>
    <w:p w14:paraId="3D00CF71">
      <w:pPr>
        <w:spacing w:line="600" w:lineRule="exact"/>
        <w:jc w:val="center"/>
        <w:outlineLvl w:val="0"/>
        <w:rPr>
          <w:rFonts w:ascii="方正小标宋简体" w:hAnsi="宋体" w:eastAsia="方正小标宋简体"/>
          <w:sz w:val="72"/>
          <w:szCs w:val="72"/>
        </w:rPr>
      </w:pPr>
    </w:p>
    <w:p w14:paraId="418C2AF9">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2023年度</w:t>
      </w:r>
      <w:bookmarkEnd w:id="0"/>
      <w:bookmarkEnd w:id="1"/>
      <w:bookmarkEnd w:id="2"/>
      <w:bookmarkEnd w:id="3"/>
      <w:bookmarkEnd w:id="4"/>
    </w:p>
    <w:p w14:paraId="09EDA294">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96598"/>
      <w:bookmarkStart w:id="7" w:name="_Toc15378442"/>
      <w:bookmarkStart w:id="8" w:name="_Toc15377194"/>
      <w:bookmarkStart w:id="9" w:name="_Toc15396476"/>
      <w:bookmarkStart w:id="10" w:name="_Toc15377426"/>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eastAsia="zh-CN"/>
        </w:rPr>
        <w:t>阿坝州财政局</w:t>
      </w: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14:paraId="40B4DA44">
      <w:pPr>
        <w:adjustRightInd w:val="0"/>
        <w:snapToGrid w:val="0"/>
        <w:spacing w:line="360" w:lineRule="auto"/>
        <w:jc w:val="center"/>
        <w:outlineLvl w:val="0"/>
        <w:rPr>
          <w:rFonts w:ascii="方正小标宋简体" w:hAnsi="宋体" w:eastAsia="方正小标宋简体"/>
          <w:sz w:val="52"/>
          <w:szCs w:val="52"/>
        </w:rPr>
      </w:pPr>
      <w:r>
        <w:rPr>
          <w:rFonts w:hint="eastAsia" w:ascii="方正小标宋简体" w:hAnsi="宋体" w:eastAsia="方正小标宋简体"/>
          <w:sz w:val="52"/>
          <w:szCs w:val="52"/>
        </w:rPr>
        <w:t>(部门公开范本)</w:t>
      </w:r>
    </w:p>
    <w:p w14:paraId="4DCB9CBD">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5709D3FD">
      <w:pPr>
        <w:widowControl/>
        <w:jc w:val="center"/>
        <w:rPr>
          <w:rFonts w:ascii="黑体" w:hAnsi="黑体" w:eastAsia="黑体" w:cstheme="minorBidi"/>
          <w:sz w:val="28"/>
          <w:szCs w:val="28"/>
        </w:rPr>
      </w:pPr>
    </w:p>
    <w:p w14:paraId="27E9CFF8">
      <w:pPr>
        <w:pStyle w:val="13"/>
      </w:pPr>
      <w:r>
        <w:rPr>
          <w:rFonts w:hint="eastAsia"/>
        </w:rPr>
        <w:t>公开时间：2023年</w:t>
      </w:r>
      <w:r>
        <w:rPr>
          <w:rFonts w:hint="eastAsia"/>
          <w:lang w:val="en-US" w:eastAsia="zh-CN"/>
        </w:rPr>
        <w:t>9</w:t>
      </w:r>
      <w:r>
        <w:rPr>
          <w:rFonts w:hint="eastAsia"/>
        </w:rPr>
        <w:t>月</w:t>
      </w:r>
      <w:r>
        <w:rPr>
          <w:rFonts w:hint="eastAsia"/>
          <w:lang w:val="en-US" w:eastAsia="zh-CN"/>
        </w:rPr>
        <w:t>6</w:t>
      </w:r>
      <w:r>
        <w:rPr>
          <w:rFonts w:hint="eastAsia"/>
        </w:rPr>
        <w:t>日</w:t>
      </w:r>
    </w:p>
    <w:p w14:paraId="701B9DD1"/>
    <w:p w14:paraId="343707C9">
      <w:pPr>
        <w:pStyle w:val="13"/>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14:paraId="77CAC4C3">
      <w:pPr>
        <w:pStyle w:val="14"/>
        <w:adjustRightInd w:val="0"/>
        <w:snapToGrid w:val="0"/>
        <w:spacing w:line="440" w:lineRule="exact"/>
        <w:jc w:val="left"/>
        <w:rPr>
          <w:rFonts w:ascii="仿宋" w:hAnsi="仿宋" w:eastAsia="仿宋"/>
          <w:sz w:val="24"/>
        </w:rPr>
      </w:pPr>
      <w:r>
        <w:rPr>
          <w:rFonts w:hint="eastAsia"/>
          <w:sz w:val="24"/>
        </w:rPr>
        <w:t>一、部门职责</w:t>
      </w:r>
    </w:p>
    <w:p w14:paraId="466273AB">
      <w:pPr>
        <w:pStyle w:val="14"/>
        <w:adjustRightInd w:val="0"/>
        <w:snapToGrid w:val="0"/>
        <w:spacing w:line="440" w:lineRule="exact"/>
        <w:jc w:val="left"/>
        <w:rPr>
          <w:rFonts w:ascii="仿宋" w:hAnsi="仿宋" w:eastAsia="仿宋" w:cstheme="minorBidi"/>
          <w:sz w:val="24"/>
        </w:rPr>
      </w:pPr>
      <w:r>
        <w:rPr>
          <w:rFonts w:hint="eastAsia"/>
          <w:sz w:val="24"/>
        </w:rPr>
        <w:t>二、机构设置</w:t>
      </w:r>
    </w:p>
    <w:p w14:paraId="6360C85D">
      <w:pPr>
        <w:pStyle w:val="13"/>
        <w:adjustRightInd w:val="0"/>
        <w:snapToGrid w:val="0"/>
        <w:spacing w:before="0" w:line="440" w:lineRule="exact"/>
        <w:jc w:val="left"/>
        <w:rPr>
          <w:sz w:val="24"/>
          <w:szCs w:val="24"/>
        </w:rPr>
      </w:pPr>
      <w:r>
        <w:rPr>
          <w:rFonts w:hint="eastAsia"/>
          <w:sz w:val="24"/>
        </w:rPr>
        <w:t>第二部分 2023年度部门决算情况说明</w:t>
      </w:r>
    </w:p>
    <w:p w14:paraId="1AE7FC58">
      <w:pPr>
        <w:pStyle w:val="14"/>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14:paraId="60C6B47A">
      <w:pPr>
        <w:pStyle w:val="14"/>
        <w:adjustRightInd w:val="0"/>
        <w:snapToGrid w:val="0"/>
        <w:spacing w:line="440" w:lineRule="exact"/>
        <w:jc w:val="left"/>
        <w:rPr>
          <w:rFonts w:ascii="仿宋" w:hAnsi="仿宋" w:eastAsia="仿宋" w:cstheme="minorBidi"/>
          <w:sz w:val="24"/>
        </w:rPr>
      </w:pPr>
      <w:r>
        <w:rPr>
          <w:rFonts w:hint="eastAsia"/>
          <w:sz w:val="24"/>
        </w:rPr>
        <w:t>二、收入决算情况说明</w:t>
      </w:r>
    </w:p>
    <w:p w14:paraId="0CDBF294">
      <w:pPr>
        <w:pStyle w:val="14"/>
        <w:adjustRightInd w:val="0"/>
        <w:snapToGrid w:val="0"/>
        <w:spacing w:line="440" w:lineRule="exact"/>
        <w:jc w:val="left"/>
        <w:rPr>
          <w:rFonts w:ascii="仿宋" w:hAnsi="仿宋" w:eastAsia="仿宋" w:cstheme="minorBidi"/>
          <w:sz w:val="24"/>
        </w:rPr>
      </w:pPr>
      <w:r>
        <w:rPr>
          <w:rFonts w:hint="eastAsia"/>
          <w:sz w:val="24"/>
        </w:rPr>
        <w:t>三、支出决算情况说明</w:t>
      </w:r>
    </w:p>
    <w:p w14:paraId="4BF12A76">
      <w:pPr>
        <w:pStyle w:val="14"/>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14:paraId="5C6283A1">
      <w:pPr>
        <w:pStyle w:val="14"/>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14:paraId="2183D52C">
      <w:pPr>
        <w:pStyle w:val="14"/>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14:paraId="7E4BD2AE">
      <w:pPr>
        <w:pStyle w:val="14"/>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14:paraId="7D560606">
      <w:pPr>
        <w:pStyle w:val="14"/>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14:paraId="42533535">
      <w:pPr>
        <w:pStyle w:val="14"/>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p>
    <w:p w14:paraId="5A8E36CB">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19"/>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p>
    <w:p w14:paraId="33F216B7">
      <w:pPr>
        <w:pStyle w:val="13"/>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14:paraId="796935D7">
      <w:pPr>
        <w:pStyle w:val="13"/>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14:paraId="11D2219D">
      <w:pPr>
        <w:pStyle w:val="13"/>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14:paraId="3E0F915C">
      <w:pPr>
        <w:pStyle w:val="14"/>
        <w:adjustRightInd w:val="0"/>
        <w:snapToGrid w:val="0"/>
        <w:spacing w:line="440" w:lineRule="exact"/>
        <w:jc w:val="left"/>
        <w:rPr>
          <w:sz w:val="24"/>
        </w:rPr>
      </w:pPr>
      <w:r>
        <w:rPr>
          <w:rFonts w:hint="eastAsia"/>
          <w:sz w:val="24"/>
        </w:rPr>
        <w:t>一、收入支出决算总表</w:t>
      </w:r>
    </w:p>
    <w:p w14:paraId="0AACD267">
      <w:pPr>
        <w:pStyle w:val="14"/>
        <w:adjustRightInd w:val="0"/>
        <w:snapToGrid w:val="0"/>
        <w:spacing w:line="440" w:lineRule="exact"/>
        <w:jc w:val="left"/>
        <w:rPr>
          <w:sz w:val="24"/>
        </w:rPr>
      </w:pPr>
      <w:r>
        <w:rPr>
          <w:rFonts w:hint="eastAsia"/>
          <w:sz w:val="24"/>
        </w:rPr>
        <w:t>二、收入决算表</w:t>
      </w:r>
    </w:p>
    <w:p w14:paraId="07C7E7AE">
      <w:pPr>
        <w:pStyle w:val="14"/>
        <w:adjustRightInd w:val="0"/>
        <w:snapToGrid w:val="0"/>
        <w:spacing w:line="440" w:lineRule="exact"/>
        <w:jc w:val="left"/>
        <w:rPr>
          <w:sz w:val="24"/>
        </w:rPr>
      </w:pPr>
      <w:r>
        <w:rPr>
          <w:rFonts w:hint="eastAsia"/>
          <w:sz w:val="24"/>
        </w:rPr>
        <w:t>三、支出决算表</w:t>
      </w:r>
    </w:p>
    <w:p w14:paraId="2BA2827C">
      <w:pPr>
        <w:pStyle w:val="14"/>
        <w:adjustRightInd w:val="0"/>
        <w:snapToGrid w:val="0"/>
        <w:spacing w:line="440" w:lineRule="exact"/>
        <w:jc w:val="left"/>
        <w:rPr>
          <w:sz w:val="24"/>
        </w:rPr>
      </w:pPr>
      <w:r>
        <w:rPr>
          <w:rFonts w:hint="eastAsia"/>
          <w:sz w:val="24"/>
        </w:rPr>
        <w:t>四、财政拨款收入支出决算总表</w:t>
      </w:r>
    </w:p>
    <w:p w14:paraId="0543A770">
      <w:pPr>
        <w:pStyle w:val="14"/>
        <w:adjustRightInd w:val="0"/>
        <w:snapToGrid w:val="0"/>
        <w:spacing w:line="440" w:lineRule="exact"/>
        <w:jc w:val="left"/>
        <w:rPr>
          <w:sz w:val="24"/>
        </w:rPr>
      </w:pPr>
      <w:r>
        <w:rPr>
          <w:rFonts w:hint="eastAsia"/>
          <w:sz w:val="24"/>
        </w:rPr>
        <w:t>五、财政拨款支出决算明细表</w:t>
      </w:r>
    </w:p>
    <w:p w14:paraId="4F3AA27D">
      <w:pPr>
        <w:pStyle w:val="14"/>
        <w:adjustRightInd w:val="0"/>
        <w:snapToGrid w:val="0"/>
        <w:spacing w:line="440" w:lineRule="exact"/>
        <w:jc w:val="left"/>
        <w:rPr>
          <w:sz w:val="24"/>
        </w:rPr>
      </w:pPr>
      <w:r>
        <w:rPr>
          <w:rFonts w:hint="eastAsia"/>
          <w:sz w:val="24"/>
        </w:rPr>
        <w:t>六、一般公共预算财政拨款支出决算表</w:t>
      </w:r>
    </w:p>
    <w:p w14:paraId="1B2AC457">
      <w:pPr>
        <w:pStyle w:val="14"/>
        <w:adjustRightInd w:val="0"/>
        <w:snapToGrid w:val="0"/>
        <w:spacing w:line="440" w:lineRule="exact"/>
        <w:jc w:val="left"/>
        <w:rPr>
          <w:sz w:val="24"/>
        </w:rPr>
      </w:pPr>
      <w:r>
        <w:rPr>
          <w:rFonts w:hint="eastAsia"/>
          <w:sz w:val="24"/>
        </w:rPr>
        <w:t>七、一般公共预算财政拨款支出决算明细表</w:t>
      </w:r>
    </w:p>
    <w:p w14:paraId="7AFA06D8">
      <w:pPr>
        <w:pStyle w:val="14"/>
        <w:adjustRightInd w:val="0"/>
        <w:snapToGrid w:val="0"/>
        <w:spacing w:line="440" w:lineRule="exact"/>
        <w:jc w:val="left"/>
        <w:rPr>
          <w:sz w:val="24"/>
        </w:rPr>
      </w:pPr>
      <w:r>
        <w:rPr>
          <w:rFonts w:hint="eastAsia"/>
          <w:sz w:val="24"/>
        </w:rPr>
        <w:t>八、一般公共预算财政拨款基本支出决算明细表</w:t>
      </w:r>
    </w:p>
    <w:p w14:paraId="6827F75B">
      <w:pPr>
        <w:pStyle w:val="14"/>
        <w:adjustRightInd w:val="0"/>
        <w:snapToGrid w:val="0"/>
        <w:spacing w:line="440" w:lineRule="exact"/>
        <w:jc w:val="left"/>
        <w:rPr>
          <w:sz w:val="24"/>
        </w:rPr>
      </w:pPr>
      <w:r>
        <w:rPr>
          <w:rFonts w:hint="eastAsia"/>
          <w:sz w:val="24"/>
        </w:rPr>
        <w:t>九、一般公共预算财政拨款项目支出决算表</w:t>
      </w:r>
    </w:p>
    <w:p w14:paraId="08384211">
      <w:pPr>
        <w:pStyle w:val="14"/>
        <w:adjustRightInd w:val="0"/>
        <w:snapToGrid w:val="0"/>
        <w:spacing w:line="440" w:lineRule="exact"/>
        <w:jc w:val="left"/>
        <w:rPr>
          <w:sz w:val="24"/>
        </w:rPr>
      </w:pPr>
      <w:r>
        <w:rPr>
          <w:rFonts w:hint="eastAsia"/>
          <w:sz w:val="24"/>
        </w:rPr>
        <w:t>十、政府性基金预算财政拨款收入支出决算表</w:t>
      </w:r>
    </w:p>
    <w:p w14:paraId="20C56B13">
      <w:pPr>
        <w:pStyle w:val="14"/>
        <w:adjustRightInd w:val="0"/>
        <w:snapToGrid w:val="0"/>
        <w:spacing w:line="440" w:lineRule="exact"/>
        <w:jc w:val="left"/>
        <w:rPr>
          <w:sz w:val="24"/>
        </w:rPr>
      </w:pPr>
      <w:r>
        <w:rPr>
          <w:rFonts w:hint="eastAsia"/>
          <w:sz w:val="24"/>
        </w:rPr>
        <w:t>十一、国有资本经营预算财政拨款收入支出决算表</w:t>
      </w:r>
    </w:p>
    <w:p w14:paraId="48F218AB">
      <w:pPr>
        <w:pStyle w:val="14"/>
        <w:adjustRightInd w:val="0"/>
        <w:snapToGrid w:val="0"/>
        <w:spacing w:line="440" w:lineRule="exact"/>
        <w:jc w:val="left"/>
        <w:rPr>
          <w:sz w:val="24"/>
        </w:rPr>
      </w:pPr>
      <w:r>
        <w:rPr>
          <w:rFonts w:hint="eastAsia"/>
          <w:sz w:val="24"/>
        </w:rPr>
        <w:t>十二、国有资本经营预算财政拨款支出决算表</w:t>
      </w:r>
    </w:p>
    <w:p w14:paraId="366E9736">
      <w:pPr>
        <w:pStyle w:val="14"/>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14:paraId="5EF2B2C3">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请部门根据实际注明页码</w:t>
      </w:r>
      <w:r>
        <w:rPr>
          <w:rFonts w:ascii="仿宋" w:hAnsi="仿宋" w:eastAsia="仿宋"/>
          <w:sz w:val="24"/>
        </w:rPr>
        <w:t>)</w:t>
      </w:r>
    </w:p>
    <w:p w14:paraId="02E95258">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14:paraId="22B7D8EC">
      <w:pPr>
        <w:pStyle w:val="2"/>
        <w:jc w:val="center"/>
        <w:rPr>
          <w:rStyle w:val="29"/>
          <w:rFonts w:ascii="黑体" w:hAnsi="黑体" w:eastAsia="黑体"/>
          <w:b/>
          <w:bCs w:val="0"/>
        </w:rPr>
      </w:pPr>
      <w:r>
        <w:rPr>
          <w:rFonts w:hint="eastAsia" w:ascii="黑体" w:hAnsi="黑体" w:eastAsia="黑体"/>
          <w:b w:val="0"/>
        </w:rPr>
        <w:t xml:space="preserve">第一部分 </w:t>
      </w:r>
      <w:r>
        <w:rPr>
          <w:rStyle w:val="29"/>
          <w:rFonts w:hint="eastAsia" w:ascii="黑体" w:hAnsi="黑体" w:eastAsia="黑体"/>
          <w:b w:val="0"/>
          <w:bCs w:val="0"/>
        </w:rPr>
        <w:t>部门概况</w:t>
      </w:r>
      <w:bookmarkEnd w:id="12"/>
      <w:bookmarkEnd w:id="13"/>
    </w:p>
    <w:p w14:paraId="43DBA0AC">
      <w:pPr>
        <w:widowControl/>
        <w:jc w:val="left"/>
        <w:rPr>
          <w:rFonts w:ascii="黑体" w:eastAsia="黑体"/>
          <w:sz w:val="32"/>
          <w:szCs w:val="32"/>
        </w:rPr>
      </w:pPr>
    </w:p>
    <w:p w14:paraId="73503A27">
      <w:pPr>
        <w:pStyle w:val="3"/>
        <w:numPr>
          <w:ilvl w:val="0"/>
          <w:numId w:val="0"/>
        </w:numPr>
        <w:rPr>
          <w:rFonts w:hint="eastAsia" w:ascii="黑体" w:hAnsi="黑体" w:eastAsia="黑体"/>
          <w:b w:val="0"/>
        </w:rPr>
      </w:pPr>
      <w:r>
        <w:rPr>
          <w:rFonts w:hint="eastAsia" w:ascii="黑体" w:hAnsi="黑体" w:eastAsia="黑体" w:cstheme="majorBidi"/>
          <w:b w:val="0"/>
          <w:bCs/>
          <w:kern w:val="2"/>
          <w:sz w:val="32"/>
          <w:szCs w:val="32"/>
          <w:lang w:val="en-US" w:eastAsia="zh-CN" w:bidi="ar-SA"/>
        </w:rPr>
        <w:t>一、</w:t>
      </w:r>
      <w:r>
        <w:rPr>
          <w:rFonts w:hint="eastAsia" w:ascii="黑体" w:hAnsi="黑体" w:eastAsia="黑体"/>
          <w:b w:val="0"/>
        </w:rPr>
        <w:t>部门职责</w:t>
      </w:r>
    </w:p>
    <w:p w14:paraId="10342E1E">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lang w:val="en-US" w:eastAsia="zh-CN"/>
        </w:rPr>
        <w:t xml:space="preserve">   </w:t>
      </w:r>
      <w:r>
        <w:rPr>
          <w:rFonts w:hint="eastAsia" w:ascii="仿宋_GB2312" w:hAnsi="宋体" w:eastAsia="仿宋_GB2312" w:cs="仿宋_GB2312"/>
          <w:kern w:val="0"/>
          <w:sz w:val="32"/>
          <w:szCs w:val="32"/>
          <w:shd w:val="clear" w:fill="FFFFFF"/>
        </w:rPr>
        <w:t xml:space="preserve">州财政局贯彻落实党中央关于财经工作的方针政策和省委、州委的决策部署,在履行职责过程中坚持和加强党对财政工作的集中统一领导。主要职责是: </w:t>
      </w:r>
    </w:p>
    <w:p w14:paraId="68244197">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拟订全州财税发展战略、规划、政策和改革方案并组织实施。分析预测宏观经济形势,参与制定宏观经济政策,提出运用财税政策实施宏观调控和综合平衡社会财力的建议。拟订州与县(市、区)、国家与企业的分配政策,完善鼓励公益事业发展的财税政策。</w:t>
      </w:r>
    </w:p>
    <w:p w14:paraId="13040902">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2、贯彻执行财政、税收、财务、会计管理的法律法规和规章。提出全州性财税立法规划建议,负责组织起草财税地方性法规、规章草案并组织实施。按照管理权限管理全州税政事项。</w:t>
      </w:r>
    </w:p>
    <w:p w14:paraId="671F3AC4">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3、负责管理各项财政收支。编制年度州级预决算草案并组织执行。组织制定经费开支标准、定额,审核批复部门(单位)年度预决算。受州政府委托,向州人大及其常委会报告财政预算、执行和决算等情况。负责政府投资基金州级财政出资的资产管理。负责州级预决算公开。负责全面实施预算绩效管理。</w:t>
      </w:r>
    </w:p>
    <w:p w14:paraId="3F3966C2">
      <w:pPr>
        <w:pStyle w:val="36"/>
        <w:keepNext w:val="0"/>
        <w:keepLines w:val="0"/>
        <w:pageBreakBefore w:val="0"/>
        <w:widowControl w:val="0"/>
        <w:suppressLineNumbers w:val="0"/>
        <w:shd w:val="clear" w:fill="FFFFFF"/>
        <w:kinsoku/>
        <w:wordWrap/>
        <w:overflowPunct/>
        <w:topLinePunct w:val="0"/>
        <w:autoSpaceDE w:val="0"/>
        <w:autoSpaceDN/>
        <w:bidi w:val="0"/>
        <w:adjustRightInd/>
        <w:snapToGrid/>
        <w:spacing w:beforeAutospacing="0" w:afterAutospacing="0" w:line="560" w:lineRule="exact"/>
        <w:jc w:val="both"/>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4、按分工负责政府非税收入管理。负责政府性基金管理,按规定管理行政事业性收费等其他非税收入。管理财政票据。制定彩票管理政策和有关办法,监管彩票市场,按规定管理彩票资金。</w:t>
      </w:r>
    </w:p>
    <w:p w14:paraId="20E199E6">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5、组织制定全州国库管理制度、国库集中收付制度,指导和监督国库业务,开展国库现金管理工作。贯彻执行政府财务报告编制办法并组织实施。负责制定政府采购制度并监督管理。</w:t>
      </w:r>
    </w:p>
    <w:p w14:paraId="036C7418">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6、贯彻执行地方政府债务管理制度和政策,制定具体管理办法,编制地方政府债余额限额计划,统一管理政府外债,防范财政风险。</w:t>
      </w:r>
    </w:p>
    <w:p w14:paraId="7272EFE6">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7、牵头编制全州国有资产管理情况报告。根据州政府授权,集中统一履行州级国有金融资本出资人职责。制定州级国有金融资本管理制度。拟订全州行政事业单位国有资产管理制度并组织实施。制定需要全州统一规定的开支标准和支出政策。</w:t>
      </w:r>
    </w:p>
    <w:p w14:paraId="668DC1F9">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8、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w:t>
      </w:r>
    </w:p>
    <w:p w14:paraId="2647C4DB">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9、负责审核并汇总编制全州社会保险基金预决算草案,会同有关部门拟订有关资金(基金)财务管理制度,承担社会保险基金财政监管工作。</w:t>
      </w:r>
    </w:p>
    <w:p w14:paraId="77B5AE14">
      <w:pPr>
        <w:pStyle w:val="36"/>
        <w:keepNext w:val="0"/>
        <w:keepLines w:val="0"/>
        <w:pageBreakBefore w:val="0"/>
        <w:widowControl w:val="0"/>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10、负责办理和监督州级财政的经济发展支出、州级政府性投资项目的财政拨款,负责投资评审管理工作,参与拟订州级基建投资有关政策,制定基建财务管理制度。</w:t>
      </w:r>
    </w:p>
    <w:p w14:paraId="1EB651DD">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11、管理外国政府和国际金融机构贷(赠)款项目的有关业务,参与财经领域的国际交流与合作。</w:t>
      </w:r>
    </w:p>
    <w:p w14:paraId="105C89A1">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12、负责管理全州会计工作,监督和规范会计行为,组织实施国家统一的会计制度,指导和监督注册会计师和会计师事务所的业务,指导和管理社会审计。依法管理资产评估有关工作。</w:t>
      </w:r>
    </w:p>
    <w:p w14:paraId="2FFD6081">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13、负责职责范围内的安全生产和职业健康、生态环境保护、审批服务便民化等工作。</w:t>
      </w:r>
    </w:p>
    <w:p w14:paraId="144CDA32">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14、完成州委、州政府交办的其他任务。</w:t>
      </w:r>
    </w:p>
    <w:p w14:paraId="716987A7">
      <w:pPr>
        <w:pStyle w:val="3"/>
        <w:rPr>
          <w:rStyle w:val="30"/>
          <w:b w:val="0"/>
          <w:bCs w:val="0"/>
        </w:rPr>
      </w:pPr>
      <w:bookmarkStart w:id="14" w:name="_Toc15396601"/>
      <w:bookmarkStart w:id="15" w:name="_Toc15377200"/>
      <w:r>
        <w:rPr>
          <w:rFonts w:hint="eastAsia" w:ascii="黑体" w:eastAsia="黑体"/>
          <w:b w:val="0"/>
        </w:rPr>
        <w:t>二、</w:t>
      </w:r>
      <w:r>
        <w:rPr>
          <w:rFonts w:hint="eastAsia" w:ascii="黑体" w:hAnsi="黑体" w:eastAsia="黑体"/>
          <w:b w:val="0"/>
        </w:rPr>
        <w:t>机</w:t>
      </w:r>
      <w:r>
        <w:rPr>
          <w:rStyle w:val="30"/>
          <w:rFonts w:hint="eastAsia" w:ascii="黑体" w:hAnsi="黑体" w:eastAsia="黑体"/>
          <w:b w:val="0"/>
          <w:bCs w:val="0"/>
        </w:rPr>
        <w:t>构设置</w:t>
      </w:r>
      <w:bookmarkEnd w:id="14"/>
      <w:bookmarkEnd w:id="15"/>
    </w:p>
    <w:p w14:paraId="5F25622A">
      <w:pPr>
        <w:pStyle w:val="36"/>
        <w:keepNext w:val="0"/>
        <w:keepLines w:val="0"/>
        <w:widowControl w:val="0"/>
        <w:suppressLineNumbers w:val="0"/>
        <w:shd w:val="clear" w:fill="FFFFFF"/>
        <w:autoSpaceDE w:val="0"/>
        <w:autoSpaceDN/>
        <w:spacing w:line="560" w:lineRule="exact"/>
        <w:rPr>
          <w:rFonts w:hint="eastAsia" w:ascii="仿宋_GB2312" w:hAnsi="宋体" w:eastAsia="仿宋_GB2312" w:cs="仿宋_GB2312"/>
          <w:kern w:val="0"/>
          <w:sz w:val="32"/>
          <w:szCs w:val="32"/>
          <w:shd w:val="clear" w:fill="FFFFFF"/>
        </w:rPr>
      </w:pPr>
      <w:r>
        <w:rPr>
          <w:rFonts w:hint="eastAsia" w:ascii="宋体" w:hAnsi="宋体" w:eastAsia="宋体" w:cs="宋体"/>
          <w:kern w:val="0"/>
          <w:sz w:val="24"/>
          <w:szCs w:val="24"/>
          <w:shd w:val="clear" w:fill="FFFFFF"/>
        </w:rPr>
        <w:t xml:space="preserve">  </w:t>
      </w:r>
      <w:r>
        <w:rPr>
          <w:rFonts w:hint="eastAsia" w:ascii="仿宋_GB2312" w:hAnsi="宋体" w:eastAsia="仿宋_GB2312" w:cs="仿宋_GB2312"/>
          <w:kern w:val="0"/>
          <w:sz w:val="32"/>
          <w:szCs w:val="32"/>
          <w:shd w:val="clear" w:fill="FFFFFF"/>
        </w:rPr>
        <w:t>四川省阿坝州财政局下属二级单位3个，其中行政单位1个，参照公务员管理的事业单位0个，其他事业单位2个。</w:t>
      </w:r>
    </w:p>
    <w:p w14:paraId="10B0BE1B">
      <w:pPr>
        <w:pStyle w:val="36"/>
        <w:keepNext w:val="0"/>
        <w:keepLines w:val="0"/>
        <w:widowControl/>
        <w:suppressLineNumbers w:val="0"/>
        <w:shd w:val="clear" w:fill="FFFFFF"/>
        <w:autoSpaceDE w:val="0"/>
        <w:autoSpaceDN/>
        <w:spacing w:line="560" w:lineRule="exact"/>
        <w:ind w:left="0" w:firstLine="47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纳入四川省阿坝州财政局202</w:t>
      </w:r>
      <w:r>
        <w:rPr>
          <w:rFonts w:hint="eastAsia" w:ascii="仿宋_GB2312" w:eastAsia="仿宋_GB2312" w:cs="仿宋_GB2312"/>
          <w:kern w:val="0"/>
          <w:sz w:val="32"/>
          <w:szCs w:val="32"/>
          <w:shd w:val="clear" w:fill="FFFFFF"/>
          <w:lang w:val="en-US" w:eastAsia="zh-CN"/>
        </w:rPr>
        <w:t>3</w:t>
      </w:r>
      <w:r>
        <w:rPr>
          <w:rFonts w:hint="eastAsia" w:ascii="仿宋_GB2312" w:hAnsi="宋体" w:eastAsia="仿宋_GB2312" w:cs="仿宋_GB2312"/>
          <w:kern w:val="0"/>
          <w:sz w:val="32"/>
          <w:szCs w:val="32"/>
          <w:shd w:val="clear" w:fill="FFFFFF"/>
        </w:rPr>
        <w:t>年度部门决算编制范围的二级预算单位包括：</w:t>
      </w:r>
      <w:r>
        <w:rPr>
          <w:rFonts w:hint="eastAsia" w:ascii="宋体" w:hAnsi="宋体" w:eastAsia="宋体" w:cs="宋体"/>
          <w:kern w:val="0"/>
          <w:sz w:val="32"/>
          <w:szCs w:val="32"/>
          <w:shd w:val="clear" w:fill="FFFFFF"/>
        </w:rPr>
        <w:t xml:space="preserve"> </w:t>
      </w:r>
    </w:p>
    <w:p w14:paraId="6501FB54">
      <w:pPr>
        <w:pStyle w:val="36"/>
        <w:keepNext w:val="0"/>
        <w:keepLines w:val="0"/>
        <w:widowControl/>
        <w:suppressLineNumbers w:val="0"/>
        <w:shd w:val="clear" w:fill="FFFFFF"/>
        <w:autoSpaceDE w:val="0"/>
        <w:autoSpaceDN/>
        <w:spacing w:line="560" w:lineRule="exact"/>
        <w:ind w:left="0" w:firstLine="47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1.阿坝州财政局</w:t>
      </w:r>
    </w:p>
    <w:p w14:paraId="09F5F9D1">
      <w:pPr>
        <w:pStyle w:val="36"/>
        <w:keepNext w:val="0"/>
        <w:keepLines w:val="0"/>
        <w:widowControl/>
        <w:suppressLineNumbers w:val="0"/>
        <w:shd w:val="clear" w:fill="FFFFFF"/>
        <w:autoSpaceDE w:val="0"/>
        <w:autoSpaceDN/>
        <w:spacing w:line="560" w:lineRule="exact"/>
        <w:ind w:left="0" w:firstLine="47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2.阿坝州财政局投资评审中心</w:t>
      </w:r>
    </w:p>
    <w:p w14:paraId="1867662B">
      <w:pPr>
        <w:pStyle w:val="36"/>
        <w:keepNext w:val="0"/>
        <w:keepLines w:val="0"/>
        <w:widowControl/>
        <w:suppressLineNumbers w:val="0"/>
        <w:shd w:val="clear" w:fill="FFFFFF"/>
        <w:autoSpaceDE w:val="0"/>
        <w:autoSpaceDN/>
        <w:spacing w:line="560" w:lineRule="exact"/>
        <w:ind w:left="0" w:firstLine="47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3.阿坝州财政政务后勤服务中心</w:t>
      </w:r>
      <w:r>
        <w:rPr>
          <w:rFonts w:hint="eastAsia" w:ascii="宋体" w:hAnsi="宋体" w:eastAsia="宋体" w:cs="宋体"/>
          <w:kern w:val="0"/>
          <w:sz w:val="24"/>
          <w:szCs w:val="24"/>
          <w:shd w:val="clear" w:fill="FFFFFF"/>
        </w:rPr>
        <w:t xml:space="preserve"> </w:t>
      </w:r>
    </w:p>
    <w:p w14:paraId="7F3B1CAD">
      <w:pPr>
        <w:ind w:firstLine="800" w:firstLineChars="250"/>
        <w:rPr>
          <w:rFonts w:ascii="仿宋" w:hAnsi="仿宋" w:eastAsia="仿宋"/>
          <w:sz w:val="32"/>
          <w:szCs w:val="32"/>
        </w:rPr>
      </w:pPr>
    </w:p>
    <w:p w14:paraId="3452A0BA">
      <w:pPr>
        <w:pStyle w:val="2"/>
        <w:ind w:right="440"/>
        <w:jc w:val="center"/>
        <w:rPr>
          <w:rStyle w:val="29"/>
          <w:rFonts w:ascii="黑体" w:hAnsi="黑体" w:eastAsia="黑体"/>
          <w:b w:val="0"/>
          <w:bCs/>
        </w:rPr>
      </w:pPr>
      <w:bookmarkStart w:id="16" w:name="_Toc15377204"/>
      <w:bookmarkStart w:id="17" w:name="_Toc15396602"/>
      <w:r>
        <w:rPr>
          <w:rFonts w:hint="eastAsia" w:ascii="黑体" w:hAnsi="黑体" w:eastAsia="黑体"/>
          <w:b w:val="0"/>
        </w:rPr>
        <w:t>第二部分 2023年度</w:t>
      </w:r>
      <w:r>
        <w:rPr>
          <w:rStyle w:val="29"/>
          <w:rFonts w:hint="eastAsia" w:ascii="黑体" w:hAnsi="黑体" w:eastAsia="黑体"/>
          <w:b w:val="0"/>
          <w:bCs/>
        </w:rPr>
        <w:t>部门决算情况说明</w:t>
      </w:r>
      <w:bookmarkEnd w:id="16"/>
      <w:bookmarkEnd w:id="17"/>
    </w:p>
    <w:p w14:paraId="50AB2EF2"/>
    <w:p w14:paraId="5108A1BB">
      <w:pPr>
        <w:pStyle w:val="28"/>
        <w:numPr>
          <w:ilvl w:val="0"/>
          <w:numId w:val="0"/>
        </w:numPr>
        <w:spacing w:line="600" w:lineRule="exact"/>
        <w:ind w:left="1360" w:leftChars="0" w:hanging="720" w:firstLineChars="0"/>
        <w:outlineLvl w:val="1"/>
        <w:rPr>
          <w:rStyle w:val="30"/>
          <w:rFonts w:ascii="黑体" w:hAnsi="黑体" w:eastAsia="黑体"/>
          <w:b w:val="0"/>
        </w:rPr>
      </w:pPr>
      <w:bookmarkStart w:id="18" w:name="_Toc15377205"/>
      <w:bookmarkStart w:id="19" w:name="_Toc15396603"/>
      <w:r>
        <w:rPr>
          <w:rFonts w:hint="default" w:ascii="黑体" w:hAnsi="黑体" w:eastAsia="黑体" w:cstheme="majorBidi"/>
          <w:b w:val="0"/>
          <w:bCs/>
          <w:kern w:val="2"/>
          <w:sz w:val="32"/>
          <w:szCs w:val="32"/>
          <w:lang w:val="en-US" w:eastAsia="zh-CN" w:bidi="ar-SA"/>
        </w:rPr>
        <w:t>一、</w:t>
      </w:r>
      <w:r>
        <w:rPr>
          <w:rFonts w:hint="eastAsia" w:ascii="黑体" w:hAnsi="黑体" w:eastAsia="黑体"/>
          <w:sz w:val="32"/>
          <w:szCs w:val="32"/>
        </w:rPr>
        <w:t>收</w:t>
      </w:r>
      <w:r>
        <w:rPr>
          <w:rStyle w:val="30"/>
          <w:rFonts w:hint="eastAsia" w:ascii="黑体" w:hAnsi="黑体" w:eastAsia="黑体"/>
          <w:b w:val="0"/>
        </w:rPr>
        <w:t>入支出决算总体情况说明</w:t>
      </w:r>
      <w:bookmarkEnd w:id="18"/>
      <w:bookmarkEnd w:id="19"/>
    </w:p>
    <w:p w14:paraId="5E802B13">
      <w:pPr>
        <w:spacing w:line="600" w:lineRule="exact"/>
        <w:ind w:firstLine="640" w:firstLineChars="200"/>
        <w:jc w:val="left"/>
        <w:rPr>
          <w:rFonts w:ascii="仿宋" w:hAnsi="仿宋" w:eastAsia="仿宋"/>
          <w:sz w:val="32"/>
          <w:szCs w:val="32"/>
        </w:rPr>
      </w:pPr>
      <w:r>
        <w:rPr>
          <w:rFonts w:hint="eastAsia" w:ascii="仿宋" w:hAnsi="仿宋" w:eastAsia="仿宋"/>
          <w:sz w:val="32"/>
          <w:szCs w:val="32"/>
        </w:rPr>
        <w:t>2023年度收、支总计均为</w:t>
      </w:r>
      <w:r>
        <w:rPr>
          <w:rFonts w:hint="eastAsia"/>
          <w:sz w:val="32"/>
          <w:szCs w:val="32"/>
        </w:rPr>
        <w:t>4963.27</w:t>
      </w:r>
      <w:r>
        <w:rPr>
          <w:rFonts w:hint="eastAsia" w:ascii="仿宋" w:hAnsi="仿宋" w:eastAsia="仿宋"/>
          <w:sz w:val="32"/>
          <w:szCs w:val="32"/>
        </w:rPr>
        <w:t>万元</w:t>
      </w:r>
      <w:r>
        <w:rPr>
          <w:rFonts w:hint="eastAsia"/>
          <w:sz w:val="32"/>
          <w:szCs w:val="32"/>
        </w:rPr>
        <w:t>。</w:t>
      </w:r>
      <w:r>
        <w:rPr>
          <w:rFonts w:hint="eastAsia" w:ascii="仿宋" w:hAnsi="仿宋" w:eastAsia="仿宋"/>
          <w:sz w:val="32"/>
          <w:szCs w:val="32"/>
        </w:rPr>
        <w:t>与2022年度相比，收、支总计各减少</w:t>
      </w:r>
      <w:r>
        <w:rPr>
          <w:rFonts w:hint="eastAsia" w:ascii="仿宋" w:hAnsi="仿宋" w:eastAsia="仿宋"/>
          <w:sz w:val="32"/>
          <w:szCs w:val="32"/>
          <w:lang w:val="en-US" w:eastAsia="zh-CN"/>
        </w:rPr>
        <w:t>84.1</w:t>
      </w:r>
      <w:r>
        <w:rPr>
          <w:rFonts w:hint="eastAsia" w:ascii="仿宋" w:hAnsi="仿宋" w:eastAsia="仿宋"/>
          <w:sz w:val="32"/>
          <w:szCs w:val="32"/>
        </w:rPr>
        <w:t>万元，下降</w:t>
      </w:r>
      <w:r>
        <w:rPr>
          <w:rFonts w:hint="eastAsia" w:ascii="仿宋" w:hAnsi="仿宋" w:eastAsia="仿宋"/>
          <w:sz w:val="32"/>
          <w:szCs w:val="32"/>
          <w:lang w:val="en-US" w:eastAsia="zh-CN"/>
        </w:rPr>
        <w:t>1.67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遵循统筹兼顾、勤俭节约、量力而行，讲求绩效和收支平衡的原则，例行节约</w:t>
      </w:r>
      <w:r>
        <w:rPr>
          <w:rFonts w:hint="eastAsia" w:ascii="仿宋" w:hAnsi="仿宋" w:eastAsia="仿宋"/>
          <w:sz w:val="32"/>
          <w:szCs w:val="32"/>
        </w:rPr>
        <w:t>。</w:t>
      </w:r>
    </w:p>
    <w:p w14:paraId="47EC7397">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50DA6B6E">
      <w:pPr>
        <w:spacing w:line="60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59264" behindDoc="0" locked="0" layoutInCell="1" allowOverlap="1">
            <wp:simplePos x="0" y="0"/>
            <wp:positionH relativeFrom="column">
              <wp:posOffset>372745</wp:posOffset>
            </wp:positionH>
            <wp:positionV relativeFrom="paragraph">
              <wp:posOffset>295910</wp:posOffset>
            </wp:positionV>
            <wp:extent cx="4751705" cy="2635885"/>
            <wp:effectExtent l="4445" t="4445" r="13970" b="1143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2229DFF8">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bookmarkStart w:id="20" w:name="_Toc15396604"/>
      <w:bookmarkStart w:id="21" w:name="_Toc15377206"/>
    </w:p>
    <w:p w14:paraId="6B766359">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5321B3F8">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417530FD">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34A9B214">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4CF65452">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57AD021">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063BC31">
      <w:pPr>
        <w:pStyle w:val="28"/>
        <w:numPr>
          <w:ilvl w:val="0"/>
          <w:numId w:val="0"/>
        </w:numPr>
        <w:spacing w:line="600" w:lineRule="exact"/>
        <w:ind w:left="1360" w:leftChars="0" w:hanging="720" w:firstLineChars="0"/>
        <w:outlineLvl w:val="1"/>
        <w:rPr>
          <w:rStyle w:val="30"/>
          <w:rFonts w:ascii="黑体" w:hAnsi="黑体" w:eastAsia="黑体"/>
          <w:b w:val="0"/>
        </w:rPr>
      </w:pPr>
      <w:r>
        <w:rPr>
          <w:rFonts w:hint="default" w:ascii="黑体" w:hAnsi="黑体" w:eastAsia="黑体" w:cstheme="majorBidi"/>
          <w:b w:val="0"/>
          <w:bCs/>
          <w:kern w:val="2"/>
          <w:sz w:val="32"/>
          <w:szCs w:val="32"/>
          <w:lang w:val="en-US" w:eastAsia="zh-CN" w:bidi="ar-SA"/>
        </w:rPr>
        <w:t>二、</w:t>
      </w:r>
      <w:r>
        <w:rPr>
          <w:rFonts w:hint="eastAsia" w:ascii="黑体" w:hAnsi="黑体" w:eastAsia="黑体"/>
          <w:sz w:val="32"/>
          <w:szCs w:val="32"/>
        </w:rPr>
        <w:t>收</w:t>
      </w:r>
      <w:r>
        <w:rPr>
          <w:rStyle w:val="30"/>
          <w:rFonts w:hint="eastAsia" w:ascii="黑体" w:hAnsi="黑体" w:eastAsia="黑体"/>
          <w:b w:val="0"/>
        </w:rPr>
        <w:t>入决算情况说明</w:t>
      </w:r>
      <w:bookmarkEnd w:id="20"/>
      <w:bookmarkEnd w:id="21"/>
    </w:p>
    <w:p w14:paraId="1314CD85">
      <w:pPr>
        <w:spacing w:line="600" w:lineRule="exact"/>
        <w:ind w:firstLine="640" w:firstLineChars="200"/>
        <w:jc w:val="left"/>
        <w:outlineLvl w:val="1"/>
        <w:rPr>
          <w:rFonts w:ascii="仿宋" w:hAnsi="仿宋" w:eastAsia="仿宋"/>
          <w:sz w:val="32"/>
          <w:szCs w:val="32"/>
        </w:rPr>
      </w:pPr>
      <w:r>
        <w:rPr>
          <w:rFonts w:hint="eastAsia" w:ascii="仿宋" w:hAnsi="仿宋" w:eastAsia="仿宋"/>
          <w:sz w:val="32"/>
          <w:szCs w:val="32"/>
        </w:rPr>
        <w:t>2023年度本年收入合计</w:t>
      </w:r>
      <w:r>
        <w:rPr>
          <w:sz w:val="32"/>
          <w:szCs w:val="32"/>
        </w:rPr>
        <w:t>4963.27</w:t>
      </w:r>
      <w:r>
        <w:rPr>
          <w:rFonts w:hint="eastAsia" w:ascii="仿宋" w:hAnsi="仿宋" w:eastAsia="仿宋"/>
          <w:sz w:val="32"/>
          <w:szCs w:val="32"/>
        </w:rPr>
        <w:t>万元，其中：一般公共预算财政拨款收入</w:t>
      </w:r>
      <w:r>
        <w:rPr>
          <w:sz w:val="32"/>
          <w:szCs w:val="32"/>
        </w:rPr>
        <w:t>4963.27</w:t>
      </w:r>
      <w:r>
        <w:rPr>
          <w:rFonts w:hint="eastAsia" w:ascii="仿宋" w:hAnsi="仿宋" w:eastAsia="仿宋"/>
          <w:sz w:val="32"/>
          <w:szCs w:val="32"/>
        </w:rPr>
        <w:t>万元，占</w:t>
      </w:r>
      <w:r>
        <w:rPr>
          <w:sz w:val="32"/>
          <w:szCs w:val="32"/>
        </w:rPr>
        <w:t>100</w:t>
      </w:r>
      <w:r>
        <w:rPr>
          <w:rFonts w:ascii="仿宋" w:hAnsi="仿宋" w:eastAsia="仿宋"/>
          <w:sz w:val="32"/>
          <w:szCs w:val="32"/>
        </w:rPr>
        <w:t>%</w:t>
      </w:r>
      <w:r>
        <w:rPr>
          <w:rFonts w:hint="eastAsia" w:ascii="仿宋" w:hAnsi="仿宋" w:eastAsia="仿宋"/>
          <w:sz w:val="32"/>
          <w:szCs w:val="32"/>
        </w:rPr>
        <w:t>；政府性基金预算财政拨款收入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；上级补助收入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；事业收入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；经营收入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；附属单位上缴收入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；其他收入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w:t>
      </w:r>
    </w:p>
    <w:p w14:paraId="2FB46A36">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，仅罗列本部门涉及的收入。</w:t>
      </w:r>
      <w:r>
        <w:rPr>
          <w:rFonts w:ascii="仿宋" w:hAnsi="仿宋" w:eastAsia="仿宋"/>
          <w:b/>
          <w:sz w:val="32"/>
          <w:szCs w:val="32"/>
        </w:rPr>
        <w:t>）</w:t>
      </w:r>
    </w:p>
    <w:p w14:paraId="091674FB">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14:paraId="15CA308F">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0288" behindDoc="0" locked="0" layoutInCell="1" allowOverlap="1">
            <wp:simplePos x="0" y="0"/>
            <wp:positionH relativeFrom="column">
              <wp:posOffset>335280</wp:posOffset>
            </wp:positionH>
            <wp:positionV relativeFrom="paragraph">
              <wp:posOffset>31115</wp:posOffset>
            </wp:positionV>
            <wp:extent cx="4618990" cy="2930525"/>
            <wp:effectExtent l="4445" t="4445" r="9525" b="635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0E8700CD">
      <w:pPr>
        <w:spacing w:line="600" w:lineRule="exact"/>
        <w:ind w:firstLine="640" w:firstLineChars="200"/>
        <w:rPr>
          <w:rFonts w:ascii="仿宋_GB2312" w:eastAsia="仿宋_GB2312"/>
          <w:sz w:val="32"/>
          <w:szCs w:val="32"/>
        </w:rPr>
      </w:pPr>
    </w:p>
    <w:p w14:paraId="3E693498">
      <w:pPr>
        <w:spacing w:line="600" w:lineRule="exact"/>
        <w:ind w:firstLine="640" w:firstLineChars="200"/>
        <w:rPr>
          <w:rFonts w:ascii="仿宋_GB2312" w:eastAsia="仿宋_GB2312"/>
          <w:sz w:val="32"/>
          <w:szCs w:val="32"/>
        </w:rPr>
      </w:pPr>
    </w:p>
    <w:p w14:paraId="7D3EAAE7">
      <w:pPr>
        <w:spacing w:line="600" w:lineRule="exact"/>
        <w:ind w:firstLine="640" w:firstLineChars="200"/>
        <w:rPr>
          <w:rFonts w:ascii="仿宋_GB2312" w:eastAsia="仿宋_GB2312"/>
          <w:sz w:val="32"/>
          <w:szCs w:val="32"/>
        </w:rPr>
      </w:pPr>
    </w:p>
    <w:p w14:paraId="7DA83B18">
      <w:pPr>
        <w:spacing w:line="600" w:lineRule="exact"/>
        <w:ind w:firstLine="640" w:firstLineChars="200"/>
        <w:rPr>
          <w:rFonts w:ascii="仿宋_GB2312" w:eastAsia="仿宋_GB2312"/>
          <w:sz w:val="32"/>
          <w:szCs w:val="32"/>
        </w:rPr>
      </w:pPr>
    </w:p>
    <w:p w14:paraId="1FD0D8AA">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bookmarkStart w:id="22" w:name="_Toc15396605"/>
      <w:bookmarkStart w:id="23" w:name="_Toc15377207"/>
    </w:p>
    <w:p w14:paraId="11054CF3">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141ED977">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5B2A2BF0">
      <w:pPr>
        <w:pStyle w:val="28"/>
        <w:numPr>
          <w:ilvl w:val="0"/>
          <w:numId w:val="0"/>
        </w:numPr>
        <w:spacing w:line="600" w:lineRule="exact"/>
        <w:ind w:left="1360" w:leftChars="0" w:hanging="720" w:firstLineChars="0"/>
        <w:outlineLvl w:val="1"/>
        <w:rPr>
          <w:rStyle w:val="30"/>
          <w:rFonts w:ascii="黑体" w:hAnsi="黑体" w:eastAsia="黑体"/>
          <w:b w:val="0"/>
        </w:rPr>
      </w:pPr>
      <w:r>
        <w:rPr>
          <w:rFonts w:hint="default" w:ascii="黑体" w:hAnsi="黑体" w:eastAsia="黑体" w:cstheme="majorBidi"/>
          <w:b w:val="0"/>
          <w:bCs/>
          <w:kern w:val="2"/>
          <w:sz w:val="32"/>
          <w:szCs w:val="32"/>
          <w:lang w:val="en-US" w:eastAsia="zh-CN" w:bidi="ar-SA"/>
        </w:rPr>
        <w:t>三、</w:t>
      </w:r>
      <w:r>
        <w:rPr>
          <w:rFonts w:hint="eastAsia" w:ascii="黑体" w:hAnsi="黑体" w:eastAsia="黑体"/>
          <w:sz w:val="32"/>
          <w:szCs w:val="32"/>
        </w:rPr>
        <w:t>支</w:t>
      </w:r>
      <w:r>
        <w:rPr>
          <w:rStyle w:val="30"/>
          <w:rFonts w:hint="eastAsia" w:ascii="黑体" w:hAnsi="黑体" w:eastAsia="黑体"/>
          <w:b w:val="0"/>
        </w:rPr>
        <w:t>出决算情况说明</w:t>
      </w:r>
      <w:bookmarkEnd w:id="22"/>
      <w:bookmarkEnd w:id="23"/>
    </w:p>
    <w:p w14:paraId="5E53534B">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2023年度本年支出合计</w:t>
      </w:r>
      <w:r>
        <w:rPr>
          <w:sz w:val="32"/>
          <w:szCs w:val="32"/>
        </w:rPr>
        <w:t>4963.27</w:t>
      </w:r>
      <w:r>
        <w:rPr>
          <w:rFonts w:hint="eastAsia" w:ascii="仿宋" w:hAnsi="仿宋" w:eastAsia="仿宋"/>
          <w:sz w:val="32"/>
          <w:szCs w:val="32"/>
        </w:rPr>
        <w:t>万元，其中：基本支出</w:t>
      </w:r>
      <w:r>
        <w:rPr>
          <w:sz w:val="32"/>
          <w:szCs w:val="32"/>
        </w:rPr>
        <w:t>4103.8</w:t>
      </w:r>
      <w:r>
        <w:rPr>
          <w:rFonts w:hint="eastAsia" w:ascii="仿宋" w:hAnsi="仿宋" w:eastAsia="仿宋"/>
          <w:sz w:val="32"/>
          <w:szCs w:val="32"/>
        </w:rPr>
        <w:t>万元，占</w:t>
      </w:r>
      <w:r>
        <w:rPr>
          <w:sz w:val="32"/>
          <w:szCs w:val="32"/>
        </w:rPr>
        <w:t>82.68</w:t>
      </w:r>
      <w:r>
        <w:rPr>
          <w:rFonts w:ascii="仿宋" w:hAnsi="仿宋" w:eastAsia="仿宋"/>
          <w:sz w:val="32"/>
          <w:szCs w:val="32"/>
        </w:rPr>
        <w:t>%</w:t>
      </w:r>
      <w:r>
        <w:rPr>
          <w:rFonts w:hint="eastAsia" w:ascii="仿宋" w:hAnsi="仿宋" w:eastAsia="仿宋"/>
          <w:sz w:val="32"/>
          <w:szCs w:val="32"/>
        </w:rPr>
        <w:t>；项目支出</w:t>
      </w:r>
      <w:r>
        <w:rPr>
          <w:sz w:val="32"/>
          <w:szCs w:val="32"/>
        </w:rPr>
        <w:t>859.47</w:t>
      </w:r>
      <w:r>
        <w:rPr>
          <w:rFonts w:hint="eastAsia" w:ascii="仿宋" w:hAnsi="仿宋" w:eastAsia="仿宋"/>
          <w:sz w:val="32"/>
          <w:szCs w:val="32"/>
        </w:rPr>
        <w:t>万元，占</w:t>
      </w:r>
      <w:r>
        <w:rPr>
          <w:sz w:val="32"/>
          <w:szCs w:val="32"/>
        </w:rPr>
        <w:t>17.31</w:t>
      </w:r>
      <w:r>
        <w:rPr>
          <w:rFonts w:ascii="仿宋" w:hAnsi="仿宋" w:eastAsia="仿宋"/>
          <w:sz w:val="32"/>
          <w:szCs w:val="32"/>
        </w:rPr>
        <w:t>%</w:t>
      </w:r>
      <w:r>
        <w:rPr>
          <w:rFonts w:hint="eastAsia" w:ascii="仿宋" w:hAnsi="仿宋" w:eastAsia="仿宋"/>
          <w:sz w:val="32"/>
          <w:szCs w:val="32"/>
        </w:rPr>
        <w:t>；上缴上级支出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；经营支出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；对附属单位补助支出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w:t>
      </w:r>
    </w:p>
    <w:p w14:paraId="167444F2">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表，仅罗列本部门涉及的支出。）</w:t>
      </w:r>
    </w:p>
    <w:p w14:paraId="0F5D154E">
      <w:pPr>
        <w:spacing w:line="600" w:lineRule="exact"/>
        <w:ind w:firstLine="640"/>
        <w:rPr>
          <w:rFonts w:ascii="仿宋" w:hAnsi="仿宋" w:eastAsia="仿宋"/>
          <w:sz w:val="32"/>
          <w:szCs w:val="32"/>
          <w:shd w:val="pct10" w:color="auto" w:fill="FFFFFF"/>
        </w:rPr>
      </w:pPr>
    </w:p>
    <w:p w14:paraId="4B3920B6">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14:paraId="3F13AFA3">
      <w:pPr>
        <w:spacing w:line="600" w:lineRule="exact"/>
        <w:ind w:firstLine="640" w:firstLineChars="200"/>
        <w:rPr>
          <w:rFonts w:ascii="仿宋_GB2312" w:eastAsia="仿宋_GB2312"/>
          <w:sz w:val="32"/>
          <w:szCs w:val="32"/>
        </w:rPr>
      </w:pPr>
    </w:p>
    <w:p w14:paraId="4DFB1A74">
      <w:pPr>
        <w:spacing w:line="600" w:lineRule="exact"/>
        <w:ind w:firstLine="640" w:firstLineChars="200"/>
        <w:outlineLvl w:val="1"/>
        <w:rPr>
          <w:rFonts w:hint="eastAsia" w:ascii="黑体" w:hAnsi="黑体" w:eastAsia="黑体"/>
          <w:sz w:val="32"/>
          <w:szCs w:val="32"/>
        </w:rPr>
      </w:pPr>
      <w:bookmarkStart w:id="24" w:name="_Toc15377208"/>
      <w:bookmarkStart w:id="25" w:name="_Toc15396606"/>
    </w:p>
    <w:p w14:paraId="0660C58B">
      <w:pPr>
        <w:spacing w:line="60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drawing>
          <wp:anchor distT="0" distB="0" distL="114300" distR="114300" simplePos="0" relativeHeight="251661312" behindDoc="0" locked="0" layoutInCell="1" allowOverlap="1">
            <wp:simplePos x="0" y="0"/>
            <wp:positionH relativeFrom="column">
              <wp:posOffset>49530</wp:posOffset>
            </wp:positionH>
            <wp:positionV relativeFrom="paragraph">
              <wp:posOffset>107315</wp:posOffset>
            </wp:positionV>
            <wp:extent cx="5256530" cy="2988310"/>
            <wp:effectExtent l="5080" t="4445" r="11430" b="952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66EB8558">
      <w:pPr>
        <w:spacing w:line="600" w:lineRule="exact"/>
        <w:ind w:firstLine="640" w:firstLineChars="200"/>
        <w:outlineLvl w:val="1"/>
        <w:rPr>
          <w:rFonts w:hint="eastAsia" w:ascii="黑体" w:hAnsi="黑体" w:eastAsia="黑体"/>
          <w:sz w:val="32"/>
          <w:szCs w:val="32"/>
        </w:rPr>
      </w:pPr>
    </w:p>
    <w:p w14:paraId="113BD8AB">
      <w:pPr>
        <w:spacing w:line="600" w:lineRule="exact"/>
        <w:ind w:firstLine="640" w:firstLineChars="200"/>
        <w:outlineLvl w:val="1"/>
        <w:rPr>
          <w:rFonts w:hint="eastAsia" w:ascii="黑体" w:hAnsi="黑体" w:eastAsia="黑体"/>
          <w:sz w:val="32"/>
          <w:szCs w:val="32"/>
        </w:rPr>
      </w:pPr>
    </w:p>
    <w:p w14:paraId="43E48A64">
      <w:pPr>
        <w:spacing w:line="600" w:lineRule="exact"/>
        <w:ind w:firstLine="640" w:firstLineChars="200"/>
        <w:outlineLvl w:val="1"/>
        <w:rPr>
          <w:rFonts w:hint="eastAsia" w:ascii="黑体" w:hAnsi="黑体" w:eastAsia="黑体"/>
          <w:sz w:val="32"/>
          <w:szCs w:val="32"/>
        </w:rPr>
      </w:pPr>
    </w:p>
    <w:p w14:paraId="24848D66">
      <w:pPr>
        <w:spacing w:line="600" w:lineRule="exact"/>
        <w:ind w:firstLine="640" w:firstLineChars="200"/>
        <w:outlineLvl w:val="1"/>
        <w:rPr>
          <w:rFonts w:hint="eastAsia" w:ascii="黑体" w:hAnsi="黑体" w:eastAsia="黑体"/>
          <w:sz w:val="32"/>
          <w:szCs w:val="32"/>
        </w:rPr>
      </w:pPr>
    </w:p>
    <w:p w14:paraId="1C396C34">
      <w:pPr>
        <w:spacing w:line="600" w:lineRule="exact"/>
        <w:ind w:firstLine="640" w:firstLineChars="200"/>
        <w:outlineLvl w:val="1"/>
        <w:rPr>
          <w:rFonts w:hint="eastAsia" w:ascii="黑体" w:hAnsi="黑体" w:eastAsia="黑体"/>
          <w:sz w:val="32"/>
          <w:szCs w:val="32"/>
        </w:rPr>
      </w:pPr>
    </w:p>
    <w:p w14:paraId="14B7208E">
      <w:pPr>
        <w:spacing w:line="600" w:lineRule="exact"/>
        <w:ind w:firstLine="640" w:firstLineChars="200"/>
        <w:outlineLvl w:val="1"/>
        <w:rPr>
          <w:rFonts w:hint="eastAsia" w:ascii="黑体" w:hAnsi="黑体" w:eastAsia="黑体"/>
          <w:sz w:val="32"/>
          <w:szCs w:val="32"/>
        </w:rPr>
      </w:pPr>
    </w:p>
    <w:p w14:paraId="75972575">
      <w:pPr>
        <w:spacing w:line="600" w:lineRule="exact"/>
        <w:ind w:firstLine="640" w:firstLineChars="200"/>
        <w:outlineLvl w:val="1"/>
        <w:rPr>
          <w:rFonts w:hint="eastAsia" w:ascii="黑体" w:hAnsi="黑体" w:eastAsia="黑体"/>
          <w:sz w:val="32"/>
          <w:szCs w:val="32"/>
        </w:rPr>
      </w:pPr>
    </w:p>
    <w:p w14:paraId="0146F351">
      <w:pPr>
        <w:spacing w:line="600" w:lineRule="exact"/>
        <w:ind w:firstLine="640" w:firstLineChars="200"/>
        <w:outlineLvl w:val="1"/>
        <w:rPr>
          <w:rStyle w:val="30"/>
          <w:rFonts w:ascii="黑体" w:hAnsi="黑体" w:eastAsia="黑体"/>
          <w:b w:val="0"/>
        </w:rPr>
      </w:pPr>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24"/>
      <w:bookmarkEnd w:id="25"/>
    </w:p>
    <w:p w14:paraId="0BF4D47F">
      <w:pPr>
        <w:spacing w:line="600" w:lineRule="exact"/>
        <w:ind w:firstLine="640" w:firstLineChars="200"/>
        <w:jc w:val="left"/>
        <w:rPr>
          <w:rFonts w:ascii="仿宋" w:hAnsi="仿宋" w:eastAsia="仿宋"/>
          <w:sz w:val="32"/>
          <w:szCs w:val="32"/>
        </w:rPr>
      </w:pPr>
      <w:r>
        <w:rPr>
          <w:rFonts w:hint="eastAsia" w:ascii="仿宋" w:hAnsi="仿宋" w:eastAsia="仿宋"/>
          <w:sz w:val="32"/>
          <w:szCs w:val="32"/>
        </w:rPr>
        <w:t>2023年度财政拨款收、支总计均为</w:t>
      </w:r>
      <w:r>
        <w:rPr>
          <w:sz w:val="32"/>
          <w:szCs w:val="32"/>
        </w:rPr>
        <w:t>4963.27</w:t>
      </w:r>
      <w:r>
        <w:rPr>
          <w:rFonts w:hint="eastAsia" w:ascii="仿宋" w:hAnsi="仿宋" w:eastAsia="仿宋"/>
          <w:sz w:val="32"/>
          <w:szCs w:val="32"/>
        </w:rPr>
        <w:t>万元。与2022年度相比，财政拨款收、支总计各减少</w:t>
      </w:r>
      <w:r>
        <w:rPr>
          <w:rFonts w:hint="eastAsia" w:ascii="仿宋" w:hAnsi="仿宋" w:eastAsia="仿宋"/>
          <w:sz w:val="32"/>
          <w:szCs w:val="32"/>
          <w:lang w:val="en-US" w:eastAsia="zh-CN"/>
        </w:rPr>
        <w:t>84.1</w:t>
      </w:r>
      <w:r>
        <w:rPr>
          <w:rFonts w:hint="eastAsia" w:ascii="仿宋" w:hAnsi="仿宋" w:eastAsia="仿宋"/>
          <w:sz w:val="32"/>
          <w:szCs w:val="32"/>
        </w:rPr>
        <w:t>万元，下降</w:t>
      </w:r>
      <w:r>
        <w:rPr>
          <w:rFonts w:hint="eastAsia" w:ascii="仿宋" w:hAnsi="仿宋" w:eastAsia="仿宋"/>
          <w:sz w:val="32"/>
          <w:szCs w:val="32"/>
          <w:lang w:val="en-US" w:eastAsia="zh-CN"/>
        </w:rPr>
        <w:t>1.67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遵循统筹兼顾、勤俭节约、量力而行，讲求绩效和收支平衡的原则，例行节约</w:t>
      </w:r>
      <w:r>
        <w:rPr>
          <w:rFonts w:hint="eastAsia" w:ascii="仿宋" w:hAnsi="仿宋" w:eastAsia="仿宋"/>
          <w:sz w:val="32"/>
          <w:szCs w:val="32"/>
        </w:rPr>
        <w:t>。</w:t>
      </w:r>
    </w:p>
    <w:p w14:paraId="1ADF9B07">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31A90FBB">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6D41AB3A">
      <w:pPr>
        <w:spacing w:line="600" w:lineRule="exact"/>
        <w:ind w:firstLine="640"/>
        <w:rPr>
          <w:rFonts w:hint="eastAsia" w:ascii="仿宋" w:hAnsi="仿宋" w:eastAsia="仿宋"/>
          <w:b/>
          <w:sz w:val="32"/>
          <w:szCs w:val="32"/>
          <w:lang w:eastAsia="zh-CN"/>
        </w:rPr>
      </w:pPr>
      <w:r>
        <w:rPr>
          <w:rFonts w:hint="eastAsia" w:ascii="仿宋" w:hAnsi="仿宋" w:eastAsia="仿宋"/>
          <w:b/>
          <w:sz w:val="32"/>
          <w:szCs w:val="32"/>
          <w:lang w:eastAsia="zh-CN"/>
        </w:rPr>
        <w:drawing>
          <wp:anchor distT="0" distB="0" distL="114300" distR="114300" simplePos="0" relativeHeight="251662336" behindDoc="0" locked="0" layoutInCell="1" allowOverlap="1">
            <wp:simplePos x="0" y="0"/>
            <wp:positionH relativeFrom="column">
              <wp:posOffset>572770</wp:posOffset>
            </wp:positionH>
            <wp:positionV relativeFrom="paragraph">
              <wp:posOffset>137795</wp:posOffset>
            </wp:positionV>
            <wp:extent cx="4476115" cy="2712085"/>
            <wp:effectExtent l="4445" t="5080" r="15240" b="1079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6C84B5B8">
      <w:pPr>
        <w:spacing w:line="600" w:lineRule="exact"/>
        <w:ind w:firstLine="640"/>
        <w:rPr>
          <w:rFonts w:ascii="仿宋" w:hAnsi="仿宋" w:eastAsia="仿宋"/>
          <w:b/>
          <w:sz w:val="32"/>
          <w:szCs w:val="32"/>
        </w:rPr>
      </w:pPr>
    </w:p>
    <w:p w14:paraId="79086940">
      <w:pPr>
        <w:spacing w:line="600" w:lineRule="exact"/>
        <w:ind w:firstLine="640"/>
        <w:rPr>
          <w:rFonts w:ascii="仿宋" w:hAnsi="仿宋" w:eastAsia="仿宋"/>
          <w:b/>
          <w:sz w:val="32"/>
          <w:szCs w:val="32"/>
        </w:rPr>
      </w:pPr>
    </w:p>
    <w:p w14:paraId="19A8D4D9">
      <w:pPr>
        <w:spacing w:line="600" w:lineRule="exact"/>
        <w:ind w:firstLine="640"/>
        <w:rPr>
          <w:rFonts w:ascii="仿宋" w:hAnsi="仿宋" w:eastAsia="仿宋"/>
          <w:b/>
          <w:sz w:val="32"/>
          <w:szCs w:val="32"/>
        </w:rPr>
      </w:pPr>
    </w:p>
    <w:p w14:paraId="10F3C5C8">
      <w:pPr>
        <w:spacing w:line="600" w:lineRule="exact"/>
        <w:ind w:firstLine="640"/>
        <w:rPr>
          <w:rFonts w:ascii="仿宋" w:hAnsi="仿宋" w:eastAsia="仿宋"/>
          <w:b/>
          <w:sz w:val="32"/>
          <w:szCs w:val="32"/>
        </w:rPr>
      </w:pPr>
    </w:p>
    <w:p w14:paraId="7167A66F">
      <w:pPr>
        <w:spacing w:line="600" w:lineRule="exact"/>
        <w:ind w:firstLine="640"/>
        <w:rPr>
          <w:rFonts w:ascii="仿宋" w:hAnsi="仿宋" w:eastAsia="仿宋"/>
          <w:b/>
          <w:sz w:val="32"/>
          <w:szCs w:val="32"/>
        </w:rPr>
      </w:pPr>
    </w:p>
    <w:p w14:paraId="145FC50A">
      <w:pPr>
        <w:spacing w:line="600" w:lineRule="exact"/>
        <w:ind w:firstLine="640"/>
        <w:rPr>
          <w:rFonts w:ascii="仿宋" w:hAnsi="仿宋" w:eastAsia="仿宋"/>
          <w:b/>
          <w:sz w:val="32"/>
          <w:szCs w:val="32"/>
        </w:rPr>
      </w:pPr>
    </w:p>
    <w:p w14:paraId="18B4D0B8">
      <w:pPr>
        <w:spacing w:line="600" w:lineRule="exact"/>
        <w:ind w:firstLine="640"/>
        <w:rPr>
          <w:rFonts w:ascii="仿宋" w:hAnsi="仿宋" w:eastAsia="仿宋"/>
          <w:b/>
          <w:sz w:val="32"/>
          <w:szCs w:val="32"/>
        </w:rPr>
      </w:pPr>
    </w:p>
    <w:p w14:paraId="5A96EDEA">
      <w:pPr>
        <w:spacing w:line="600" w:lineRule="exact"/>
        <w:ind w:firstLine="640" w:firstLineChars="200"/>
        <w:outlineLvl w:val="1"/>
        <w:rPr>
          <w:rStyle w:val="30"/>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26"/>
      <w:bookmarkEnd w:id="27"/>
    </w:p>
    <w:p w14:paraId="304A89FE">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0DA62C95">
      <w:pPr>
        <w:spacing w:line="600" w:lineRule="exact"/>
        <w:ind w:firstLine="640" w:firstLineChars="200"/>
        <w:jc w:val="left"/>
        <w:rPr>
          <w:rFonts w:ascii="仿宋" w:hAnsi="仿宋" w:eastAsia="仿宋"/>
          <w:sz w:val="32"/>
          <w:szCs w:val="32"/>
        </w:rPr>
      </w:pPr>
      <w:r>
        <w:rPr>
          <w:rFonts w:hint="eastAsia" w:ascii="仿宋" w:hAnsi="仿宋" w:eastAsia="仿宋"/>
          <w:sz w:val="32"/>
          <w:szCs w:val="32"/>
        </w:rPr>
        <w:t>2023年度一般公共预算财政拨款支出</w:t>
      </w:r>
      <w:r>
        <w:rPr>
          <w:sz w:val="32"/>
          <w:szCs w:val="32"/>
        </w:rPr>
        <w:t>4963.27</w:t>
      </w:r>
      <w:r>
        <w:rPr>
          <w:rFonts w:hint="eastAsia" w:ascii="仿宋" w:hAnsi="仿宋" w:eastAsia="仿宋"/>
          <w:sz w:val="32"/>
          <w:szCs w:val="32"/>
        </w:rPr>
        <w:t>万元，占本年支出合计的</w:t>
      </w:r>
      <w:r>
        <w:rPr>
          <w:sz w:val="32"/>
          <w:szCs w:val="32"/>
        </w:rPr>
        <w:t>100</w:t>
      </w:r>
      <w:r>
        <w:rPr>
          <w:rFonts w:ascii="仿宋" w:hAnsi="仿宋" w:eastAsia="仿宋"/>
          <w:sz w:val="32"/>
          <w:szCs w:val="32"/>
        </w:rPr>
        <w:t>%</w:t>
      </w:r>
      <w:r>
        <w:rPr>
          <w:rFonts w:hint="eastAsia" w:ascii="仿宋" w:hAnsi="仿宋" w:eastAsia="仿宋"/>
          <w:sz w:val="32"/>
          <w:szCs w:val="32"/>
        </w:rPr>
        <w:t>。与2022年度相比，一般公共预算财政拨款支出减少</w:t>
      </w:r>
      <w:r>
        <w:rPr>
          <w:rFonts w:hint="eastAsia" w:ascii="仿宋" w:hAnsi="仿宋" w:eastAsia="仿宋"/>
          <w:sz w:val="32"/>
          <w:szCs w:val="32"/>
          <w:lang w:val="en-US" w:eastAsia="zh-CN"/>
        </w:rPr>
        <w:t>84.1</w:t>
      </w:r>
      <w:r>
        <w:rPr>
          <w:rFonts w:hint="eastAsia" w:ascii="仿宋" w:hAnsi="仿宋" w:eastAsia="仿宋"/>
          <w:sz w:val="32"/>
          <w:szCs w:val="32"/>
        </w:rPr>
        <w:t>万元，下降</w:t>
      </w:r>
      <w:r>
        <w:rPr>
          <w:rFonts w:hint="eastAsia" w:ascii="仿宋" w:hAnsi="仿宋" w:eastAsia="仿宋"/>
          <w:sz w:val="32"/>
          <w:szCs w:val="32"/>
          <w:lang w:val="en-US" w:eastAsia="zh-CN"/>
        </w:rPr>
        <w:t>1.67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遵循统筹兼顾、勤俭节约、量力而行，讲求绩效和收支平衡的原则，例行节约</w:t>
      </w:r>
      <w:r>
        <w:rPr>
          <w:rFonts w:hint="eastAsia" w:ascii="仿宋" w:hAnsi="仿宋" w:eastAsia="仿宋"/>
          <w:sz w:val="32"/>
          <w:szCs w:val="32"/>
        </w:rPr>
        <w:t>。</w:t>
      </w:r>
    </w:p>
    <w:p w14:paraId="5D616379">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7BB93BD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3360" behindDoc="0" locked="0" layoutInCell="1" allowOverlap="1">
            <wp:simplePos x="0" y="0"/>
            <wp:positionH relativeFrom="column">
              <wp:posOffset>267970</wp:posOffset>
            </wp:positionH>
            <wp:positionV relativeFrom="paragraph">
              <wp:posOffset>320675</wp:posOffset>
            </wp:positionV>
            <wp:extent cx="4645660" cy="3065145"/>
            <wp:effectExtent l="4445" t="4445" r="13335" b="889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37189AF5">
      <w:pPr>
        <w:spacing w:line="600" w:lineRule="exact"/>
        <w:ind w:firstLine="640" w:firstLineChars="200"/>
        <w:rPr>
          <w:rFonts w:ascii="仿宋" w:hAnsi="仿宋" w:eastAsia="仿宋"/>
          <w:sz w:val="32"/>
          <w:szCs w:val="32"/>
        </w:rPr>
      </w:pPr>
    </w:p>
    <w:p w14:paraId="3DC4DABA">
      <w:pPr>
        <w:spacing w:line="600" w:lineRule="exact"/>
        <w:ind w:firstLine="640" w:firstLineChars="200"/>
        <w:rPr>
          <w:rFonts w:ascii="仿宋" w:hAnsi="仿宋" w:eastAsia="仿宋"/>
          <w:sz w:val="32"/>
          <w:szCs w:val="32"/>
        </w:rPr>
      </w:pPr>
    </w:p>
    <w:p w14:paraId="09664F7D">
      <w:pPr>
        <w:spacing w:line="600" w:lineRule="exact"/>
        <w:ind w:firstLine="640" w:firstLineChars="200"/>
        <w:rPr>
          <w:rFonts w:ascii="仿宋" w:hAnsi="仿宋" w:eastAsia="仿宋"/>
          <w:sz w:val="32"/>
          <w:szCs w:val="32"/>
        </w:rPr>
      </w:pPr>
    </w:p>
    <w:p w14:paraId="581CDB65">
      <w:pPr>
        <w:spacing w:line="600" w:lineRule="exact"/>
        <w:ind w:firstLine="640" w:firstLineChars="200"/>
        <w:rPr>
          <w:rFonts w:ascii="仿宋" w:hAnsi="仿宋" w:eastAsia="仿宋"/>
          <w:sz w:val="32"/>
          <w:szCs w:val="32"/>
        </w:rPr>
      </w:pPr>
    </w:p>
    <w:p w14:paraId="305D8EED">
      <w:pPr>
        <w:spacing w:line="600" w:lineRule="exact"/>
        <w:ind w:firstLine="640" w:firstLineChars="200"/>
        <w:rPr>
          <w:rFonts w:ascii="仿宋" w:hAnsi="仿宋" w:eastAsia="仿宋"/>
          <w:sz w:val="32"/>
          <w:szCs w:val="32"/>
        </w:rPr>
      </w:pPr>
    </w:p>
    <w:p w14:paraId="4B7E767C">
      <w:pPr>
        <w:spacing w:line="600" w:lineRule="exact"/>
        <w:ind w:firstLine="640" w:firstLineChars="200"/>
        <w:rPr>
          <w:rFonts w:ascii="仿宋" w:hAnsi="仿宋" w:eastAsia="仿宋"/>
          <w:sz w:val="32"/>
          <w:szCs w:val="32"/>
        </w:rPr>
      </w:pPr>
    </w:p>
    <w:p w14:paraId="0A72DF14">
      <w:pPr>
        <w:spacing w:line="600" w:lineRule="exact"/>
        <w:ind w:firstLine="640" w:firstLineChars="200"/>
        <w:rPr>
          <w:rFonts w:ascii="仿宋" w:hAnsi="仿宋" w:eastAsia="仿宋"/>
          <w:sz w:val="32"/>
          <w:szCs w:val="32"/>
        </w:rPr>
      </w:pPr>
    </w:p>
    <w:p w14:paraId="302237E8">
      <w:pPr>
        <w:spacing w:line="600" w:lineRule="exact"/>
        <w:ind w:firstLine="640" w:firstLineChars="200"/>
        <w:rPr>
          <w:rFonts w:ascii="仿宋" w:hAnsi="仿宋" w:eastAsia="仿宋"/>
          <w:sz w:val="32"/>
          <w:szCs w:val="32"/>
        </w:rPr>
      </w:pPr>
    </w:p>
    <w:p w14:paraId="78271822">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14:paraId="7A9C6791">
      <w:pPr>
        <w:pStyle w:val="15"/>
        <w:spacing w:line="560" w:lineRule="exact"/>
        <w:ind w:firstLine="640" w:firstLineChars="200"/>
        <w:rPr>
          <w:rStyle w:val="18"/>
          <w:rFonts w:ascii="Times New Roman" w:hAnsi="Times New Roman" w:eastAsia="仿宋_GB2312"/>
          <w:sz w:val="32"/>
          <w:szCs w:val="11"/>
        </w:rPr>
      </w:pPr>
      <w:r>
        <w:rPr>
          <w:rFonts w:hint="eastAsia" w:ascii="仿宋" w:hAnsi="仿宋" w:eastAsia="仿宋"/>
          <w:sz w:val="32"/>
          <w:szCs w:val="32"/>
        </w:rPr>
        <w:t>2023年度一般公共预算财政拨款支出</w:t>
      </w:r>
      <w:r>
        <w:rPr>
          <w:sz w:val="32"/>
          <w:szCs w:val="32"/>
        </w:rPr>
        <w:t>4963.27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cs="Times New Roman"/>
          <w:b/>
          <w:kern w:val="2"/>
          <w:sz w:val="32"/>
          <w:szCs w:val="32"/>
          <w:lang w:val="en-US" w:eastAsia="zh-CN" w:bidi="ar-SA"/>
        </w:rPr>
        <w:t>一般公共服务支出</w:t>
      </w:r>
      <w:r>
        <w:rPr>
          <w:rFonts w:hint="eastAsia" w:ascii="Times New Roman" w:eastAsia="仿宋_GB2312"/>
          <w:sz w:val="32"/>
          <w:szCs w:val="11"/>
        </w:rPr>
        <w:t>为</w:t>
      </w:r>
      <w:r>
        <w:rPr>
          <w:rFonts w:hint="eastAsia" w:ascii="Times New Roman" w:hAnsi="Times New Roman" w:eastAsia="仿宋_GB2312"/>
          <w:sz w:val="32"/>
          <w:szCs w:val="11"/>
          <w:lang w:val="en-US" w:eastAsia="zh-CN"/>
        </w:rPr>
        <w:t>4272.56</w:t>
      </w:r>
      <w:r>
        <w:rPr>
          <w:rFonts w:hint="eastAsia" w:ascii="Times New Roman" w:eastAsia="仿宋_GB2312"/>
          <w:sz w:val="32"/>
          <w:szCs w:val="11"/>
        </w:rPr>
        <w:t>万元，占比</w:t>
      </w:r>
      <w:r>
        <w:rPr>
          <w:rFonts w:hint="eastAsia" w:ascii="Times New Roman" w:hAnsi="Times New Roman" w:eastAsia="仿宋_GB2312"/>
          <w:sz w:val="32"/>
          <w:szCs w:val="11"/>
        </w:rPr>
        <w:t>8</w:t>
      </w:r>
      <w:r>
        <w:rPr>
          <w:rFonts w:hint="eastAsia" w:ascii="Times New Roman" w:hAnsi="Times New Roman" w:eastAsia="仿宋_GB2312"/>
          <w:sz w:val="32"/>
          <w:szCs w:val="11"/>
          <w:lang w:val="en-US" w:eastAsia="zh-CN"/>
        </w:rPr>
        <w:t>6.08</w:t>
      </w:r>
      <w:r>
        <w:rPr>
          <w:rFonts w:hint="eastAsia" w:ascii="Times New Roman" w:hAnsi="Times New Roman" w:eastAsia="仿宋_GB2312"/>
          <w:sz w:val="32"/>
          <w:szCs w:val="11"/>
        </w:rPr>
        <w:t>%</w:t>
      </w:r>
      <w:r>
        <w:rPr>
          <w:rFonts w:hint="eastAsia" w:ascii="Times New Roman" w:eastAsia="仿宋_GB2312"/>
          <w:sz w:val="32"/>
          <w:szCs w:val="11"/>
        </w:rPr>
        <w:t>；</w:t>
      </w:r>
      <w:r>
        <w:rPr>
          <w:rFonts w:hint="eastAsia" w:ascii="仿宋" w:hAnsi="仿宋" w:eastAsia="仿宋" w:cs="Times New Roman"/>
          <w:b/>
          <w:kern w:val="2"/>
          <w:sz w:val="32"/>
          <w:szCs w:val="32"/>
          <w:lang w:val="en-US" w:eastAsia="zh-CN" w:bidi="ar-SA"/>
        </w:rPr>
        <w:t>社会保障和就业支出</w:t>
      </w:r>
      <w:r>
        <w:rPr>
          <w:rFonts w:hint="eastAsia" w:ascii="Times New Roman" w:eastAsia="仿宋_GB2312"/>
          <w:sz w:val="32"/>
          <w:szCs w:val="11"/>
        </w:rPr>
        <w:t>为</w:t>
      </w:r>
      <w:r>
        <w:rPr>
          <w:rFonts w:hint="eastAsia" w:ascii="Times New Roman" w:hAnsi="Times New Roman" w:eastAsia="仿宋_GB2312"/>
          <w:sz w:val="32"/>
          <w:szCs w:val="11"/>
          <w:lang w:val="en-US" w:eastAsia="zh-CN"/>
        </w:rPr>
        <w:t>355.67</w:t>
      </w:r>
      <w:r>
        <w:rPr>
          <w:rFonts w:hint="eastAsia" w:ascii="Times New Roman" w:eastAsia="仿宋_GB2312"/>
          <w:sz w:val="32"/>
          <w:szCs w:val="11"/>
        </w:rPr>
        <w:t>万元，占比</w:t>
      </w:r>
      <w:r>
        <w:rPr>
          <w:rFonts w:hint="eastAsia" w:ascii="Times New Roman" w:hAnsi="Times New Roman" w:eastAsia="仿宋_GB2312"/>
          <w:sz w:val="32"/>
          <w:szCs w:val="11"/>
          <w:lang w:val="en-US" w:eastAsia="zh-CN"/>
        </w:rPr>
        <w:t>7.17</w:t>
      </w:r>
      <w:r>
        <w:rPr>
          <w:rFonts w:hint="eastAsia" w:ascii="Times New Roman" w:hAnsi="Times New Roman" w:eastAsia="仿宋_GB2312"/>
          <w:sz w:val="32"/>
          <w:szCs w:val="11"/>
        </w:rPr>
        <w:t>%</w:t>
      </w:r>
      <w:r>
        <w:rPr>
          <w:rFonts w:hint="eastAsia" w:ascii="Times New Roman" w:eastAsia="仿宋_GB2312"/>
          <w:sz w:val="32"/>
          <w:szCs w:val="11"/>
        </w:rPr>
        <w:t>；</w:t>
      </w:r>
      <w:r>
        <w:rPr>
          <w:rFonts w:hint="eastAsia" w:ascii="仿宋" w:hAnsi="仿宋" w:eastAsia="仿宋" w:cs="Times New Roman"/>
          <w:b/>
          <w:kern w:val="2"/>
          <w:sz w:val="32"/>
          <w:szCs w:val="32"/>
          <w:lang w:val="en-US" w:eastAsia="zh-CN" w:bidi="ar-SA"/>
        </w:rPr>
        <w:t>卫生健康支出</w:t>
      </w:r>
      <w:r>
        <w:rPr>
          <w:rFonts w:hint="eastAsia" w:ascii="Times New Roman" w:eastAsia="仿宋_GB2312"/>
          <w:sz w:val="32"/>
          <w:szCs w:val="11"/>
        </w:rPr>
        <w:t>为</w:t>
      </w:r>
      <w:r>
        <w:rPr>
          <w:rFonts w:hint="eastAsia" w:ascii="Times New Roman" w:hAnsi="Times New Roman" w:eastAsia="仿宋_GB2312"/>
          <w:sz w:val="32"/>
          <w:szCs w:val="11"/>
          <w:lang w:val="en-US" w:eastAsia="zh-CN"/>
        </w:rPr>
        <w:t>131.99</w:t>
      </w:r>
      <w:r>
        <w:rPr>
          <w:rFonts w:hint="eastAsia" w:ascii="Times New Roman" w:eastAsia="仿宋_GB2312"/>
          <w:sz w:val="32"/>
          <w:szCs w:val="11"/>
        </w:rPr>
        <w:t>万元，占比</w:t>
      </w:r>
      <w:r>
        <w:rPr>
          <w:rFonts w:hint="eastAsia" w:ascii="Times New Roman" w:hAnsi="Times New Roman" w:eastAsia="仿宋_GB2312"/>
          <w:sz w:val="32"/>
          <w:szCs w:val="11"/>
        </w:rPr>
        <w:t>2.</w:t>
      </w:r>
      <w:r>
        <w:rPr>
          <w:rFonts w:hint="eastAsia" w:ascii="Times New Roman" w:hAnsi="Times New Roman" w:eastAsia="仿宋_GB2312"/>
          <w:sz w:val="32"/>
          <w:szCs w:val="11"/>
          <w:lang w:val="en-US" w:eastAsia="zh-CN"/>
        </w:rPr>
        <w:t>66</w:t>
      </w:r>
      <w:r>
        <w:rPr>
          <w:rFonts w:hint="eastAsia" w:ascii="Times New Roman" w:hAnsi="Times New Roman" w:eastAsia="仿宋_GB2312"/>
          <w:sz w:val="32"/>
          <w:szCs w:val="11"/>
        </w:rPr>
        <w:t>%</w:t>
      </w:r>
      <w:r>
        <w:rPr>
          <w:rFonts w:hint="eastAsia" w:ascii="Times New Roman" w:eastAsia="仿宋_GB2312"/>
          <w:sz w:val="32"/>
          <w:szCs w:val="11"/>
        </w:rPr>
        <w:t>；</w:t>
      </w:r>
      <w:r>
        <w:rPr>
          <w:rFonts w:hint="eastAsia" w:ascii="仿宋" w:hAnsi="仿宋" w:eastAsia="仿宋" w:cs="Times New Roman"/>
          <w:b/>
          <w:kern w:val="2"/>
          <w:sz w:val="32"/>
          <w:szCs w:val="32"/>
          <w:lang w:val="en-US" w:eastAsia="zh-CN" w:bidi="ar-SA"/>
        </w:rPr>
        <w:t>住房保障支出</w:t>
      </w:r>
      <w:r>
        <w:rPr>
          <w:rFonts w:hint="eastAsia" w:ascii="Times New Roman" w:eastAsia="仿宋_GB2312"/>
          <w:sz w:val="32"/>
          <w:szCs w:val="11"/>
        </w:rPr>
        <w:t>为</w:t>
      </w:r>
      <w:r>
        <w:rPr>
          <w:rFonts w:hint="eastAsia" w:ascii="Times New Roman" w:hAnsi="Times New Roman" w:eastAsia="仿宋_GB2312"/>
          <w:sz w:val="32"/>
          <w:szCs w:val="11"/>
          <w:lang w:val="en-US" w:eastAsia="zh-CN"/>
        </w:rPr>
        <w:t>203.05</w:t>
      </w:r>
      <w:r>
        <w:rPr>
          <w:rFonts w:hint="eastAsia" w:ascii="Times New Roman" w:eastAsia="仿宋_GB2312"/>
          <w:sz w:val="32"/>
          <w:szCs w:val="11"/>
        </w:rPr>
        <w:t>万元，占比</w:t>
      </w:r>
      <w:r>
        <w:rPr>
          <w:rFonts w:hint="eastAsia" w:ascii="Times New Roman" w:hAnsi="Times New Roman" w:eastAsia="仿宋_GB2312"/>
          <w:sz w:val="32"/>
          <w:szCs w:val="11"/>
          <w:lang w:val="en-US" w:eastAsia="zh-CN"/>
        </w:rPr>
        <w:t>4.09</w:t>
      </w:r>
      <w:r>
        <w:rPr>
          <w:rFonts w:hint="eastAsia" w:ascii="Times New Roman" w:hAnsi="Times New Roman" w:eastAsia="仿宋_GB2312"/>
          <w:sz w:val="32"/>
          <w:szCs w:val="11"/>
        </w:rPr>
        <w:t>%</w:t>
      </w:r>
      <w:r>
        <w:rPr>
          <w:rFonts w:hint="eastAsia" w:ascii="Times New Roman" w:eastAsia="仿宋_GB2312"/>
          <w:sz w:val="32"/>
          <w:szCs w:val="11"/>
        </w:rPr>
        <w:t>.</w:t>
      </w:r>
    </w:p>
    <w:p w14:paraId="491F8F33">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（注：数据来源于财决01-1表，仅罗列本部门涉及的全部功能分类科目，至类级。）</w:t>
      </w:r>
    </w:p>
    <w:p w14:paraId="17AFFC11">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4D5F4A5C">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4384" behindDoc="0" locked="0" layoutInCell="1" allowOverlap="1">
            <wp:simplePos x="0" y="0"/>
            <wp:positionH relativeFrom="column">
              <wp:posOffset>-7620</wp:posOffset>
            </wp:positionH>
            <wp:positionV relativeFrom="paragraph">
              <wp:posOffset>231140</wp:posOffset>
            </wp:positionV>
            <wp:extent cx="5256530" cy="2988310"/>
            <wp:effectExtent l="5080" t="4445" r="11430" b="952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4E1CFCA6">
      <w:pPr>
        <w:spacing w:line="600" w:lineRule="exact"/>
        <w:ind w:firstLine="640" w:firstLineChars="200"/>
        <w:rPr>
          <w:rFonts w:ascii="仿宋" w:hAnsi="仿宋" w:eastAsia="仿宋"/>
          <w:sz w:val="32"/>
          <w:szCs w:val="32"/>
        </w:rPr>
      </w:pPr>
    </w:p>
    <w:p w14:paraId="1F7EBDF6">
      <w:pPr>
        <w:spacing w:line="600" w:lineRule="exact"/>
        <w:ind w:firstLine="640" w:firstLineChars="200"/>
        <w:rPr>
          <w:rFonts w:ascii="仿宋" w:hAnsi="仿宋" w:eastAsia="仿宋"/>
          <w:sz w:val="32"/>
          <w:szCs w:val="32"/>
        </w:rPr>
      </w:pPr>
    </w:p>
    <w:p w14:paraId="324BE56B">
      <w:pPr>
        <w:spacing w:line="600" w:lineRule="exact"/>
        <w:ind w:firstLine="640" w:firstLineChars="200"/>
        <w:rPr>
          <w:rFonts w:ascii="仿宋" w:hAnsi="仿宋" w:eastAsia="仿宋"/>
          <w:sz w:val="32"/>
          <w:szCs w:val="32"/>
        </w:rPr>
      </w:pPr>
    </w:p>
    <w:p w14:paraId="20BDDA13">
      <w:pPr>
        <w:spacing w:line="600" w:lineRule="exact"/>
        <w:ind w:firstLine="640" w:firstLineChars="200"/>
        <w:rPr>
          <w:rFonts w:ascii="仿宋" w:hAnsi="仿宋" w:eastAsia="仿宋"/>
          <w:sz w:val="32"/>
          <w:szCs w:val="32"/>
        </w:rPr>
      </w:pPr>
    </w:p>
    <w:p w14:paraId="7245B480">
      <w:pPr>
        <w:spacing w:line="600" w:lineRule="exact"/>
        <w:ind w:firstLine="640" w:firstLineChars="200"/>
        <w:rPr>
          <w:rFonts w:ascii="仿宋" w:hAnsi="仿宋" w:eastAsia="仿宋"/>
          <w:sz w:val="32"/>
          <w:szCs w:val="32"/>
        </w:rPr>
      </w:pPr>
    </w:p>
    <w:p w14:paraId="05BE417D">
      <w:pPr>
        <w:spacing w:line="600" w:lineRule="exact"/>
        <w:ind w:firstLine="640" w:firstLineChars="200"/>
        <w:rPr>
          <w:rFonts w:ascii="仿宋" w:hAnsi="仿宋" w:eastAsia="仿宋"/>
          <w:sz w:val="32"/>
          <w:szCs w:val="32"/>
        </w:rPr>
      </w:pPr>
    </w:p>
    <w:p w14:paraId="42DC546F">
      <w:pPr>
        <w:spacing w:line="600" w:lineRule="exact"/>
        <w:ind w:firstLine="643" w:firstLineChars="200"/>
        <w:outlineLvl w:val="2"/>
        <w:rPr>
          <w:rFonts w:hint="eastAsia" w:ascii="仿宋" w:hAnsi="仿宋" w:eastAsia="仿宋"/>
          <w:b/>
          <w:sz w:val="32"/>
          <w:szCs w:val="32"/>
        </w:rPr>
      </w:pPr>
      <w:bookmarkStart w:id="30" w:name="_Toc15377212"/>
    </w:p>
    <w:p w14:paraId="7F2ECB85">
      <w:pPr>
        <w:spacing w:line="600" w:lineRule="exact"/>
        <w:ind w:firstLine="643" w:firstLineChars="200"/>
        <w:outlineLvl w:val="2"/>
        <w:rPr>
          <w:rFonts w:hint="eastAsia" w:ascii="仿宋" w:hAnsi="仿宋" w:eastAsia="仿宋"/>
          <w:b/>
          <w:sz w:val="32"/>
          <w:szCs w:val="32"/>
        </w:rPr>
      </w:pPr>
    </w:p>
    <w:p w14:paraId="1FC5CFA5">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0"/>
    </w:p>
    <w:p w14:paraId="4C78433B">
      <w:pPr>
        <w:keepNext w:val="0"/>
        <w:keepLines w:val="0"/>
        <w:pageBreakBefore w:val="0"/>
        <w:kinsoku/>
        <w:wordWrap/>
        <w:overflowPunct/>
        <w:topLinePunct w:val="0"/>
        <w:autoSpaceDN/>
        <w:bidi w:val="0"/>
        <w:adjustRightInd/>
        <w:snapToGrid/>
        <w:spacing w:beforeAutospacing="0" w:afterAutospacing="0" w:line="600" w:lineRule="exact"/>
        <w:ind w:firstLine="643" w:firstLineChars="200"/>
        <w:textAlignment w:val="auto"/>
        <w:outlineLvl w:val="2"/>
        <w:rPr>
          <w:rFonts w:ascii="仿宋" w:hAnsi="仿宋" w:eastAsia="仿宋"/>
          <w:sz w:val="32"/>
          <w:szCs w:val="32"/>
        </w:rPr>
      </w:pPr>
      <w:bookmarkStart w:id="31" w:name="_Toc15378460"/>
      <w:bookmarkStart w:id="32" w:name="_Toc15377444"/>
      <w:bookmarkStart w:id="33" w:name="_Toc15377213"/>
      <w:r>
        <w:rPr>
          <w:rFonts w:hint="eastAsia" w:ascii="仿宋" w:hAnsi="仿宋" w:eastAsia="仿宋"/>
          <w:b/>
          <w:sz w:val="32"/>
          <w:szCs w:val="32"/>
        </w:rPr>
        <w:t>2023年度一般公共预算支出决算数为</w:t>
      </w:r>
      <w:r>
        <w:rPr>
          <w:sz w:val="32"/>
          <w:szCs w:val="32"/>
        </w:rPr>
        <w:t>4963.27</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。其中：</w:t>
      </w:r>
      <w:bookmarkEnd w:id="31"/>
      <w:bookmarkEnd w:id="32"/>
      <w:bookmarkEnd w:id="33"/>
    </w:p>
    <w:p w14:paraId="7732D42C">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1.一般公共服务201（类）06（款）01（项）: 支出决算为16</w:t>
      </w:r>
      <w:r>
        <w:rPr>
          <w:rStyle w:val="37"/>
          <w:rFonts w:hint="eastAsia" w:ascii="仿宋_GB2312" w:hAnsi="Times New Roman" w:eastAsia="仿宋_GB2312" w:cs="仿宋_GB2312"/>
          <w:b w:val="0"/>
          <w:bCs/>
          <w:sz w:val="32"/>
          <w:szCs w:val="32"/>
          <w:shd w:val="clear" w:fill="FFFFFF"/>
          <w:lang w:val="en-US" w:eastAsia="zh-CN"/>
        </w:rPr>
        <w:t>91.43</w:t>
      </w:r>
      <w:r>
        <w:rPr>
          <w:rStyle w:val="37"/>
          <w:rFonts w:hint="eastAsia" w:ascii="仿宋_GB2312" w:hAnsi="Times New Roman" w:eastAsia="仿宋_GB2312" w:cs="仿宋_GB2312"/>
          <w:b w:val="0"/>
          <w:bCs/>
          <w:sz w:val="32"/>
          <w:szCs w:val="32"/>
          <w:shd w:val="clear" w:fill="FFFFFF"/>
        </w:rPr>
        <w:t>万元，完成预算100%。</w:t>
      </w:r>
    </w:p>
    <w:p w14:paraId="46E75BB1">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Style w:val="37"/>
          <w:rFonts w:hint="eastAsia" w:ascii="仿宋_GB2312" w:hAnsi="Times New Roman" w:eastAsia="仿宋_GB2312" w:cs="仿宋_GB2312"/>
          <w:b w:val="0"/>
          <w:bCs/>
          <w:sz w:val="32"/>
          <w:szCs w:val="32"/>
          <w:shd w:val="clear" w:fill="FFFFFF"/>
        </w:rPr>
      </w:pPr>
      <w:r>
        <w:rPr>
          <w:rStyle w:val="37"/>
          <w:rFonts w:hint="eastAsia" w:ascii="仿宋_GB2312" w:hAnsi="Times New Roman" w:eastAsia="仿宋_GB2312" w:cs="仿宋_GB2312"/>
          <w:b w:val="0"/>
          <w:bCs/>
          <w:sz w:val="32"/>
          <w:szCs w:val="32"/>
          <w:shd w:val="clear" w:fill="FFFFFF"/>
        </w:rPr>
        <w:t>2.一般公共服务201（类）06（款）02（项）: 支出决算为</w:t>
      </w:r>
      <w:r>
        <w:rPr>
          <w:rStyle w:val="37"/>
          <w:rFonts w:hint="eastAsia" w:ascii="仿宋_GB2312" w:hAnsi="Times New Roman" w:eastAsia="仿宋_GB2312" w:cs="仿宋_GB2312"/>
          <w:b w:val="0"/>
          <w:bCs/>
          <w:sz w:val="32"/>
          <w:szCs w:val="32"/>
          <w:shd w:val="clear" w:fill="FFFFFF"/>
          <w:lang w:val="en-US" w:eastAsia="zh-CN"/>
        </w:rPr>
        <w:t>316.96</w:t>
      </w:r>
      <w:r>
        <w:rPr>
          <w:rStyle w:val="37"/>
          <w:rFonts w:hint="eastAsia" w:ascii="仿宋_GB2312" w:hAnsi="Times New Roman" w:eastAsia="仿宋_GB2312" w:cs="仿宋_GB2312"/>
          <w:b w:val="0"/>
          <w:bCs/>
          <w:sz w:val="32"/>
          <w:szCs w:val="32"/>
          <w:shd w:val="clear" w:fill="FFFFFF"/>
        </w:rPr>
        <w:t>万元，完成预算100%。</w:t>
      </w:r>
    </w:p>
    <w:p w14:paraId="1007432D">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3.一般公共服务201（类）06（款）0</w:t>
      </w:r>
      <w:r>
        <w:rPr>
          <w:rStyle w:val="37"/>
          <w:rFonts w:hint="eastAsia" w:ascii="仿宋_GB2312" w:hAnsi="Times New Roman" w:eastAsia="仿宋_GB2312" w:cs="仿宋_GB2312"/>
          <w:b w:val="0"/>
          <w:bCs/>
          <w:sz w:val="32"/>
          <w:szCs w:val="32"/>
          <w:shd w:val="clear" w:fill="FFFFFF"/>
          <w:lang w:val="en-US" w:eastAsia="zh-CN"/>
        </w:rPr>
        <w:t>4</w:t>
      </w:r>
      <w:r>
        <w:rPr>
          <w:rStyle w:val="37"/>
          <w:rFonts w:hint="eastAsia" w:ascii="仿宋_GB2312" w:hAnsi="Times New Roman" w:eastAsia="仿宋_GB2312" w:cs="仿宋_GB2312"/>
          <w:b w:val="0"/>
          <w:bCs/>
          <w:sz w:val="32"/>
          <w:szCs w:val="32"/>
          <w:shd w:val="clear" w:fill="FFFFFF"/>
        </w:rPr>
        <w:t>（项）: 支出决算为</w:t>
      </w:r>
      <w:r>
        <w:rPr>
          <w:rStyle w:val="37"/>
          <w:rFonts w:hint="eastAsia" w:ascii="仿宋_GB2312" w:hAnsi="Times New Roman" w:eastAsia="仿宋_GB2312" w:cs="仿宋_GB2312"/>
          <w:b w:val="0"/>
          <w:bCs/>
          <w:sz w:val="32"/>
          <w:szCs w:val="32"/>
          <w:shd w:val="clear" w:fill="FFFFFF"/>
          <w:lang w:val="en-US" w:eastAsia="zh-CN"/>
        </w:rPr>
        <w:t>23.18</w:t>
      </w:r>
      <w:r>
        <w:rPr>
          <w:rStyle w:val="37"/>
          <w:rFonts w:hint="eastAsia" w:ascii="仿宋_GB2312" w:hAnsi="Times New Roman" w:eastAsia="仿宋_GB2312" w:cs="仿宋_GB2312"/>
          <w:b w:val="0"/>
          <w:bCs/>
          <w:sz w:val="32"/>
          <w:szCs w:val="32"/>
          <w:shd w:val="clear" w:fill="FFFFFF"/>
        </w:rPr>
        <w:t>万元，完成预算100%。</w:t>
      </w:r>
    </w:p>
    <w:p w14:paraId="46DA491B">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4</w:t>
      </w:r>
      <w:r>
        <w:rPr>
          <w:rStyle w:val="37"/>
          <w:rFonts w:hint="eastAsia" w:ascii="仿宋_GB2312" w:hAnsi="Times New Roman" w:eastAsia="仿宋_GB2312" w:cs="仿宋_GB2312"/>
          <w:b w:val="0"/>
          <w:bCs/>
          <w:sz w:val="32"/>
          <w:szCs w:val="32"/>
          <w:shd w:val="clear" w:fill="FFFFFF"/>
        </w:rPr>
        <w:t>.一般公共服务201（类）06（款）0</w:t>
      </w:r>
      <w:r>
        <w:rPr>
          <w:rStyle w:val="37"/>
          <w:rFonts w:hint="eastAsia" w:ascii="仿宋_GB2312" w:hAnsi="Times New Roman" w:eastAsia="仿宋_GB2312" w:cs="仿宋_GB2312"/>
          <w:b w:val="0"/>
          <w:bCs/>
          <w:sz w:val="32"/>
          <w:szCs w:val="32"/>
          <w:shd w:val="clear" w:fill="FFFFFF"/>
          <w:lang w:val="en-US" w:eastAsia="zh-CN"/>
        </w:rPr>
        <w:t>6</w:t>
      </w:r>
      <w:r>
        <w:rPr>
          <w:rStyle w:val="37"/>
          <w:rFonts w:hint="eastAsia" w:ascii="仿宋_GB2312" w:hAnsi="Times New Roman" w:eastAsia="仿宋_GB2312" w:cs="仿宋_GB2312"/>
          <w:b w:val="0"/>
          <w:bCs/>
          <w:sz w:val="32"/>
          <w:szCs w:val="32"/>
          <w:shd w:val="clear" w:fill="FFFFFF"/>
        </w:rPr>
        <w:t>（项）: 支出决算为</w:t>
      </w:r>
      <w:r>
        <w:rPr>
          <w:rStyle w:val="37"/>
          <w:rFonts w:hint="eastAsia" w:ascii="仿宋_GB2312" w:hAnsi="Times New Roman" w:eastAsia="仿宋_GB2312" w:cs="仿宋_GB2312"/>
          <w:b w:val="0"/>
          <w:bCs/>
          <w:sz w:val="32"/>
          <w:szCs w:val="32"/>
          <w:shd w:val="clear" w:fill="FFFFFF"/>
          <w:lang w:val="en-US" w:eastAsia="zh-CN"/>
        </w:rPr>
        <w:t>19.26</w:t>
      </w:r>
      <w:r>
        <w:rPr>
          <w:rStyle w:val="37"/>
          <w:rFonts w:hint="eastAsia" w:ascii="仿宋_GB2312" w:hAnsi="Times New Roman" w:eastAsia="仿宋_GB2312" w:cs="仿宋_GB2312"/>
          <w:b w:val="0"/>
          <w:bCs/>
          <w:sz w:val="32"/>
          <w:szCs w:val="32"/>
          <w:shd w:val="clear" w:fill="FFFFFF"/>
        </w:rPr>
        <w:t>万元，完成预算100%。</w:t>
      </w:r>
    </w:p>
    <w:p w14:paraId="1DB78DD2">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Style w:val="37"/>
          <w:rFonts w:hint="eastAsia" w:ascii="仿宋_GB2312" w:hAnsi="Times New Roman" w:eastAsia="仿宋_GB2312" w:cs="仿宋_GB2312"/>
          <w:b w:val="0"/>
          <w:bCs/>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5</w:t>
      </w:r>
      <w:r>
        <w:rPr>
          <w:rStyle w:val="37"/>
          <w:rFonts w:hint="eastAsia" w:ascii="仿宋_GB2312" w:hAnsi="Times New Roman" w:eastAsia="仿宋_GB2312" w:cs="仿宋_GB2312"/>
          <w:b w:val="0"/>
          <w:bCs/>
          <w:sz w:val="32"/>
          <w:szCs w:val="32"/>
          <w:shd w:val="clear" w:fill="FFFFFF"/>
        </w:rPr>
        <w:t>.一般公共服务201（类）06（款）07（项）: 支出决算为</w:t>
      </w:r>
      <w:r>
        <w:rPr>
          <w:rStyle w:val="37"/>
          <w:rFonts w:hint="eastAsia" w:ascii="仿宋_GB2312" w:hAnsi="Times New Roman" w:eastAsia="仿宋_GB2312" w:cs="仿宋_GB2312"/>
          <w:b w:val="0"/>
          <w:bCs/>
          <w:sz w:val="32"/>
          <w:szCs w:val="32"/>
          <w:shd w:val="clear" w:fill="FFFFFF"/>
          <w:lang w:val="en-US" w:eastAsia="zh-CN"/>
        </w:rPr>
        <w:t>81.54</w:t>
      </w:r>
      <w:r>
        <w:rPr>
          <w:rStyle w:val="37"/>
          <w:rFonts w:hint="eastAsia" w:ascii="仿宋_GB2312" w:hAnsi="Times New Roman" w:eastAsia="仿宋_GB2312" w:cs="仿宋_GB2312"/>
          <w:b w:val="0"/>
          <w:bCs/>
          <w:sz w:val="32"/>
          <w:szCs w:val="32"/>
          <w:shd w:val="clear" w:fill="FFFFFF"/>
        </w:rPr>
        <w:t>万元，完成预算100%。</w:t>
      </w:r>
    </w:p>
    <w:p w14:paraId="1A30C7AF">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Style w:val="37"/>
          <w:rFonts w:hint="eastAsia" w:ascii="仿宋_GB2312" w:hAnsi="Times New Roman" w:eastAsia="仿宋_GB2312" w:cs="仿宋_GB2312"/>
          <w:b w:val="0"/>
          <w:bCs/>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6</w:t>
      </w:r>
      <w:r>
        <w:rPr>
          <w:rStyle w:val="37"/>
          <w:rFonts w:hint="eastAsia" w:ascii="仿宋_GB2312" w:hAnsi="Times New Roman" w:eastAsia="仿宋_GB2312" w:cs="仿宋_GB2312"/>
          <w:b w:val="0"/>
          <w:bCs/>
          <w:sz w:val="32"/>
          <w:szCs w:val="32"/>
          <w:shd w:val="clear" w:fill="FFFFFF"/>
        </w:rPr>
        <w:t>.一般公共服务201（类）06（款）0</w:t>
      </w:r>
      <w:r>
        <w:rPr>
          <w:rStyle w:val="37"/>
          <w:rFonts w:hint="eastAsia" w:ascii="仿宋_GB2312" w:hAnsi="Times New Roman" w:eastAsia="仿宋_GB2312" w:cs="仿宋_GB2312"/>
          <w:b w:val="0"/>
          <w:bCs/>
          <w:sz w:val="32"/>
          <w:szCs w:val="32"/>
          <w:shd w:val="clear" w:fill="FFFFFF"/>
          <w:lang w:val="en-US" w:eastAsia="zh-CN"/>
        </w:rPr>
        <w:t>8</w:t>
      </w:r>
      <w:r>
        <w:rPr>
          <w:rStyle w:val="37"/>
          <w:rFonts w:hint="eastAsia" w:ascii="仿宋_GB2312" w:hAnsi="Times New Roman" w:eastAsia="仿宋_GB2312" w:cs="仿宋_GB2312"/>
          <w:b w:val="0"/>
          <w:bCs/>
          <w:sz w:val="32"/>
          <w:szCs w:val="32"/>
          <w:shd w:val="clear" w:fill="FFFFFF"/>
        </w:rPr>
        <w:t>（项）: 支出决算为</w:t>
      </w:r>
      <w:r>
        <w:rPr>
          <w:rStyle w:val="37"/>
          <w:rFonts w:hint="eastAsia" w:ascii="仿宋_GB2312" w:hAnsi="Times New Roman" w:eastAsia="仿宋_GB2312" w:cs="仿宋_GB2312"/>
          <w:b w:val="0"/>
          <w:bCs/>
          <w:sz w:val="32"/>
          <w:szCs w:val="32"/>
          <w:shd w:val="clear" w:fill="FFFFFF"/>
          <w:lang w:val="en-US" w:eastAsia="zh-CN"/>
        </w:rPr>
        <w:t>408.62</w:t>
      </w:r>
      <w:r>
        <w:rPr>
          <w:rStyle w:val="37"/>
          <w:rFonts w:hint="eastAsia" w:ascii="仿宋_GB2312" w:hAnsi="Times New Roman" w:eastAsia="仿宋_GB2312" w:cs="仿宋_GB2312"/>
          <w:b w:val="0"/>
          <w:bCs/>
          <w:sz w:val="32"/>
          <w:szCs w:val="32"/>
          <w:shd w:val="clear" w:fill="FFFFFF"/>
        </w:rPr>
        <w:t>万元，完成预算100%。</w:t>
      </w:r>
    </w:p>
    <w:p w14:paraId="757E07F5">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7</w:t>
      </w:r>
      <w:r>
        <w:rPr>
          <w:rStyle w:val="37"/>
          <w:rFonts w:hint="eastAsia" w:ascii="仿宋_GB2312" w:hAnsi="Times New Roman" w:eastAsia="仿宋_GB2312" w:cs="仿宋_GB2312"/>
          <w:b w:val="0"/>
          <w:bCs/>
          <w:sz w:val="32"/>
          <w:szCs w:val="32"/>
          <w:shd w:val="clear" w:fill="FFFFFF"/>
        </w:rPr>
        <w:t>.一般公共服务201（类）06（款）50（项）: 支出决算为</w:t>
      </w:r>
      <w:r>
        <w:rPr>
          <w:rStyle w:val="37"/>
          <w:rFonts w:hint="eastAsia" w:ascii="仿宋_GB2312" w:hAnsi="Times New Roman" w:eastAsia="仿宋_GB2312" w:cs="仿宋_GB2312"/>
          <w:b w:val="0"/>
          <w:bCs/>
          <w:sz w:val="32"/>
          <w:szCs w:val="32"/>
          <w:shd w:val="clear" w:fill="FFFFFF"/>
          <w:lang w:val="en-US" w:eastAsia="zh-CN"/>
        </w:rPr>
        <w:t>1721.66</w:t>
      </w:r>
      <w:r>
        <w:rPr>
          <w:rStyle w:val="37"/>
          <w:rFonts w:hint="eastAsia" w:ascii="仿宋_GB2312" w:hAnsi="Times New Roman" w:eastAsia="仿宋_GB2312" w:cs="仿宋_GB2312"/>
          <w:b w:val="0"/>
          <w:bCs/>
          <w:sz w:val="32"/>
          <w:szCs w:val="32"/>
          <w:shd w:val="clear" w:fill="FFFFFF"/>
        </w:rPr>
        <w:t>万元，完成预算100%。</w:t>
      </w:r>
    </w:p>
    <w:p w14:paraId="0B53699C">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8</w:t>
      </w:r>
      <w:r>
        <w:rPr>
          <w:rStyle w:val="37"/>
          <w:rFonts w:hint="eastAsia" w:ascii="仿宋_GB2312" w:hAnsi="Times New Roman" w:eastAsia="仿宋_GB2312" w:cs="仿宋_GB2312"/>
          <w:b w:val="0"/>
          <w:bCs/>
          <w:sz w:val="32"/>
          <w:szCs w:val="32"/>
          <w:shd w:val="clear" w:fill="FFFFFF"/>
        </w:rPr>
        <w:t>.一般公共服务201（类）06（款）99（项）: 支出决算为9</w:t>
      </w:r>
      <w:r>
        <w:rPr>
          <w:rStyle w:val="37"/>
          <w:rFonts w:hint="eastAsia" w:ascii="仿宋_GB2312" w:hAnsi="Times New Roman" w:eastAsia="仿宋_GB2312" w:cs="仿宋_GB2312"/>
          <w:b w:val="0"/>
          <w:bCs/>
          <w:sz w:val="32"/>
          <w:szCs w:val="32"/>
          <w:shd w:val="clear" w:fill="FFFFFF"/>
          <w:lang w:val="en-US" w:eastAsia="zh-CN"/>
        </w:rPr>
        <w:t>.12</w:t>
      </w:r>
      <w:r>
        <w:rPr>
          <w:rStyle w:val="37"/>
          <w:rFonts w:hint="eastAsia" w:ascii="仿宋_GB2312" w:hAnsi="Times New Roman" w:eastAsia="仿宋_GB2312" w:cs="仿宋_GB2312"/>
          <w:b w:val="0"/>
          <w:bCs/>
          <w:sz w:val="32"/>
          <w:szCs w:val="32"/>
          <w:shd w:val="clear" w:fill="FFFFFF"/>
        </w:rPr>
        <w:t>万元，完成预算100%。</w:t>
      </w:r>
    </w:p>
    <w:p w14:paraId="2D35CB06">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9</w:t>
      </w:r>
      <w:r>
        <w:rPr>
          <w:rStyle w:val="37"/>
          <w:rFonts w:hint="eastAsia" w:ascii="仿宋_GB2312" w:hAnsi="Times New Roman" w:eastAsia="仿宋_GB2312" w:cs="仿宋_GB2312"/>
          <w:b w:val="0"/>
          <w:bCs/>
          <w:sz w:val="32"/>
          <w:szCs w:val="32"/>
          <w:shd w:val="clear" w:fill="FFFFFF"/>
        </w:rPr>
        <w:t>.社会保障和就业208（类）05（款）05（项）: 支出决算为2</w:t>
      </w:r>
      <w:r>
        <w:rPr>
          <w:rStyle w:val="37"/>
          <w:rFonts w:hint="eastAsia" w:ascii="仿宋_GB2312" w:hAnsi="Times New Roman" w:eastAsia="仿宋_GB2312" w:cs="仿宋_GB2312"/>
          <w:b w:val="0"/>
          <w:bCs/>
          <w:sz w:val="32"/>
          <w:szCs w:val="32"/>
          <w:shd w:val="clear" w:fill="FFFFFF"/>
          <w:lang w:val="en-US" w:eastAsia="zh-CN"/>
        </w:rPr>
        <w:t>43.42</w:t>
      </w:r>
      <w:r>
        <w:rPr>
          <w:rStyle w:val="37"/>
          <w:rFonts w:hint="eastAsia" w:ascii="仿宋_GB2312" w:hAnsi="Times New Roman" w:eastAsia="仿宋_GB2312" w:cs="仿宋_GB2312"/>
          <w:b w:val="0"/>
          <w:bCs/>
          <w:sz w:val="32"/>
          <w:szCs w:val="32"/>
          <w:shd w:val="clear" w:fill="FFFFFF"/>
        </w:rPr>
        <w:t>万元，完成预算100%。</w:t>
      </w:r>
    </w:p>
    <w:p w14:paraId="0B5FF4CF">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10</w:t>
      </w:r>
      <w:r>
        <w:rPr>
          <w:rStyle w:val="37"/>
          <w:rFonts w:hint="eastAsia" w:ascii="仿宋_GB2312" w:hAnsi="Times New Roman" w:eastAsia="仿宋_GB2312" w:cs="仿宋_GB2312"/>
          <w:b w:val="0"/>
          <w:bCs/>
          <w:sz w:val="32"/>
          <w:szCs w:val="32"/>
          <w:shd w:val="clear" w:fill="FFFFFF"/>
        </w:rPr>
        <w:t>.社会保障和就业208（类）05（款）06（项）: 支出决算为1</w:t>
      </w:r>
      <w:r>
        <w:rPr>
          <w:rStyle w:val="37"/>
          <w:rFonts w:hint="eastAsia" w:ascii="仿宋_GB2312" w:hAnsi="Times New Roman" w:eastAsia="仿宋_GB2312" w:cs="仿宋_GB2312"/>
          <w:b w:val="0"/>
          <w:bCs/>
          <w:sz w:val="32"/>
          <w:szCs w:val="32"/>
          <w:shd w:val="clear" w:fill="FFFFFF"/>
          <w:lang w:val="en-US" w:eastAsia="zh-CN"/>
        </w:rPr>
        <w:t>12.25</w:t>
      </w:r>
      <w:r>
        <w:rPr>
          <w:rStyle w:val="37"/>
          <w:rFonts w:hint="eastAsia" w:ascii="仿宋_GB2312" w:hAnsi="Times New Roman" w:eastAsia="仿宋_GB2312" w:cs="仿宋_GB2312"/>
          <w:b w:val="0"/>
          <w:bCs/>
          <w:sz w:val="32"/>
          <w:szCs w:val="32"/>
          <w:shd w:val="clear" w:fill="FFFFFF"/>
        </w:rPr>
        <w:t>万元，完成预算100%。</w:t>
      </w:r>
    </w:p>
    <w:p w14:paraId="6BC5AAF8">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11</w:t>
      </w:r>
      <w:r>
        <w:rPr>
          <w:rStyle w:val="37"/>
          <w:rFonts w:hint="eastAsia" w:ascii="仿宋_GB2312" w:hAnsi="Times New Roman" w:eastAsia="仿宋_GB2312" w:cs="仿宋_GB2312"/>
          <w:b w:val="0"/>
          <w:bCs/>
          <w:sz w:val="32"/>
          <w:szCs w:val="32"/>
          <w:shd w:val="clear" w:fill="FFFFFF"/>
        </w:rPr>
        <w:t>.卫生健康210（类）11（款）01（项）:支出决算为</w:t>
      </w:r>
      <w:r>
        <w:rPr>
          <w:rStyle w:val="37"/>
          <w:rFonts w:hint="eastAsia" w:ascii="仿宋_GB2312" w:hAnsi="Times New Roman" w:eastAsia="仿宋_GB2312" w:cs="仿宋_GB2312"/>
          <w:b w:val="0"/>
          <w:bCs/>
          <w:sz w:val="32"/>
          <w:szCs w:val="32"/>
          <w:shd w:val="clear" w:fill="FFFFFF"/>
          <w:lang w:val="en-US" w:eastAsia="zh-CN"/>
        </w:rPr>
        <w:t>65.66</w:t>
      </w:r>
      <w:r>
        <w:rPr>
          <w:rStyle w:val="37"/>
          <w:rFonts w:hint="eastAsia" w:ascii="仿宋_GB2312" w:hAnsi="Times New Roman" w:eastAsia="仿宋_GB2312" w:cs="仿宋_GB2312"/>
          <w:b w:val="0"/>
          <w:bCs/>
          <w:sz w:val="32"/>
          <w:szCs w:val="32"/>
          <w:shd w:val="clear" w:fill="FFFFFF"/>
        </w:rPr>
        <w:t>万元，完成预算100%。</w:t>
      </w:r>
    </w:p>
    <w:p w14:paraId="60523746">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hAnsi="Times New Roman" w:eastAsia="仿宋_GB2312" w:cs="仿宋_GB2312"/>
          <w:b w:val="0"/>
          <w:bCs/>
          <w:sz w:val="32"/>
          <w:szCs w:val="32"/>
          <w:shd w:val="clear" w:fill="FFFFFF"/>
          <w:lang w:val="en-US" w:eastAsia="zh-CN"/>
        </w:rPr>
        <w:t>2</w:t>
      </w:r>
      <w:r>
        <w:rPr>
          <w:rStyle w:val="37"/>
          <w:rFonts w:hint="eastAsia" w:ascii="仿宋_GB2312" w:hAnsi="Times New Roman" w:eastAsia="仿宋_GB2312" w:cs="仿宋_GB2312"/>
          <w:b w:val="0"/>
          <w:bCs/>
          <w:sz w:val="32"/>
          <w:szCs w:val="32"/>
          <w:shd w:val="clear" w:fill="FFFFFF"/>
        </w:rPr>
        <w:t>.卫生健康210（类）11（款）02（项）:支出决算为</w:t>
      </w:r>
      <w:r>
        <w:rPr>
          <w:rStyle w:val="37"/>
          <w:rFonts w:hint="eastAsia" w:ascii="仿宋_GB2312" w:hAnsi="Times New Roman" w:eastAsia="仿宋_GB2312" w:cs="仿宋_GB2312"/>
          <w:b w:val="0"/>
          <w:bCs/>
          <w:sz w:val="32"/>
          <w:szCs w:val="32"/>
          <w:shd w:val="clear" w:fill="FFFFFF"/>
          <w:lang w:val="en-US" w:eastAsia="zh-CN"/>
        </w:rPr>
        <w:t>11.16</w:t>
      </w:r>
      <w:r>
        <w:rPr>
          <w:rStyle w:val="37"/>
          <w:rFonts w:hint="eastAsia" w:ascii="仿宋_GB2312" w:hAnsi="Times New Roman" w:eastAsia="仿宋_GB2312" w:cs="仿宋_GB2312"/>
          <w:b w:val="0"/>
          <w:bCs/>
          <w:sz w:val="32"/>
          <w:szCs w:val="32"/>
          <w:shd w:val="clear" w:fill="FFFFFF"/>
        </w:rPr>
        <w:t>万元，完成预算100%。</w:t>
      </w:r>
    </w:p>
    <w:p w14:paraId="4B13340D">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hAnsi="Times New Roman" w:eastAsia="仿宋_GB2312" w:cs="仿宋_GB2312"/>
          <w:b w:val="0"/>
          <w:bCs/>
          <w:sz w:val="32"/>
          <w:szCs w:val="32"/>
          <w:shd w:val="clear" w:fill="FFFFFF"/>
          <w:lang w:val="en-US" w:eastAsia="zh-CN"/>
        </w:rPr>
        <w:t>3</w:t>
      </w:r>
      <w:r>
        <w:rPr>
          <w:rStyle w:val="37"/>
          <w:rFonts w:hint="eastAsia" w:ascii="仿宋_GB2312" w:hAnsi="Times New Roman" w:eastAsia="仿宋_GB2312" w:cs="仿宋_GB2312"/>
          <w:b w:val="0"/>
          <w:bCs/>
          <w:sz w:val="32"/>
          <w:szCs w:val="32"/>
          <w:shd w:val="clear" w:fill="FFFFFF"/>
        </w:rPr>
        <w:t>.卫生健康210（类）11（款）03（项）:支出决算为</w:t>
      </w:r>
      <w:r>
        <w:rPr>
          <w:rStyle w:val="37"/>
          <w:rFonts w:hint="eastAsia" w:ascii="仿宋_GB2312" w:hAnsi="Times New Roman" w:eastAsia="仿宋_GB2312" w:cs="仿宋_GB2312"/>
          <w:b w:val="0"/>
          <w:bCs/>
          <w:sz w:val="32"/>
          <w:szCs w:val="32"/>
          <w:shd w:val="clear" w:fill="FFFFFF"/>
          <w:lang w:val="en-US" w:eastAsia="zh-CN"/>
        </w:rPr>
        <w:t>21.85</w:t>
      </w:r>
      <w:r>
        <w:rPr>
          <w:rStyle w:val="37"/>
          <w:rFonts w:hint="eastAsia" w:ascii="仿宋_GB2312" w:hAnsi="Times New Roman" w:eastAsia="仿宋_GB2312" w:cs="仿宋_GB2312"/>
          <w:b w:val="0"/>
          <w:bCs/>
          <w:sz w:val="32"/>
          <w:szCs w:val="32"/>
          <w:shd w:val="clear" w:fill="FFFFFF"/>
        </w:rPr>
        <w:t>万元，完成预算100%。</w:t>
      </w:r>
    </w:p>
    <w:p w14:paraId="10E2A440">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hAnsi="Times New Roman" w:eastAsia="仿宋_GB2312" w:cs="仿宋_GB2312"/>
          <w:b w:val="0"/>
          <w:bCs/>
          <w:sz w:val="32"/>
          <w:szCs w:val="32"/>
          <w:shd w:val="clear" w:fill="FFFFFF"/>
          <w:lang w:val="en-US" w:eastAsia="zh-CN"/>
        </w:rPr>
        <w:t>4</w:t>
      </w:r>
      <w:r>
        <w:rPr>
          <w:rStyle w:val="37"/>
          <w:rFonts w:hint="eastAsia" w:ascii="仿宋_GB2312" w:hAnsi="Times New Roman" w:eastAsia="仿宋_GB2312" w:cs="仿宋_GB2312"/>
          <w:b w:val="0"/>
          <w:bCs/>
          <w:sz w:val="32"/>
          <w:szCs w:val="32"/>
          <w:shd w:val="clear" w:fill="FFFFFF"/>
        </w:rPr>
        <w:t>.卫生健康210（类）11（款）99（项）:支出决算为</w:t>
      </w:r>
      <w:r>
        <w:rPr>
          <w:rStyle w:val="37"/>
          <w:rFonts w:hint="eastAsia" w:ascii="仿宋_GB2312" w:hAnsi="Times New Roman" w:eastAsia="仿宋_GB2312" w:cs="仿宋_GB2312"/>
          <w:b w:val="0"/>
          <w:bCs/>
          <w:sz w:val="32"/>
          <w:szCs w:val="32"/>
          <w:shd w:val="clear" w:fill="FFFFFF"/>
          <w:lang w:val="en-US" w:eastAsia="zh-CN"/>
        </w:rPr>
        <w:t>33.32</w:t>
      </w:r>
      <w:r>
        <w:rPr>
          <w:rStyle w:val="37"/>
          <w:rFonts w:hint="eastAsia" w:ascii="仿宋_GB2312" w:hAnsi="Times New Roman" w:eastAsia="仿宋_GB2312" w:cs="仿宋_GB2312"/>
          <w:b w:val="0"/>
          <w:bCs/>
          <w:sz w:val="32"/>
          <w:szCs w:val="32"/>
          <w:shd w:val="clear" w:fill="FFFFFF"/>
        </w:rPr>
        <w:t>万元，完成预算100%。</w:t>
      </w:r>
    </w:p>
    <w:p w14:paraId="657CE99B">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hAnsi="Times New Roman" w:eastAsia="仿宋_GB2312" w:cs="仿宋_GB2312"/>
          <w:b w:val="0"/>
          <w:bCs/>
          <w:sz w:val="32"/>
          <w:szCs w:val="32"/>
          <w:shd w:val="clear" w:fill="FFFFFF"/>
          <w:lang w:val="en-US" w:eastAsia="zh-CN"/>
        </w:rPr>
        <w:t>5</w:t>
      </w:r>
      <w:r>
        <w:rPr>
          <w:rStyle w:val="37"/>
          <w:rFonts w:hint="eastAsia" w:ascii="仿宋_GB2312" w:hAnsi="Times New Roman" w:eastAsia="仿宋_GB2312" w:cs="仿宋_GB2312"/>
          <w:b w:val="0"/>
          <w:bCs/>
          <w:sz w:val="32"/>
          <w:szCs w:val="32"/>
          <w:shd w:val="clear" w:fill="FFFFFF"/>
        </w:rPr>
        <w:t>.</w:t>
      </w:r>
      <w:r>
        <w:rPr>
          <w:rFonts w:hint="eastAsia" w:ascii="仿宋_GB2312" w:hAnsi="宋体" w:eastAsia="仿宋_GB2312" w:cs="仿宋_GB2312"/>
          <w:b w:val="0"/>
          <w:bCs/>
          <w:kern w:val="0"/>
          <w:sz w:val="32"/>
          <w:szCs w:val="32"/>
          <w:shd w:val="clear" w:fill="FFFFFF"/>
        </w:rPr>
        <w:t>住房保障</w:t>
      </w:r>
      <w:r>
        <w:rPr>
          <w:rStyle w:val="37"/>
          <w:rFonts w:hint="eastAsia" w:ascii="仿宋_GB2312" w:hAnsi="Times New Roman" w:eastAsia="仿宋_GB2312" w:cs="仿宋_GB2312"/>
          <w:b w:val="0"/>
          <w:bCs/>
          <w:sz w:val="32"/>
          <w:szCs w:val="32"/>
          <w:shd w:val="clear" w:fill="FFFFFF"/>
        </w:rPr>
        <w:t>221（类）02（款）01（项）:支出决算为</w:t>
      </w:r>
      <w:r>
        <w:rPr>
          <w:rStyle w:val="37"/>
          <w:rFonts w:hint="eastAsia" w:ascii="仿宋_GB2312" w:hAnsi="Times New Roman" w:eastAsia="仿宋_GB2312" w:cs="仿宋_GB2312"/>
          <w:b w:val="0"/>
          <w:bCs/>
          <w:sz w:val="32"/>
          <w:szCs w:val="32"/>
          <w:shd w:val="clear" w:fill="FFFFFF"/>
          <w:lang w:val="en-US" w:eastAsia="zh-CN"/>
        </w:rPr>
        <w:t>200.65</w:t>
      </w:r>
      <w:r>
        <w:rPr>
          <w:rStyle w:val="37"/>
          <w:rFonts w:hint="eastAsia" w:ascii="仿宋_GB2312" w:hAnsi="Times New Roman" w:eastAsia="仿宋_GB2312" w:cs="仿宋_GB2312"/>
          <w:b w:val="0"/>
          <w:bCs/>
          <w:sz w:val="32"/>
          <w:szCs w:val="32"/>
          <w:shd w:val="clear" w:fill="FFFFFF"/>
        </w:rPr>
        <w:t>万元，完成预算100%。</w:t>
      </w:r>
    </w:p>
    <w:p w14:paraId="29AAC4EA">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textAlignment w:val="auto"/>
        <w:rPr>
          <w:rStyle w:val="37"/>
          <w:rFonts w:hint="eastAsia" w:ascii="宋体" w:hAnsi="宋体" w:eastAsia="宋体" w:cs="宋体"/>
          <w:b/>
          <w:bCs w:val="0"/>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eastAsia="仿宋_GB2312" w:cs="仿宋_GB2312"/>
          <w:b w:val="0"/>
          <w:bCs/>
          <w:sz w:val="32"/>
          <w:szCs w:val="32"/>
          <w:shd w:val="clear" w:fill="FFFFFF"/>
          <w:lang w:val="en-US" w:eastAsia="zh-CN"/>
        </w:rPr>
        <w:t>6</w:t>
      </w:r>
      <w:r>
        <w:rPr>
          <w:rStyle w:val="37"/>
          <w:rFonts w:hint="eastAsia" w:ascii="仿宋_GB2312" w:hAnsi="Times New Roman" w:eastAsia="仿宋_GB2312" w:cs="仿宋_GB2312"/>
          <w:b w:val="0"/>
          <w:bCs/>
          <w:sz w:val="32"/>
          <w:szCs w:val="32"/>
          <w:shd w:val="clear" w:fill="FFFFFF"/>
        </w:rPr>
        <w:t>.</w:t>
      </w:r>
      <w:r>
        <w:rPr>
          <w:rFonts w:hint="eastAsia" w:ascii="仿宋_GB2312" w:hAnsi="宋体" w:eastAsia="仿宋_GB2312" w:cs="仿宋_GB2312"/>
          <w:b w:val="0"/>
          <w:bCs/>
          <w:kern w:val="0"/>
          <w:sz w:val="32"/>
          <w:szCs w:val="32"/>
          <w:shd w:val="clear" w:fill="FFFFFF"/>
        </w:rPr>
        <w:t xml:space="preserve"> </w:t>
      </w:r>
      <w:r>
        <w:rPr>
          <w:rStyle w:val="37"/>
          <w:rFonts w:hint="eastAsia" w:ascii="仿宋_GB2312" w:hAnsi="Times New Roman" w:eastAsia="仿宋_GB2312" w:cs="仿宋_GB2312"/>
          <w:b w:val="0"/>
          <w:bCs/>
          <w:sz w:val="32"/>
          <w:szCs w:val="32"/>
          <w:shd w:val="clear" w:fill="FFFFFF"/>
        </w:rPr>
        <w:t>住房保障221（类）02（款）03（项）:支出决算为2</w:t>
      </w:r>
      <w:r>
        <w:rPr>
          <w:rStyle w:val="37"/>
          <w:rFonts w:hint="eastAsia" w:ascii="仿宋_GB2312" w:eastAsia="仿宋_GB2312" w:cs="仿宋_GB2312"/>
          <w:b w:val="0"/>
          <w:bCs/>
          <w:sz w:val="32"/>
          <w:szCs w:val="32"/>
          <w:shd w:val="clear" w:fill="FFFFFF"/>
          <w:lang w:val="en-US" w:eastAsia="zh-CN"/>
        </w:rPr>
        <w:t>.4</w:t>
      </w:r>
      <w:r>
        <w:rPr>
          <w:rStyle w:val="37"/>
          <w:rFonts w:hint="eastAsia" w:ascii="仿宋_GB2312" w:hAnsi="Times New Roman" w:eastAsia="仿宋_GB2312" w:cs="仿宋_GB2312"/>
          <w:b w:val="0"/>
          <w:bCs/>
          <w:sz w:val="32"/>
          <w:szCs w:val="32"/>
          <w:shd w:val="clear" w:fill="FFFFFF"/>
        </w:rPr>
        <w:t>万元，完成预算100%。</w:t>
      </w:r>
      <w:r>
        <w:rPr>
          <w:rStyle w:val="37"/>
          <w:rFonts w:hint="eastAsia" w:ascii="宋体" w:hAnsi="宋体" w:eastAsia="宋体" w:cs="宋体"/>
          <w:b/>
          <w:bCs w:val="0"/>
          <w:shd w:val="clear" w:fill="FFFFFF"/>
        </w:rPr>
        <w:t xml:space="preserve">  </w:t>
      </w:r>
    </w:p>
    <w:p w14:paraId="3F0ACDB5">
      <w:pPr>
        <w:keepNext w:val="0"/>
        <w:keepLines w:val="0"/>
        <w:pageBreakBefore w:val="0"/>
        <w:kinsoku/>
        <w:wordWrap/>
        <w:overflowPunct/>
        <w:topLinePunct w:val="0"/>
        <w:autoSpaceDN/>
        <w:bidi w:val="0"/>
        <w:adjustRightInd/>
        <w:snapToGrid/>
        <w:spacing w:beforeAutospacing="0" w:afterAutospacing="0" w:line="600" w:lineRule="exact"/>
        <w:ind w:firstLine="643" w:firstLineChars="200"/>
        <w:textAlignment w:val="auto"/>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1-1表和财决08表，仅罗列本部门涉及的全部功能分类科目，至项级。上述“预算”口径为全年预算数。增减变动原因为决算数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14:paraId="3C32406C">
      <w:pPr>
        <w:spacing w:line="600" w:lineRule="exact"/>
        <w:ind w:firstLine="640"/>
        <w:rPr>
          <w:rFonts w:ascii="仿宋" w:hAnsi="仿宋" w:eastAsia="仿宋"/>
          <w:b/>
          <w:sz w:val="32"/>
          <w:szCs w:val="32"/>
        </w:rPr>
      </w:pPr>
    </w:p>
    <w:p w14:paraId="66CF658C">
      <w:pPr>
        <w:tabs>
          <w:tab w:val="right" w:pos="8306"/>
        </w:tabs>
        <w:spacing w:line="600" w:lineRule="exact"/>
        <w:ind w:firstLine="640"/>
        <w:outlineLvl w:val="1"/>
        <w:rPr>
          <w:rStyle w:val="30"/>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34"/>
      <w:bookmarkEnd w:id="35"/>
      <w:r>
        <w:rPr>
          <w:rStyle w:val="30"/>
          <w:rFonts w:ascii="黑体" w:hAnsi="黑体" w:eastAsia="黑体"/>
          <w:b w:val="0"/>
        </w:rPr>
        <w:tab/>
      </w:r>
    </w:p>
    <w:p w14:paraId="05E7AF74">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sz w:val="32"/>
          <w:szCs w:val="32"/>
        </w:rPr>
        <w:t>4103.8</w:t>
      </w:r>
      <w:r>
        <w:rPr>
          <w:rFonts w:hint="eastAsia" w:ascii="仿宋" w:hAnsi="仿宋" w:eastAsia="仿宋"/>
          <w:sz w:val="32"/>
          <w:szCs w:val="32"/>
        </w:rPr>
        <w:t>万元，其中：</w:t>
      </w:r>
    </w:p>
    <w:p w14:paraId="397B6CAB">
      <w:pPr>
        <w:pStyle w:val="36"/>
        <w:keepNext w:val="0"/>
        <w:keepLines w:val="0"/>
        <w:widowControl w:val="0"/>
        <w:suppressLineNumbers w:val="0"/>
        <w:shd w:val="clear" w:fill="FFFFFF"/>
        <w:wordWrap w:val="0"/>
        <w:autoSpaceDE w:val="0"/>
        <w:autoSpaceDN/>
        <w:spacing w:line="560" w:lineRule="exact"/>
        <w:ind w:left="0" w:firstLine="640" w:firstLineChars="200"/>
        <w:rPr>
          <w:rFonts w:hint="eastAsia" w:ascii="仿宋" w:hAnsi="仿宋" w:eastAsia="仿宋"/>
          <w:sz w:val="32"/>
          <w:szCs w:val="32"/>
        </w:rPr>
      </w:pPr>
      <w:r>
        <w:rPr>
          <w:rFonts w:hint="eastAsia" w:ascii="仿宋" w:hAnsi="仿宋" w:eastAsia="仿宋"/>
          <w:sz w:val="32"/>
          <w:szCs w:val="32"/>
        </w:rPr>
        <w:t>人员经费</w:t>
      </w:r>
      <w:r>
        <w:rPr>
          <w:sz w:val="32"/>
          <w:szCs w:val="32"/>
        </w:rPr>
        <w:t>2727.42</w:t>
      </w:r>
      <w:r>
        <w:rPr>
          <w:rFonts w:hint="eastAsia" w:ascii="仿宋" w:hAnsi="仿宋" w:eastAsia="仿宋"/>
          <w:sz w:val="32"/>
          <w:szCs w:val="32"/>
        </w:rPr>
        <w:t>万元，主要包括：</w:t>
      </w:r>
      <w:r>
        <w:rPr>
          <w:rFonts w:hint="eastAsia" w:ascii="仿宋_GB2312" w:hAnsi="宋体" w:eastAsia="仿宋_GB2312" w:cs="仿宋_GB2312"/>
          <w:kern w:val="0"/>
          <w:sz w:val="32"/>
          <w:szCs w:val="32"/>
          <w:shd w:val="clear" w:fill="FFFFFF"/>
        </w:rPr>
        <w:t>人员经费2,696.47万元，主要包括：基本工资</w:t>
      </w:r>
      <w:r>
        <w:rPr>
          <w:rFonts w:hint="eastAsia" w:ascii="仿宋_GB2312" w:eastAsia="仿宋_GB2312" w:cs="仿宋_GB2312"/>
          <w:kern w:val="0"/>
          <w:sz w:val="32"/>
          <w:szCs w:val="32"/>
          <w:shd w:val="clear" w:fill="FFFFFF"/>
          <w:lang w:val="en-US" w:eastAsia="zh-CN"/>
        </w:rPr>
        <w:t>500.02</w:t>
      </w:r>
      <w:r>
        <w:rPr>
          <w:rFonts w:hint="eastAsia" w:ascii="仿宋_GB2312" w:hAnsi="宋体" w:eastAsia="仿宋_GB2312" w:cs="仿宋_GB2312"/>
          <w:kern w:val="0"/>
          <w:sz w:val="32"/>
          <w:szCs w:val="32"/>
          <w:shd w:val="clear" w:fill="FFFFFF"/>
        </w:rPr>
        <w:t>万元、津贴补贴</w:t>
      </w:r>
      <w:r>
        <w:rPr>
          <w:rFonts w:hint="eastAsia" w:ascii="仿宋_GB2312" w:eastAsia="仿宋_GB2312" w:cs="仿宋_GB2312"/>
          <w:kern w:val="0"/>
          <w:sz w:val="32"/>
          <w:szCs w:val="32"/>
          <w:shd w:val="clear" w:fill="FFFFFF"/>
          <w:lang w:val="en-US" w:eastAsia="zh-CN"/>
        </w:rPr>
        <w:t>765.37</w:t>
      </w:r>
      <w:r>
        <w:rPr>
          <w:rFonts w:hint="eastAsia" w:ascii="仿宋_GB2312" w:hAnsi="宋体" w:eastAsia="仿宋_GB2312" w:cs="仿宋_GB2312"/>
          <w:kern w:val="0"/>
          <w:sz w:val="32"/>
          <w:szCs w:val="32"/>
          <w:shd w:val="clear" w:fill="FFFFFF"/>
        </w:rPr>
        <w:t>万元、奖金</w:t>
      </w:r>
      <w:r>
        <w:rPr>
          <w:rFonts w:hint="eastAsia" w:ascii="仿宋_GB2312" w:eastAsia="仿宋_GB2312" w:cs="仿宋_GB2312"/>
          <w:kern w:val="0"/>
          <w:sz w:val="32"/>
          <w:szCs w:val="32"/>
          <w:shd w:val="clear" w:fill="FFFFFF"/>
          <w:lang w:val="en-US" w:eastAsia="zh-CN"/>
        </w:rPr>
        <w:t>397.49</w:t>
      </w:r>
      <w:r>
        <w:rPr>
          <w:rFonts w:hint="eastAsia" w:ascii="仿宋_GB2312" w:hAnsi="宋体" w:eastAsia="仿宋_GB2312" w:cs="仿宋_GB2312"/>
          <w:kern w:val="0"/>
          <w:sz w:val="32"/>
          <w:szCs w:val="32"/>
          <w:shd w:val="clear" w:fill="FFFFFF"/>
        </w:rPr>
        <w:t>万元、伙食补助费</w:t>
      </w:r>
      <w:r>
        <w:rPr>
          <w:rFonts w:hint="eastAsia" w:ascii="仿宋_GB2312" w:eastAsia="仿宋_GB2312" w:cs="仿宋_GB2312"/>
          <w:kern w:val="0"/>
          <w:sz w:val="32"/>
          <w:szCs w:val="32"/>
          <w:shd w:val="clear" w:fill="FFFFFF"/>
          <w:lang w:val="en-US" w:eastAsia="zh-CN"/>
        </w:rPr>
        <w:t>102.21</w:t>
      </w:r>
      <w:r>
        <w:rPr>
          <w:rFonts w:hint="eastAsia" w:ascii="仿宋_GB2312" w:hAnsi="宋体" w:eastAsia="仿宋_GB2312" w:cs="仿宋_GB2312"/>
          <w:kern w:val="0"/>
          <w:sz w:val="32"/>
          <w:szCs w:val="32"/>
          <w:shd w:val="clear" w:fill="FFFFFF"/>
        </w:rPr>
        <w:t>万元、绩效工资</w:t>
      </w:r>
      <w:r>
        <w:rPr>
          <w:rFonts w:hint="eastAsia" w:ascii="仿宋_GB2312" w:eastAsia="仿宋_GB2312" w:cs="仿宋_GB2312"/>
          <w:kern w:val="0"/>
          <w:sz w:val="32"/>
          <w:szCs w:val="32"/>
          <w:shd w:val="clear" w:fill="FFFFFF"/>
          <w:lang w:val="en-US" w:eastAsia="zh-CN"/>
        </w:rPr>
        <w:t>121.78</w:t>
      </w:r>
      <w:r>
        <w:rPr>
          <w:rFonts w:hint="eastAsia" w:ascii="仿宋_GB2312" w:hAnsi="宋体" w:eastAsia="仿宋_GB2312" w:cs="仿宋_GB2312"/>
          <w:kern w:val="0"/>
          <w:sz w:val="32"/>
          <w:szCs w:val="32"/>
          <w:shd w:val="clear" w:fill="FFFFFF"/>
        </w:rPr>
        <w:t>万元、机关事业单位基本养老保险缴费</w:t>
      </w:r>
      <w:r>
        <w:rPr>
          <w:rFonts w:hint="eastAsia" w:ascii="仿宋_GB2312" w:eastAsia="仿宋_GB2312" w:cs="仿宋_GB2312"/>
          <w:kern w:val="0"/>
          <w:sz w:val="32"/>
          <w:szCs w:val="32"/>
          <w:shd w:val="clear" w:fill="FFFFFF"/>
          <w:lang w:val="en-US" w:eastAsia="zh-CN"/>
        </w:rPr>
        <w:t>243.42</w:t>
      </w:r>
      <w:r>
        <w:rPr>
          <w:rFonts w:hint="eastAsia" w:ascii="仿宋_GB2312" w:hAnsi="宋体" w:eastAsia="仿宋_GB2312" w:cs="仿宋_GB2312"/>
          <w:kern w:val="0"/>
          <w:sz w:val="32"/>
          <w:szCs w:val="32"/>
          <w:shd w:val="clear" w:fill="FFFFFF"/>
        </w:rPr>
        <w:t>万元、职业年金缴费1</w:t>
      </w:r>
      <w:r>
        <w:rPr>
          <w:rFonts w:hint="eastAsia" w:ascii="仿宋_GB2312" w:eastAsia="仿宋_GB2312" w:cs="仿宋_GB2312"/>
          <w:kern w:val="0"/>
          <w:sz w:val="32"/>
          <w:szCs w:val="32"/>
          <w:shd w:val="clear" w:fill="FFFFFF"/>
          <w:lang w:val="en-US" w:eastAsia="zh-CN"/>
        </w:rPr>
        <w:t>22.26</w:t>
      </w:r>
      <w:r>
        <w:rPr>
          <w:rFonts w:hint="eastAsia" w:ascii="仿宋_GB2312" w:hAnsi="宋体" w:eastAsia="仿宋_GB2312" w:cs="仿宋_GB2312"/>
          <w:kern w:val="0"/>
          <w:sz w:val="32"/>
          <w:szCs w:val="32"/>
          <w:shd w:val="clear" w:fill="FFFFFF"/>
        </w:rPr>
        <w:t>万元、职工基本医疗保险缴费</w:t>
      </w:r>
      <w:r>
        <w:rPr>
          <w:rFonts w:hint="eastAsia" w:ascii="仿宋_GB2312" w:eastAsia="仿宋_GB2312" w:cs="仿宋_GB2312"/>
          <w:kern w:val="0"/>
          <w:sz w:val="32"/>
          <w:szCs w:val="32"/>
          <w:shd w:val="clear" w:fill="FFFFFF"/>
          <w:lang w:val="en-US" w:eastAsia="zh-CN"/>
        </w:rPr>
        <w:t>76.81</w:t>
      </w:r>
      <w:r>
        <w:rPr>
          <w:rFonts w:hint="eastAsia" w:ascii="仿宋_GB2312" w:hAnsi="宋体" w:eastAsia="仿宋_GB2312" w:cs="仿宋_GB2312"/>
          <w:kern w:val="0"/>
          <w:sz w:val="32"/>
          <w:szCs w:val="32"/>
          <w:shd w:val="clear" w:fill="FFFFFF"/>
        </w:rPr>
        <w:t>万元、公务员医疗补助缴费</w:t>
      </w:r>
      <w:r>
        <w:rPr>
          <w:rFonts w:hint="eastAsia" w:ascii="仿宋_GB2312" w:eastAsia="仿宋_GB2312" w:cs="仿宋_GB2312"/>
          <w:kern w:val="0"/>
          <w:sz w:val="32"/>
          <w:szCs w:val="32"/>
          <w:shd w:val="clear" w:fill="FFFFFF"/>
          <w:lang w:val="en-US" w:eastAsia="zh-CN"/>
        </w:rPr>
        <w:t>21.85</w:t>
      </w:r>
      <w:r>
        <w:rPr>
          <w:rFonts w:hint="eastAsia" w:ascii="仿宋_GB2312" w:hAnsi="宋体" w:eastAsia="仿宋_GB2312" w:cs="仿宋_GB2312"/>
          <w:kern w:val="0"/>
          <w:sz w:val="32"/>
          <w:szCs w:val="32"/>
          <w:shd w:val="clear" w:fill="FFFFFF"/>
        </w:rPr>
        <w:t>万元、其他社会保障缴费</w:t>
      </w:r>
      <w:r>
        <w:rPr>
          <w:rFonts w:hint="eastAsia" w:ascii="仿宋_GB2312" w:eastAsia="仿宋_GB2312" w:cs="仿宋_GB2312"/>
          <w:kern w:val="0"/>
          <w:sz w:val="32"/>
          <w:szCs w:val="32"/>
          <w:shd w:val="clear" w:fill="FFFFFF"/>
          <w:lang w:val="en-US" w:eastAsia="zh-CN"/>
        </w:rPr>
        <w:t>38.91</w:t>
      </w:r>
      <w:r>
        <w:rPr>
          <w:rFonts w:hint="eastAsia" w:ascii="仿宋_GB2312" w:hAnsi="宋体" w:eastAsia="仿宋_GB2312" w:cs="仿宋_GB2312"/>
          <w:kern w:val="0"/>
          <w:sz w:val="32"/>
          <w:szCs w:val="32"/>
          <w:shd w:val="clear" w:fill="FFFFFF"/>
        </w:rPr>
        <w:t>万元、住房公积金</w:t>
      </w:r>
      <w:r>
        <w:rPr>
          <w:rFonts w:hint="eastAsia" w:ascii="仿宋_GB2312" w:eastAsia="仿宋_GB2312" w:cs="仿宋_GB2312"/>
          <w:kern w:val="0"/>
          <w:sz w:val="32"/>
          <w:szCs w:val="32"/>
          <w:shd w:val="clear" w:fill="FFFFFF"/>
          <w:lang w:val="en-US" w:eastAsia="zh-CN"/>
        </w:rPr>
        <w:t>200.45</w:t>
      </w:r>
      <w:r>
        <w:rPr>
          <w:rFonts w:hint="eastAsia" w:ascii="仿宋_GB2312" w:hAnsi="宋体" w:eastAsia="仿宋_GB2312" w:cs="仿宋_GB2312"/>
          <w:kern w:val="0"/>
          <w:sz w:val="32"/>
          <w:szCs w:val="32"/>
          <w:shd w:val="clear" w:fill="FFFFFF"/>
        </w:rPr>
        <w:t>万元</w:t>
      </w:r>
      <w:r>
        <w:rPr>
          <w:rFonts w:hint="eastAsia" w:ascii="仿宋_GB2312" w:eastAsia="仿宋_GB2312" w:cs="仿宋_GB2312"/>
          <w:kern w:val="0"/>
          <w:sz w:val="32"/>
          <w:szCs w:val="32"/>
          <w:shd w:val="clear" w:fill="FFFFFF"/>
          <w:lang w:eastAsia="zh-CN"/>
        </w:rPr>
        <w:t>、</w:t>
      </w:r>
      <w:r>
        <w:rPr>
          <w:rFonts w:hint="eastAsia" w:ascii="仿宋_GB2312" w:hAnsi="宋体" w:eastAsia="仿宋_GB2312" w:cs="仿宋_GB2312"/>
          <w:kern w:val="0"/>
          <w:sz w:val="32"/>
          <w:szCs w:val="32"/>
          <w:shd w:val="clear" w:fill="FFFFFF"/>
        </w:rPr>
        <w:t>抚恤金</w:t>
      </w:r>
      <w:r>
        <w:rPr>
          <w:rFonts w:hint="eastAsia" w:ascii="仿宋_GB2312" w:eastAsia="仿宋_GB2312" w:cs="仿宋_GB2312"/>
          <w:kern w:val="0"/>
          <w:sz w:val="32"/>
          <w:szCs w:val="32"/>
          <w:shd w:val="clear" w:fill="FFFFFF"/>
          <w:lang w:val="en-US" w:eastAsia="zh-CN"/>
        </w:rPr>
        <w:t>12.04</w:t>
      </w:r>
      <w:r>
        <w:rPr>
          <w:rFonts w:hint="eastAsia" w:ascii="仿宋_GB2312" w:hAnsi="宋体" w:eastAsia="仿宋_GB2312" w:cs="仿宋_GB2312"/>
          <w:kern w:val="0"/>
          <w:sz w:val="32"/>
          <w:szCs w:val="32"/>
          <w:shd w:val="clear" w:fill="FFFFFF"/>
        </w:rPr>
        <w:t>万元、生活补助</w:t>
      </w:r>
      <w:r>
        <w:rPr>
          <w:rFonts w:hint="eastAsia" w:ascii="仿宋_GB2312" w:eastAsia="仿宋_GB2312" w:cs="仿宋_GB2312"/>
          <w:kern w:val="0"/>
          <w:sz w:val="32"/>
          <w:szCs w:val="32"/>
          <w:shd w:val="clear" w:fill="FFFFFF"/>
          <w:lang w:val="en-US" w:eastAsia="zh-CN"/>
        </w:rPr>
        <w:t>124.62</w:t>
      </w:r>
      <w:r>
        <w:rPr>
          <w:rFonts w:hint="eastAsia" w:ascii="仿宋_GB2312" w:hAnsi="宋体" w:eastAsia="仿宋_GB2312" w:cs="仿宋_GB2312"/>
          <w:kern w:val="0"/>
          <w:sz w:val="32"/>
          <w:szCs w:val="32"/>
          <w:shd w:val="clear" w:fill="FFFFFF"/>
        </w:rPr>
        <w:t>万元。</w:t>
      </w:r>
      <w:r>
        <w:rPr>
          <w:rFonts w:hint="eastAsia" w:ascii="仿宋" w:hAnsi="仿宋" w:eastAsia="仿宋"/>
          <w:sz w:val="32"/>
          <w:szCs w:val="32"/>
        </w:rPr>
        <w:t>　</w:t>
      </w:r>
    </w:p>
    <w:p w14:paraId="246995FA">
      <w:pPr>
        <w:pStyle w:val="36"/>
        <w:keepNext w:val="0"/>
        <w:keepLines w:val="0"/>
        <w:widowControl w:val="0"/>
        <w:suppressLineNumbers w:val="0"/>
        <w:shd w:val="clear" w:fill="FFFFFF"/>
        <w:wordWrap w:val="0"/>
        <w:autoSpaceDE w:val="0"/>
        <w:autoSpaceDN/>
        <w:spacing w:line="560" w:lineRule="exact"/>
        <w:ind w:left="0" w:firstLine="640" w:firstLineChars="200"/>
        <w:rPr>
          <w:rFonts w:ascii="仿宋" w:hAnsi="仿宋" w:eastAsia="仿宋"/>
          <w:sz w:val="32"/>
          <w:szCs w:val="32"/>
        </w:rPr>
      </w:pPr>
      <w:r>
        <w:rPr>
          <w:rFonts w:hint="eastAsia" w:ascii="仿宋" w:hAnsi="仿宋" w:eastAsia="仿宋"/>
          <w:sz w:val="32"/>
          <w:szCs w:val="32"/>
        </w:rPr>
        <w:t>　公用经费</w:t>
      </w:r>
      <w:r>
        <w:rPr>
          <w:sz w:val="32"/>
          <w:szCs w:val="32"/>
        </w:rPr>
        <w:t>1376.37</w:t>
      </w:r>
      <w:r>
        <w:rPr>
          <w:rFonts w:hint="eastAsia" w:ascii="仿宋" w:hAnsi="仿宋" w:eastAsia="仿宋"/>
          <w:sz w:val="32"/>
          <w:szCs w:val="32"/>
        </w:rPr>
        <w:t>万元，主要包括：办公费</w:t>
      </w:r>
      <w:r>
        <w:rPr>
          <w:rFonts w:hint="eastAsia" w:ascii="仿宋" w:hAnsi="仿宋" w:eastAsia="仿宋"/>
          <w:sz w:val="32"/>
          <w:szCs w:val="32"/>
          <w:lang w:val="en-US" w:eastAsia="zh-CN"/>
        </w:rPr>
        <w:t>30.63</w:t>
      </w:r>
      <w:r>
        <w:rPr>
          <w:rFonts w:hint="eastAsia" w:ascii="仿宋" w:hAnsi="仿宋" w:eastAsia="仿宋"/>
          <w:sz w:val="32"/>
          <w:szCs w:val="32"/>
          <w:lang w:eastAsia="zh-CN"/>
        </w:rPr>
        <w:t>万元</w:t>
      </w:r>
      <w:r>
        <w:rPr>
          <w:rFonts w:hint="eastAsia" w:ascii="仿宋" w:hAnsi="仿宋" w:eastAsia="仿宋"/>
          <w:sz w:val="32"/>
          <w:szCs w:val="32"/>
        </w:rPr>
        <w:t>、咨询费</w:t>
      </w:r>
      <w:r>
        <w:rPr>
          <w:rFonts w:hint="eastAsia" w:ascii="仿宋" w:hAnsi="仿宋" w:eastAsia="仿宋"/>
          <w:sz w:val="32"/>
          <w:szCs w:val="32"/>
          <w:lang w:val="en-US" w:eastAsia="zh-CN"/>
        </w:rPr>
        <w:t>0.8</w:t>
      </w:r>
      <w:r>
        <w:rPr>
          <w:rFonts w:hint="eastAsia" w:ascii="仿宋" w:hAnsi="仿宋" w:eastAsia="仿宋"/>
          <w:sz w:val="32"/>
          <w:szCs w:val="32"/>
          <w:lang w:eastAsia="zh-CN"/>
        </w:rPr>
        <w:t>万元</w:t>
      </w:r>
      <w:r>
        <w:rPr>
          <w:rFonts w:hint="eastAsia" w:ascii="仿宋" w:hAnsi="仿宋" w:eastAsia="仿宋"/>
          <w:sz w:val="32"/>
          <w:szCs w:val="32"/>
        </w:rPr>
        <w:t>、水费</w:t>
      </w:r>
      <w:r>
        <w:rPr>
          <w:rFonts w:hint="eastAsia" w:ascii="仿宋" w:hAnsi="仿宋" w:eastAsia="仿宋"/>
          <w:sz w:val="32"/>
          <w:szCs w:val="32"/>
          <w:lang w:val="en-US" w:eastAsia="zh-CN"/>
        </w:rPr>
        <w:t>1.29</w:t>
      </w:r>
      <w:r>
        <w:rPr>
          <w:rFonts w:hint="eastAsia" w:ascii="仿宋" w:hAnsi="仿宋" w:eastAsia="仿宋"/>
          <w:sz w:val="32"/>
          <w:szCs w:val="32"/>
          <w:lang w:eastAsia="zh-CN"/>
        </w:rPr>
        <w:t>万元</w:t>
      </w:r>
      <w:r>
        <w:rPr>
          <w:rFonts w:hint="eastAsia" w:ascii="仿宋" w:hAnsi="仿宋" w:eastAsia="仿宋"/>
          <w:sz w:val="32"/>
          <w:szCs w:val="32"/>
        </w:rPr>
        <w:t>、电费</w:t>
      </w:r>
      <w:r>
        <w:rPr>
          <w:rFonts w:hint="eastAsia" w:ascii="仿宋" w:hAnsi="仿宋" w:eastAsia="仿宋"/>
          <w:sz w:val="32"/>
          <w:szCs w:val="32"/>
          <w:lang w:val="en-US" w:eastAsia="zh-CN"/>
        </w:rPr>
        <w:t>30.38</w:t>
      </w:r>
      <w:r>
        <w:rPr>
          <w:rFonts w:hint="eastAsia" w:ascii="仿宋" w:hAnsi="仿宋" w:eastAsia="仿宋"/>
          <w:sz w:val="32"/>
          <w:szCs w:val="32"/>
          <w:lang w:eastAsia="zh-CN"/>
        </w:rPr>
        <w:t>万元</w:t>
      </w:r>
      <w:r>
        <w:rPr>
          <w:rFonts w:hint="eastAsia" w:ascii="仿宋" w:hAnsi="仿宋" w:eastAsia="仿宋"/>
          <w:sz w:val="32"/>
          <w:szCs w:val="32"/>
        </w:rPr>
        <w:t>、邮电费</w:t>
      </w:r>
      <w:r>
        <w:rPr>
          <w:rFonts w:hint="eastAsia" w:ascii="仿宋" w:hAnsi="仿宋" w:eastAsia="仿宋"/>
          <w:sz w:val="32"/>
          <w:szCs w:val="32"/>
          <w:lang w:val="en-US" w:eastAsia="zh-CN"/>
        </w:rPr>
        <w:t>53.07</w:t>
      </w:r>
      <w:r>
        <w:rPr>
          <w:rFonts w:hint="eastAsia" w:ascii="仿宋" w:hAnsi="仿宋" w:eastAsia="仿宋"/>
          <w:sz w:val="32"/>
          <w:szCs w:val="32"/>
          <w:lang w:eastAsia="zh-CN"/>
        </w:rPr>
        <w:t>万元</w:t>
      </w:r>
      <w:r>
        <w:rPr>
          <w:rFonts w:hint="eastAsia" w:ascii="仿宋" w:hAnsi="仿宋" w:eastAsia="仿宋"/>
          <w:sz w:val="32"/>
          <w:szCs w:val="32"/>
        </w:rPr>
        <w:t>、物业管理费</w:t>
      </w:r>
      <w:r>
        <w:rPr>
          <w:rFonts w:hint="eastAsia" w:ascii="仿宋" w:hAnsi="仿宋" w:eastAsia="仿宋"/>
          <w:sz w:val="32"/>
          <w:szCs w:val="32"/>
          <w:lang w:val="en-US" w:eastAsia="zh-CN"/>
        </w:rPr>
        <w:t>15.19</w:t>
      </w:r>
      <w:r>
        <w:rPr>
          <w:rFonts w:hint="eastAsia" w:ascii="仿宋" w:hAnsi="仿宋" w:eastAsia="仿宋"/>
          <w:sz w:val="32"/>
          <w:szCs w:val="32"/>
          <w:lang w:eastAsia="zh-CN"/>
        </w:rPr>
        <w:t>万元</w:t>
      </w:r>
      <w:r>
        <w:rPr>
          <w:rFonts w:hint="eastAsia" w:ascii="仿宋" w:hAnsi="仿宋" w:eastAsia="仿宋"/>
          <w:sz w:val="32"/>
          <w:szCs w:val="32"/>
        </w:rPr>
        <w:t>、差旅费</w:t>
      </w:r>
      <w:r>
        <w:rPr>
          <w:rFonts w:hint="eastAsia" w:ascii="仿宋" w:hAnsi="仿宋" w:eastAsia="仿宋"/>
          <w:sz w:val="32"/>
          <w:szCs w:val="32"/>
          <w:lang w:val="en-US" w:eastAsia="zh-CN"/>
        </w:rPr>
        <w:t>110.59</w:t>
      </w:r>
      <w:r>
        <w:rPr>
          <w:rFonts w:hint="eastAsia" w:ascii="仿宋" w:hAnsi="仿宋" w:eastAsia="仿宋"/>
          <w:sz w:val="32"/>
          <w:szCs w:val="32"/>
          <w:lang w:eastAsia="zh-CN"/>
        </w:rPr>
        <w:t>万元</w:t>
      </w:r>
      <w:r>
        <w:rPr>
          <w:rFonts w:hint="eastAsia" w:ascii="仿宋" w:hAnsi="仿宋" w:eastAsia="仿宋"/>
          <w:sz w:val="32"/>
          <w:szCs w:val="32"/>
        </w:rPr>
        <w:t>、维修（护）费</w:t>
      </w:r>
      <w:r>
        <w:rPr>
          <w:rFonts w:hint="eastAsia" w:ascii="仿宋" w:hAnsi="仿宋" w:eastAsia="仿宋"/>
          <w:sz w:val="32"/>
          <w:szCs w:val="32"/>
          <w:lang w:val="en-US" w:eastAsia="zh-CN"/>
        </w:rPr>
        <w:t>196.2</w:t>
      </w:r>
      <w:r>
        <w:rPr>
          <w:rFonts w:hint="eastAsia" w:ascii="仿宋" w:hAnsi="仿宋" w:eastAsia="仿宋"/>
          <w:sz w:val="32"/>
          <w:szCs w:val="32"/>
          <w:lang w:eastAsia="zh-CN"/>
        </w:rPr>
        <w:t>万元</w:t>
      </w:r>
      <w:r>
        <w:rPr>
          <w:rFonts w:hint="eastAsia" w:ascii="仿宋" w:hAnsi="仿宋" w:eastAsia="仿宋"/>
          <w:sz w:val="32"/>
          <w:szCs w:val="32"/>
        </w:rPr>
        <w:t>、培训费</w:t>
      </w:r>
      <w:r>
        <w:rPr>
          <w:rFonts w:hint="eastAsia" w:ascii="仿宋" w:hAnsi="仿宋" w:eastAsia="仿宋"/>
          <w:sz w:val="32"/>
          <w:szCs w:val="32"/>
          <w:lang w:val="en-US" w:eastAsia="zh-CN"/>
        </w:rPr>
        <w:t>9.07</w:t>
      </w:r>
      <w:r>
        <w:rPr>
          <w:rFonts w:hint="eastAsia" w:ascii="仿宋" w:hAnsi="仿宋" w:eastAsia="仿宋"/>
          <w:sz w:val="32"/>
          <w:szCs w:val="32"/>
          <w:lang w:eastAsia="zh-CN"/>
        </w:rPr>
        <w:t>万元</w:t>
      </w:r>
      <w:r>
        <w:rPr>
          <w:rFonts w:hint="eastAsia" w:ascii="仿宋" w:hAnsi="仿宋" w:eastAsia="仿宋"/>
          <w:sz w:val="32"/>
          <w:szCs w:val="32"/>
        </w:rPr>
        <w:t>、公务接待费</w:t>
      </w:r>
      <w:r>
        <w:rPr>
          <w:rFonts w:hint="eastAsia" w:ascii="仿宋" w:hAnsi="仿宋" w:eastAsia="仿宋"/>
          <w:sz w:val="32"/>
          <w:szCs w:val="32"/>
          <w:lang w:val="en-US" w:eastAsia="zh-CN"/>
        </w:rPr>
        <w:t>0.31</w:t>
      </w:r>
      <w:r>
        <w:rPr>
          <w:rFonts w:hint="eastAsia" w:ascii="仿宋" w:hAnsi="仿宋" w:eastAsia="仿宋"/>
          <w:sz w:val="32"/>
          <w:szCs w:val="32"/>
          <w:lang w:eastAsia="zh-CN"/>
        </w:rPr>
        <w:t>万元</w:t>
      </w:r>
      <w:r>
        <w:rPr>
          <w:rFonts w:hint="eastAsia" w:ascii="仿宋" w:hAnsi="仿宋" w:eastAsia="仿宋"/>
          <w:sz w:val="32"/>
          <w:szCs w:val="32"/>
        </w:rPr>
        <w:t>、</w:t>
      </w:r>
      <w:r>
        <w:rPr>
          <w:rFonts w:hint="eastAsia" w:ascii="仿宋" w:hAnsi="仿宋" w:eastAsia="仿宋"/>
          <w:sz w:val="32"/>
          <w:szCs w:val="32"/>
          <w:lang w:eastAsia="zh-CN"/>
        </w:rPr>
        <w:t>专用材料费</w:t>
      </w:r>
      <w:r>
        <w:rPr>
          <w:rFonts w:hint="eastAsia" w:ascii="仿宋" w:hAnsi="仿宋" w:eastAsia="仿宋"/>
          <w:sz w:val="32"/>
          <w:szCs w:val="32"/>
          <w:lang w:val="en-US" w:eastAsia="zh-CN"/>
        </w:rPr>
        <w:t>42.74</w:t>
      </w:r>
      <w:r>
        <w:rPr>
          <w:rFonts w:hint="eastAsia" w:ascii="仿宋" w:hAnsi="仿宋" w:eastAsia="仿宋"/>
          <w:sz w:val="32"/>
          <w:szCs w:val="32"/>
          <w:lang w:eastAsia="zh-CN"/>
        </w:rPr>
        <w:t>万元</w:t>
      </w:r>
      <w:r>
        <w:rPr>
          <w:rFonts w:hint="eastAsia" w:ascii="仿宋" w:hAnsi="仿宋" w:eastAsia="仿宋"/>
          <w:sz w:val="32"/>
          <w:szCs w:val="32"/>
          <w:lang w:val="en-US" w:eastAsia="zh-CN"/>
        </w:rPr>
        <w:t>，专用燃料费27.57万元，</w:t>
      </w:r>
      <w:r>
        <w:rPr>
          <w:rFonts w:hint="eastAsia" w:ascii="仿宋" w:hAnsi="仿宋" w:eastAsia="仿宋"/>
          <w:sz w:val="32"/>
          <w:szCs w:val="32"/>
        </w:rPr>
        <w:t>劳务费</w:t>
      </w:r>
      <w:r>
        <w:rPr>
          <w:rFonts w:hint="eastAsia" w:ascii="仿宋" w:hAnsi="仿宋" w:eastAsia="仿宋"/>
          <w:sz w:val="32"/>
          <w:szCs w:val="32"/>
          <w:lang w:val="en-US" w:eastAsia="zh-CN"/>
        </w:rPr>
        <w:t>327.44</w:t>
      </w:r>
      <w:r>
        <w:rPr>
          <w:rFonts w:hint="eastAsia" w:ascii="仿宋" w:hAnsi="仿宋" w:eastAsia="仿宋"/>
          <w:sz w:val="32"/>
          <w:szCs w:val="32"/>
          <w:lang w:eastAsia="zh-CN"/>
        </w:rPr>
        <w:t>万元</w:t>
      </w:r>
      <w:r>
        <w:rPr>
          <w:rFonts w:hint="eastAsia" w:ascii="仿宋" w:hAnsi="仿宋" w:eastAsia="仿宋"/>
          <w:sz w:val="32"/>
          <w:szCs w:val="32"/>
        </w:rPr>
        <w:t>、福利费</w:t>
      </w:r>
      <w:r>
        <w:rPr>
          <w:rFonts w:hint="eastAsia" w:ascii="仿宋" w:hAnsi="仿宋" w:eastAsia="仿宋"/>
          <w:sz w:val="32"/>
          <w:szCs w:val="32"/>
          <w:lang w:val="en-US" w:eastAsia="zh-CN"/>
        </w:rPr>
        <w:t>47.40</w:t>
      </w:r>
      <w:r>
        <w:rPr>
          <w:rFonts w:hint="eastAsia" w:ascii="仿宋" w:hAnsi="仿宋" w:eastAsia="仿宋"/>
          <w:sz w:val="32"/>
          <w:szCs w:val="32"/>
          <w:lang w:eastAsia="zh-CN"/>
        </w:rPr>
        <w:t>万元</w:t>
      </w:r>
      <w:r>
        <w:rPr>
          <w:rFonts w:hint="eastAsia" w:ascii="仿宋" w:hAnsi="仿宋" w:eastAsia="仿宋"/>
          <w:sz w:val="32"/>
          <w:szCs w:val="32"/>
        </w:rPr>
        <w:t>、公务用车运行维护费</w:t>
      </w:r>
      <w:r>
        <w:rPr>
          <w:rFonts w:hint="eastAsia" w:ascii="仿宋" w:hAnsi="仿宋" w:eastAsia="仿宋"/>
          <w:sz w:val="32"/>
          <w:szCs w:val="32"/>
          <w:lang w:val="en-US" w:eastAsia="zh-CN"/>
        </w:rPr>
        <w:t>63.73</w:t>
      </w:r>
      <w:r>
        <w:rPr>
          <w:rFonts w:hint="eastAsia" w:ascii="仿宋" w:hAnsi="仿宋" w:eastAsia="仿宋"/>
          <w:sz w:val="32"/>
          <w:szCs w:val="32"/>
          <w:lang w:eastAsia="zh-CN"/>
        </w:rPr>
        <w:t>万元</w:t>
      </w:r>
      <w:r>
        <w:rPr>
          <w:rFonts w:hint="eastAsia" w:ascii="仿宋" w:hAnsi="仿宋" w:eastAsia="仿宋"/>
          <w:sz w:val="32"/>
          <w:szCs w:val="32"/>
        </w:rPr>
        <w:t>、其他交通费</w:t>
      </w:r>
      <w:r>
        <w:rPr>
          <w:rFonts w:hint="eastAsia" w:ascii="仿宋" w:hAnsi="仿宋" w:eastAsia="仿宋"/>
          <w:sz w:val="32"/>
          <w:szCs w:val="32"/>
          <w:lang w:val="en-US" w:eastAsia="zh-CN"/>
        </w:rPr>
        <w:t>21.99</w:t>
      </w:r>
      <w:r>
        <w:rPr>
          <w:rFonts w:hint="eastAsia" w:ascii="仿宋" w:hAnsi="仿宋" w:eastAsia="仿宋"/>
          <w:sz w:val="32"/>
          <w:szCs w:val="32"/>
          <w:lang w:eastAsia="zh-CN"/>
        </w:rPr>
        <w:t>万元</w:t>
      </w:r>
      <w:r>
        <w:rPr>
          <w:rFonts w:hint="eastAsia" w:ascii="仿宋" w:hAnsi="仿宋" w:eastAsia="仿宋"/>
          <w:sz w:val="32"/>
          <w:szCs w:val="32"/>
        </w:rPr>
        <w:t>、税金及附加费用</w:t>
      </w:r>
      <w:r>
        <w:rPr>
          <w:rFonts w:hint="eastAsia" w:ascii="仿宋" w:hAnsi="仿宋" w:eastAsia="仿宋"/>
          <w:sz w:val="32"/>
          <w:szCs w:val="32"/>
          <w:lang w:val="en-US" w:eastAsia="zh-CN"/>
        </w:rPr>
        <w:t>397.96</w:t>
      </w:r>
      <w:r>
        <w:rPr>
          <w:rFonts w:hint="eastAsia" w:ascii="仿宋" w:hAnsi="仿宋" w:eastAsia="仿宋"/>
          <w:sz w:val="32"/>
          <w:szCs w:val="32"/>
          <w:lang w:eastAsia="zh-CN"/>
        </w:rPr>
        <w:t>万元</w:t>
      </w:r>
      <w:r>
        <w:rPr>
          <w:rFonts w:hint="eastAsia" w:ascii="仿宋" w:hAnsi="仿宋" w:eastAsia="仿宋"/>
          <w:sz w:val="32"/>
          <w:szCs w:val="32"/>
        </w:rPr>
        <w:t>。</w:t>
      </w:r>
    </w:p>
    <w:p w14:paraId="5DB9C1F9">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7表和财决08-1表，仅罗列本部门实际支出涉及的经济分类科目。）</w:t>
      </w:r>
    </w:p>
    <w:p w14:paraId="2D0CFB2A">
      <w:pPr>
        <w:spacing w:line="600" w:lineRule="exact"/>
        <w:ind w:firstLine="640"/>
        <w:rPr>
          <w:rFonts w:ascii="仿宋" w:hAnsi="仿宋" w:eastAsia="仿宋"/>
          <w:b/>
          <w:sz w:val="32"/>
          <w:szCs w:val="32"/>
        </w:rPr>
      </w:pPr>
    </w:p>
    <w:p w14:paraId="5352B104">
      <w:pPr>
        <w:spacing w:line="600" w:lineRule="exact"/>
        <w:ind w:firstLine="640"/>
        <w:outlineLvl w:val="1"/>
        <w:rPr>
          <w:rStyle w:val="30"/>
          <w:rFonts w:ascii="黑体" w:hAnsi="黑体" w:eastAsia="黑体"/>
          <w:b w:val="0"/>
        </w:rPr>
      </w:pPr>
      <w:bookmarkStart w:id="36" w:name="_Toc15396609"/>
      <w:bookmarkStart w:id="37" w:name="_Toc15377215"/>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36"/>
      <w:bookmarkEnd w:id="37"/>
    </w:p>
    <w:p w14:paraId="27B6B972">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72F48E12">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sz w:val="32"/>
          <w:szCs w:val="32"/>
        </w:rPr>
        <w:t>86.99</w:t>
      </w:r>
      <w:r>
        <w:rPr>
          <w:rFonts w:hint="eastAsia" w:ascii="仿宋" w:hAnsi="仿宋" w:eastAsia="仿宋"/>
          <w:sz w:val="32"/>
          <w:szCs w:val="32"/>
        </w:rPr>
        <w:t>万元，完成预算</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，较上年度减少</w:t>
      </w:r>
      <w:r>
        <w:rPr>
          <w:rFonts w:hint="eastAsia" w:ascii="仿宋" w:hAnsi="仿宋" w:eastAsia="仿宋"/>
          <w:sz w:val="32"/>
          <w:szCs w:val="32"/>
          <w:lang w:val="en-US" w:eastAsia="zh-CN"/>
        </w:rPr>
        <w:t>15.05</w:t>
      </w:r>
      <w:r>
        <w:rPr>
          <w:rFonts w:hint="eastAsia" w:ascii="仿宋" w:hAnsi="仿宋" w:eastAsia="仿宋"/>
          <w:sz w:val="32"/>
          <w:szCs w:val="32"/>
        </w:rPr>
        <w:t>万元，下降</w:t>
      </w:r>
      <w:r>
        <w:rPr>
          <w:rFonts w:hint="eastAsia" w:ascii="仿宋" w:hAnsi="仿宋" w:eastAsia="仿宋"/>
          <w:sz w:val="32"/>
          <w:szCs w:val="32"/>
          <w:lang w:val="en-US" w:eastAsia="zh-CN"/>
        </w:rPr>
        <w:t>14.75</w:t>
      </w:r>
      <w:r>
        <w:rPr>
          <w:rFonts w:hint="eastAsia" w:ascii="仿宋" w:hAnsi="仿宋" w:eastAsia="仿宋"/>
          <w:sz w:val="32"/>
          <w:szCs w:val="32"/>
        </w:rPr>
        <w:t>%。决算数</w:t>
      </w:r>
      <w:r>
        <w:rPr>
          <w:rFonts w:hint="eastAsia" w:ascii="仿宋" w:hAnsi="仿宋" w:eastAsia="仿宋"/>
          <w:sz w:val="32"/>
          <w:szCs w:val="32"/>
          <w:lang w:eastAsia="zh-CN"/>
        </w:rPr>
        <w:t>与</w:t>
      </w:r>
      <w:r>
        <w:rPr>
          <w:rFonts w:hint="eastAsia" w:ascii="仿宋" w:hAnsi="仿宋" w:eastAsia="仿宋"/>
          <w:sz w:val="32"/>
          <w:szCs w:val="32"/>
        </w:rPr>
        <w:t>预算数持平。</w:t>
      </w:r>
    </w:p>
    <w:p w14:paraId="760BBCE6">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14:paraId="1B28EAE6">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7258A807">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sz w:val="32"/>
          <w:szCs w:val="32"/>
        </w:rPr>
        <w:t>86.67</w:t>
      </w:r>
      <w:r>
        <w:rPr>
          <w:rFonts w:hint="eastAsia" w:ascii="仿宋" w:hAnsi="仿宋" w:eastAsia="仿宋"/>
          <w:sz w:val="32"/>
          <w:szCs w:val="32"/>
        </w:rPr>
        <w:t>万元，占</w:t>
      </w:r>
      <w:r>
        <w:rPr>
          <w:sz w:val="32"/>
          <w:szCs w:val="32"/>
        </w:rPr>
        <w:t>99.64</w:t>
      </w:r>
      <w:r>
        <w:rPr>
          <w:rFonts w:ascii="仿宋" w:hAnsi="仿宋" w:eastAsia="仿宋"/>
          <w:sz w:val="32"/>
          <w:szCs w:val="32"/>
        </w:rPr>
        <w:t>%</w:t>
      </w:r>
      <w:r>
        <w:rPr>
          <w:rFonts w:hint="eastAsia" w:ascii="仿宋" w:hAnsi="仿宋" w:eastAsia="仿宋"/>
          <w:sz w:val="32"/>
          <w:szCs w:val="32"/>
        </w:rPr>
        <w:t>；公务接待费支出决算</w:t>
      </w:r>
      <w:r>
        <w:rPr>
          <w:sz w:val="32"/>
          <w:szCs w:val="32"/>
        </w:rPr>
        <w:t>0.31</w:t>
      </w:r>
      <w:r>
        <w:rPr>
          <w:rFonts w:hint="eastAsia" w:ascii="仿宋" w:hAnsi="仿宋" w:eastAsia="仿宋"/>
          <w:sz w:val="32"/>
          <w:szCs w:val="32"/>
        </w:rPr>
        <w:t>万元，占</w:t>
      </w:r>
      <w:r>
        <w:rPr>
          <w:sz w:val="32"/>
          <w:szCs w:val="32"/>
        </w:rPr>
        <w:t>0.35</w:t>
      </w:r>
      <w:r>
        <w:rPr>
          <w:rFonts w:ascii="仿宋" w:hAnsi="仿宋" w:eastAsia="仿宋"/>
          <w:sz w:val="32"/>
          <w:szCs w:val="32"/>
        </w:rPr>
        <w:t>%</w:t>
      </w:r>
      <w:r>
        <w:rPr>
          <w:rFonts w:hint="eastAsia" w:ascii="仿宋" w:hAnsi="仿宋" w:eastAsia="仿宋"/>
          <w:sz w:val="32"/>
          <w:szCs w:val="32"/>
        </w:rPr>
        <w:t>。具体情况如下：</w:t>
      </w:r>
    </w:p>
    <w:p w14:paraId="643B9C95">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（图7：“三公”经费财政拨款支出结构）（饼状图）</w:t>
      </w:r>
    </w:p>
    <w:p w14:paraId="4D469ABB">
      <w:pPr>
        <w:spacing w:line="600" w:lineRule="exact"/>
        <w:ind w:firstLine="640"/>
        <w:rPr>
          <w:rFonts w:hint="eastAsia" w:ascii="仿宋" w:hAnsi="仿宋" w:eastAsia="仿宋"/>
          <w:sz w:val="32"/>
          <w:szCs w:val="32"/>
        </w:rPr>
      </w:pPr>
    </w:p>
    <w:p w14:paraId="0660E870">
      <w:pPr>
        <w:spacing w:line="600" w:lineRule="exact"/>
        <w:ind w:firstLine="640"/>
        <w:rPr>
          <w:rFonts w:ascii="仿宋_GB2312" w:eastAsia="仿宋_GB2312"/>
          <w:b/>
          <w:sz w:val="32"/>
          <w:szCs w:val="32"/>
        </w:rPr>
      </w:pPr>
    </w:p>
    <w:p w14:paraId="5913C4A2">
      <w:pPr>
        <w:spacing w:line="600" w:lineRule="exact"/>
        <w:ind w:firstLine="640"/>
        <w:rPr>
          <w:rFonts w:ascii="仿宋_GB2312" w:eastAsia="仿宋_GB2312"/>
          <w:b/>
          <w:sz w:val="32"/>
          <w:szCs w:val="32"/>
        </w:rPr>
      </w:pPr>
    </w:p>
    <w:p w14:paraId="28DDEDA2">
      <w:pPr>
        <w:spacing w:line="600" w:lineRule="exact"/>
        <w:ind w:firstLine="640"/>
        <w:rPr>
          <w:rFonts w:hint="eastAsia" w:ascii="仿宋_GB2312" w:eastAsia="仿宋_GB2312"/>
          <w:b/>
          <w:sz w:val="32"/>
          <w:szCs w:val="32"/>
          <w:lang w:eastAsia="zh-CN"/>
        </w:rPr>
      </w:pPr>
      <w:r>
        <w:rPr>
          <w:rFonts w:hint="eastAsia" w:ascii="仿宋_GB2312" w:eastAsia="仿宋_GB2312"/>
          <w:b/>
          <w:sz w:val="32"/>
          <w:szCs w:val="32"/>
          <w:lang w:eastAsia="zh-CN"/>
        </w:rPr>
        <w:drawing>
          <wp:anchor distT="0" distB="0" distL="114300" distR="114300" simplePos="0" relativeHeight="251665408" behindDoc="0" locked="0" layoutInCell="1" allowOverlap="1">
            <wp:simplePos x="0" y="0"/>
            <wp:positionH relativeFrom="column">
              <wp:posOffset>97155</wp:posOffset>
            </wp:positionH>
            <wp:positionV relativeFrom="paragraph">
              <wp:posOffset>126365</wp:posOffset>
            </wp:positionV>
            <wp:extent cx="4932680" cy="2379345"/>
            <wp:effectExtent l="4445" t="4445" r="15875" b="889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12A1C7D2">
      <w:pPr>
        <w:spacing w:line="600" w:lineRule="exact"/>
        <w:ind w:firstLine="640"/>
        <w:rPr>
          <w:rFonts w:ascii="仿宋_GB2312" w:eastAsia="仿宋_GB2312"/>
          <w:b/>
          <w:sz w:val="32"/>
          <w:szCs w:val="32"/>
        </w:rPr>
      </w:pPr>
    </w:p>
    <w:p w14:paraId="4AB45B71">
      <w:pPr>
        <w:spacing w:line="600" w:lineRule="exact"/>
        <w:ind w:firstLine="640"/>
        <w:rPr>
          <w:rFonts w:ascii="仿宋_GB2312" w:eastAsia="仿宋_GB2312"/>
          <w:b/>
          <w:sz w:val="32"/>
          <w:szCs w:val="32"/>
        </w:rPr>
      </w:pPr>
    </w:p>
    <w:p w14:paraId="2CBE94E4">
      <w:pPr>
        <w:spacing w:line="600" w:lineRule="exact"/>
        <w:ind w:firstLine="640"/>
        <w:rPr>
          <w:rFonts w:ascii="仿宋_GB2312" w:eastAsia="仿宋_GB2312"/>
          <w:b/>
          <w:sz w:val="32"/>
          <w:szCs w:val="32"/>
        </w:rPr>
      </w:pPr>
    </w:p>
    <w:p w14:paraId="1FD77126">
      <w:pPr>
        <w:spacing w:line="600" w:lineRule="exact"/>
        <w:ind w:firstLine="640"/>
        <w:rPr>
          <w:rFonts w:ascii="仿宋_GB2312" w:eastAsia="仿宋_GB2312"/>
          <w:b/>
          <w:sz w:val="32"/>
          <w:szCs w:val="32"/>
        </w:rPr>
      </w:pPr>
    </w:p>
    <w:p w14:paraId="2B0498C2">
      <w:pPr>
        <w:spacing w:line="600" w:lineRule="exact"/>
        <w:ind w:firstLine="640"/>
        <w:rPr>
          <w:rFonts w:ascii="仿宋_GB2312" w:eastAsia="仿宋_GB2312"/>
          <w:b/>
          <w:sz w:val="32"/>
          <w:szCs w:val="32"/>
        </w:rPr>
      </w:pPr>
    </w:p>
    <w:p w14:paraId="6B01C7A8">
      <w:pPr>
        <w:spacing w:line="600" w:lineRule="exact"/>
        <w:ind w:firstLine="640"/>
        <w:rPr>
          <w:rFonts w:ascii="仿宋_GB2312" w:eastAsia="仿宋_GB2312"/>
          <w:b/>
          <w:sz w:val="32"/>
          <w:szCs w:val="32"/>
        </w:rPr>
      </w:pPr>
    </w:p>
    <w:p w14:paraId="672A21DA">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sz w:val="32"/>
          <w:szCs w:val="32"/>
        </w:rPr>
        <w:t>0</w:t>
      </w:r>
      <w:r>
        <w:rPr>
          <w:rFonts w:hint="eastAsia" w:ascii="仿宋_GB2312" w:eastAsia="仿宋_GB2312"/>
          <w:sz w:val="32"/>
          <w:szCs w:val="32"/>
        </w:rPr>
        <w:t>次，出国（境）</w:t>
      </w:r>
      <w:r>
        <w:rPr>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ascii="仿宋_GB2312" w:eastAsia="仿宋_GB2312"/>
          <w:sz w:val="32"/>
          <w:szCs w:val="32"/>
        </w:rPr>
        <w:t>**</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ascii="仿宋_GB2312" w:eastAsia="仿宋_GB2312"/>
          <w:sz w:val="32"/>
          <w:szCs w:val="32"/>
        </w:rPr>
        <w:t>**%</w:t>
      </w:r>
      <w:r>
        <w:rPr>
          <w:rFonts w:hint="eastAsia" w:ascii="仿宋_GB2312" w:eastAsia="仿宋_GB2312"/>
          <w:sz w:val="32"/>
          <w:szCs w:val="32"/>
        </w:rPr>
        <w:t>。主要原因是……。</w:t>
      </w:r>
    </w:p>
    <w:p w14:paraId="52A79D04">
      <w:pPr>
        <w:spacing w:line="600" w:lineRule="exact"/>
        <w:ind w:firstLine="640"/>
        <w:rPr>
          <w:rFonts w:ascii="仿宋_GB2312" w:eastAsia="仿宋_GB2312"/>
          <w:sz w:val="32"/>
          <w:szCs w:val="32"/>
        </w:rPr>
      </w:pPr>
      <w:r>
        <w:rPr>
          <w:rFonts w:hint="eastAsia" w:ascii="仿宋_GB2312" w:eastAsia="仿宋_GB2312"/>
          <w:sz w:val="32"/>
          <w:szCs w:val="32"/>
        </w:rPr>
        <w:t>开支内容包括：…（团组名称、出访地点、取得成效）等。</w:t>
      </w:r>
    </w:p>
    <w:p w14:paraId="6B879B15">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sz w:val="32"/>
          <w:szCs w:val="32"/>
        </w:rPr>
        <w:t>86.67</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sz w:val="32"/>
          <w:szCs w:val="32"/>
        </w:rPr>
        <w:t>99.99</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公务用车购置及运行维护费支出决算比2022年度减少</w:t>
      </w:r>
      <w:r>
        <w:rPr>
          <w:rFonts w:hint="eastAsia" w:ascii="仿宋_GB2312" w:eastAsia="仿宋_GB2312"/>
          <w:sz w:val="32"/>
          <w:szCs w:val="32"/>
          <w:lang w:val="en-US" w:eastAsia="zh-CN"/>
        </w:rPr>
        <w:t>14.97</w:t>
      </w:r>
      <w:r>
        <w:rPr>
          <w:rFonts w:hint="eastAsia" w:ascii="仿宋_GB2312" w:eastAsia="仿宋_GB2312"/>
          <w:sz w:val="32"/>
          <w:szCs w:val="32"/>
        </w:rPr>
        <w:t>万元，下降</w:t>
      </w:r>
      <w:r>
        <w:rPr>
          <w:rFonts w:hint="eastAsia" w:ascii="仿宋_GB2312" w:eastAsia="仿宋_GB2312"/>
          <w:sz w:val="32"/>
          <w:szCs w:val="32"/>
          <w:lang w:val="en-US" w:eastAsia="zh-CN"/>
        </w:rPr>
        <w:t>14.73</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财政厉行节约，缩减三公经费</w:t>
      </w:r>
      <w:r>
        <w:rPr>
          <w:rFonts w:hint="eastAsia" w:ascii="仿宋_GB2312" w:eastAsia="仿宋_GB2312"/>
          <w:sz w:val="32"/>
          <w:szCs w:val="32"/>
        </w:rPr>
        <w:t>。</w:t>
      </w:r>
    </w:p>
    <w:p w14:paraId="36610A4A">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sz w:val="32"/>
          <w:szCs w:val="32"/>
        </w:rPr>
        <w:t>0</w:t>
      </w:r>
      <w:r>
        <w:rPr>
          <w:rFonts w:hint="eastAsia" w:ascii="仿宋_GB2312" w:eastAsia="仿宋_GB2312"/>
          <w:sz w:val="32"/>
          <w:szCs w:val="32"/>
        </w:rPr>
        <w:t>万元。全年按规定更新购置公务用车</w:t>
      </w:r>
      <w:r>
        <w:rPr>
          <w:rFonts w:ascii="仿宋_GB2312" w:eastAsia="仿宋_GB2312"/>
          <w:sz w:val="32"/>
          <w:szCs w:val="32"/>
        </w:rPr>
        <w:t>**</w:t>
      </w:r>
      <w:r>
        <w:rPr>
          <w:rFonts w:hint="eastAsia" w:ascii="仿宋_GB2312" w:eastAsia="仿宋_GB2312"/>
          <w:sz w:val="32"/>
          <w:szCs w:val="32"/>
        </w:rPr>
        <w:t>辆，其中：轿车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万元，越野车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万元，载客汽车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万元，主要用于…。截至2023年</w:t>
      </w:r>
      <w:r>
        <w:rPr>
          <w:rFonts w:ascii="仿宋_GB2312" w:eastAsia="仿宋_GB2312"/>
          <w:sz w:val="32"/>
          <w:szCs w:val="32"/>
        </w:rPr>
        <w:t>12</w:t>
      </w:r>
      <w:r>
        <w:rPr>
          <w:rFonts w:hint="eastAsia" w:ascii="仿宋_GB2312" w:eastAsia="仿宋_GB2312"/>
          <w:sz w:val="32"/>
          <w:szCs w:val="32"/>
        </w:rPr>
        <w:t>月31日，单位共有公务用车</w:t>
      </w:r>
      <w:r>
        <w:rPr>
          <w:rFonts w:ascii="仿宋_GB2312" w:eastAsia="仿宋_GB2312"/>
          <w:sz w:val="32"/>
          <w:szCs w:val="32"/>
        </w:rPr>
        <w:t>**</w:t>
      </w:r>
      <w:r>
        <w:rPr>
          <w:rFonts w:hint="eastAsia" w:ascii="仿宋_GB2312" w:eastAsia="仿宋_GB2312"/>
          <w:sz w:val="32"/>
          <w:szCs w:val="32"/>
        </w:rPr>
        <w:t>辆，其中：轿车</w:t>
      </w:r>
      <w:r>
        <w:rPr>
          <w:rFonts w:ascii="仿宋_GB2312" w:eastAsia="仿宋_GB2312"/>
          <w:sz w:val="32"/>
          <w:szCs w:val="32"/>
        </w:rPr>
        <w:t>**</w:t>
      </w:r>
      <w:r>
        <w:rPr>
          <w:rFonts w:hint="eastAsia" w:ascii="仿宋_GB2312" w:eastAsia="仿宋_GB2312"/>
          <w:sz w:val="32"/>
          <w:szCs w:val="32"/>
        </w:rPr>
        <w:t>辆、越野车</w:t>
      </w:r>
      <w:r>
        <w:rPr>
          <w:rFonts w:ascii="仿宋_GB2312" w:eastAsia="仿宋_GB2312"/>
          <w:sz w:val="32"/>
          <w:szCs w:val="32"/>
        </w:rPr>
        <w:t>**</w:t>
      </w:r>
      <w:r>
        <w:rPr>
          <w:rFonts w:hint="eastAsia" w:ascii="仿宋_GB2312" w:eastAsia="仿宋_GB2312"/>
          <w:sz w:val="32"/>
          <w:szCs w:val="32"/>
        </w:rPr>
        <w:t>辆、载客汽车</w:t>
      </w:r>
      <w:r>
        <w:rPr>
          <w:rFonts w:ascii="仿宋_GB2312" w:eastAsia="仿宋_GB2312"/>
          <w:sz w:val="32"/>
          <w:szCs w:val="32"/>
        </w:rPr>
        <w:t>**</w:t>
      </w:r>
      <w:r>
        <w:rPr>
          <w:rFonts w:hint="eastAsia" w:ascii="仿宋_GB2312" w:eastAsia="仿宋_GB2312"/>
          <w:sz w:val="32"/>
          <w:szCs w:val="32"/>
        </w:rPr>
        <w:t>辆。</w:t>
      </w:r>
    </w:p>
    <w:p w14:paraId="2A2752EC">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sz w:val="32"/>
          <w:szCs w:val="32"/>
        </w:rPr>
        <w:t>86.67</w:t>
      </w:r>
      <w:r>
        <w:rPr>
          <w:rFonts w:hint="eastAsia" w:ascii="仿宋_GB2312" w:eastAsia="仿宋_GB2312"/>
          <w:sz w:val="32"/>
          <w:szCs w:val="32"/>
        </w:rPr>
        <w:t>万元。主要用于</w:t>
      </w:r>
      <w:r>
        <w:rPr>
          <w:rFonts w:hint="eastAsia" w:ascii="仿宋_GB2312" w:eastAsia="仿宋_GB2312"/>
          <w:sz w:val="32"/>
          <w:szCs w:val="32"/>
          <w:lang w:eastAsia="zh-CN"/>
        </w:rPr>
        <w:t>应急保障用车</w:t>
      </w:r>
      <w:r>
        <w:rPr>
          <w:rFonts w:hint="eastAsia" w:ascii="仿宋_GB2312" w:eastAsia="仿宋_GB2312"/>
          <w:sz w:val="32"/>
          <w:szCs w:val="32"/>
        </w:rPr>
        <w:t>等所需的公务用车燃料费、维修费、过路过桥费、保险费等支出。</w:t>
      </w:r>
    </w:p>
    <w:p w14:paraId="01433631">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sz w:val="32"/>
          <w:szCs w:val="32"/>
        </w:rPr>
        <w:t>0.31</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sz w:val="32"/>
          <w:szCs w:val="32"/>
        </w:rPr>
        <w:t>100%</w:t>
      </w:r>
      <w:r>
        <w:rPr>
          <w:rStyle w:val="18"/>
          <w:rFonts w:hint="eastAsia" w:ascii="仿宋" w:hAnsi="仿宋" w:eastAsia="仿宋"/>
          <w:b w:val="0"/>
          <w:bCs/>
          <w:sz w:val="32"/>
          <w:szCs w:val="32"/>
        </w:rPr>
        <w:t>。</w:t>
      </w:r>
      <w:r>
        <w:rPr>
          <w:rFonts w:hint="eastAsia" w:ascii="仿宋_GB2312" w:eastAsia="仿宋_GB2312"/>
          <w:sz w:val="32"/>
          <w:szCs w:val="32"/>
        </w:rPr>
        <w:t>公务接待费支出决算比2022年度减少</w:t>
      </w:r>
      <w:r>
        <w:rPr>
          <w:rFonts w:hint="eastAsia" w:ascii="仿宋_GB2312" w:eastAsia="仿宋_GB2312"/>
          <w:sz w:val="32"/>
          <w:szCs w:val="32"/>
          <w:lang w:val="en-US" w:eastAsia="zh-CN"/>
        </w:rPr>
        <w:t>0.09</w:t>
      </w:r>
      <w:r>
        <w:rPr>
          <w:rFonts w:hint="eastAsia" w:ascii="仿宋_GB2312" w:eastAsia="仿宋_GB2312"/>
          <w:sz w:val="32"/>
          <w:szCs w:val="32"/>
        </w:rPr>
        <w:t>万元，下降</w:t>
      </w:r>
      <w:r>
        <w:rPr>
          <w:rFonts w:hint="eastAsia" w:ascii="仿宋_GB2312" w:eastAsia="仿宋_GB2312"/>
          <w:sz w:val="32"/>
          <w:szCs w:val="32"/>
          <w:lang w:val="en-US" w:eastAsia="zh-CN"/>
        </w:rPr>
        <w:t>23</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财政厉行节约，缩减三公经费</w:t>
      </w:r>
      <w:r>
        <w:rPr>
          <w:rFonts w:hint="eastAsia" w:ascii="仿宋_GB2312" w:eastAsia="仿宋_GB2312"/>
          <w:sz w:val="32"/>
          <w:szCs w:val="32"/>
        </w:rPr>
        <w:t>。其中：</w:t>
      </w:r>
    </w:p>
    <w:p w14:paraId="361431BB">
      <w:pPr>
        <w:spacing w:line="600" w:lineRule="exact"/>
        <w:ind w:firstLine="640"/>
        <w:rPr>
          <w:rFonts w:hint="eastAsia" w:ascii="仿宋_GB2312" w:eastAsia="仿宋_GB2312"/>
          <w:sz w:val="32"/>
          <w:szCs w:val="32"/>
          <w:lang w:eastAsia="zh-CN"/>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0.31</w:t>
      </w:r>
      <w:r>
        <w:rPr>
          <w:rFonts w:hint="eastAsia" w:ascii="仿宋_GB2312" w:eastAsia="仿宋_GB2312"/>
          <w:sz w:val="32"/>
          <w:szCs w:val="32"/>
        </w:rPr>
        <w:t>万元，主要用于开展业务活动开支的用餐费等。国内公务接待</w:t>
      </w:r>
      <w:r>
        <w:rPr>
          <w:rFonts w:hint="eastAsia" w:ascii="仿宋_GB2312" w:eastAsia="仿宋_GB2312"/>
          <w:sz w:val="32"/>
          <w:szCs w:val="32"/>
          <w:lang w:val="en-US" w:eastAsia="zh-CN"/>
        </w:rPr>
        <w:t>3</w:t>
      </w:r>
      <w:r>
        <w:rPr>
          <w:rFonts w:hint="eastAsia" w:ascii="仿宋_GB2312" w:eastAsia="仿宋_GB2312"/>
          <w:sz w:val="32"/>
          <w:szCs w:val="32"/>
        </w:rPr>
        <w:t>批次，</w:t>
      </w:r>
      <w:r>
        <w:rPr>
          <w:rFonts w:hint="eastAsia" w:ascii="仿宋_GB2312" w:eastAsia="仿宋_GB2312"/>
          <w:sz w:val="32"/>
          <w:szCs w:val="32"/>
          <w:lang w:val="en-US" w:eastAsia="zh-CN"/>
        </w:rPr>
        <w:t>26</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0.31</w:t>
      </w:r>
      <w:r>
        <w:rPr>
          <w:rFonts w:hint="eastAsia" w:ascii="仿宋_GB2312" w:eastAsia="仿宋_GB2312"/>
          <w:sz w:val="32"/>
          <w:szCs w:val="32"/>
        </w:rPr>
        <w:t>万元，具体内容包括：接待</w:t>
      </w:r>
      <w:r>
        <w:rPr>
          <w:rFonts w:hint="eastAsia" w:ascii="仿宋_GB2312" w:eastAsia="仿宋_GB2312"/>
          <w:sz w:val="32"/>
          <w:szCs w:val="32"/>
          <w:lang w:eastAsia="zh-CN"/>
        </w:rPr>
        <w:t>用餐费。</w:t>
      </w:r>
    </w:p>
    <w:p w14:paraId="2835B502">
      <w:pPr>
        <w:spacing w:line="600" w:lineRule="exact"/>
        <w:ind w:firstLine="643" w:firstLineChars="200"/>
        <w:rPr>
          <w:rFonts w:ascii="仿宋_GB2312" w:eastAsia="仿宋_GB2312"/>
          <w:sz w:val="32"/>
          <w:szCs w:val="32"/>
        </w:rPr>
      </w:pPr>
      <w:bookmarkStart w:id="49" w:name="_GoBack"/>
      <w:bookmarkEnd w:id="49"/>
      <w:r>
        <w:rPr>
          <w:rFonts w:hint="eastAsia" w:ascii="仿宋" w:hAnsi="仿宋" w:eastAsia="仿宋"/>
          <w:b/>
          <w:sz w:val="32"/>
          <w:szCs w:val="32"/>
        </w:rPr>
        <w:t>外事接待支出**</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ascii="仿宋_GB2312" w:eastAsia="仿宋_GB2312"/>
          <w:sz w:val="32"/>
          <w:szCs w:val="32"/>
        </w:rPr>
        <w:t>**</w:t>
      </w:r>
      <w:r>
        <w:rPr>
          <w:rFonts w:hint="eastAsia" w:ascii="仿宋_GB2312" w:eastAsia="仿宋_GB2312"/>
          <w:sz w:val="32"/>
          <w:szCs w:val="32"/>
        </w:rPr>
        <w:t>批次，</w:t>
      </w:r>
      <w:r>
        <w:rPr>
          <w:rFonts w:ascii="仿宋_GB2312" w:eastAsia="仿宋_GB2312"/>
          <w:sz w:val="32"/>
          <w:szCs w:val="32"/>
        </w:rPr>
        <w:t>**</w:t>
      </w:r>
      <w:r>
        <w:rPr>
          <w:rFonts w:hint="eastAsia" w:ascii="仿宋_GB2312" w:eastAsia="仿宋_GB2312"/>
          <w:sz w:val="32"/>
          <w:szCs w:val="32"/>
        </w:rPr>
        <w:t>人次（不包括陪同人员），共计支出</w:t>
      </w:r>
      <w:r>
        <w:rPr>
          <w:rFonts w:ascii="仿宋_GB2312" w:eastAsia="仿宋_GB2312"/>
          <w:sz w:val="32"/>
          <w:szCs w:val="32"/>
        </w:rPr>
        <w:t>**</w:t>
      </w:r>
      <w:r>
        <w:rPr>
          <w:rFonts w:hint="eastAsia" w:ascii="仿宋_GB2312" w:eastAsia="仿宋_GB2312"/>
          <w:sz w:val="32"/>
          <w:szCs w:val="32"/>
        </w:rPr>
        <w:t>万元。</w:t>
      </w:r>
    </w:p>
    <w:p w14:paraId="23D8D36F">
      <w:pPr>
        <w:spacing w:line="600" w:lineRule="exact"/>
        <w:ind w:firstLine="640"/>
        <w:outlineLvl w:val="1"/>
        <w:rPr>
          <w:rFonts w:ascii="黑体" w:eastAsia="黑体"/>
          <w:sz w:val="32"/>
          <w:szCs w:val="32"/>
        </w:rPr>
      </w:pPr>
      <w:bookmarkStart w:id="40" w:name="_Toc15396610"/>
      <w:bookmarkStart w:id="41" w:name="_Toc15377218"/>
    </w:p>
    <w:p w14:paraId="43A03BF1">
      <w:pPr>
        <w:spacing w:line="600" w:lineRule="exact"/>
        <w:ind w:firstLine="640"/>
        <w:outlineLvl w:val="1"/>
        <w:rPr>
          <w:rStyle w:val="30"/>
          <w:rFonts w:ascii="黑体" w:hAnsi="黑体" w:eastAsia="黑体"/>
        </w:rPr>
      </w:pPr>
      <w:r>
        <w:rPr>
          <w:rFonts w:hint="eastAsia" w:ascii="黑体" w:eastAsia="黑体"/>
          <w:sz w:val="32"/>
          <w:szCs w:val="32"/>
        </w:rPr>
        <w:t>八、</w:t>
      </w:r>
      <w:r>
        <w:rPr>
          <w:rStyle w:val="30"/>
          <w:rFonts w:hint="eastAsia" w:ascii="黑体" w:hAnsi="黑体" w:eastAsia="黑体"/>
          <w:b w:val="0"/>
        </w:rPr>
        <w:t>政府性基金预算支出决算情况说明</w:t>
      </w:r>
      <w:bookmarkEnd w:id="40"/>
      <w:bookmarkEnd w:id="41"/>
    </w:p>
    <w:p w14:paraId="38DF6ED7">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sz w:val="32"/>
          <w:szCs w:val="32"/>
        </w:rPr>
        <w:t>0</w:t>
      </w:r>
      <w:r>
        <w:rPr>
          <w:rFonts w:hint="eastAsia" w:ascii="仿宋_GB2312" w:eastAsia="仿宋_GB2312"/>
          <w:sz w:val="32"/>
          <w:szCs w:val="32"/>
        </w:rPr>
        <w:t>万元。</w:t>
      </w:r>
    </w:p>
    <w:p w14:paraId="55C7F1E2">
      <w:pPr>
        <w:spacing w:line="600" w:lineRule="exact"/>
        <w:ind w:firstLine="640"/>
        <w:rPr>
          <w:rFonts w:ascii="仿宋_GB2312" w:eastAsia="仿宋_GB2312"/>
          <w:sz w:val="32"/>
          <w:szCs w:val="32"/>
        </w:rPr>
      </w:pPr>
    </w:p>
    <w:p w14:paraId="692119A9">
      <w:pPr>
        <w:numPr>
          <w:ilvl w:val="0"/>
          <w:numId w:val="1"/>
        </w:numPr>
        <w:spacing w:line="600" w:lineRule="exact"/>
        <w:ind w:firstLine="640"/>
        <w:outlineLvl w:val="1"/>
        <w:rPr>
          <w:rStyle w:val="30"/>
          <w:rFonts w:ascii="黑体" w:hAnsi="黑体" w:eastAsia="黑体"/>
          <w:b w:val="0"/>
        </w:rPr>
      </w:pPr>
      <w:bookmarkStart w:id="42" w:name="_Toc15377219"/>
      <w:bookmarkStart w:id="43" w:name="_Toc15396611"/>
      <w:r>
        <w:rPr>
          <w:rStyle w:val="30"/>
          <w:rFonts w:hint="eastAsia" w:ascii="黑体" w:hAnsi="黑体" w:eastAsia="黑体"/>
          <w:b w:val="0"/>
        </w:rPr>
        <w:t>国有资本经营预算支出决算情况说明</w:t>
      </w:r>
      <w:bookmarkEnd w:id="42"/>
      <w:bookmarkEnd w:id="43"/>
    </w:p>
    <w:p w14:paraId="2936F54D">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sz w:val="32"/>
          <w:szCs w:val="32"/>
        </w:rPr>
        <w:t>0</w:t>
      </w:r>
      <w:r>
        <w:rPr>
          <w:rFonts w:hint="eastAsia" w:ascii="仿宋_GB2312" w:eastAsia="仿宋_GB2312"/>
          <w:sz w:val="32"/>
          <w:szCs w:val="32"/>
        </w:rPr>
        <w:t>万元。</w:t>
      </w:r>
    </w:p>
    <w:p w14:paraId="7AEE8B1E">
      <w:pPr>
        <w:spacing w:line="580" w:lineRule="exact"/>
        <w:jc w:val="center"/>
        <w:rPr>
          <w:rFonts w:ascii="方正小标宋简体" w:hAnsi="方正小标宋简体" w:eastAsia="方正小标宋简体" w:cs="方正小标宋简体"/>
          <w:sz w:val="44"/>
          <w:szCs w:val="44"/>
        </w:rPr>
      </w:pPr>
    </w:p>
    <w:p w14:paraId="6A51295E">
      <w:pPr>
        <w:numPr>
          <w:ilvl w:val="0"/>
          <w:numId w:val="1"/>
        </w:numPr>
        <w:spacing w:line="600" w:lineRule="exact"/>
        <w:ind w:firstLine="640"/>
        <w:outlineLvl w:val="1"/>
        <w:rPr>
          <w:rStyle w:val="30"/>
          <w:rFonts w:ascii="黑体" w:hAnsi="黑体" w:eastAsia="黑体"/>
          <w:b w:val="0"/>
        </w:rPr>
      </w:pPr>
      <w:bookmarkStart w:id="44" w:name="_Toc15377221"/>
      <w:bookmarkStart w:id="45" w:name="_Toc15396612"/>
      <w:r>
        <w:rPr>
          <w:rStyle w:val="30"/>
          <w:rFonts w:hint="eastAsia" w:ascii="黑体" w:hAnsi="黑体" w:eastAsia="黑体"/>
          <w:b w:val="0"/>
        </w:rPr>
        <w:t>其他重要事项的情况说明</w:t>
      </w:r>
      <w:bookmarkEnd w:id="44"/>
      <w:bookmarkEnd w:id="45"/>
    </w:p>
    <w:p w14:paraId="3219B558">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7590738F">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hint="eastAsia"/>
          <w:sz w:val="32"/>
          <w:szCs w:val="32"/>
        </w:rPr>
        <w:t>四川省阿坝州财政局</w:t>
      </w:r>
      <w:r>
        <w:rPr>
          <w:rFonts w:hint="eastAsia" w:ascii="仿宋_GB2312" w:eastAsia="仿宋_GB2312"/>
          <w:sz w:val="32"/>
          <w:szCs w:val="32"/>
        </w:rPr>
        <w:t>机关运行经费支出</w:t>
      </w:r>
      <w:r>
        <w:rPr>
          <w:sz w:val="32"/>
          <w:szCs w:val="32"/>
        </w:rPr>
        <w:t>326.36</w:t>
      </w:r>
      <w:r>
        <w:rPr>
          <w:rFonts w:hint="eastAsia" w:ascii="仿宋_GB2312" w:eastAsia="仿宋_GB2312"/>
          <w:sz w:val="32"/>
          <w:szCs w:val="32"/>
        </w:rPr>
        <w:t>万元，比2022年度增加</w:t>
      </w:r>
      <w:r>
        <w:rPr>
          <w:rFonts w:hint="eastAsia" w:ascii="仿宋_GB2312" w:eastAsia="仿宋_GB2312"/>
          <w:sz w:val="32"/>
          <w:szCs w:val="32"/>
          <w:lang w:val="en-US" w:eastAsia="zh-CN"/>
        </w:rPr>
        <w:t>102.86</w:t>
      </w:r>
      <w:r>
        <w:rPr>
          <w:rFonts w:hint="eastAsia" w:ascii="仿宋_GB2312" w:eastAsia="仿宋_GB2312"/>
          <w:sz w:val="32"/>
          <w:szCs w:val="32"/>
        </w:rPr>
        <w:t>万元，增长</w:t>
      </w:r>
      <w:r>
        <w:rPr>
          <w:rFonts w:hint="eastAsia" w:ascii="仿宋_GB2312" w:eastAsia="仿宋_GB2312"/>
          <w:sz w:val="32"/>
          <w:szCs w:val="32"/>
          <w:lang w:val="en-US" w:eastAsia="zh-CN"/>
        </w:rPr>
        <w:t>46.02</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机关运行经费增加</w:t>
      </w:r>
      <w:r>
        <w:rPr>
          <w:rFonts w:hint="eastAsia" w:ascii="仿宋_GB2312" w:eastAsia="仿宋_GB2312"/>
          <w:sz w:val="32"/>
          <w:szCs w:val="32"/>
        </w:rPr>
        <w:t>。</w:t>
      </w:r>
    </w:p>
    <w:p w14:paraId="6068F708">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7C16DCA">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14:paraId="6DC7DA7B">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hint="eastAsia"/>
          <w:sz w:val="32"/>
          <w:szCs w:val="32"/>
        </w:rPr>
        <w:t>四川省阿坝州财政局</w:t>
      </w:r>
      <w:r>
        <w:rPr>
          <w:rFonts w:hint="eastAsia" w:ascii="仿宋_GB2312" w:eastAsia="仿宋_GB2312"/>
          <w:sz w:val="32"/>
          <w:szCs w:val="32"/>
        </w:rPr>
        <w:t>政府采购支出总额</w:t>
      </w:r>
      <w:r>
        <w:rPr>
          <w:sz w:val="32"/>
          <w:szCs w:val="32"/>
        </w:rPr>
        <w:t>185.07</w:t>
      </w:r>
      <w:r>
        <w:rPr>
          <w:rFonts w:hint="eastAsia" w:ascii="仿宋_GB2312" w:eastAsia="仿宋_GB2312"/>
          <w:sz w:val="32"/>
          <w:szCs w:val="32"/>
        </w:rPr>
        <w:t>万元，其中：政府采购货物支出</w:t>
      </w:r>
      <w:r>
        <w:rPr>
          <w:sz w:val="32"/>
          <w:szCs w:val="32"/>
        </w:rPr>
        <w:t>28.91</w:t>
      </w:r>
      <w:r>
        <w:rPr>
          <w:rFonts w:hint="eastAsia" w:ascii="仿宋_GB2312" w:eastAsia="仿宋_GB2312"/>
          <w:sz w:val="32"/>
          <w:szCs w:val="32"/>
        </w:rPr>
        <w:t>万元、政府采购工程支出</w:t>
      </w:r>
      <w:r>
        <w:rPr>
          <w:sz w:val="32"/>
          <w:szCs w:val="32"/>
        </w:rPr>
        <w:t>0</w:t>
      </w:r>
      <w:r>
        <w:rPr>
          <w:rFonts w:hint="eastAsia" w:ascii="仿宋_GB2312" w:eastAsia="仿宋_GB2312"/>
          <w:sz w:val="32"/>
          <w:szCs w:val="32"/>
        </w:rPr>
        <w:t>万元、政府采购服务支出</w:t>
      </w:r>
      <w:r>
        <w:rPr>
          <w:sz w:val="32"/>
          <w:szCs w:val="32"/>
        </w:rPr>
        <w:t>156.17</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sz w:val="32"/>
          <w:szCs w:val="32"/>
        </w:rPr>
        <w:t>0</w:t>
      </w:r>
      <w:r>
        <w:rPr>
          <w:rFonts w:hint="eastAsia" w:ascii="仿宋_GB2312" w:eastAsia="仿宋_GB2312"/>
          <w:sz w:val="32"/>
          <w:szCs w:val="32"/>
        </w:rPr>
        <w:t>万元，占政府采购支出总额的</w:t>
      </w:r>
      <w:r>
        <w:rPr>
          <w:sz w:val="32"/>
          <w:szCs w:val="32"/>
        </w:rPr>
        <w:t>0</w:t>
      </w:r>
      <w:r>
        <w:rPr>
          <w:rFonts w:ascii="仿宋_GB2312" w:eastAsia="仿宋_GB2312"/>
          <w:sz w:val="32"/>
          <w:szCs w:val="32"/>
        </w:rPr>
        <w:t>%</w:t>
      </w:r>
      <w:r>
        <w:rPr>
          <w:rFonts w:hint="eastAsia" w:ascii="仿宋_GB2312" w:eastAsia="仿宋_GB2312"/>
          <w:sz w:val="32"/>
          <w:szCs w:val="32"/>
        </w:rPr>
        <w:t>，其中：授予小微企业合同金额</w:t>
      </w:r>
      <w:r>
        <w:rPr>
          <w:sz w:val="32"/>
          <w:szCs w:val="32"/>
        </w:rPr>
        <w:t>0</w:t>
      </w:r>
      <w:r>
        <w:rPr>
          <w:rFonts w:hint="eastAsia" w:ascii="仿宋_GB2312" w:eastAsia="仿宋_GB2312"/>
          <w:sz w:val="32"/>
          <w:szCs w:val="32"/>
        </w:rPr>
        <w:t>万元，占政府采购支出总额的</w:t>
      </w:r>
      <w:r>
        <w:rPr>
          <w:sz w:val="32"/>
          <w:szCs w:val="32"/>
        </w:rPr>
        <w:t>0</w:t>
      </w:r>
      <w:r>
        <w:rPr>
          <w:rFonts w:ascii="仿宋_GB2312" w:eastAsia="仿宋_GB2312"/>
          <w:sz w:val="32"/>
          <w:szCs w:val="32"/>
        </w:rPr>
        <w:t>%</w:t>
      </w:r>
      <w:r>
        <w:rPr>
          <w:rFonts w:hint="eastAsia" w:ascii="仿宋_GB2312" w:eastAsia="仿宋_GB2312"/>
          <w:sz w:val="32"/>
          <w:szCs w:val="32"/>
        </w:rPr>
        <w:t>。</w:t>
      </w:r>
    </w:p>
    <w:p w14:paraId="4D51DE5C">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00E3C5A7">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785B6070">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sz w:val="32"/>
          <w:szCs w:val="32"/>
        </w:rPr>
        <w:t>四川省阿坝州财政局</w:t>
      </w:r>
      <w:r>
        <w:rPr>
          <w:rFonts w:hint="eastAsia" w:ascii="仿宋_GB2312" w:eastAsia="仿宋_GB2312"/>
          <w:sz w:val="32"/>
          <w:szCs w:val="32"/>
        </w:rPr>
        <w:t>共有车辆</w:t>
      </w:r>
      <w:r>
        <w:rPr>
          <w:rFonts w:ascii="仿宋_GB2312" w:eastAsia="仿宋_GB2312"/>
          <w:sz w:val="32"/>
          <w:szCs w:val="32"/>
        </w:rPr>
        <w:t>11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11</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辆，其他用车主要是用于……。单价</w:t>
      </w:r>
      <w:r>
        <w:rPr>
          <w:rFonts w:ascii="仿宋_GB2312" w:eastAsia="仿宋_GB2312"/>
          <w:sz w:val="32"/>
          <w:szCs w:val="32"/>
        </w:rPr>
        <w:t>100</w:t>
      </w:r>
      <w:r>
        <w:rPr>
          <w:rFonts w:hint="eastAsia" w:ascii="仿宋_GB2312" w:eastAsia="仿宋_GB2312"/>
          <w:sz w:val="32"/>
          <w:szCs w:val="32"/>
        </w:rPr>
        <w:t>万元以上设备（不含车辆）</w:t>
      </w:r>
      <w:r>
        <w:rPr>
          <w:sz w:val="32"/>
          <w:szCs w:val="32"/>
        </w:rPr>
        <w:t>0</w:t>
      </w:r>
      <w:r>
        <w:rPr>
          <w:rFonts w:hint="eastAsia" w:ascii="仿宋_GB2312" w:eastAsia="仿宋_GB2312"/>
          <w:sz w:val="32"/>
          <w:szCs w:val="32"/>
        </w:rPr>
        <w:t>台（套）。</w:t>
      </w:r>
    </w:p>
    <w:p w14:paraId="020BBE7A">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表，按部门决算报表填报数据罗列车辆情况。）</w:t>
      </w:r>
    </w:p>
    <w:p w14:paraId="76222BF7">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408E3173">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2167B2EF">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根据预算绩效管理要求，本部门在2023年度预算编制阶段，组织对XX项目（项目名称）等</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个项目开展绩效监控。</w:t>
      </w:r>
    </w:p>
    <w:p w14:paraId="0317EAF6">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组织对2023年度一般公共预算、政府性基金预算、国有资本经营预算、社会保险基金预算以及资本资产、债券资金等全面开展绩效自评，形成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eastAsia="zh-CN"/>
        </w:rPr>
        <w:t>阿坝州财政局</w:t>
      </w:r>
      <w:r>
        <w:rPr>
          <w:rFonts w:hint="eastAsia" w:ascii="仿宋_GB2312" w:hAnsi="仿宋_GB2312" w:eastAsia="仿宋_GB2312" w:cs="仿宋_GB2312"/>
          <w:sz w:val="32"/>
          <w:szCs w:val="32"/>
        </w:rPr>
        <w:t>部门整体（含部门预算项目）绩效自评报告、XX等专项预算项目绩效自评报告，其中，</w:t>
      </w:r>
      <w:r>
        <w:rPr>
          <w:rFonts w:hint="eastAsia" w:ascii="仿宋_GB2312" w:hAnsi="仿宋_GB2312" w:eastAsia="仿宋_GB2312" w:cs="仿宋_GB2312"/>
          <w:sz w:val="32"/>
          <w:szCs w:val="32"/>
          <w:lang w:eastAsia="zh-CN"/>
        </w:rPr>
        <w:t>阿坝州财政局</w:t>
      </w:r>
      <w:r>
        <w:rPr>
          <w:rFonts w:hint="eastAsia" w:ascii="仿宋_GB2312" w:hAnsi="仿宋_GB2312" w:eastAsia="仿宋_GB2312" w:cs="仿宋_GB2312"/>
          <w:sz w:val="32"/>
          <w:szCs w:val="32"/>
        </w:rPr>
        <w:t>部门整体（含部门预算项目）绩效自评得分为</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分。绩效自评报告详见附件。（如不涉及，可根据实际修改表述。）</w:t>
      </w:r>
    </w:p>
    <w:p w14:paraId="4B768FCD">
      <w:pPr>
        <w:pStyle w:val="2"/>
        <w:jc w:val="center"/>
      </w:pPr>
      <w:r>
        <w:rPr>
          <w:rFonts w:hint="eastAsia"/>
        </w:rPr>
        <w:t>第三部分 名词解释</w:t>
      </w:r>
    </w:p>
    <w:p w14:paraId="338CA40B"/>
    <w:p w14:paraId="0C733BEC">
      <w:pPr>
        <w:ind w:firstLine="640" w:firstLineChars="200"/>
        <w:rPr>
          <w:rFonts w:hint="eastAsia" w:ascii="仿宋_GB2312" w:eastAsia="仿宋_GB2312"/>
          <w:sz w:val="32"/>
          <w:szCs w:val="32"/>
        </w:rPr>
      </w:pPr>
      <w:r>
        <w:rPr>
          <w:rFonts w:hint="eastAsia" w:ascii="仿宋_GB2312" w:eastAsia="仿宋_GB2312"/>
          <w:sz w:val="32"/>
          <w:szCs w:val="32"/>
        </w:rPr>
        <w:t>1.财政拨款收入：指单位从同级财政部门取得的财政预算资金。</w:t>
      </w:r>
    </w:p>
    <w:p w14:paraId="7C76F212">
      <w:pPr>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2.事业收入：指事业单位开展专业业务活动及辅助活动取得的收入。如…（二级预算单位事业收入情况）等。</w:t>
      </w:r>
    </w:p>
    <w:p w14:paraId="32B4C71F">
      <w:pPr>
        <w:ind w:firstLine="640" w:firstLineChars="200"/>
        <w:rPr>
          <w:rFonts w:hint="eastAsia" w:ascii="仿宋_GB2312" w:eastAsia="仿宋_GB2312"/>
          <w:sz w:val="32"/>
          <w:szCs w:val="32"/>
        </w:rPr>
      </w:pPr>
      <w:r>
        <w:rPr>
          <w:rFonts w:hint="eastAsia" w:ascii="仿宋_GB2312" w:eastAsia="仿宋_GB2312"/>
          <w:sz w:val="32"/>
          <w:szCs w:val="32"/>
        </w:rPr>
        <w:t>3.经营收入：指事业单位在专业业务活动及其辅助活动之外开展非独立核算经营活动取得的收入。如…（二级预算单位经营收入情况）等。</w:t>
      </w:r>
    </w:p>
    <w:p w14:paraId="31E3BF24">
      <w:pPr>
        <w:ind w:firstLine="640" w:firstLineChars="200"/>
        <w:rPr>
          <w:rFonts w:hint="eastAsia" w:ascii="仿宋_GB2312" w:eastAsia="仿宋_GB2312"/>
          <w:sz w:val="32"/>
          <w:szCs w:val="32"/>
        </w:rPr>
      </w:pPr>
      <w:r>
        <w:rPr>
          <w:rFonts w:hint="eastAsia" w:ascii="仿宋_GB2312" w:eastAsia="仿宋_GB2312"/>
          <w:sz w:val="32"/>
          <w:szCs w:val="32"/>
        </w:rPr>
        <w:t xml:space="preserve">4.其他收入：指单位取得的除上述收入以外的各项收入。主要是…（收入类型）等。 </w:t>
      </w:r>
    </w:p>
    <w:p w14:paraId="10104D0D">
      <w:pPr>
        <w:ind w:firstLine="640" w:firstLineChars="200"/>
        <w:rPr>
          <w:rFonts w:hint="eastAsia" w:ascii="仿宋_GB2312" w:eastAsia="仿宋_GB2312"/>
          <w:sz w:val="32"/>
          <w:szCs w:val="32"/>
        </w:rPr>
      </w:pPr>
      <w:r>
        <w:rPr>
          <w:rFonts w:hint="eastAsia" w:ascii="仿宋_GB2312" w:eastAsia="仿宋_GB2312"/>
          <w:sz w:val="32"/>
          <w:szCs w:val="32"/>
        </w:rPr>
        <w:t xml:space="preserve">5.使用非财政拨款结余（含专用结余）：指事业单位使用以前年度积累的非财政拨款结余弥补当年收支差额的金额。 </w:t>
      </w:r>
    </w:p>
    <w:p w14:paraId="083EB65B">
      <w:pPr>
        <w:ind w:firstLine="640" w:firstLineChars="200"/>
        <w:rPr>
          <w:rFonts w:hint="eastAsia" w:ascii="仿宋_GB2312" w:eastAsia="仿宋_GB2312"/>
          <w:sz w:val="32"/>
          <w:szCs w:val="32"/>
        </w:rPr>
      </w:pPr>
      <w:r>
        <w:rPr>
          <w:rFonts w:hint="eastAsia" w:ascii="仿宋_GB2312" w:eastAsia="仿宋_GB2312"/>
          <w:sz w:val="32"/>
          <w:szCs w:val="32"/>
        </w:rPr>
        <w:t xml:space="preserve">6.年初结转和结余：指以前年度尚未完成、结转到本年按有关规定继续使用的资金。 </w:t>
      </w:r>
    </w:p>
    <w:p w14:paraId="04DAEADC">
      <w:pPr>
        <w:ind w:firstLine="640" w:firstLineChars="200"/>
        <w:rPr>
          <w:rFonts w:hint="eastAsia" w:ascii="仿宋_GB2312" w:eastAsia="仿宋_GB2312"/>
          <w:sz w:val="32"/>
          <w:szCs w:val="32"/>
        </w:rPr>
      </w:pPr>
      <w:r>
        <w:rPr>
          <w:rFonts w:hint="eastAsia" w:ascii="仿宋_GB2312" w:eastAsia="仿宋_GB2312"/>
          <w:sz w:val="32"/>
          <w:szCs w:val="32"/>
        </w:rPr>
        <w:t>7.结余分配：指事业单位按照会计制度规定缴纳的所得税、提取的专用结余以及转入非财政拨款结余的金额等。</w:t>
      </w:r>
    </w:p>
    <w:p w14:paraId="7F870ADD">
      <w:pPr>
        <w:ind w:firstLine="640" w:firstLineChars="200"/>
        <w:rPr>
          <w:rFonts w:hint="eastAsia" w:ascii="仿宋_GB2312" w:eastAsia="仿宋_GB2312"/>
          <w:sz w:val="32"/>
          <w:szCs w:val="32"/>
        </w:rPr>
      </w:pPr>
      <w:r>
        <w:rPr>
          <w:rFonts w:hint="eastAsia" w:ascii="仿宋_GB2312" w:eastAsia="仿宋_GB2312"/>
          <w:sz w:val="32"/>
          <w:szCs w:val="32"/>
        </w:rPr>
        <w:t>8.年末结转和结余：指单位按有关规定结转到下年或以后年度继续使用的资金。</w:t>
      </w:r>
    </w:p>
    <w:p w14:paraId="63DBB584">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 xml:space="preserve">9.一般公共服务201（类）06（款）01（项）: </w:t>
      </w:r>
      <w:r>
        <w:rPr>
          <w:rFonts w:hint="eastAsia" w:ascii="仿宋_GB2312" w:hAnsi="宋体" w:eastAsia="仿宋_GB2312" w:cs="仿宋_GB2312"/>
          <w:b w:val="0"/>
          <w:bCs w:val="0"/>
          <w:kern w:val="0"/>
          <w:sz w:val="32"/>
          <w:szCs w:val="32"/>
          <w:shd w:val="clear" w:fill="FFFFFF"/>
        </w:rPr>
        <w:t>指反映行政单位（包括实行公务员管理的事业单位）的基本支出。</w:t>
      </w:r>
    </w:p>
    <w:p w14:paraId="3C02DC08">
      <w:pPr>
        <w:keepNext w:val="0"/>
        <w:keepLines w:val="0"/>
        <w:widowControl/>
        <w:suppressLineNumbers w:val="0"/>
        <w:autoSpaceDE w:val="0"/>
        <w:autoSpaceDN/>
        <w:spacing w:before="0" w:beforeAutospacing="0" w:after="0" w:afterAutospacing="0"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10.一般公共服务201（类）06（款）02（项）:</w:t>
      </w:r>
      <w:r>
        <w:rPr>
          <w:rFonts w:hint="eastAsia" w:ascii="仿宋_GB2312" w:hAnsi="宋体" w:eastAsia="仿宋_GB2312" w:cs="仿宋_GB2312"/>
          <w:b w:val="0"/>
          <w:bCs w:val="0"/>
          <w:kern w:val="0"/>
          <w:sz w:val="32"/>
          <w:szCs w:val="32"/>
        </w:rPr>
        <w:t xml:space="preserve"> 指反映行政单位（包括实行公务员管理的事业单位）未单独设置项级科目的其他项目支出。</w:t>
      </w:r>
    </w:p>
    <w:p w14:paraId="07774E82">
      <w:pPr>
        <w:pStyle w:val="36"/>
        <w:keepNext w:val="0"/>
        <w:keepLines w:val="0"/>
        <w:widowControl/>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 xml:space="preserve">11.一般公共服务201（类）06（款）05（项）: </w:t>
      </w:r>
      <w:r>
        <w:rPr>
          <w:rFonts w:hint="eastAsia" w:ascii="仿宋_GB2312" w:hAnsi="宋体" w:eastAsia="仿宋_GB2312" w:cs="仿宋_GB2312"/>
          <w:b w:val="0"/>
          <w:bCs w:val="0"/>
          <w:kern w:val="0"/>
          <w:sz w:val="32"/>
          <w:szCs w:val="32"/>
          <w:shd w:val="clear" w:fill="FFFFFF"/>
        </w:rPr>
        <w:t>指反映财政部门用于财政国库集中支付收付业务方面的支出。</w:t>
      </w:r>
    </w:p>
    <w:p w14:paraId="6DE04A7D">
      <w:pPr>
        <w:keepNext w:val="0"/>
        <w:keepLines w:val="0"/>
        <w:widowControl/>
        <w:suppressLineNumbers w:val="0"/>
        <w:autoSpaceDE w:val="0"/>
        <w:autoSpaceDN/>
        <w:spacing w:before="0" w:beforeAutospacing="0" w:after="0" w:afterAutospacing="0"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 xml:space="preserve">12.一般公共服务201（类）06（款）07（项）: </w:t>
      </w:r>
      <w:r>
        <w:rPr>
          <w:rFonts w:hint="eastAsia" w:ascii="仿宋_GB2312" w:hAnsi="宋体" w:eastAsia="仿宋_GB2312" w:cs="仿宋_GB2312"/>
          <w:b w:val="0"/>
          <w:bCs w:val="0"/>
          <w:kern w:val="0"/>
          <w:sz w:val="32"/>
          <w:szCs w:val="32"/>
        </w:rPr>
        <w:t>指反映财政部门用于信息化建设方面的支出。</w:t>
      </w:r>
    </w:p>
    <w:p w14:paraId="4E7CF22B">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 xml:space="preserve">13.一般公共服务201（类）06（款）50（项）: </w:t>
      </w:r>
      <w:r>
        <w:rPr>
          <w:rFonts w:hint="eastAsia" w:ascii="仿宋_GB2312" w:hAnsi="宋体" w:eastAsia="仿宋_GB2312" w:cs="仿宋_GB2312"/>
          <w:b w:val="0"/>
          <w:bCs w:val="0"/>
          <w:kern w:val="0"/>
          <w:sz w:val="32"/>
          <w:szCs w:val="32"/>
          <w:shd w:val="clear" w:fill="FFFFFF"/>
        </w:rPr>
        <w:t>指反映事业单位的基本支出，不包括行政单位（包括实行公务员管理的事业单位）后勤服务中心、医务室等附属事业单位。</w:t>
      </w:r>
    </w:p>
    <w:p w14:paraId="230DAFDE">
      <w:pPr>
        <w:pStyle w:val="36"/>
        <w:keepNext w:val="0"/>
        <w:keepLines w:val="0"/>
        <w:widowControl/>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14.一般公共服务201（类）06（款）99（项）: 指反映除上述项目以外其他财政事务方面的支出。</w:t>
      </w:r>
    </w:p>
    <w:p w14:paraId="09D0C1F5">
      <w:pPr>
        <w:keepNext w:val="0"/>
        <w:keepLines w:val="0"/>
        <w:widowControl/>
        <w:suppressLineNumbers w:val="0"/>
        <w:autoSpaceDE w:val="0"/>
        <w:autoSpaceDN/>
        <w:spacing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 xml:space="preserve">15.社会保障和就业208（类）05（款）05（项）: </w:t>
      </w:r>
      <w:r>
        <w:rPr>
          <w:rFonts w:hint="eastAsia" w:ascii="仿宋_GB2312" w:hAnsi="宋体" w:eastAsia="仿宋_GB2312" w:cs="仿宋_GB2312"/>
          <w:b w:val="0"/>
          <w:bCs w:val="0"/>
          <w:kern w:val="0"/>
          <w:sz w:val="32"/>
          <w:szCs w:val="32"/>
        </w:rPr>
        <w:t>指反映机关事业单位实施养老保险制度由单位缴纳的职业年金支出。</w:t>
      </w:r>
    </w:p>
    <w:p w14:paraId="3A152C99">
      <w:pPr>
        <w:keepNext w:val="0"/>
        <w:keepLines w:val="0"/>
        <w:widowControl/>
        <w:suppressLineNumbers w:val="0"/>
        <w:autoSpaceDE w:val="0"/>
        <w:autoSpaceDN/>
        <w:spacing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 xml:space="preserve">16.社会保障和就业208（类）05（款）06（项）: </w:t>
      </w:r>
      <w:r>
        <w:rPr>
          <w:rFonts w:hint="eastAsia" w:ascii="仿宋_GB2312" w:hAnsi="宋体" w:eastAsia="仿宋_GB2312" w:cs="仿宋_GB2312"/>
          <w:b w:val="0"/>
          <w:bCs w:val="0"/>
          <w:kern w:val="0"/>
          <w:sz w:val="32"/>
          <w:szCs w:val="32"/>
        </w:rPr>
        <w:t>指反映机关事业单位实施养老保险制度由单位实际缴纳的基本养老保险费支出。</w:t>
      </w:r>
    </w:p>
    <w:p w14:paraId="463C6436">
      <w:pPr>
        <w:keepNext w:val="0"/>
        <w:keepLines w:val="0"/>
        <w:widowControl/>
        <w:suppressLineNumbers w:val="0"/>
        <w:autoSpaceDE w:val="0"/>
        <w:autoSpaceDN/>
        <w:spacing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17.卫生健康210（类）11（款）01（项）:</w:t>
      </w:r>
      <w:r>
        <w:rPr>
          <w:rFonts w:hint="eastAsia" w:ascii="仿宋_GB2312" w:hAnsi="宋体" w:eastAsia="仿宋_GB2312" w:cs="仿宋_GB2312"/>
          <w:b w:val="0"/>
          <w:bCs w:val="0"/>
          <w:kern w:val="0"/>
          <w:sz w:val="32"/>
          <w:szCs w:val="32"/>
        </w:rPr>
        <w:t xml:space="preserve"> 反映财政部门安排的行政单位(包括实行公务员管理的事业单位，下同)基本医疗保险缴费经费，未参加医疗保险的行政单位的公费医疗经费，按国家规定享受离休人员、红军老战士待遇人员的医疗经费。</w:t>
      </w:r>
    </w:p>
    <w:p w14:paraId="3BF2CFFF">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18.卫生健康210（类）11（款）02（项）:</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反映财政部门安排的事业单位基本医疗保险缴费经费，未参加医疗保险的事业单位的公费医疗经费，按国家规定享受离休人员待遇的医疗经费。</w:t>
      </w:r>
    </w:p>
    <w:p w14:paraId="65AF79F2">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19.卫生健康210（类）11（款）03（项）:</w:t>
      </w:r>
      <w:r>
        <w:rPr>
          <w:rFonts w:hint="eastAsia" w:ascii="仿宋_GB2312" w:hAnsi="宋体" w:eastAsia="仿宋_GB2312" w:cs="仿宋_GB2312"/>
          <w:b w:val="0"/>
          <w:bCs w:val="0"/>
          <w:kern w:val="0"/>
          <w:sz w:val="32"/>
          <w:szCs w:val="32"/>
          <w:shd w:val="clear" w:fill="FFFFFF"/>
        </w:rPr>
        <w:t xml:space="preserve"> 反映财政部门安排的公务员医疗补助经费。</w:t>
      </w:r>
    </w:p>
    <w:p w14:paraId="65D0E6D4">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20.卫生健康210（类）11（款）99（项）:</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反映除上述项目以外的其他用于行政事业单位医疗方面的支出。</w:t>
      </w:r>
    </w:p>
    <w:p w14:paraId="422111E8">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21.</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商业服务业216（类）99（款）99（项）:</w:t>
      </w:r>
      <w:r>
        <w:rPr>
          <w:rFonts w:hint="eastAsia" w:ascii="仿宋_GB2312" w:hAnsi="宋体" w:eastAsia="仿宋_GB2312" w:cs="仿宋_GB2312"/>
          <w:b w:val="0"/>
          <w:bCs w:val="0"/>
          <w:kern w:val="0"/>
          <w:sz w:val="32"/>
          <w:szCs w:val="32"/>
          <w:shd w:val="clear" w:fill="FFFFFF"/>
        </w:rPr>
        <w:t xml:space="preserve"> 反映其他商业服务业等支出中除上述项目以外的其他支出。</w:t>
      </w:r>
    </w:p>
    <w:p w14:paraId="491235EB">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22.</w:t>
      </w:r>
      <w:r>
        <w:rPr>
          <w:rFonts w:hint="eastAsia" w:ascii="仿宋_GB2312" w:hAnsi="宋体" w:eastAsia="仿宋_GB2312" w:cs="仿宋_GB2312"/>
          <w:b w:val="0"/>
          <w:bCs w:val="0"/>
          <w:kern w:val="0"/>
          <w:sz w:val="32"/>
          <w:szCs w:val="32"/>
          <w:shd w:val="clear" w:fill="FFFFFF"/>
        </w:rPr>
        <w:t>住房保障</w:t>
      </w:r>
      <w:r>
        <w:rPr>
          <w:rStyle w:val="37"/>
          <w:rFonts w:hint="eastAsia" w:ascii="仿宋_GB2312" w:hAnsi="Times New Roman" w:eastAsia="仿宋_GB2312" w:cs="仿宋_GB2312"/>
          <w:b w:val="0"/>
          <w:bCs w:val="0"/>
          <w:sz w:val="32"/>
          <w:szCs w:val="32"/>
          <w:shd w:val="clear" w:fill="FFFFFF"/>
        </w:rPr>
        <w:t>221（类）02（款）01（项）:</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反映行政事业单位按人力资源和社会保障部、财政部规定的基本工资和津贴补贴以及规定为职工缴纳的住房公积金。</w:t>
      </w:r>
    </w:p>
    <w:p w14:paraId="5269AF3C">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23.</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 xml:space="preserve">住房保障221（类）02（款）03（项）:指反映按房改政策规定，行政事业单位向符合条件职工（含离退休人员）、军队（含武警）向转役复员离退休人员发放的用于购买住房的补贴。 </w:t>
      </w:r>
    </w:p>
    <w:p w14:paraId="4B0481AB">
      <w:pPr>
        <w:ind w:firstLine="643" w:firstLineChars="200"/>
        <w:rPr>
          <w:rFonts w:ascii="仿宋" w:hAnsi="仿宋" w:eastAsia="仿宋"/>
          <w:b/>
          <w:sz w:val="32"/>
          <w:szCs w:val="32"/>
        </w:rPr>
      </w:pPr>
      <w:r>
        <w:rPr>
          <w:rFonts w:hint="eastAsia" w:ascii="仿宋" w:hAnsi="仿宋" w:eastAsia="仿宋"/>
          <w:b/>
          <w:sz w:val="32"/>
          <w:szCs w:val="32"/>
        </w:rPr>
        <w:t>（解释本部门决算报表中涉及的全部功能分类科目至项级，不涉及的科目请自行删除。请参照《2023年政府收支分类科目》增减内容。）</w:t>
      </w:r>
    </w:p>
    <w:p w14:paraId="5CB94490">
      <w:pPr>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4</w:t>
      </w:r>
      <w:r>
        <w:rPr>
          <w:rFonts w:hint="eastAsia" w:ascii="仿宋_GB2312" w:eastAsia="仿宋_GB2312"/>
          <w:sz w:val="32"/>
          <w:szCs w:val="32"/>
        </w:rPr>
        <w:t>.基本支出：指为保障机构正常运转、完成日常工作任务而发生的人员支出和公用支出。</w:t>
      </w:r>
    </w:p>
    <w:p w14:paraId="55AD252E">
      <w:pPr>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5</w:t>
      </w:r>
      <w:r>
        <w:rPr>
          <w:rFonts w:hint="eastAsia" w:ascii="仿宋_GB2312" w:eastAsia="仿宋_GB2312"/>
          <w:sz w:val="32"/>
          <w:szCs w:val="32"/>
        </w:rPr>
        <w:t xml:space="preserve">.项目支出：指在基本支出之外为完成特定行政任务和事业发展目标所发生的支出。 </w:t>
      </w:r>
    </w:p>
    <w:p w14:paraId="23926102">
      <w:pPr>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6</w:t>
      </w:r>
      <w:r>
        <w:rPr>
          <w:rFonts w:hint="eastAsia" w:ascii="仿宋_GB2312" w:eastAsia="仿宋_GB2312"/>
          <w:sz w:val="32"/>
          <w:szCs w:val="32"/>
        </w:rPr>
        <w:t>.经营支出：指事业单位在专业业务活动及其辅助活动之外开展非独立核算经营活动发生的支出。</w:t>
      </w:r>
    </w:p>
    <w:p w14:paraId="2F559336">
      <w:pPr>
        <w:ind w:firstLine="640" w:firstLineChars="200"/>
        <w:rPr>
          <w:rFonts w:ascii="仿宋_GB2312" w:eastAsia="仿宋_GB2312"/>
          <w:sz w:val="32"/>
          <w:szCs w:val="32"/>
        </w:rPr>
      </w:pPr>
      <w:r>
        <w:rPr>
          <w:rFonts w:hint="eastAsia" w:ascii="仿宋_GB2312" w:eastAsia="仿宋_GB2312"/>
          <w:sz w:val="32"/>
          <w:szCs w:val="32"/>
          <w:lang w:val="en-US" w:eastAsia="zh-CN"/>
        </w:rPr>
        <w:t>27</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647DE13">
      <w:pPr>
        <w:ind w:firstLine="640" w:firstLineChars="200"/>
        <w:rPr>
          <w:rFonts w:ascii="仿宋_GB2312" w:eastAsia="仿宋_GB2312"/>
          <w:sz w:val="32"/>
          <w:szCs w:val="32"/>
        </w:rPr>
      </w:pPr>
      <w:r>
        <w:rPr>
          <w:rFonts w:hint="eastAsia" w:ascii="仿宋_GB2312" w:eastAsia="仿宋_GB2312"/>
          <w:sz w:val="32"/>
          <w:szCs w:val="32"/>
          <w:lang w:val="en-US" w:eastAsia="zh-CN"/>
        </w:rPr>
        <w:t>28</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500D719">
      <w:pPr>
        <w:ind w:firstLine="640" w:firstLineChars="200"/>
        <w:rPr>
          <w:rFonts w:ascii="仿宋_GB2312" w:eastAsia="仿宋_GB2312"/>
          <w:sz w:val="32"/>
          <w:szCs w:val="32"/>
        </w:rPr>
      </w:pPr>
      <w:r>
        <w:rPr>
          <w:rFonts w:hint="eastAsia" w:ascii="仿宋_GB2312" w:eastAsia="仿宋_GB2312"/>
          <w:sz w:val="32"/>
          <w:szCs w:val="32"/>
          <w:lang w:val="en-US" w:eastAsia="zh-CN"/>
        </w:rPr>
        <w:t>29</w:t>
      </w:r>
      <w:r>
        <w:rPr>
          <w:rFonts w:hint="eastAsia" w:ascii="仿宋_GB2312" w:eastAsia="仿宋_GB2312"/>
          <w:sz w:val="32"/>
          <w:szCs w:val="32"/>
        </w:rPr>
        <w:t>.……。</w:t>
      </w:r>
    </w:p>
    <w:p w14:paraId="719EAF7B">
      <w:pPr>
        <w:ind w:firstLine="420" w:firstLineChars="200"/>
      </w:pPr>
    </w:p>
    <w:p w14:paraId="79B0775B">
      <w:pPr>
        <w:ind w:firstLine="643" w:firstLineChars="200"/>
        <w:rPr>
          <w:rFonts w:ascii="仿宋" w:hAnsi="仿宋" w:eastAsia="仿宋"/>
          <w:b/>
          <w:sz w:val="32"/>
          <w:szCs w:val="32"/>
        </w:rPr>
      </w:pPr>
      <w:r>
        <w:rPr>
          <w:rFonts w:hint="eastAsia" w:ascii="仿宋" w:hAnsi="仿宋" w:eastAsia="仿宋"/>
          <w:b/>
          <w:sz w:val="32"/>
          <w:szCs w:val="32"/>
        </w:rPr>
        <w:t>（名词解释部分请根据各部门实际列支情况罗列，并根据本部门职责职能增减名词解释内容。）</w:t>
      </w:r>
      <w:r>
        <w:rPr>
          <w:rFonts w:ascii="仿宋" w:hAnsi="仿宋" w:eastAsia="仿宋"/>
          <w:b/>
          <w:sz w:val="32"/>
          <w:szCs w:val="32"/>
        </w:rPr>
        <w:br w:type="page"/>
      </w:r>
    </w:p>
    <w:p w14:paraId="07868EA9">
      <w:pPr>
        <w:pStyle w:val="2"/>
        <w:jc w:val="center"/>
        <w:rPr>
          <w:rFonts w:ascii="黑体" w:hAnsi="黑体" w:eastAsia="黑体"/>
          <w:b w:val="0"/>
        </w:rPr>
      </w:pPr>
      <w:r>
        <w:rPr>
          <w:rFonts w:hint="eastAsia" w:ascii="黑体" w:hAnsi="黑体" w:eastAsia="黑体"/>
          <w:b w:val="0"/>
        </w:rPr>
        <w:t>第四部分 附件</w:t>
      </w:r>
    </w:p>
    <w:p w14:paraId="05E0DAF3"/>
    <w:p w14:paraId="3D09D5BB">
      <w:pPr>
        <w:rPr>
          <w:rFonts w:ascii="黑体" w:hAnsi="黑体" w:eastAsia="黑体"/>
          <w:sz w:val="32"/>
          <w:szCs w:val="32"/>
        </w:rPr>
      </w:pPr>
      <w:r>
        <w:rPr>
          <w:rFonts w:hint="eastAsia" w:ascii="黑体" w:hAnsi="黑体" w:eastAsia="黑体"/>
          <w:sz w:val="32"/>
          <w:szCs w:val="32"/>
        </w:rPr>
        <w:t>附件1</w:t>
      </w:r>
    </w:p>
    <w:p w14:paraId="4EC964FC">
      <w:pPr>
        <w:jc w:val="center"/>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lang w:val="en-US" w:eastAsia="zh-CN"/>
        </w:rPr>
        <w:t>2023年阿坝州财政局</w:t>
      </w:r>
      <w:r>
        <w:rPr>
          <w:rFonts w:hint="eastAsia" w:ascii="方正小标宋简体" w:hAnsi="方正小标宋简体" w:eastAsia="方正小标宋简体"/>
          <w:sz w:val="44"/>
          <w:szCs w:val="44"/>
        </w:rPr>
        <w:t>部门预算绩效评价</w:t>
      </w:r>
    </w:p>
    <w:p w14:paraId="6A7D664B">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报告</w:t>
      </w:r>
    </w:p>
    <w:p w14:paraId="0D069F65">
      <w:pPr>
        <w:jc w:val="center"/>
        <w:rPr>
          <w:rFonts w:ascii="仿宋_GB2312" w:eastAsia="仿宋_GB2312"/>
          <w:sz w:val="32"/>
          <w:szCs w:val="32"/>
        </w:rPr>
      </w:pPr>
      <w:r>
        <w:rPr>
          <w:rFonts w:hint="eastAsia" w:ascii="仿宋_GB2312" w:eastAsia="仿宋_GB2312"/>
          <w:sz w:val="32"/>
          <w:szCs w:val="32"/>
        </w:rPr>
        <w:t>（报告范围包括机关和下属单位）</w:t>
      </w:r>
    </w:p>
    <w:p w14:paraId="69E93429"/>
    <w:p w14:paraId="553E7AD0">
      <w:pPr>
        <w:ind w:firstLine="640" w:firstLineChars="200"/>
        <w:rPr>
          <w:rFonts w:hint="eastAsia" w:ascii="仿宋_GB2312" w:eastAsia="仿宋_GB2312"/>
          <w:sz w:val="32"/>
          <w:szCs w:val="32"/>
        </w:rPr>
      </w:pPr>
      <w:r>
        <w:rPr>
          <w:rFonts w:hint="eastAsia" w:ascii="仿宋_GB2312" w:eastAsia="仿宋_GB2312"/>
          <w:sz w:val="32"/>
          <w:szCs w:val="32"/>
          <w:lang w:val="zh-CN"/>
        </w:rPr>
        <w:t>一、部门（单位）基本情况</w:t>
      </w:r>
    </w:p>
    <w:p w14:paraId="34CC0E42">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（一）机构组成。</w:t>
      </w:r>
    </w:p>
    <w:p w14:paraId="1A862DB2">
      <w:pPr>
        <w:ind w:firstLine="640" w:firstLineChars="200"/>
        <w:rPr>
          <w:rFonts w:hint="eastAsia" w:ascii="仿宋_GB2312" w:eastAsia="仿宋_GB2312"/>
          <w:sz w:val="32"/>
          <w:szCs w:val="32"/>
        </w:rPr>
      </w:pPr>
      <w:r>
        <w:rPr>
          <w:rFonts w:hint="eastAsia" w:ascii="仿宋_GB2312" w:eastAsia="仿宋_GB2312"/>
          <w:sz w:val="32"/>
          <w:szCs w:val="32"/>
        </w:rPr>
        <w:t>阿坝州财政局属一级预算单位，含行政单位1个、参公单位3个、事业单位5个。阿坝州财政局（行政及参公）含行政单位1个，参照公务员法管理的事业单位3个,分别为阿坝州国库集中支付中心、阿坝州财政绩效管理服务中心、阿坝州票据监管中心。阿坝州财政信息网络管理中心直属事业单位5个，分别为阿坝州财政信息网络管理中心、阿坝州财政投资评审中心、阿坝州财政离退休干部服务中心、阿坝州财政政务后勤服务中心、阿坝州财政预算编审中心。</w:t>
      </w:r>
    </w:p>
    <w:p w14:paraId="3D16F772">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机构职能。</w:t>
      </w:r>
    </w:p>
    <w:p w14:paraId="5C713600">
      <w:pPr>
        <w:ind w:firstLine="640" w:firstLineChars="200"/>
        <w:rPr>
          <w:rFonts w:hint="eastAsia" w:ascii="仿宋_GB2312" w:eastAsia="仿宋_GB2312"/>
          <w:sz w:val="32"/>
          <w:szCs w:val="32"/>
          <w:lang w:val="zh-CN"/>
        </w:rPr>
      </w:pPr>
      <w:r>
        <w:rPr>
          <w:rFonts w:hint="eastAsia" w:ascii="仿宋_GB2312" w:eastAsia="仿宋_GB2312"/>
          <w:sz w:val="32"/>
          <w:szCs w:val="32"/>
        </w:rPr>
        <w:t>贯彻执行党和国家关于预算、税收、行政事业单位国有资产、财务、会计等法律、法规、规章和方针、政策。根据全州国民经济和社会发展战略，编制中长期财政计划；研究制定地方财政政策，参与制定各项宏观经济政策；推进财政改革，提出运用财政政策实施宏观调控和综合平衡社会财力的建议。编制年度州本级财政预决算草案，经批准后组织执行。汇编全州年度财政预算，审编财政决算；指导各县财政预算编制、执行工作；办理州对各县、州本级各部门的预算追加、追减和调整；受州政府委托，向州人民代表大会报告全州财政预算及其执行情况，向州人民代表大会常务委员会报告财政决算；管理州级各项财政收入及州级财政专户；管理有关政府性基金和行政事业性收费。管理州级各项财政支出，指导和监管州级各部门财务活动，实施国库集中支付，指导和监督县级财政收支活动。指导、协调和监督全州政府采购工作，负责州本级政府采购监督管理。按照规定权限和程序，参与研究税收减免及审批工作。管理全州财政性资金基本建设投资，负责财政性资金投资项目工程概、预、决算的评审。负责贯彻执行国家和省、州有关农业综合开发方针、政策；参与制订农业综合开发的中长期计划，并组织实施；负责全州农业综合开发项目资金的监督、管理及有偿使用资金的回收工作。参与研究社会保障制度改革和制定相关政策；制定并组织实施社会保障资金的财务管理制度；对社会保障资金的使用实施财政监督。管理和指导全州的会计、资产评估和社会审计等工作；依法对注册会计师、注册资产评估师和会计事务所、资产评估事务所等中介机构及注册会计师协会、资产评估协会等行业自律管理组织进行监督和指导。监督财税方针政策、法律法规的执行情况；检查反映财政收支管理中的重大问题；强化财政监督，建立预算收入保障机制、预算支出有效监控机制和财政内部监督制约机制。制定财政学术研究和教育规划，组织开展系统内公务员、职员的教育和财政、税收、财会学术研究；指导州级财税、财会社会学术团体的工作；负责财政宣传工作和财政信息管理系统建设。承办州委、州政府、省财政厅交办的其他事项。</w:t>
      </w:r>
    </w:p>
    <w:p w14:paraId="3C958DD6">
      <w:pPr>
        <w:ind w:firstLine="640" w:firstLineChars="200"/>
        <w:rPr>
          <w:rFonts w:hint="eastAsia" w:ascii="仿宋_GB2312" w:eastAsia="仿宋_GB2312"/>
          <w:sz w:val="32"/>
          <w:szCs w:val="32"/>
        </w:rPr>
      </w:pPr>
      <w:r>
        <w:rPr>
          <w:rFonts w:hint="eastAsia" w:ascii="仿宋_GB2312" w:eastAsia="仿宋_GB2312"/>
          <w:sz w:val="32"/>
          <w:szCs w:val="32"/>
          <w:lang w:val="zh-CN"/>
        </w:rPr>
        <w:t>（三）人员概况。</w:t>
      </w:r>
      <w:r>
        <w:rPr>
          <w:rFonts w:hint="eastAsia" w:ascii="仿宋_GB2312" w:eastAsia="仿宋_GB2312"/>
          <w:sz w:val="32"/>
          <w:szCs w:val="32"/>
        </w:rPr>
        <w:t>我单位共有编制数150个，公务员编制53个、行政工勤编制11个、参照公务员法管理人员23个，事业编制数86个；截止2023年末，单位实有人数110人，其中：在职113人（公务员41人、行政工勤9人、参公人员21人、事业39人）。</w:t>
      </w:r>
    </w:p>
    <w:p w14:paraId="3E9DF7A5">
      <w:pPr>
        <w:ind w:firstLine="640" w:firstLineChars="200"/>
        <w:rPr>
          <w:rFonts w:hint="eastAsia" w:ascii="仿宋_GB2312" w:eastAsia="仿宋_GB2312"/>
          <w:sz w:val="32"/>
          <w:szCs w:val="32"/>
        </w:rPr>
      </w:pPr>
      <w:r>
        <w:rPr>
          <w:rFonts w:hint="eastAsia" w:ascii="仿宋_GB2312" w:eastAsia="仿宋_GB2312"/>
          <w:sz w:val="32"/>
          <w:szCs w:val="32"/>
        </w:rPr>
        <w:t>二、部门资金收支情况</w:t>
      </w:r>
    </w:p>
    <w:p w14:paraId="1D518FCE">
      <w:pPr>
        <w:ind w:firstLine="640" w:firstLineChars="200"/>
        <w:rPr>
          <w:rFonts w:hint="eastAsia" w:ascii="仿宋_GB2312" w:eastAsia="仿宋_GB2312"/>
          <w:sz w:val="32"/>
          <w:szCs w:val="32"/>
        </w:rPr>
      </w:pPr>
      <w:r>
        <w:rPr>
          <w:rFonts w:hint="eastAsia" w:ascii="仿宋_GB2312" w:eastAsia="仿宋_GB2312"/>
          <w:sz w:val="32"/>
          <w:szCs w:val="32"/>
          <w:lang w:val="zh-CN"/>
        </w:rPr>
        <w:t>（一）收入情况。</w:t>
      </w:r>
      <w:r>
        <w:rPr>
          <w:rFonts w:hint="eastAsia" w:ascii="仿宋_GB2312" w:eastAsia="仿宋_GB2312"/>
          <w:sz w:val="32"/>
          <w:szCs w:val="32"/>
        </w:rPr>
        <w:t>阿坝州财政局（部门）2023年年初预算收入本单位本年度总收入为4963.27万元。其中：一般公共预算财政拨款收入为4963.26万元，占比100.00%；</w:t>
      </w:r>
    </w:p>
    <w:p w14:paraId="56C4A0AC">
      <w:pPr>
        <w:ind w:firstLine="640" w:firstLineChars="200"/>
        <w:rPr>
          <w:rFonts w:hint="eastAsia" w:ascii="仿宋_GB2312" w:eastAsia="仿宋_GB2312"/>
          <w:sz w:val="32"/>
          <w:szCs w:val="32"/>
        </w:rPr>
      </w:pPr>
      <w:r>
        <w:rPr>
          <w:rFonts w:hint="eastAsia" w:ascii="仿宋_GB2312" w:eastAsia="仿宋_GB2312"/>
          <w:sz w:val="32"/>
          <w:szCs w:val="32"/>
          <w:lang w:val="zh-CN"/>
        </w:rPr>
        <w:t>（二）支出情况。</w:t>
      </w:r>
      <w:r>
        <w:rPr>
          <w:rFonts w:hint="eastAsia" w:ascii="仿宋_GB2312" w:eastAsia="仿宋_GB2312"/>
          <w:sz w:val="32"/>
          <w:szCs w:val="32"/>
        </w:rPr>
        <w:t>阿坝州财政局（部门）2023年年初预算支出情况本年度总支出为4963.26万元。其中：一般公共服务支出为4272.56万元，占比86.08%；社会保障和就业支出为355.67万元，占比7.17%；卫生健康支出为131.99万元，占比2.66%；住房保障支出为203.05万元，占比4.09%.</w:t>
      </w:r>
    </w:p>
    <w:p w14:paraId="78B92B13">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（三）</w:t>
      </w:r>
      <w:r>
        <w:rPr>
          <w:rFonts w:hint="eastAsia" w:ascii="仿宋_GB2312" w:eastAsia="仿宋_GB2312"/>
          <w:sz w:val="32"/>
          <w:szCs w:val="32"/>
        </w:rPr>
        <w:t>结余分配和结转结余情况。阿坝州财政局（部门）2023年决算报表结转结余情况无。</w:t>
      </w:r>
    </w:p>
    <w:p w14:paraId="5FD1BAFA">
      <w:pPr>
        <w:ind w:firstLine="640" w:firstLineChars="200"/>
        <w:rPr>
          <w:rFonts w:hint="eastAsia" w:ascii="仿宋_GB2312" w:eastAsia="仿宋_GB2312"/>
          <w:sz w:val="32"/>
          <w:szCs w:val="32"/>
        </w:rPr>
      </w:pPr>
      <w:r>
        <w:rPr>
          <w:rFonts w:hint="eastAsia" w:ascii="仿宋_GB2312" w:eastAsia="仿宋_GB2312"/>
          <w:sz w:val="32"/>
          <w:szCs w:val="32"/>
        </w:rPr>
        <w:t>三、部门预算绩效分析</w:t>
      </w:r>
    </w:p>
    <w:p w14:paraId="6431ED76">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（一）部门预算总体绩效分析。根据部门预算绩效评价指标体系“总体绩效”涉及二、三级指标进行逐项绩效分析并评分，依次包括履职效能、预算管理、财务管理、资产管理、采购管理等情况。</w:t>
      </w:r>
    </w:p>
    <w:p w14:paraId="097113F7">
      <w:pPr>
        <w:ind w:firstLine="640" w:firstLineChars="200"/>
        <w:rPr>
          <w:rFonts w:hint="eastAsia" w:ascii="仿宋_GB2312" w:eastAsia="仿宋_GB2312"/>
          <w:sz w:val="32"/>
          <w:szCs w:val="32"/>
          <w:lang w:val="zh-CN"/>
        </w:rPr>
      </w:pPr>
      <w:r>
        <w:rPr>
          <w:rFonts w:hint="eastAsia" w:ascii="仿宋_GB2312" w:eastAsia="仿宋_GB2312"/>
          <w:sz w:val="32"/>
          <w:szCs w:val="32"/>
        </w:rPr>
        <w:t>1.</w:t>
      </w:r>
      <w:r>
        <w:rPr>
          <w:rFonts w:hint="eastAsia" w:ascii="仿宋_GB2312" w:eastAsia="仿宋_GB2312"/>
          <w:sz w:val="32"/>
          <w:szCs w:val="32"/>
          <w:lang w:val="zh-CN"/>
        </w:rPr>
        <w:t>履职效能。</w:t>
      </w:r>
    </w:p>
    <w:p w14:paraId="3DCE707B">
      <w:pPr>
        <w:ind w:firstLine="640" w:firstLineChars="200"/>
        <w:rPr>
          <w:rFonts w:hint="eastAsia" w:ascii="仿宋_GB2312" w:eastAsia="仿宋_GB2312"/>
          <w:sz w:val="32"/>
          <w:szCs w:val="32"/>
        </w:rPr>
      </w:pPr>
      <w:r>
        <w:rPr>
          <w:rFonts w:hint="eastAsia" w:ascii="仿宋_GB2312" w:eastAsia="仿宋_GB2312"/>
          <w:sz w:val="32"/>
          <w:szCs w:val="32"/>
        </w:rPr>
        <w:t>（一）履行政治领导责任，做好理论武装和思想政治工作，负责学习、宣传、贯彻执行党的理论和路线方针政策，贯彻落实党中央、省委、州委的决策部署，发挥好把方向、管大局、保落实的重要作用。</w:t>
      </w:r>
    </w:p>
    <w:p w14:paraId="374D2167">
      <w:pPr>
        <w:ind w:firstLine="640" w:firstLineChars="200"/>
        <w:rPr>
          <w:rFonts w:hint="eastAsia" w:ascii="仿宋_GB2312" w:eastAsia="仿宋_GB2312"/>
          <w:sz w:val="32"/>
          <w:szCs w:val="32"/>
        </w:rPr>
      </w:pPr>
      <w:r>
        <w:rPr>
          <w:rFonts w:hint="eastAsia" w:ascii="仿宋_GB2312" w:eastAsia="仿宋_GB2312"/>
          <w:sz w:val="32"/>
          <w:szCs w:val="32"/>
        </w:rPr>
        <w:t>（二）讨论和决定本单位下列重大问题。党的路线方针政策、国家法律法规和上级党组织重要会议、重要文件、重大决策部署的贯彻落实事项。需要向上级党组织请示报告的重要事项。内部机构设置、职责、人员编制等事项。重大决策、重要人事任免、重大项目安排、大额资金使用等事项。基层党组织和党员队伍建设方面的重要事项。意识形态工作、思想政治工作和精神文明建设方面的重要事项。党风廉政建设和反腐败工作方面的重要事项，其他应当由党组讨论和决定的重大问题。</w:t>
      </w:r>
    </w:p>
    <w:p w14:paraId="5380ED6F">
      <w:pPr>
        <w:ind w:firstLine="640" w:firstLineChars="200"/>
        <w:rPr>
          <w:rFonts w:hint="eastAsia" w:ascii="仿宋_GB2312" w:eastAsia="仿宋_GB2312"/>
          <w:sz w:val="32"/>
          <w:szCs w:val="32"/>
        </w:rPr>
      </w:pPr>
      <w:r>
        <w:rPr>
          <w:rFonts w:hint="eastAsia" w:ascii="仿宋_GB2312" w:eastAsia="仿宋_GB2312"/>
          <w:sz w:val="32"/>
          <w:szCs w:val="32"/>
        </w:rPr>
        <w:t>（三）贯彻党管干部原则，加强干部队伍建设，完善干部培养选拔机制，加强干部教育管理监督。贯彻党管人才原则，加强人才队伍建设。加强对本单位工会、共青团、妇联等群团工作的领导。</w:t>
      </w:r>
    </w:p>
    <w:p w14:paraId="18CF02C8">
      <w:pPr>
        <w:ind w:firstLine="640" w:firstLineChars="200"/>
        <w:rPr>
          <w:rFonts w:hint="eastAsia" w:ascii="仿宋_GB2312" w:eastAsia="仿宋_GB2312"/>
          <w:sz w:val="32"/>
          <w:szCs w:val="32"/>
          <w:lang w:val="zh-CN"/>
        </w:rPr>
      </w:pPr>
      <w:r>
        <w:rPr>
          <w:rFonts w:hint="eastAsia" w:ascii="仿宋_GB2312" w:eastAsia="仿宋_GB2312"/>
          <w:sz w:val="32"/>
          <w:szCs w:val="32"/>
        </w:rPr>
        <w:t>（四）履行党要管党、从严治党责任，加强对本单位党的建设的领导，落实党建工作责任制。认真履行党风廉政建设主体责任，支持纪检监察机构履行监督责任。</w:t>
      </w:r>
    </w:p>
    <w:p w14:paraId="37C9489D">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预算管理。</w:t>
      </w:r>
    </w:p>
    <w:p w14:paraId="350E80AD">
      <w:pPr>
        <w:ind w:firstLine="640" w:firstLineChars="200"/>
        <w:rPr>
          <w:rFonts w:hint="eastAsia" w:ascii="仿宋_GB2312" w:eastAsia="仿宋_GB2312"/>
          <w:sz w:val="32"/>
          <w:szCs w:val="32"/>
          <w:lang w:val="zh-CN"/>
        </w:rPr>
      </w:pPr>
      <w:r>
        <w:rPr>
          <w:rFonts w:hint="eastAsia" w:ascii="仿宋_GB2312" w:eastAsia="仿宋_GB2312"/>
          <w:sz w:val="32"/>
          <w:szCs w:val="32"/>
        </w:rPr>
        <w:t>2023年局机关严格按照《预算法》、《阿坝州州级预算绩效目标管理办法》、《预算编制通知》等文件要求，完整编制部门整体绩效目标，合理量化项目绩效目标，准确编制部门预算，支出控制，预算动态调整，按时完成基础库、项目库报送工作，2023年均通过人大预工委的预算草案审核；不涉及转移支付资金，无违规记录。</w:t>
      </w:r>
    </w:p>
    <w:p w14:paraId="2C789678">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财务管理。</w:t>
      </w:r>
    </w:p>
    <w:p w14:paraId="4626DB3F">
      <w:pPr>
        <w:ind w:firstLine="640" w:firstLineChars="200"/>
        <w:rPr>
          <w:rFonts w:hint="eastAsia" w:ascii="仿宋_GB2312" w:eastAsia="仿宋_GB2312"/>
          <w:sz w:val="32"/>
          <w:szCs w:val="32"/>
        </w:rPr>
      </w:pPr>
      <w:r>
        <w:rPr>
          <w:rFonts w:hint="eastAsia" w:ascii="仿宋_GB2312" w:eastAsia="仿宋_GB2312"/>
          <w:sz w:val="32"/>
          <w:szCs w:val="32"/>
        </w:rPr>
        <w:t>我单位办公室下设财务室，设置会计岗位一名，出纳岗位一名，岗位职责明确，并严格实行不相容岗位分离，严格按照阿坝州财政局制度报销各项费用，涉及政府采购严格按照政府采购要求实施采购。</w:t>
      </w:r>
    </w:p>
    <w:p w14:paraId="501B3A55">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1C4D93A0">
      <w:pPr>
        <w:ind w:firstLine="640" w:firstLineChars="200"/>
        <w:rPr>
          <w:rFonts w:hint="eastAsia" w:ascii="仿宋_GB2312" w:eastAsia="仿宋_GB2312"/>
          <w:sz w:val="32"/>
          <w:szCs w:val="32"/>
          <w:lang w:val="zh-CN"/>
        </w:rPr>
      </w:pPr>
      <w:r>
        <w:rPr>
          <w:rFonts w:hint="eastAsia" w:ascii="仿宋_GB2312" w:eastAsia="仿宋_GB2312"/>
          <w:sz w:val="32"/>
          <w:szCs w:val="32"/>
        </w:rPr>
        <w:t>4.</w:t>
      </w:r>
      <w:r>
        <w:rPr>
          <w:rFonts w:hint="eastAsia" w:ascii="仿宋_GB2312" w:eastAsia="仿宋_GB2312"/>
          <w:sz w:val="32"/>
          <w:szCs w:val="32"/>
          <w:lang w:val="zh-CN"/>
        </w:rPr>
        <w:t>资产管理。我单位无债务资金、无非税收入；在政府采购实施计划方面，实施计划与政府采购预算、备案计划一致，中期无调整；在资产管理方面，我单位将国有资产纳入资产信息系统管理，按要求及时、准确、全面开展资产清查工作。落实专人负责资产报表，设立资产专员，及时上报资产报表，报表填报规范、内容完整、数据真实；在内部制度管理方面，我单位内部控制制度健全完整并执行良好，</w:t>
      </w:r>
      <w:r>
        <w:rPr>
          <w:rFonts w:hint="eastAsia" w:ascii="仿宋_GB2312" w:eastAsia="仿宋_GB2312"/>
          <w:sz w:val="32"/>
          <w:szCs w:val="32"/>
        </w:rPr>
        <w:t>积极开展内控信息化平台建设工作，确保内部控制覆盖单位经济和业务活动的全范围；在信息公开方面，严格按照要求及时对部门预、决算、绩效信息向社会公开，依法接受财政监督。</w:t>
      </w:r>
    </w:p>
    <w:p w14:paraId="63502F26">
      <w:pPr>
        <w:ind w:firstLine="640" w:firstLineChars="200"/>
        <w:rPr>
          <w:rFonts w:hint="eastAsia" w:ascii="仿宋_GB2312" w:eastAsia="仿宋_GB2312"/>
          <w:sz w:val="32"/>
          <w:szCs w:val="32"/>
        </w:rPr>
      </w:pPr>
      <w:r>
        <w:rPr>
          <w:rFonts w:hint="eastAsia" w:ascii="仿宋_GB2312" w:eastAsia="仿宋_GB2312"/>
          <w:sz w:val="32"/>
          <w:szCs w:val="32"/>
        </w:rPr>
        <w:t>5.</w:t>
      </w:r>
      <w:r>
        <w:rPr>
          <w:rFonts w:hint="eastAsia" w:ascii="仿宋_GB2312" w:eastAsia="仿宋_GB2312"/>
          <w:sz w:val="32"/>
          <w:szCs w:val="32"/>
          <w:lang w:val="zh-CN"/>
        </w:rPr>
        <w:t>采购管理。围绕支持中小企业发展、采购执行率进行绩效分析。</w:t>
      </w:r>
      <w:r>
        <w:rPr>
          <w:rFonts w:hint="eastAsia" w:ascii="仿宋_GB2312" w:eastAsia="仿宋_GB2312"/>
          <w:sz w:val="32"/>
          <w:szCs w:val="32"/>
        </w:rPr>
        <w:t>支持中小企业发展。本单位严格执行政府采购促进中小企业发展相关管理办法，采用部门集中采购的形式进行采购，已预留采购份额专门面向中小企业采购，并在采购预算中单独列示，采购物资均为必需、急需，采购程序合理、合规。</w:t>
      </w:r>
    </w:p>
    <w:p w14:paraId="0D4E6014">
      <w:pPr>
        <w:ind w:firstLine="640" w:firstLineChars="200"/>
        <w:rPr>
          <w:rFonts w:hint="eastAsia" w:ascii="仿宋_GB2312" w:eastAsia="仿宋_GB2312"/>
          <w:sz w:val="32"/>
          <w:szCs w:val="32"/>
          <w:lang w:val="zh-CN"/>
        </w:rPr>
      </w:pPr>
    </w:p>
    <w:p w14:paraId="1FB659FB">
      <w:pPr>
        <w:ind w:firstLine="640" w:firstLineChars="200"/>
        <w:rPr>
          <w:rFonts w:hint="eastAsia" w:ascii="仿宋_GB2312" w:eastAsia="仿宋_GB2312"/>
          <w:sz w:val="32"/>
          <w:szCs w:val="32"/>
        </w:rPr>
      </w:pPr>
      <w:r>
        <w:rPr>
          <w:rFonts w:hint="eastAsia" w:ascii="仿宋_GB2312" w:eastAsia="仿宋_GB2312"/>
          <w:sz w:val="32"/>
          <w:szCs w:val="32"/>
          <w:lang w:val="zh-CN"/>
        </w:rPr>
        <w:t>（二）部门预算项目绩效分析。填报以下数据，并根据部门预算绩效评价指标体系“项目绩效”涉及二、三级指标进行逐项绩效分析并评分，依次包括项目</w:t>
      </w:r>
      <w:r>
        <w:rPr>
          <w:rFonts w:hint="eastAsia" w:ascii="仿宋_GB2312" w:eastAsia="仿宋_GB2312"/>
          <w:sz w:val="32"/>
          <w:szCs w:val="32"/>
        </w:rPr>
        <w:t>决策、项目执行、目标实现等情况。</w:t>
      </w:r>
    </w:p>
    <w:p w14:paraId="50D597A3">
      <w:pPr>
        <w:ind w:firstLine="640" w:firstLineChars="200"/>
        <w:rPr>
          <w:rFonts w:hint="eastAsia" w:ascii="仿宋_GB2312" w:eastAsia="仿宋_GB2312"/>
          <w:sz w:val="32"/>
          <w:szCs w:val="32"/>
          <w:lang w:val="zh-CN"/>
        </w:rPr>
      </w:pPr>
      <w:r>
        <w:rPr>
          <w:rFonts w:hint="eastAsia" w:ascii="仿宋_GB2312" w:eastAsia="仿宋_GB2312"/>
          <w:sz w:val="32"/>
          <w:szCs w:val="32"/>
        </w:rPr>
        <w:t>常年项目绩效分析。</w:t>
      </w:r>
      <w:r>
        <w:rPr>
          <w:rFonts w:hint="eastAsia" w:ascii="仿宋_GB2312" w:eastAsia="仿宋_GB2312"/>
          <w:sz w:val="32"/>
          <w:szCs w:val="32"/>
          <w:lang w:val="zh-CN"/>
        </w:rPr>
        <w:t>该类项目总数</w:t>
      </w:r>
      <w:r>
        <w:rPr>
          <w:rFonts w:hint="eastAsia" w:ascii="仿宋_GB2312" w:eastAsia="仿宋_GB2312"/>
          <w:sz w:val="32"/>
          <w:szCs w:val="32"/>
        </w:rPr>
        <w:t>23</w:t>
      </w:r>
      <w:r>
        <w:rPr>
          <w:rFonts w:hint="eastAsia" w:ascii="仿宋_GB2312" w:eastAsia="仿宋_GB2312"/>
          <w:sz w:val="32"/>
          <w:szCs w:val="32"/>
          <w:lang w:val="zh-CN"/>
        </w:rPr>
        <w:t>个，涉及预算总金额万元，1—1</w:t>
      </w:r>
      <w:r>
        <w:rPr>
          <w:rFonts w:hint="eastAsia" w:ascii="仿宋_GB2312" w:eastAsia="仿宋_GB2312"/>
          <w:sz w:val="32"/>
          <w:szCs w:val="32"/>
        </w:rPr>
        <w:t>2</w:t>
      </w:r>
      <w:r>
        <w:rPr>
          <w:rFonts w:hint="eastAsia" w:ascii="仿宋_GB2312" w:eastAsia="仿宋_GB2312"/>
          <w:sz w:val="32"/>
          <w:szCs w:val="32"/>
          <w:lang w:val="zh-CN"/>
        </w:rPr>
        <w:t>月预算执行总体进度为</w:t>
      </w:r>
      <w:r>
        <w:rPr>
          <w:rFonts w:hint="eastAsia" w:ascii="仿宋_GB2312" w:eastAsia="仿宋_GB2312"/>
          <w:sz w:val="32"/>
          <w:szCs w:val="32"/>
        </w:rPr>
        <w:t>100</w:t>
      </w:r>
      <w:r>
        <w:rPr>
          <w:rFonts w:hint="eastAsia" w:ascii="仿宋_GB2312" w:eastAsia="仿宋_GB2312"/>
          <w:sz w:val="32"/>
          <w:szCs w:val="32"/>
          <w:lang w:val="zh-CN"/>
        </w:rPr>
        <w:t>%，其中：预算结余率大于</w:t>
      </w:r>
      <w:r>
        <w:rPr>
          <w:rFonts w:hint="eastAsia" w:ascii="仿宋_GB2312" w:eastAsia="仿宋_GB2312"/>
          <w:sz w:val="32"/>
          <w:szCs w:val="32"/>
        </w:rPr>
        <w:t>10%</w:t>
      </w:r>
      <w:r>
        <w:rPr>
          <w:rFonts w:hint="eastAsia" w:ascii="仿宋_GB2312" w:eastAsia="仿宋_GB2312"/>
          <w:sz w:val="32"/>
          <w:szCs w:val="32"/>
          <w:lang w:val="zh-CN"/>
        </w:rPr>
        <w:t>的项目共计</w:t>
      </w:r>
      <w:r>
        <w:rPr>
          <w:rFonts w:hint="eastAsia" w:ascii="仿宋_GB2312" w:eastAsia="仿宋_GB2312"/>
          <w:sz w:val="32"/>
          <w:szCs w:val="32"/>
        </w:rPr>
        <w:t>0</w:t>
      </w:r>
      <w:r>
        <w:rPr>
          <w:rFonts w:hint="eastAsia" w:ascii="仿宋_GB2312" w:eastAsia="仿宋_GB2312"/>
          <w:sz w:val="32"/>
          <w:szCs w:val="32"/>
          <w:lang w:val="zh-CN"/>
        </w:rPr>
        <w:t>个。</w:t>
      </w:r>
    </w:p>
    <w:p w14:paraId="029ED851">
      <w:pPr>
        <w:ind w:firstLine="640" w:firstLineChars="200"/>
        <w:rPr>
          <w:rFonts w:hint="eastAsia" w:ascii="仿宋_GB2312" w:eastAsia="仿宋_GB2312"/>
          <w:sz w:val="32"/>
          <w:szCs w:val="32"/>
          <w:lang w:val="zh-CN"/>
        </w:rPr>
      </w:pPr>
      <w:r>
        <w:rPr>
          <w:rFonts w:hint="eastAsia" w:ascii="仿宋_GB2312" w:eastAsia="仿宋_GB2312"/>
          <w:sz w:val="32"/>
          <w:szCs w:val="32"/>
        </w:rPr>
        <w:t>阶段（一次性）项目绩效分析。</w:t>
      </w:r>
      <w:r>
        <w:rPr>
          <w:rFonts w:hint="eastAsia" w:ascii="仿宋_GB2312" w:eastAsia="仿宋_GB2312"/>
          <w:sz w:val="32"/>
          <w:szCs w:val="32"/>
          <w:lang w:val="zh-CN"/>
        </w:rPr>
        <w:t>该类项目总数</w:t>
      </w:r>
      <w:r>
        <w:rPr>
          <w:rFonts w:hint="eastAsia" w:ascii="仿宋_GB2312" w:eastAsia="仿宋_GB2312"/>
          <w:sz w:val="32"/>
          <w:szCs w:val="32"/>
        </w:rPr>
        <w:t>23</w:t>
      </w:r>
      <w:r>
        <w:rPr>
          <w:rFonts w:hint="eastAsia" w:ascii="仿宋_GB2312" w:eastAsia="仿宋_GB2312"/>
          <w:sz w:val="32"/>
          <w:szCs w:val="32"/>
          <w:lang w:val="zh-CN"/>
        </w:rPr>
        <w:t>个，涉及预算总金额</w:t>
      </w:r>
      <w:r>
        <w:rPr>
          <w:rFonts w:hint="eastAsia" w:ascii="仿宋_GB2312" w:eastAsia="仿宋_GB2312"/>
          <w:sz w:val="32"/>
          <w:szCs w:val="32"/>
        </w:rPr>
        <w:t>859.47</w:t>
      </w:r>
      <w:r>
        <w:rPr>
          <w:rFonts w:hint="eastAsia" w:ascii="仿宋_GB2312" w:eastAsia="仿宋_GB2312"/>
          <w:sz w:val="32"/>
          <w:szCs w:val="32"/>
          <w:lang w:val="zh-CN"/>
        </w:rPr>
        <w:t>万元，1—1</w:t>
      </w:r>
      <w:r>
        <w:rPr>
          <w:rFonts w:hint="eastAsia" w:ascii="仿宋_GB2312" w:eastAsia="仿宋_GB2312"/>
          <w:sz w:val="32"/>
          <w:szCs w:val="32"/>
        </w:rPr>
        <w:t>2</w:t>
      </w:r>
      <w:r>
        <w:rPr>
          <w:rFonts w:hint="eastAsia" w:ascii="仿宋_GB2312" w:eastAsia="仿宋_GB2312"/>
          <w:sz w:val="32"/>
          <w:szCs w:val="32"/>
          <w:lang w:val="zh-CN"/>
        </w:rPr>
        <w:t>月预算执行总体进度为</w:t>
      </w:r>
      <w:r>
        <w:rPr>
          <w:rFonts w:hint="eastAsia" w:ascii="仿宋_GB2312" w:eastAsia="仿宋_GB2312"/>
          <w:sz w:val="32"/>
          <w:szCs w:val="32"/>
        </w:rPr>
        <w:t>100</w:t>
      </w:r>
      <w:r>
        <w:rPr>
          <w:rFonts w:hint="eastAsia" w:ascii="仿宋_GB2312" w:eastAsia="仿宋_GB2312"/>
          <w:sz w:val="32"/>
          <w:szCs w:val="32"/>
          <w:lang w:val="zh-CN"/>
        </w:rPr>
        <w:t>%，其中：预算结余率大于</w:t>
      </w:r>
      <w:r>
        <w:rPr>
          <w:rFonts w:hint="eastAsia" w:ascii="仿宋_GB2312" w:eastAsia="仿宋_GB2312"/>
          <w:sz w:val="32"/>
          <w:szCs w:val="32"/>
        </w:rPr>
        <w:t>10%</w:t>
      </w:r>
      <w:r>
        <w:rPr>
          <w:rFonts w:hint="eastAsia" w:ascii="仿宋_GB2312" w:eastAsia="仿宋_GB2312"/>
          <w:sz w:val="32"/>
          <w:szCs w:val="32"/>
          <w:lang w:val="zh-CN"/>
        </w:rPr>
        <w:t>的项目共计</w:t>
      </w:r>
      <w:r>
        <w:rPr>
          <w:rFonts w:hint="eastAsia" w:ascii="仿宋_GB2312" w:eastAsia="仿宋_GB2312"/>
          <w:sz w:val="32"/>
          <w:szCs w:val="32"/>
        </w:rPr>
        <w:t>0</w:t>
      </w:r>
      <w:r>
        <w:rPr>
          <w:rFonts w:hint="eastAsia" w:ascii="仿宋_GB2312" w:eastAsia="仿宋_GB2312"/>
          <w:sz w:val="32"/>
          <w:szCs w:val="32"/>
          <w:lang w:val="zh-CN"/>
        </w:rPr>
        <w:t>个。</w:t>
      </w:r>
    </w:p>
    <w:p w14:paraId="49D0C3AE">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1.</w:t>
      </w:r>
      <w:r>
        <w:rPr>
          <w:rFonts w:hint="eastAsia" w:ascii="仿宋_GB2312" w:eastAsia="仿宋_GB2312"/>
          <w:sz w:val="32"/>
          <w:szCs w:val="32"/>
          <w:lang w:val="zh-CN"/>
        </w:rPr>
        <w:t>项目决策</w:t>
      </w:r>
    </w:p>
    <w:p w14:paraId="02CB0966">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1</w:t>
      </w:r>
      <w:r>
        <w:rPr>
          <w:rFonts w:hint="eastAsia" w:ascii="仿宋_GB2312" w:eastAsia="仿宋_GB2312"/>
          <w:sz w:val="32"/>
          <w:szCs w:val="32"/>
          <w:lang w:val="zh-CN"/>
        </w:rPr>
        <w:t>）决策程序</w:t>
      </w:r>
    </w:p>
    <w:p w14:paraId="7F30C8BB">
      <w:pPr>
        <w:ind w:firstLine="640" w:firstLineChars="200"/>
        <w:rPr>
          <w:rFonts w:hint="eastAsia" w:ascii="仿宋_GB2312" w:eastAsia="仿宋_GB2312"/>
          <w:sz w:val="32"/>
          <w:szCs w:val="32"/>
        </w:rPr>
      </w:pPr>
      <w:r>
        <w:rPr>
          <w:rFonts w:hint="eastAsia" w:ascii="仿宋_GB2312" w:eastAsia="仿宋_GB2312"/>
          <w:sz w:val="32"/>
          <w:szCs w:val="32"/>
        </w:rPr>
        <w:t>根据可执行情况表，本单位预算阶段项目无未履行事前评估程序的部门预算阶段项目。</w:t>
      </w:r>
    </w:p>
    <w:p w14:paraId="46C00845">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综上，根据评分标准，该项指标不扣分，得4分。</w:t>
      </w:r>
    </w:p>
    <w:p w14:paraId="45EDA206">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2</w:t>
      </w:r>
      <w:r>
        <w:rPr>
          <w:rFonts w:hint="eastAsia" w:ascii="仿宋_GB2312" w:eastAsia="仿宋_GB2312"/>
          <w:sz w:val="32"/>
          <w:szCs w:val="32"/>
          <w:lang w:val="zh-CN"/>
        </w:rPr>
        <w:t>）目标设置</w:t>
      </w:r>
    </w:p>
    <w:p w14:paraId="14A3F08A">
      <w:pPr>
        <w:ind w:firstLine="640" w:firstLineChars="200"/>
        <w:rPr>
          <w:rFonts w:hint="eastAsia" w:ascii="仿宋_GB2312" w:eastAsia="仿宋_GB2312"/>
          <w:sz w:val="32"/>
          <w:szCs w:val="32"/>
          <w:lang w:val="zh-CN"/>
        </w:rPr>
      </w:pPr>
      <w:r>
        <w:rPr>
          <w:rFonts w:hint="eastAsia" w:ascii="仿宋_GB2312" w:eastAsia="仿宋_GB2312"/>
          <w:sz w:val="32"/>
          <w:szCs w:val="32"/>
        </w:rPr>
        <w:t>本单位</w:t>
      </w:r>
      <w:r>
        <w:rPr>
          <w:rFonts w:hint="eastAsia" w:ascii="仿宋_GB2312" w:eastAsia="仿宋_GB2312"/>
          <w:sz w:val="32"/>
          <w:szCs w:val="32"/>
          <w:lang w:val="zh-CN"/>
        </w:rPr>
        <w:t>预算阶段项目</w:t>
      </w:r>
      <w:r>
        <w:rPr>
          <w:rFonts w:hint="eastAsia" w:ascii="仿宋_GB2312" w:eastAsia="仿宋_GB2312"/>
          <w:sz w:val="32"/>
          <w:szCs w:val="32"/>
        </w:rPr>
        <w:t>无绩效目标与计划期内的任务量、预算安排不相匹配的部门预算阶段项目。</w:t>
      </w:r>
    </w:p>
    <w:p w14:paraId="57687990">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综上，根据评分标准，该项指标不扣分，得4分。</w:t>
      </w:r>
    </w:p>
    <w:p w14:paraId="675C305D">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3</w:t>
      </w:r>
      <w:r>
        <w:rPr>
          <w:rFonts w:hint="eastAsia" w:ascii="仿宋_GB2312" w:eastAsia="仿宋_GB2312"/>
          <w:sz w:val="32"/>
          <w:szCs w:val="32"/>
          <w:lang w:val="zh-CN"/>
        </w:rPr>
        <w:t>）项目入库</w:t>
      </w:r>
    </w:p>
    <w:p w14:paraId="6AA9785B">
      <w:pPr>
        <w:ind w:firstLine="640" w:firstLineChars="200"/>
        <w:rPr>
          <w:rFonts w:hint="eastAsia" w:ascii="仿宋_GB2312" w:eastAsia="仿宋_GB2312"/>
          <w:sz w:val="32"/>
          <w:szCs w:val="32"/>
        </w:rPr>
      </w:pPr>
      <w:r>
        <w:rPr>
          <w:rFonts w:hint="eastAsia" w:ascii="仿宋_GB2312" w:eastAsia="仿宋_GB2312"/>
          <w:sz w:val="32"/>
          <w:szCs w:val="32"/>
        </w:rPr>
        <w:t>本单位</w:t>
      </w:r>
      <w:r>
        <w:rPr>
          <w:rFonts w:hint="eastAsia" w:ascii="仿宋_GB2312" w:eastAsia="仿宋_GB2312"/>
          <w:sz w:val="32"/>
          <w:szCs w:val="32"/>
          <w:lang w:val="zh-CN"/>
        </w:rPr>
        <w:t>预算阶段项目</w:t>
      </w:r>
      <w:r>
        <w:rPr>
          <w:rFonts w:hint="eastAsia" w:ascii="仿宋_GB2312" w:eastAsia="仿宋_GB2312"/>
          <w:sz w:val="32"/>
          <w:szCs w:val="32"/>
        </w:rPr>
        <w:t>均已在规定时间内入财政库。</w:t>
      </w:r>
    </w:p>
    <w:p w14:paraId="7522D1B9">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综上，根据评分标准，该项指标不扣分，得4分。</w:t>
      </w:r>
    </w:p>
    <w:p w14:paraId="20B3143D">
      <w:pPr>
        <w:ind w:firstLine="640" w:firstLineChars="200"/>
        <w:rPr>
          <w:rFonts w:hint="eastAsia" w:ascii="仿宋_GB2312" w:eastAsia="仿宋_GB2312"/>
          <w:sz w:val="32"/>
          <w:szCs w:val="32"/>
          <w:lang w:val="zh-CN"/>
        </w:rPr>
      </w:pPr>
      <w:r>
        <w:rPr>
          <w:rFonts w:hint="eastAsia" w:ascii="仿宋_GB2312" w:eastAsia="仿宋_GB2312"/>
          <w:sz w:val="32"/>
          <w:szCs w:val="32"/>
        </w:rPr>
        <w:t>2.项目执行</w:t>
      </w:r>
    </w:p>
    <w:p w14:paraId="563F98A0">
      <w:pPr>
        <w:ind w:firstLine="640" w:firstLineChars="200"/>
        <w:rPr>
          <w:rFonts w:hint="eastAsia" w:ascii="仿宋_GB2312" w:eastAsia="仿宋_GB2312"/>
          <w:sz w:val="32"/>
          <w:szCs w:val="32"/>
          <w:lang w:val="zh-CN"/>
        </w:rPr>
      </w:pPr>
      <w:r>
        <w:rPr>
          <w:rFonts w:hint="eastAsia" w:ascii="仿宋_GB2312" w:eastAsia="仿宋_GB2312"/>
          <w:sz w:val="32"/>
          <w:szCs w:val="32"/>
        </w:rPr>
        <w:t>（1）</w:t>
      </w:r>
      <w:r>
        <w:rPr>
          <w:rFonts w:hint="eastAsia" w:ascii="仿宋_GB2312" w:eastAsia="仿宋_GB2312"/>
          <w:sz w:val="32"/>
          <w:szCs w:val="32"/>
          <w:lang w:val="zh-CN"/>
        </w:rPr>
        <w:t>资金执行同向</w:t>
      </w:r>
    </w:p>
    <w:p w14:paraId="4516A586">
      <w:pPr>
        <w:ind w:firstLine="640" w:firstLineChars="200"/>
        <w:rPr>
          <w:rFonts w:hint="eastAsia" w:ascii="仿宋_GB2312" w:eastAsia="仿宋_GB2312"/>
          <w:sz w:val="32"/>
          <w:szCs w:val="32"/>
        </w:rPr>
      </w:pPr>
      <w:r>
        <w:rPr>
          <w:rFonts w:hint="eastAsia" w:ascii="仿宋_GB2312" w:eastAsia="仿宋_GB2312"/>
          <w:sz w:val="32"/>
          <w:szCs w:val="32"/>
        </w:rPr>
        <w:t>本单位</w:t>
      </w:r>
      <w:r>
        <w:rPr>
          <w:rFonts w:hint="eastAsia" w:ascii="仿宋_GB2312" w:eastAsia="仿宋_GB2312"/>
          <w:sz w:val="32"/>
          <w:szCs w:val="32"/>
          <w:lang w:val="zh-CN"/>
        </w:rPr>
        <w:t>预算阶段项目</w:t>
      </w:r>
      <w:r>
        <w:rPr>
          <w:rFonts w:hint="eastAsia" w:ascii="仿宋_GB2312" w:eastAsia="仿宋_GB2312"/>
          <w:sz w:val="32"/>
          <w:szCs w:val="32"/>
        </w:rPr>
        <w:t>无实际列支内容与绩效目标设置方向不相符的部门预算阶段项目。</w:t>
      </w:r>
    </w:p>
    <w:p w14:paraId="769091AC">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04A4485B">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2</w:t>
      </w:r>
      <w:r>
        <w:rPr>
          <w:rFonts w:hint="eastAsia" w:ascii="仿宋_GB2312" w:eastAsia="仿宋_GB2312"/>
          <w:sz w:val="32"/>
          <w:szCs w:val="32"/>
          <w:lang w:val="zh-CN"/>
        </w:rPr>
        <w:t>）项目调整</w:t>
      </w:r>
    </w:p>
    <w:p w14:paraId="4D8A6D52">
      <w:pPr>
        <w:ind w:firstLine="640" w:firstLineChars="200"/>
        <w:rPr>
          <w:rFonts w:hint="eastAsia" w:ascii="仿宋_GB2312" w:eastAsia="仿宋_GB2312"/>
          <w:sz w:val="32"/>
          <w:szCs w:val="32"/>
        </w:rPr>
      </w:pPr>
      <w:r>
        <w:rPr>
          <w:rFonts w:hint="eastAsia" w:ascii="仿宋_GB2312" w:eastAsia="仿宋_GB2312"/>
          <w:sz w:val="32"/>
          <w:szCs w:val="32"/>
        </w:rPr>
        <w:t>本单位应采取收回预算、调整目标等处置措施的部门预算项目均按程序进行预算收回和目标调整。</w:t>
      </w:r>
    </w:p>
    <w:p w14:paraId="1AC7BA4B">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综上，根据评分标准，该项指标不扣分，得4分。</w:t>
      </w:r>
    </w:p>
    <w:p w14:paraId="35FA3E20">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3</w:t>
      </w:r>
      <w:r>
        <w:rPr>
          <w:rFonts w:hint="eastAsia" w:ascii="仿宋_GB2312" w:eastAsia="仿宋_GB2312"/>
          <w:sz w:val="32"/>
          <w:szCs w:val="32"/>
          <w:lang w:val="zh-CN"/>
        </w:rPr>
        <w:t>）执行结果</w:t>
      </w:r>
    </w:p>
    <w:p w14:paraId="220535CC">
      <w:pPr>
        <w:ind w:firstLine="640" w:firstLineChars="200"/>
        <w:rPr>
          <w:rFonts w:hint="eastAsia" w:ascii="仿宋_GB2312" w:eastAsia="仿宋_GB2312"/>
          <w:sz w:val="32"/>
          <w:szCs w:val="32"/>
        </w:rPr>
      </w:pPr>
      <w:r>
        <w:rPr>
          <w:rFonts w:hint="eastAsia" w:ascii="仿宋_GB2312" w:eastAsia="仿宋_GB2312"/>
          <w:sz w:val="32"/>
          <w:szCs w:val="32"/>
        </w:rPr>
        <w:t>本单位预算项目预算结余率均小于10%。</w:t>
      </w:r>
    </w:p>
    <w:p w14:paraId="1A8ACE1A">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4154753A">
      <w:pPr>
        <w:ind w:firstLine="640" w:firstLineChars="200"/>
        <w:rPr>
          <w:rFonts w:hint="eastAsia" w:ascii="仿宋_GB2312" w:eastAsia="仿宋_GB2312"/>
          <w:sz w:val="32"/>
          <w:szCs w:val="32"/>
          <w:lang w:val="zh-CN"/>
        </w:rPr>
      </w:pPr>
      <w:r>
        <w:rPr>
          <w:rFonts w:hint="eastAsia" w:ascii="仿宋_GB2312" w:eastAsia="仿宋_GB2312"/>
          <w:sz w:val="32"/>
          <w:szCs w:val="32"/>
        </w:rPr>
        <w:t>3.</w:t>
      </w:r>
      <w:r>
        <w:rPr>
          <w:rFonts w:hint="eastAsia" w:ascii="仿宋_GB2312" w:eastAsia="仿宋_GB2312"/>
          <w:sz w:val="32"/>
          <w:szCs w:val="32"/>
          <w:lang w:val="zh-CN"/>
        </w:rPr>
        <w:t>目标实现</w:t>
      </w:r>
    </w:p>
    <w:p w14:paraId="6172B220">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1</w:t>
      </w:r>
      <w:r>
        <w:rPr>
          <w:rFonts w:hint="eastAsia" w:ascii="仿宋_GB2312" w:eastAsia="仿宋_GB2312"/>
          <w:sz w:val="32"/>
          <w:szCs w:val="32"/>
          <w:lang w:val="zh-CN"/>
        </w:rPr>
        <w:t>）目标完成</w:t>
      </w:r>
    </w:p>
    <w:p w14:paraId="448A7271">
      <w:pPr>
        <w:ind w:firstLine="640" w:firstLineChars="200"/>
        <w:rPr>
          <w:rFonts w:hint="eastAsia" w:ascii="仿宋_GB2312" w:eastAsia="仿宋_GB2312"/>
          <w:sz w:val="32"/>
          <w:szCs w:val="32"/>
        </w:rPr>
      </w:pPr>
      <w:r>
        <w:rPr>
          <w:rFonts w:hint="eastAsia" w:ascii="仿宋_GB2312" w:eastAsia="仿宋_GB2312"/>
          <w:sz w:val="32"/>
          <w:szCs w:val="32"/>
        </w:rPr>
        <w:t>本单位</w:t>
      </w:r>
      <w:r>
        <w:rPr>
          <w:rFonts w:hint="eastAsia" w:ascii="仿宋_GB2312" w:eastAsia="仿宋_GB2312"/>
          <w:sz w:val="32"/>
          <w:szCs w:val="32"/>
          <w:lang w:val="zh-CN"/>
        </w:rPr>
        <w:t>预算项目</w:t>
      </w:r>
      <w:r>
        <w:rPr>
          <w:rFonts w:hint="eastAsia" w:ascii="仿宋_GB2312" w:eastAsia="仿宋_GB2312"/>
          <w:sz w:val="32"/>
          <w:szCs w:val="32"/>
        </w:rPr>
        <w:t>均已完成绩效目标数量指标。</w:t>
      </w:r>
    </w:p>
    <w:p w14:paraId="57C76DEE">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1FD8DB02">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2</w:t>
      </w:r>
      <w:r>
        <w:rPr>
          <w:rFonts w:hint="eastAsia" w:ascii="仿宋_GB2312" w:eastAsia="仿宋_GB2312"/>
          <w:sz w:val="32"/>
          <w:szCs w:val="32"/>
          <w:lang w:val="zh-CN"/>
        </w:rPr>
        <w:t>）目标偏离</w:t>
      </w:r>
    </w:p>
    <w:p w14:paraId="1107BE4D">
      <w:pPr>
        <w:ind w:firstLine="640" w:firstLineChars="200"/>
        <w:rPr>
          <w:rFonts w:hint="eastAsia" w:ascii="仿宋_GB2312" w:eastAsia="仿宋_GB2312"/>
          <w:sz w:val="32"/>
          <w:szCs w:val="32"/>
        </w:rPr>
      </w:pPr>
      <w:r>
        <w:rPr>
          <w:rFonts w:hint="eastAsia" w:ascii="仿宋_GB2312" w:eastAsia="仿宋_GB2312"/>
          <w:sz w:val="32"/>
          <w:szCs w:val="32"/>
        </w:rPr>
        <w:t>本单位已完成预期指标值的数量指标中偏离度均在30%以内。</w:t>
      </w:r>
    </w:p>
    <w:p w14:paraId="726B9F51">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5B26BA5A">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3</w:t>
      </w:r>
      <w:r>
        <w:rPr>
          <w:rFonts w:hint="eastAsia" w:ascii="仿宋_GB2312" w:eastAsia="仿宋_GB2312"/>
          <w:sz w:val="32"/>
          <w:szCs w:val="32"/>
          <w:lang w:val="zh-CN"/>
        </w:rPr>
        <w:t>）实现效果</w:t>
      </w:r>
    </w:p>
    <w:p w14:paraId="5EC69DE4">
      <w:pPr>
        <w:ind w:firstLine="640" w:firstLineChars="200"/>
        <w:rPr>
          <w:rFonts w:hint="eastAsia" w:ascii="仿宋_GB2312" w:eastAsia="仿宋_GB2312"/>
          <w:sz w:val="32"/>
          <w:szCs w:val="32"/>
        </w:rPr>
      </w:pPr>
      <w:r>
        <w:rPr>
          <w:rFonts w:hint="eastAsia" w:ascii="仿宋_GB2312" w:eastAsia="仿宋_GB2312"/>
          <w:sz w:val="32"/>
          <w:szCs w:val="32"/>
        </w:rPr>
        <w:t>本单位预算项目绩效目标效益指标实施效果较好，均已达到设定指标值。</w:t>
      </w:r>
    </w:p>
    <w:p w14:paraId="5EF665B0">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综上，根据评分标准，该项指标不扣分，得3分。</w:t>
      </w:r>
    </w:p>
    <w:p w14:paraId="38092586">
      <w:pPr>
        <w:ind w:firstLine="640" w:firstLineChars="200"/>
        <w:rPr>
          <w:rFonts w:hint="eastAsia" w:ascii="仿宋_GB2312" w:eastAsia="仿宋_GB2312"/>
          <w:sz w:val="32"/>
          <w:szCs w:val="32"/>
        </w:rPr>
      </w:pPr>
      <w:r>
        <w:rPr>
          <w:rFonts w:hint="eastAsia" w:ascii="仿宋_GB2312" w:eastAsia="仿宋_GB2312"/>
          <w:sz w:val="32"/>
          <w:szCs w:val="32"/>
          <w:lang w:val="zh-CN"/>
        </w:rPr>
        <w:t>（三）重点领域绩效分析。</w:t>
      </w:r>
      <w:r>
        <w:rPr>
          <w:rFonts w:hint="eastAsia" w:ascii="仿宋_GB2312" w:eastAsia="仿宋_GB2312"/>
          <w:sz w:val="32"/>
          <w:szCs w:val="32"/>
        </w:rPr>
        <w:t>无</w:t>
      </w:r>
    </w:p>
    <w:p w14:paraId="40F189BF">
      <w:pPr>
        <w:ind w:firstLine="640" w:firstLineChars="200"/>
        <w:rPr>
          <w:rFonts w:hint="eastAsia" w:ascii="仿宋_GB2312" w:eastAsia="仿宋_GB2312"/>
          <w:sz w:val="32"/>
          <w:szCs w:val="32"/>
        </w:rPr>
      </w:pPr>
      <w:r>
        <w:rPr>
          <w:rFonts w:hint="eastAsia" w:ascii="仿宋_GB2312" w:eastAsia="仿宋_GB2312"/>
          <w:sz w:val="32"/>
          <w:szCs w:val="32"/>
          <w:lang w:val="zh-CN"/>
        </w:rPr>
        <w:t>（四）绩效结果应用情况。围绕内部应用情况、信息公开情况、整改反馈情况进行分析。</w:t>
      </w:r>
      <w:r>
        <w:rPr>
          <w:rFonts w:hint="eastAsia" w:ascii="仿宋_GB2312" w:eastAsia="仿宋_GB2312"/>
          <w:sz w:val="32"/>
          <w:szCs w:val="32"/>
        </w:rPr>
        <w:t>我局准确把握政策，合理编制收入预算。支出预算遵循“及时性、平衡性、真实性、合理性、全口径”的预算原则，按照人员经费按标准、日常公用经费按定额、专项经费按项目的原则分别编制。对预算项目专项资金做到及时分配、专款专用。2023年预算执行进度正常，无注销资金和中期评估调整取消资金。</w:t>
      </w:r>
    </w:p>
    <w:p w14:paraId="2079976B">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在“三公”经费控制方面，我局严格执行厉行节约、反对浪费原则，不断努力压减经费支出，“三公”经费支出均控制在预算内。</w:t>
      </w:r>
      <w:r>
        <w:rPr>
          <w:rFonts w:hint="eastAsia" w:ascii="仿宋_GB2312" w:eastAsia="仿宋_GB2312"/>
          <w:sz w:val="32"/>
          <w:szCs w:val="32"/>
        </w:rPr>
        <w:t>今年我单位进一步加强了对“三公”经费支出的控制监督。对公务接待活动拟定更加严格、更加规范的审批程序。对公务用车的管理也进一步增强，对加油种类、每百公里耗油、停车过路费均进行了严格的审核。</w:t>
      </w:r>
    </w:p>
    <w:p w14:paraId="53EFE4EA">
      <w:pPr>
        <w:ind w:firstLine="640" w:firstLineChars="200"/>
        <w:rPr>
          <w:rFonts w:hint="eastAsia" w:ascii="仿宋_GB2312" w:eastAsia="仿宋_GB2312"/>
          <w:sz w:val="32"/>
          <w:szCs w:val="32"/>
        </w:rPr>
      </w:pPr>
      <w:r>
        <w:rPr>
          <w:rFonts w:hint="eastAsia" w:ascii="仿宋_GB2312" w:eastAsia="仿宋_GB2312"/>
          <w:sz w:val="32"/>
          <w:szCs w:val="32"/>
          <w:lang w:val="zh-CN"/>
        </w:rPr>
        <w:t>我单位无债务资金、无非税收入；在政府采购实施计划方面，实施计划与政府采购预算、备案计划一致，中期无调整；在资产管理方面，我单位将国有资产纳入资产信息系统管理，按要求及时、准确、全面开展资产清查工作。落实专人负责资产报表，设立资产专员，及时上报资产报表，报表填报规范、内容完整、数据真实；在内部制度管理方面，我单位内部控制制度健全完整并执行良好，</w:t>
      </w:r>
      <w:r>
        <w:rPr>
          <w:rFonts w:hint="eastAsia" w:ascii="仿宋_GB2312" w:eastAsia="仿宋_GB2312"/>
          <w:sz w:val="32"/>
          <w:szCs w:val="32"/>
        </w:rPr>
        <w:t>积极开展内控信息化平台建设工作，确保内部控制覆盖单位经济和业务活动的全范围；在信息公开方面，严格按照要求及时对部门预、决算、绩效信息向社会公开，依法接受财政监督。</w:t>
      </w:r>
    </w:p>
    <w:p w14:paraId="31C0D8A9">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从整体情况来看，我局严格按照预算批复执行部门支出，始终坚持现有预算、后有执行、“用钱必问效、无效必问责”的原则。在支出过程中，能严格遵守各项规章制度，尤其是在项目经费支出上，实现专款专用，按项目实施计划的进度情况进行资金拨付，无截留、无挪用等现象。</w:t>
      </w:r>
    </w:p>
    <w:p w14:paraId="2DAC074E">
      <w:pPr>
        <w:ind w:firstLine="640" w:firstLineChars="200"/>
        <w:rPr>
          <w:rFonts w:hint="eastAsia" w:ascii="仿宋_GB2312" w:eastAsia="仿宋_GB2312"/>
          <w:sz w:val="32"/>
          <w:szCs w:val="32"/>
        </w:rPr>
      </w:pPr>
      <w:r>
        <w:rPr>
          <w:rFonts w:hint="eastAsia" w:ascii="仿宋_GB2312" w:eastAsia="仿宋_GB2312"/>
          <w:sz w:val="32"/>
          <w:szCs w:val="32"/>
        </w:rPr>
        <w:t>四、评价结论及建议</w:t>
      </w:r>
    </w:p>
    <w:p w14:paraId="2D4C2745">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（一）评价结论。</w:t>
      </w:r>
    </w:p>
    <w:p w14:paraId="4F7EF30D">
      <w:pPr>
        <w:ind w:firstLine="640" w:firstLineChars="200"/>
        <w:rPr>
          <w:rFonts w:hint="eastAsia" w:ascii="仿宋_GB2312" w:eastAsia="仿宋_GB2312"/>
          <w:sz w:val="32"/>
          <w:szCs w:val="32"/>
        </w:rPr>
      </w:pPr>
      <w:r>
        <w:rPr>
          <w:rFonts w:hint="eastAsia" w:ascii="仿宋_GB2312" w:eastAsia="仿宋_GB2312"/>
          <w:sz w:val="32"/>
          <w:szCs w:val="32"/>
        </w:rPr>
        <w:t xml:space="preserve">按照《阿坝州财政局关于开展2024年州级部门绩效自评工作的通知》（阿州财监绩〔2024〕19号）文件精神，我单位对照《2024年阿坝州部门支出绩效评价指标体系》，秉承客观公正、实事求是的原则开展自评，自评得分92分。    </w:t>
      </w:r>
    </w:p>
    <w:p w14:paraId="6B087639">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（二）存在问题。</w:t>
      </w:r>
    </w:p>
    <w:p w14:paraId="67C67369">
      <w:pPr>
        <w:ind w:firstLine="640" w:firstLineChars="200"/>
        <w:rPr>
          <w:rFonts w:hint="eastAsia" w:ascii="仿宋_GB2312" w:eastAsia="仿宋_GB2312"/>
          <w:sz w:val="32"/>
          <w:szCs w:val="32"/>
        </w:rPr>
      </w:pPr>
      <w:r>
        <w:rPr>
          <w:rFonts w:hint="eastAsia" w:ascii="仿宋_GB2312" w:eastAsia="仿宋_GB2312"/>
          <w:sz w:val="32"/>
          <w:szCs w:val="32"/>
        </w:rPr>
        <w:t>我局2023年部门支出与年初预算基本一致，达到预期绩效目标，但预算编制还需进一步细化。</w:t>
      </w:r>
    </w:p>
    <w:p w14:paraId="4C278E35">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（三）改进建议。</w:t>
      </w:r>
    </w:p>
    <w:p w14:paraId="34047C99">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1.科学合理编制预算。加强预算编制的前瞻性，按照新《预算法》极其实施条例的相关规定，按政策规定及本部门的发展规划，结合上一年度预算执行情况和本年度预算收支变化因素，提高预算编制的科学性、严谨性和可控性。</w:t>
      </w:r>
    </w:p>
    <w:p w14:paraId="4D1BD3FC">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2.严格预算执行。在预算执行中严格按照预算项目进行，不得随意调整和变更预算，确需调剂预算的，按规定程序报经批准，以确保预算的刚性。在资金安全合规的情况下加快预算执行力度。</w:t>
      </w:r>
    </w:p>
    <w:p w14:paraId="64EB5656">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3.加强学习培训。我单位</w:t>
      </w:r>
      <w:r>
        <w:rPr>
          <w:rFonts w:hint="eastAsia" w:ascii="仿宋_GB2312" w:eastAsia="仿宋_GB2312"/>
          <w:sz w:val="32"/>
          <w:szCs w:val="32"/>
        </w:rPr>
        <w:t>财务人员应</w:t>
      </w:r>
      <w:r>
        <w:rPr>
          <w:rFonts w:hint="eastAsia" w:ascii="仿宋_GB2312" w:eastAsia="仿宋_GB2312"/>
          <w:sz w:val="32"/>
          <w:szCs w:val="32"/>
          <w:lang w:val="zh-CN"/>
        </w:rPr>
        <w:t>加快加强业务知识、财政政策的培训学习、做好及时进行账务处理。以规范部门预算的收支核算，落实预算执行分析责任，及时了解预算执行差异，合理调整、纠正预算执行偏差，切实提高部门预算收支水平管理。</w:t>
      </w:r>
    </w:p>
    <w:p w14:paraId="011E7631">
      <w:pPr>
        <w:ind w:firstLine="640" w:firstLineChars="200"/>
        <w:rPr>
          <w:rFonts w:hint="eastAsia" w:ascii="仿宋_GB2312" w:eastAsia="仿宋_GB2312"/>
          <w:sz w:val="32"/>
          <w:szCs w:val="32"/>
          <w:lang w:val="zh-CN"/>
        </w:rPr>
      </w:pPr>
    </w:p>
    <w:p w14:paraId="028BB1FD">
      <w:pPr>
        <w:ind w:firstLine="640" w:firstLineChars="200"/>
      </w:pPr>
      <w:r>
        <w:rPr>
          <w:rFonts w:hint="eastAsia" w:ascii="仿宋_GB2312" w:eastAsia="仿宋_GB2312"/>
          <w:sz w:val="32"/>
          <w:szCs w:val="32"/>
        </w:rPr>
        <w:t>附表：部门整体支出绩效目标完成情况自评表</w:t>
      </w:r>
      <w:r>
        <w:rPr>
          <w:rFonts w:hint="eastAsia" w:ascii="仿宋_GB2312" w:eastAsia="仿宋_GB2312"/>
          <w:sz w:val="32"/>
          <w:szCs w:val="32"/>
        </w:rPr>
        <w:br w:type="page"/>
      </w:r>
      <w:r>
        <w:rPr>
          <w:rFonts w:hint="eastAsia" w:ascii="黑体" w:hAnsi="黑体" w:eastAsia="黑体" w:cs="黑体"/>
        </w:rPr>
        <w:t>附表</w:t>
      </w:r>
    </w:p>
    <w:tbl>
      <w:tblPr>
        <w:tblStyle w:val="16"/>
        <w:tblW w:w="10560" w:type="dxa"/>
        <w:jc w:val="center"/>
        <w:tblLayout w:type="fixed"/>
        <w:tblCellMar>
          <w:top w:w="15" w:type="dxa"/>
          <w:left w:w="15" w:type="dxa"/>
          <w:bottom w:w="15" w:type="dxa"/>
          <w:right w:w="15" w:type="dxa"/>
        </w:tblCellMar>
      </w:tblPr>
      <w:tblGrid>
        <w:gridCol w:w="1308"/>
        <w:gridCol w:w="1347"/>
        <w:gridCol w:w="1273"/>
        <w:gridCol w:w="1100"/>
        <w:gridCol w:w="1145"/>
        <w:gridCol w:w="1289"/>
        <w:gridCol w:w="1058"/>
        <w:gridCol w:w="926"/>
        <w:gridCol w:w="1114"/>
      </w:tblGrid>
      <w:tr w14:paraId="3F307756">
        <w:tblPrEx>
          <w:tblCellMar>
            <w:top w:w="15" w:type="dxa"/>
            <w:left w:w="15" w:type="dxa"/>
            <w:bottom w:w="15" w:type="dxa"/>
            <w:right w:w="15" w:type="dxa"/>
          </w:tblCellMar>
        </w:tblPrEx>
        <w:trPr>
          <w:trHeight w:val="762" w:hRule="exact"/>
          <w:jc w:val="center"/>
        </w:trPr>
        <w:tc>
          <w:tcPr>
            <w:tcW w:w="10560" w:type="dxa"/>
            <w:gridSpan w:val="9"/>
            <w:shd w:val="clear" w:color="auto" w:fill="auto"/>
            <w:vAlign w:val="center"/>
          </w:tcPr>
          <w:p w14:paraId="7FEFB14A">
            <w:pPr>
              <w:widowControl/>
              <w:spacing w:line="600" w:lineRule="exact"/>
              <w:jc w:val="center"/>
              <w:textAlignment w:val="center"/>
              <w:rPr>
                <w:rFonts w:eastAsia="黑体"/>
                <w:color w:val="000000"/>
                <w:sz w:val="28"/>
                <w:szCs w:val="28"/>
              </w:rPr>
            </w:pPr>
            <w:r>
              <w:rPr>
                <w:rFonts w:eastAsia="方正小标宋简体"/>
                <w:color w:val="000000"/>
                <w:kern w:val="0"/>
                <w:sz w:val="44"/>
                <w:szCs w:val="44"/>
              </w:rPr>
              <w:t>部门整体支出绩效目标完成情况自评表</w:t>
            </w:r>
          </w:p>
        </w:tc>
      </w:tr>
      <w:tr w14:paraId="0B4F4341">
        <w:tblPrEx>
          <w:tblCellMar>
            <w:top w:w="15" w:type="dxa"/>
            <w:left w:w="15" w:type="dxa"/>
            <w:bottom w:w="15" w:type="dxa"/>
            <w:right w:w="15" w:type="dxa"/>
          </w:tblCellMar>
        </w:tblPrEx>
        <w:trPr>
          <w:trHeight w:val="23" w:hRule="atLeast"/>
          <w:jc w:val="center"/>
        </w:trPr>
        <w:tc>
          <w:tcPr>
            <w:tcW w:w="10560" w:type="dxa"/>
            <w:gridSpan w:val="9"/>
            <w:shd w:val="clear" w:color="auto" w:fill="auto"/>
            <w:vAlign w:val="center"/>
          </w:tcPr>
          <w:p w14:paraId="1671BB0A">
            <w:pPr>
              <w:widowControl/>
              <w:spacing w:line="300" w:lineRule="exact"/>
              <w:jc w:val="center"/>
              <w:textAlignment w:val="center"/>
              <w:rPr>
                <w:rFonts w:eastAsia="宋体"/>
                <w:color w:val="000000"/>
                <w:sz w:val="28"/>
                <w:szCs w:val="28"/>
              </w:rPr>
            </w:pPr>
            <w:r>
              <w:rPr>
                <w:rFonts w:eastAsia="宋体"/>
                <w:color w:val="000000"/>
                <w:kern w:val="0"/>
                <w:sz w:val="28"/>
                <w:szCs w:val="28"/>
              </w:rPr>
              <w:t>（2023年度）</w:t>
            </w:r>
          </w:p>
        </w:tc>
      </w:tr>
      <w:tr w14:paraId="1C7EA7E9">
        <w:tblPrEx>
          <w:tblCellMar>
            <w:top w:w="15" w:type="dxa"/>
            <w:left w:w="15" w:type="dxa"/>
            <w:bottom w:w="15" w:type="dxa"/>
            <w:right w:w="15" w:type="dxa"/>
          </w:tblCellMar>
        </w:tblPrEx>
        <w:trPr>
          <w:trHeight w:val="23" w:hRule="atLeast"/>
          <w:jc w:val="center"/>
        </w:trPr>
        <w:tc>
          <w:tcPr>
            <w:tcW w:w="10560" w:type="dxa"/>
            <w:gridSpan w:val="9"/>
            <w:tcBorders>
              <w:bottom w:val="single" w:color="000000" w:sz="4" w:space="0"/>
            </w:tcBorders>
            <w:shd w:val="clear" w:color="auto" w:fill="auto"/>
            <w:vAlign w:val="center"/>
          </w:tcPr>
          <w:p w14:paraId="115AB7FE">
            <w:pPr>
              <w:widowControl/>
              <w:spacing w:line="300" w:lineRule="exact"/>
              <w:jc w:val="right"/>
              <w:textAlignment w:val="center"/>
              <w:rPr>
                <w:rFonts w:eastAsia="宋体"/>
                <w:color w:val="000000"/>
                <w:sz w:val="21"/>
                <w:szCs w:val="21"/>
              </w:rPr>
            </w:pPr>
            <w:r>
              <w:rPr>
                <w:rFonts w:eastAsia="宋体"/>
                <w:color w:val="000000"/>
                <w:kern w:val="0"/>
                <w:sz w:val="21"/>
                <w:szCs w:val="21"/>
              </w:rPr>
              <w:t>单位：万元</w:t>
            </w:r>
          </w:p>
        </w:tc>
      </w:tr>
      <w:tr w14:paraId="451C608D">
        <w:tblPrEx>
          <w:tblCellMar>
            <w:top w:w="15" w:type="dxa"/>
            <w:left w:w="15" w:type="dxa"/>
            <w:bottom w:w="15" w:type="dxa"/>
            <w:right w:w="15" w:type="dxa"/>
          </w:tblCellMar>
        </w:tblPrEx>
        <w:trPr>
          <w:trHeight w:val="23" w:hRule="atLeast"/>
          <w:jc w:val="center"/>
        </w:trPr>
        <w:tc>
          <w:tcPr>
            <w:tcW w:w="3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161FA1">
            <w:pPr>
              <w:widowControl/>
              <w:spacing w:line="300" w:lineRule="exact"/>
              <w:jc w:val="center"/>
              <w:textAlignment w:val="center"/>
              <w:rPr>
                <w:rFonts w:eastAsia="宋体"/>
                <w:color w:val="000000"/>
                <w:sz w:val="24"/>
              </w:rPr>
            </w:pPr>
            <w:r>
              <w:rPr>
                <w:rFonts w:eastAsia="宋体"/>
                <w:color w:val="000000"/>
                <w:kern w:val="0"/>
                <w:sz w:val="24"/>
              </w:rPr>
              <w:t>部门名称</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C6147F2">
            <w:pPr>
              <w:widowControl/>
              <w:spacing w:line="300" w:lineRule="exact"/>
              <w:jc w:val="center"/>
              <w:textAlignment w:val="center"/>
              <w:rPr>
                <w:rFonts w:eastAsia="宋体"/>
                <w:color w:val="000000"/>
                <w:sz w:val="24"/>
              </w:rPr>
            </w:pPr>
            <w:r>
              <w:rPr>
                <w:rFonts w:eastAsia="宋体"/>
                <w:color w:val="000000"/>
                <w:kern w:val="0"/>
                <w:sz w:val="24"/>
              </w:rPr>
              <w:t>XXXX</w:t>
            </w:r>
          </w:p>
        </w:tc>
      </w:tr>
      <w:tr w14:paraId="60397A22">
        <w:tblPrEx>
          <w:tblCellMar>
            <w:top w:w="15" w:type="dxa"/>
            <w:left w:w="15" w:type="dxa"/>
            <w:bottom w:w="15" w:type="dxa"/>
            <w:right w:w="15" w:type="dxa"/>
          </w:tblCellMar>
        </w:tblPrEx>
        <w:trPr>
          <w:trHeight w:val="23" w:hRule="atLeast"/>
          <w:jc w:val="center"/>
        </w:trPr>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C442D">
            <w:pPr>
              <w:widowControl/>
              <w:spacing w:line="300" w:lineRule="exact"/>
              <w:jc w:val="center"/>
              <w:textAlignment w:val="center"/>
              <w:rPr>
                <w:rFonts w:eastAsia="宋体"/>
                <w:color w:val="000000"/>
                <w:sz w:val="24"/>
              </w:rPr>
            </w:pPr>
            <w:r>
              <w:rPr>
                <w:rFonts w:eastAsia="宋体"/>
                <w:color w:val="000000"/>
                <w:kern w:val="0"/>
                <w:sz w:val="24"/>
              </w:rPr>
              <w:t>年度部门整体支出预算</w:t>
            </w: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F4668">
            <w:pPr>
              <w:widowControl/>
              <w:spacing w:line="300" w:lineRule="exact"/>
              <w:jc w:val="center"/>
              <w:textAlignment w:val="center"/>
              <w:rPr>
                <w:rFonts w:eastAsia="宋体"/>
                <w:color w:val="000000"/>
                <w:sz w:val="24"/>
              </w:rPr>
            </w:pPr>
            <w:r>
              <w:rPr>
                <w:rFonts w:eastAsia="宋体"/>
                <w:color w:val="000000"/>
                <w:kern w:val="0"/>
                <w:sz w:val="24"/>
              </w:rPr>
              <w:t>资金总额</w:t>
            </w:r>
          </w:p>
        </w:tc>
        <w:tc>
          <w:tcPr>
            <w:tcW w:w="2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53308">
            <w:pPr>
              <w:widowControl/>
              <w:spacing w:line="300" w:lineRule="exact"/>
              <w:jc w:val="center"/>
              <w:textAlignment w:val="center"/>
              <w:rPr>
                <w:rFonts w:eastAsia="宋体"/>
                <w:color w:val="000000"/>
                <w:sz w:val="24"/>
              </w:rPr>
            </w:pPr>
            <w:r>
              <w:rPr>
                <w:rFonts w:eastAsia="宋体"/>
                <w:color w:val="000000"/>
                <w:kern w:val="0"/>
                <w:sz w:val="24"/>
              </w:rPr>
              <w:t>财政拨款</w:t>
            </w:r>
          </w:p>
        </w:tc>
        <w:tc>
          <w:tcPr>
            <w:tcW w:w="43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2BF8E0">
            <w:pPr>
              <w:widowControl/>
              <w:spacing w:line="300" w:lineRule="exact"/>
              <w:jc w:val="center"/>
              <w:textAlignment w:val="center"/>
              <w:rPr>
                <w:rFonts w:eastAsia="宋体"/>
                <w:color w:val="000000"/>
                <w:sz w:val="24"/>
              </w:rPr>
            </w:pPr>
            <w:r>
              <w:rPr>
                <w:rFonts w:eastAsia="宋体"/>
                <w:color w:val="000000"/>
                <w:kern w:val="0"/>
                <w:sz w:val="24"/>
              </w:rPr>
              <w:t>其他资金</w:t>
            </w:r>
          </w:p>
        </w:tc>
      </w:tr>
      <w:tr w14:paraId="42484499">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26AEA">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5D723">
            <w:pPr>
              <w:widowControl/>
              <w:spacing w:line="300" w:lineRule="exact"/>
              <w:jc w:val="center"/>
              <w:textAlignment w:val="center"/>
              <w:rPr>
                <w:rFonts w:eastAsia="宋体"/>
                <w:color w:val="000000"/>
                <w:sz w:val="24"/>
              </w:rPr>
            </w:pPr>
            <w:r>
              <w:rPr>
                <w:rFonts w:eastAsia="宋体"/>
                <w:color w:val="000000"/>
                <w:kern w:val="0"/>
                <w:sz w:val="24"/>
              </w:rPr>
              <w:t>32273765.51</w:t>
            </w:r>
          </w:p>
        </w:tc>
        <w:tc>
          <w:tcPr>
            <w:tcW w:w="2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375CD">
            <w:pPr>
              <w:widowControl/>
              <w:spacing w:line="300" w:lineRule="exact"/>
              <w:jc w:val="center"/>
              <w:textAlignment w:val="center"/>
              <w:rPr>
                <w:rFonts w:eastAsia="宋体"/>
                <w:color w:val="000000"/>
                <w:sz w:val="24"/>
              </w:rPr>
            </w:pPr>
            <w:r>
              <w:rPr>
                <w:rFonts w:eastAsia="宋体"/>
                <w:color w:val="000000"/>
                <w:kern w:val="0"/>
                <w:sz w:val="24"/>
              </w:rPr>
              <w:t>32273765.51</w:t>
            </w:r>
          </w:p>
        </w:tc>
        <w:tc>
          <w:tcPr>
            <w:tcW w:w="43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550A93">
            <w:pPr>
              <w:widowControl/>
              <w:spacing w:line="300" w:lineRule="exact"/>
              <w:jc w:val="center"/>
              <w:textAlignment w:val="center"/>
              <w:rPr>
                <w:rFonts w:eastAsia="宋体"/>
                <w:color w:val="000000"/>
                <w:sz w:val="24"/>
              </w:rPr>
            </w:pPr>
            <w:r>
              <w:rPr>
                <w:rFonts w:hint="eastAsia" w:eastAsia="宋体"/>
                <w:color w:val="000000"/>
                <w:kern w:val="0"/>
                <w:sz w:val="24"/>
              </w:rPr>
              <w:t>0</w:t>
            </w:r>
          </w:p>
        </w:tc>
      </w:tr>
      <w:tr w14:paraId="72A746FB">
        <w:tblPrEx>
          <w:tblCellMar>
            <w:top w:w="15" w:type="dxa"/>
            <w:left w:w="15" w:type="dxa"/>
            <w:bottom w:w="15" w:type="dxa"/>
            <w:right w:w="15" w:type="dxa"/>
          </w:tblCellMar>
        </w:tblPrEx>
        <w:trPr>
          <w:trHeight w:val="23" w:hRule="atLeast"/>
          <w:jc w:val="center"/>
        </w:trPr>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CD2C">
            <w:pPr>
              <w:widowControl/>
              <w:spacing w:line="300" w:lineRule="exact"/>
              <w:jc w:val="center"/>
              <w:textAlignment w:val="center"/>
              <w:rPr>
                <w:rFonts w:eastAsia="宋体"/>
                <w:color w:val="000000"/>
                <w:kern w:val="0"/>
                <w:sz w:val="24"/>
              </w:rPr>
            </w:pPr>
            <w:r>
              <w:rPr>
                <w:rFonts w:eastAsia="宋体"/>
                <w:color w:val="000000"/>
                <w:kern w:val="0"/>
                <w:sz w:val="24"/>
              </w:rPr>
              <w:t>年度总体</w:t>
            </w:r>
          </w:p>
          <w:p w14:paraId="3E14E7F5">
            <w:pPr>
              <w:widowControl/>
              <w:spacing w:line="300" w:lineRule="exact"/>
              <w:jc w:val="center"/>
              <w:textAlignment w:val="center"/>
              <w:rPr>
                <w:rFonts w:eastAsia="宋体"/>
                <w:color w:val="000000"/>
                <w:sz w:val="24"/>
              </w:rPr>
            </w:pPr>
            <w:r>
              <w:rPr>
                <w:rFonts w:eastAsia="宋体"/>
                <w:color w:val="000000"/>
                <w:kern w:val="0"/>
                <w:sz w:val="24"/>
              </w:rPr>
              <w:t>目标</w:t>
            </w:r>
          </w:p>
        </w:tc>
        <w:tc>
          <w:tcPr>
            <w:tcW w:w="92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7BE5DBE">
            <w:pPr>
              <w:widowControl/>
              <w:spacing w:line="300" w:lineRule="exact"/>
              <w:jc w:val="left"/>
              <w:textAlignment w:val="center"/>
              <w:rPr>
                <w:rFonts w:eastAsia="宋体"/>
                <w:color w:val="000000"/>
                <w:sz w:val="24"/>
              </w:rPr>
            </w:pPr>
            <w:r>
              <w:rPr>
                <w:rFonts w:hint="eastAsia" w:eastAsia="宋体"/>
                <w:color w:val="000000"/>
                <w:kern w:val="0"/>
                <w:sz w:val="24"/>
              </w:rPr>
              <w:t>按分工负责政府非税收入管理。负责政府性基金管理,按规定管理行政事业性收费等其他非税收入。组织制定全州国库管理制度、国库集中收付制度,指导和监督国库业务,开展国库现金管理工作。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会计人员规范管理;财政其他工作编制年度州级预决算草案并组织执行。顺利完成财政各项收支组织制定经费开支标准、定额,审核批复部门(单位)年度预决算。受州政府委托,向州人大及其常委会报告财政预算、执行和决算等情况国库管理工作;</w:t>
            </w:r>
          </w:p>
        </w:tc>
      </w:tr>
      <w:tr w14:paraId="27BAE699">
        <w:tblPrEx>
          <w:tblCellMar>
            <w:top w:w="15" w:type="dxa"/>
            <w:left w:w="15" w:type="dxa"/>
            <w:bottom w:w="15" w:type="dxa"/>
            <w:right w:w="15" w:type="dxa"/>
          </w:tblCellMar>
        </w:tblPrEx>
        <w:trPr>
          <w:trHeight w:val="23" w:hRule="atLeast"/>
          <w:jc w:val="center"/>
        </w:trPr>
        <w:tc>
          <w:tcPr>
            <w:tcW w:w="1308" w:type="dxa"/>
            <w:vMerge w:val="restart"/>
            <w:tcBorders>
              <w:top w:val="single" w:color="000000" w:sz="4" w:space="0"/>
              <w:left w:val="single" w:color="000000" w:sz="4" w:space="0"/>
              <w:right w:val="single" w:color="000000" w:sz="4" w:space="0"/>
            </w:tcBorders>
            <w:shd w:val="clear" w:color="auto" w:fill="auto"/>
            <w:vAlign w:val="center"/>
          </w:tcPr>
          <w:p w14:paraId="48E5C157">
            <w:pPr>
              <w:widowControl/>
              <w:spacing w:line="300" w:lineRule="exact"/>
              <w:jc w:val="center"/>
              <w:textAlignment w:val="center"/>
              <w:rPr>
                <w:rFonts w:eastAsia="宋体"/>
                <w:color w:val="000000"/>
                <w:kern w:val="0"/>
                <w:sz w:val="24"/>
              </w:rPr>
            </w:pPr>
            <w:r>
              <w:rPr>
                <w:rFonts w:eastAsia="宋体"/>
                <w:color w:val="000000"/>
                <w:kern w:val="0"/>
                <w:sz w:val="24"/>
              </w:rPr>
              <w:t>年度主要</w:t>
            </w:r>
          </w:p>
          <w:p w14:paraId="7C070F0B">
            <w:pPr>
              <w:widowControl/>
              <w:spacing w:line="300" w:lineRule="exact"/>
              <w:jc w:val="center"/>
              <w:textAlignment w:val="center"/>
              <w:rPr>
                <w:rFonts w:eastAsia="宋体"/>
                <w:color w:val="000000"/>
                <w:sz w:val="24"/>
              </w:rPr>
            </w:pPr>
            <w:r>
              <w:rPr>
                <w:rFonts w:eastAsia="宋体"/>
                <w:color w:val="000000"/>
                <w:kern w:val="0"/>
                <w:sz w:val="24"/>
              </w:rPr>
              <w:t>任务</w:t>
            </w: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F9F343">
            <w:pPr>
              <w:widowControl/>
              <w:spacing w:line="300" w:lineRule="exact"/>
              <w:jc w:val="center"/>
              <w:textAlignment w:val="center"/>
              <w:rPr>
                <w:rFonts w:eastAsia="宋体"/>
                <w:color w:val="000000"/>
                <w:sz w:val="24"/>
              </w:rPr>
            </w:pPr>
            <w:r>
              <w:rPr>
                <w:rFonts w:eastAsia="宋体"/>
                <w:color w:val="000000"/>
                <w:kern w:val="0"/>
                <w:sz w:val="24"/>
              </w:rPr>
              <w:t>任务名称</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9459CCF">
            <w:pPr>
              <w:widowControl/>
              <w:spacing w:line="300" w:lineRule="exact"/>
              <w:jc w:val="center"/>
              <w:textAlignment w:val="center"/>
              <w:rPr>
                <w:rFonts w:eastAsia="宋体"/>
                <w:color w:val="000000"/>
                <w:sz w:val="24"/>
              </w:rPr>
            </w:pPr>
            <w:r>
              <w:rPr>
                <w:rFonts w:eastAsia="宋体"/>
                <w:color w:val="000000"/>
                <w:kern w:val="0"/>
                <w:sz w:val="24"/>
              </w:rPr>
              <w:t>主要内容</w:t>
            </w:r>
          </w:p>
        </w:tc>
      </w:tr>
      <w:tr w14:paraId="18B94185">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right w:val="single" w:color="000000" w:sz="4" w:space="0"/>
            </w:tcBorders>
            <w:shd w:val="clear" w:color="auto" w:fill="auto"/>
            <w:vAlign w:val="center"/>
          </w:tcPr>
          <w:p w14:paraId="52176FA4">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ADBB7">
            <w:pPr>
              <w:widowControl/>
              <w:spacing w:line="300" w:lineRule="exact"/>
              <w:jc w:val="left"/>
              <w:textAlignment w:val="center"/>
              <w:rPr>
                <w:rFonts w:eastAsia="宋体"/>
                <w:color w:val="000000"/>
                <w:sz w:val="24"/>
              </w:rPr>
            </w:pPr>
            <w:r>
              <w:rPr>
                <w:rFonts w:hint="eastAsia" w:eastAsia="宋体"/>
                <w:color w:val="000000"/>
                <w:kern w:val="0"/>
                <w:sz w:val="24"/>
              </w:rPr>
              <w:t>加强财政资金统筹，增强保障支撑能力</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B5B247">
            <w:pPr>
              <w:widowControl/>
              <w:spacing w:line="300" w:lineRule="exact"/>
              <w:jc w:val="left"/>
              <w:textAlignment w:val="center"/>
              <w:rPr>
                <w:rFonts w:eastAsia="宋体"/>
                <w:color w:val="000000"/>
                <w:sz w:val="24"/>
              </w:rPr>
            </w:pPr>
            <w:r>
              <w:rPr>
                <w:rFonts w:hint="eastAsia" w:eastAsia="宋体"/>
                <w:color w:val="000000"/>
                <w:kern w:val="0"/>
                <w:sz w:val="24"/>
              </w:rPr>
              <w:t>支持全州13个县（市）环节财政减收增支压力，保障基层稳定运转</w:t>
            </w:r>
          </w:p>
        </w:tc>
      </w:tr>
      <w:tr w14:paraId="543382E6">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right w:val="single" w:color="000000" w:sz="4" w:space="0"/>
            </w:tcBorders>
            <w:shd w:val="clear" w:color="auto" w:fill="auto"/>
            <w:vAlign w:val="center"/>
          </w:tcPr>
          <w:p w14:paraId="068DBB80">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03830C">
            <w:pPr>
              <w:widowControl/>
              <w:spacing w:line="300" w:lineRule="exact"/>
              <w:jc w:val="left"/>
              <w:rPr>
                <w:rFonts w:eastAsia="宋体"/>
                <w:color w:val="000000"/>
                <w:sz w:val="24"/>
              </w:rPr>
            </w:pPr>
            <w:r>
              <w:rPr>
                <w:rFonts w:hint="eastAsia" w:eastAsia="宋体"/>
                <w:color w:val="000000"/>
                <w:sz w:val="24"/>
              </w:rPr>
              <w:t>充分发挥财政职能，支持抗震救灾和灾后重建</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CC2042">
            <w:pPr>
              <w:widowControl/>
              <w:spacing w:line="300" w:lineRule="exact"/>
              <w:jc w:val="left"/>
              <w:rPr>
                <w:rFonts w:eastAsia="宋体"/>
                <w:color w:val="000000"/>
                <w:sz w:val="24"/>
              </w:rPr>
            </w:pPr>
            <w:r>
              <w:rPr>
                <w:rFonts w:hint="eastAsia" w:eastAsia="宋体"/>
                <w:color w:val="000000"/>
                <w:sz w:val="24"/>
              </w:rPr>
              <w:t>完成全州抗震救灾和灾后重建，助力恢复</w:t>
            </w:r>
          </w:p>
        </w:tc>
      </w:tr>
      <w:tr w14:paraId="342FB63A">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right w:val="single" w:color="000000" w:sz="4" w:space="0"/>
            </w:tcBorders>
            <w:shd w:val="clear" w:color="auto" w:fill="auto"/>
            <w:vAlign w:val="center"/>
          </w:tcPr>
          <w:p w14:paraId="5CB2DCCF">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6E05C3">
            <w:pPr>
              <w:widowControl/>
              <w:spacing w:line="300" w:lineRule="exact"/>
              <w:jc w:val="left"/>
              <w:rPr>
                <w:rFonts w:hint="eastAsia" w:eastAsia="宋体"/>
                <w:color w:val="000000"/>
                <w:sz w:val="24"/>
              </w:rPr>
            </w:pPr>
            <w:r>
              <w:rPr>
                <w:rFonts w:hint="eastAsia" w:eastAsia="宋体"/>
                <w:color w:val="000000"/>
                <w:sz w:val="24"/>
              </w:rPr>
              <w:t>深入实施绩效管理</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B00879">
            <w:pPr>
              <w:widowControl/>
              <w:spacing w:line="300" w:lineRule="exact"/>
              <w:jc w:val="left"/>
              <w:rPr>
                <w:rFonts w:hint="eastAsia" w:eastAsia="宋体"/>
                <w:color w:val="000000"/>
                <w:sz w:val="24"/>
              </w:rPr>
            </w:pPr>
            <w:r>
              <w:rPr>
                <w:rFonts w:hint="eastAsia" w:eastAsia="宋体"/>
                <w:color w:val="000000"/>
                <w:sz w:val="24"/>
              </w:rPr>
              <w:t>提升全州财政资金使用效益</w:t>
            </w:r>
          </w:p>
        </w:tc>
      </w:tr>
      <w:tr w14:paraId="5444852E">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right w:val="single" w:color="000000" w:sz="4" w:space="0"/>
            </w:tcBorders>
            <w:shd w:val="clear" w:color="auto" w:fill="auto"/>
            <w:vAlign w:val="center"/>
          </w:tcPr>
          <w:p w14:paraId="5362BA13">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73D1C">
            <w:pPr>
              <w:widowControl/>
              <w:spacing w:line="300" w:lineRule="exact"/>
              <w:jc w:val="left"/>
              <w:rPr>
                <w:rFonts w:hint="eastAsia" w:eastAsia="宋体"/>
                <w:color w:val="000000"/>
                <w:sz w:val="24"/>
              </w:rPr>
            </w:pPr>
            <w:r>
              <w:rPr>
                <w:rFonts w:hint="eastAsia" w:eastAsia="宋体"/>
                <w:color w:val="000000"/>
                <w:sz w:val="24"/>
              </w:rPr>
              <w:t>全州资产管理</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9119EF6">
            <w:pPr>
              <w:widowControl/>
              <w:spacing w:line="300" w:lineRule="exact"/>
              <w:jc w:val="left"/>
              <w:rPr>
                <w:rFonts w:hint="eastAsia" w:eastAsia="宋体"/>
                <w:color w:val="000000"/>
                <w:sz w:val="24"/>
              </w:rPr>
            </w:pPr>
            <w:r>
              <w:rPr>
                <w:rFonts w:hint="eastAsia" w:eastAsia="宋体"/>
                <w:color w:val="000000"/>
                <w:sz w:val="24"/>
              </w:rPr>
              <w:t>编制全州国有资本经营预决算草案，制定国有资本经营预算制度和办法,收取州本级企业国有资本收益</w:t>
            </w:r>
          </w:p>
        </w:tc>
      </w:tr>
      <w:tr w14:paraId="0F5100ED">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bottom w:val="single" w:color="000000" w:sz="4" w:space="0"/>
              <w:right w:val="single" w:color="000000" w:sz="4" w:space="0"/>
            </w:tcBorders>
            <w:shd w:val="clear" w:color="auto" w:fill="auto"/>
            <w:vAlign w:val="center"/>
          </w:tcPr>
          <w:p w14:paraId="716018D9">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F3F76">
            <w:pPr>
              <w:widowControl/>
              <w:spacing w:line="300" w:lineRule="exact"/>
              <w:jc w:val="left"/>
              <w:rPr>
                <w:rFonts w:hint="eastAsia" w:eastAsia="宋体"/>
                <w:color w:val="000000"/>
                <w:sz w:val="24"/>
              </w:rPr>
            </w:pPr>
            <w:r>
              <w:rPr>
                <w:rFonts w:hint="eastAsia" w:eastAsia="宋体"/>
                <w:color w:val="000000"/>
                <w:sz w:val="24"/>
              </w:rPr>
              <w:t>积极落实财政政策，全力以赴拼经济促发展</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B0E5A33">
            <w:pPr>
              <w:widowControl/>
              <w:spacing w:line="300" w:lineRule="exact"/>
              <w:jc w:val="left"/>
              <w:rPr>
                <w:rFonts w:hint="eastAsia" w:eastAsia="宋体"/>
                <w:color w:val="000000"/>
                <w:sz w:val="24"/>
              </w:rPr>
            </w:pPr>
            <w:r>
              <w:rPr>
                <w:rFonts w:hint="eastAsia" w:eastAsia="宋体"/>
                <w:color w:val="000000"/>
                <w:sz w:val="24"/>
              </w:rPr>
              <w:t>巩固减税降费成效，全面落实阶段性减税降低政策。</w:t>
            </w:r>
          </w:p>
        </w:tc>
      </w:tr>
      <w:tr w14:paraId="453906F1">
        <w:tblPrEx>
          <w:tblCellMar>
            <w:top w:w="15" w:type="dxa"/>
            <w:left w:w="15" w:type="dxa"/>
            <w:bottom w:w="15" w:type="dxa"/>
            <w:right w:w="15" w:type="dxa"/>
          </w:tblCellMar>
        </w:tblPrEx>
        <w:trPr>
          <w:trHeight w:val="23" w:hRule="atLeast"/>
          <w:jc w:val="center"/>
        </w:trPr>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0D27C">
            <w:pPr>
              <w:widowControl/>
              <w:spacing w:line="300" w:lineRule="exact"/>
              <w:jc w:val="center"/>
              <w:textAlignment w:val="center"/>
              <w:rPr>
                <w:rFonts w:eastAsia="宋体"/>
                <w:color w:val="000000"/>
                <w:kern w:val="0"/>
                <w:sz w:val="24"/>
              </w:rPr>
            </w:pPr>
            <w:r>
              <w:rPr>
                <w:rFonts w:eastAsia="宋体"/>
                <w:color w:val="000000"/>
                <w:kern w:val="0"/>
                <w:sz w:val="24"/>
              </w:rPr>
              <w:t>年度绩效</w:t>
            </w:r>
          </w:p>
          <w:p w14:paraId="63998004">
            <w:pPr>
              <w:widowControl/>
              <w:spacing w:line="300" w:lineRule="exact"/>
              <w:jc w:val="center"/>
              <w:textAlignment w:val="center"/>
              <w:rPr>
                <w:rFonts w:eastAsia="宋体"/>
                <w:color w:val="000000"/>
                <w:sz w:val="24"/>
              </w:rPr>
            </w:pPr>
            <w:r>
              <w:rPr>
                <w:rFonts w:eastAsia="宋体"/>
                <w:color w:val="000000"/>
                <w:kern w:val="0"/>
                <w:sz w:val="24"/>
              </w:rPr>
              <w:t>指标</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CC82">
            <w:pPr>
              <w:widowControl/>
              <w:spacing w:line="300" w:lineRule="exact"/>
              <w:jc w:val="center"/>
              <w:textAlignment w:val="center"/>
              <w:rPr>
                <w:rFonts w:eastAsia="宋体"/>
                <w:color w:val="000000"/>
                <w:sz w:val="24"/>
              </w:rPr>
            </w:pPr>
            <w:r>
              <w:rPr>
                <w:rFonts w:eastAsia="宋体"/>
                <w:color w:val="000000"/>
                <w:kern w:val="0"/>
                <w:sz w:val="24"/>
              </w:rPr>
              <w:t>一级指标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888F">
            <w:pPr>
              <w:widowControl/>
              <w:spacing w:line="300" w:lineRule="exact"/>
              <w:jc w:val="center"/>
              <w:textAlignment w:val="center"/>
              <w:rPr>
                <w:rFonts w:eastAsia="宋体"/>
                <w:color w:val="000000"/>
                <w:sz w:val="24"/>
              </w:rPr>
            </w:pPr>
            <w:r>
              <w:rPr>
                <w:rFonts w:eastAsia="宋体"/>
                <w:color w:val="000000"/>
                <w:kern w:val="0"/>
                <w:sz w:val="24"/>
              </w:rPr>
              <w:t>二级指标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F46D6">
            <w:pPr>
              <w:widowControl/>
              <w:spacing w:line="300" w:lineRule="exact"/>
              <w:jc w:val="center"/>
              <w:textAlignment w:val="center"/>
              <w:rPr>
                <w:rFonts w:eastAsia="宋体"/>
                <w:color w:val="000000"/>
                <w:sz w:val="24"/>
              </w:rPr>
            </w:pPr>
            <w:r>
              <w:rPr>
                <w:rFonts w:eastAsia="宋体"/>
                <w:color w:val="000000"/>
                <w:kern w:val="0"/>
                <w:sz w:val="24"/>
              </w:rPr>
              <w:t>三级指标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A18A">
            <w:pPr>
              <w:widowControl/>
              <w:spacing w:line="300" w:lineRule="exact"/>
              <w:jc w:val="center"/>
              <w:textAlignment w:val="center"/>
              <w:rPr>
                <w:rFonts w:eastAsia="宋体"/>
                <w:color w:val="000000"/>
                <w:kern w:val="0"/>
                <w:sz w:val="24"/>
              </w:rPr>
            </w:pPr>
            <w:r>
              <w:rPr>
                <w:rFonts w:eastAsia="宋体"/>
                <w:color w:val="000000"/>
                <w:kern w:val="0"/>
                <w:sz w:val="24"/>
              </w:rPr>
              <w:t>绩效指标</w:t>
            </w:r>
          </w:p>
          <w:p w14:paraId="4F189ECF">
            <w:pPr>
              <w:widowControl/>
              <w:spacing w:line="300" w:lineRule="exact"/>
              <w:jc w:val="center"/>
              <w:textAlignment w:val="center"/>
              <w:rPr>
                <w:rFonts w:eastAsia="宋体"/>
                <w:color w:val="000000"/>
                <w:sz w:val="24"/>
              </w:rPr>
            </w:pPr>
            <w:r>
              <w:rPr>
                <w:rFonts w:eastAsia="宋体"/>
                <w:color w:val="000000"/>
                <w:kern w:val="0"/>
                <w:sz w:val="24"/>
              </w:rPr>
              <w:t>性质</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07C5A">
            <w:pPr>
              <w:widowControl/>
              <w:spacing w:line="300" w:lineRule="exact"/>
              <w:jc w:val="center"/>
              <w:textAlignment w:val="center"/>
              <w:rPr>
                <w:rFonts w:eastAsia="宋体"/>
                <w:color w:val="000000"/>
                <w:sz w:val="24"/>
              </w:rPr>
            </w:pPr>
            <w:r>
              <w:rPr>
                <w:rFonts w:eastAsia="宋体"/>
                <w:color w:val="000000"/>
                <w:kern w:val="0"/>
                <w:sz w:val="24"/>
              </w:rPr>
              <w:t>绩效指标值</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7CE8">
            <w:pPr>
              <w:widowControl/>
              <w:spacing w:line="300" w:lineRule="exact"/>
              <w:jc w:val="center"/>
              <w:textAlignment w:val="center"/>
              <w:rPr>
                <w:rFonts w:eastAsia="宋体"/>
                <w:color w:val="000000"/>
                <w:sz w:val="24"/>
              </w:rPr>
            </w:pPr>
            <w:r>
              <w:rPr>
                <w:rFonts w:eastAsia="宋体"/>
                <w:color w:val="000000"/>
                <w:kern w:val="0"/>
                <w:sz w:val="24"/>
              </w:rPr>
              <w:t>绩效度量单位</w:t>
            </w:r>
          </w:p>
        </w:tc>
        <w:tc>
          <w:tcPr>
            <w:tcW w:w="926" w:type="dxa"/>
            <w:tcBorders>
              <w:top w:val="single" w:color="000000" w:sz="4" w:space="0"/>
              <w:left w:val="single" w:color="000000" w:sz="4" w:space="0"/>
              <w:bottom w:val="single" w:color="000000" w:sz="4" w:space="0"/>
            </w:tcBorders>
            <w:shd w:val="clear" w:color="auto" w:fill="auto"/>
            <w:vAlign w:val="center"/>
          </w:tcPr>
          <w:p w14:paraId="0C541860">
            <w:pPr>
              <w:widowControl/>
              <w:spacing w:line="300" w:lineRule="exact"/>
              <w:jc w:val="center"/>
              <w:textAlignment w:val="center"/>
              <w:rPr>
                <w:rFonts w:eastAsia="宋体"/>
                <w:color w:val="000000"/>
                <w:sz w:val="24"/>
              </w:rPr>
            </w:pPr>
            <w:r>
              <w:rPr>
                <w:rFonts w:eastAsia="宋体"/>
                <w:color w:val="000000"/>
                <w:kern w:val="0"/>
                <w:sz w:val="24"/>
              </w:rPr>
              <w:t>权重</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AC66F">
            <w:pPr>
              <w:widowControl/>
              <w:spacing w:line="300" w:lineRule="exact"/>
              <w:jc w:val="center"/>
              <w:textAlignment w:val="center"/>
              <w:rPr>
                <w:rFonts w:eastAsia="宋体"/>
                <w:color w:val="000000"/>
                <w:kern w:val="0"/>
                <w:sz w:val="24"/>
              </w:rPr>
            </w:pPr>
            <w:r>
              <w:rPr>
                <w:rFonts w:eastAsia="宋体"/>
                <w:color w:val="000000"/>
                <w:kern w:val="0"/>
                <w:sz w:val="24"/>
              </w:rPr>
              <w:t>实际完成</w:t>
            </w:r>
          </w:p>
          <w:p w14:paraId="369A97A3">
            <w:pPr>
              <w:widowControl/>
              <w:spacing w:line="300" w:lineRule="exact"/>
              <w:jc w:val="center"/>
              <w:textAlignment w:val="center"/>
              <w:rPr>
                <w:rFonts w:eastAsia="宋体"/>
                <w:color w:val="000000"/>
                <w:sz w:val="24"/>
              </w:rPr>
            </w:pPr>
            <w:r>
              <w:rPr>
                <w:rFonts w:eastAsia="宋体"/>
                <w:color w:val="000000"/>
                <w:kern w:val="0"/>
                <w:sz w:val="24"/>
              </w:rPr>
              <w:t>指标值</w:t>
            </w:r>
          </w:p>
        </w:tc>
      </w:tr>
      <w:tr w14:paraId="6A69A372">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C42C4">
            <w:pPr>
              <w:widowControl/>
              <w:spacing w:line="300" w:lineRule="exact"/>
              <w:jc w:val="center"/>
              <w:rPr>
                <w:rFonts w:eastAsia="宋体"/>
                <w:color w:val="000000"/>
                <w:sz w:val="24"/>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7DD8E">
            <w:pPr>
              <w:widowControl/>
              <w:spacing w:line="300" w:lineRule="exact"/>
              <w:jc w:val="center"/>
              <w:rPr>
                <w:rFonts w:eastAsia="宋体"/>
                <w:color w:val="000000"/>
                <w:sz w:val="24"/>
              </w:rPr>
            </w:pPr>
            <w:r>
              <w:rPr>
                <w:rFonts w:eastAsia="宋体"/>
                <w:color w:val="000000"/>
                <w:sz w:val="24"/>
              </w:rPr>
              <w:t>产出指标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002A">
            <w:pPr>
              <w:widowControl/>
              <w:spacing w:line="300" w:lineRule="exact"/>
              <w:jc w:val="center"/>
              <w:textAlignment w:val="center"/>
              <w:rPr>
                <w:rFonts w:eastAsia="宋体"/>
                <w:color w:val="000000"/>
                <w:sz w:val="24"/>
              </w:rPr>
            </w:pPr>
            <w:r>
              <w:rPr>
                <w:rFonts w:eastAsia="宋体"/>
                <w:color w:val="000000"/>
                <w:kern w:val="0"/>
                <w:sz w:val="24"/>
              </w:rPr>
              <w:t>质量指标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9F87B">
            <w:pPr>
              <w:widowControl/>
              <w:spacing w:line="300" w:lineRule="exact"/>
              <w:jc w:val="left"/>
              <w:rPr>
                <w:rFonts w:eastAsia="宋体"/>
                <w:color w:val="000000"/>
                <w:sz w:val="24"/>
              </w:rPr>
            </w:pPr>
            <w:r>
              <w:rPr>
                <w:rFonts w:hint="eastAsia" w:eastAsia="宋体"/>
                <w:color w:val="000000"/>
                <w:sz w:val="24"/>
              </w:rPr>
              <w:t>全州财政资金收支及使用情况</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02D0">
            <w:pPr>
              <w:widowControl/>
              <w:spacing w:line="300" w:lineRule="exact"/>
              <w:jc w:val="left"/>
              <w:rPr>
                <w:rFonts w:eastAsia="宋体"/>
                <w:color w:val="000000"/>
                <w:sz w:val="24"/>
              </w:rPr>
            </w:pPr>
            <w:r>
              <w:rPr>
                <w:rFonts w:eastAsia="宋体"/>
                <w:color w:val="000000"/>
                <w:sz w:val="24"/>
              </w:rPr>
              <w:t>定性</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8DF9">
            <w:pPr>
              <w:widowControl/>
              <w:spacing w:line="300" w:lineRule="exact"/>
              <w:jc w:val="left"/>
              <w:rPr>
                <w:rFonts w:eastAsia="宋体"/>
                <w:color w:val="000000"/>
                <w:sz w:val="24"/>
              </w:rPr>
            </w:pPr>
            <w:r>
              <w:rPr>
                <w:rFonts w:eastAsia="宋体"/>
                <w:color w:val="000000"/>
                <w:sz w:val="24"/>
              </w:rPr>
              <w:t>优良中差</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6AE29">
            <w:pPr>
              <w:widowControl/>
              <w:spacing w:line="300" w:lineRule="exact"/>
              <w:jc w:val="left"/>
              <w:rPr>
                <w:rFonts w:eastAsia="宋体"/>
                <w:color w:val="000000"/>
                <w:sz w:val="24"/>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4B88">
            <w:pPr>
              <w:widowControl/>
              <w:spacing w:line="300" w:lineRule="exact"/>
              <w:jc w:val="left"/>
              <w:rPr>
                <w:rFonts w:eastAsia="宋体"/>
                <w:color w:val="000000"/>
                <w:sz w:val="24"/>
              </w:rPr>
            </w:pPr>
            <w:r>
              <w:rPr>
                <w:rFonts w:hint="eastAsia" w:eastAsia="宋体"/>
                <w:color w:val="000000"/>
                <w:sz w:val="24"/>
              </w:rPr>
              <w:t>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711D4">
            <w:pPr>
              <w:widowControl/>
              <w:spacing w:line="300" w:lineRule="exact"/>
              <w:jc w:val="left"/>
              <w:rPr>
                <w:rFonts w:eastAsia="宋体"/>
                <w:color w:val="000000"/>
                <w:sz w:val="24"/>
              </w:rPr>
            </w:pPr>
            <w:r>
              <w:rPr>
                <w:rFonts w:hint="eastAsia" w:eastAsia="宋体"/>
                <w:color w:val="000000"/>
                <w:sz w:val="24"/>
              </w:rPr>
              <w:t>20</w:t>
            </w:r>
          </w:p>
        </w:tc>
      </w:tr>
      <w:tr w14:paraId="27AD905B">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27157">
            <w:pPr>
              <w:widowControl/>
              <w:spacing w:line="300" w:lineRule="exact"/>
              <w:jc w:val="center"/>
              <w:rPr>
                <w:rFonts w:eastAsia="宋体"/>
                <w:color w:val="000000"/>
                <w:sz w:val="24"/>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943A2">
            <w:pPr>
              <w:widowControl/>
              <w:spacing w:line="300" w:lineRule="exact"/>
              <w:jc w:val="center"/>
              <w:rPr>
                <w:rFonts w:eastAsia="宋体"/>
                <w:color w:val="000000"/>
                <w:sz w:val="24"/>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955A2">
            <w:pPr>
              <w:widowControl/>
              <w:spacing w:line="300" w:lineRule="exact"/>
              <w:jc w:val="center"/>
              <w:textAlignment w:val="center"/>
              <w:rPr>
                <w:rFonts w:eastAsia="宋体"/>
                <w:color w:val="000000"/>
                <w:sz w:val="24"/>
              </w:rPr>
            </w:pPr>
            <w:r>
              <w:rPr>
                <w:rFonts w:eastAsia="宋体"/>
                <w:color w:val="000000"/>
                <w:kern w:val="0"/>
                <w:sz w:val="24"/>
              </w:rPr>
              <w:t>时效指标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CA4A">
            <w:pPr>
              <w:widowControl/>
              <w:spacing w:line="300" w:lineRule="exact"/>
              <w:jc w:val="left"/>
              <w:rPr>
                <w:rFonts w:eastAsia="宋体"/>
                <w:color w:val="000000"/>
                <w:sz w:val="24"/>
              </w:rPr>
            </w:pPr>
            <w:r>
              <w:rPr>
                <w:rFonts w:hint="eastAsia" w:eastAsia="宋体"/>
                <w:color w:val="000000"/>
                <w:sz w:val="24"/>
              </w:rPr>
              <w:t>发挥财政职能，开启灵活资金到位拨付渠道，资金拨付及时率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172B">
            <w:pPr>
              <w:widowControl/>
              <w:spacing w:line="300" w:lineRule="exact"/>
              <w:jc w:val="left"/>
              <w:rPr>
                <w:rFonts w:eastAsia="宋体"/>
                <w:color w:val="000000"/>
                <w:sz w:val="24"/>
              </w:rPr>
            </w:pPr>
            <w:r>
              <w:rPr>
                <w:rFonts w:hint="eastAsia" w:eastAsia="宋体"/>
                <w:color w:val="000000"/>
                <w:sz w:val="24"/>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6B714">
            <w:pPr>
              <w:widowControl/>
              <w:spacing w:line="300" w:lineRule="exact"/>
              <w:jc w:val="left"/>
              <w:rPr>
                <w:rFonts w:eastAsia="宋体"/>
                <w:color w:val="000000"/>
                <w:sz w:val="24"/>
              </w:rPr>
            </w:pPr>
            <w:r>
              <w:rPr>
                <w:rFonts w:hint="eastAsia" w:eastAsia="宋体"/>
                <w:color w:val="000000"/>
                <w:sz w:val="24"/>
              </w:rPr>
              <w:t>100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26AC">
            <w:pPr>
              <w:widowControl/>
              <w:spacing w:line="300" w:lineRule="exact"/>
              <w:jc w:val="left"/>
              <w:rPr>
                <w:rFonts w:eastAsia="宋体"/>
                <w:color w:val="000000"/>
                <w:sz w:val="24"/>
              </w:rPr>
            </w:pPr>
            <w:r>
              <w:rPr>
                <w:rFonts w:hint="eastAsia"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7B30">
            <w:pPr>
              <w:widowControl/>
              <w:spacing w:line="300" w:lineRule="exact"/>
              <w:jc w:val="left"/>
              <w:rPr>
                <w:rFonts w:eastAsia="宋体"/>
                <w:color w:val="000000"/>
                <w:sz w:val="24"/>
              </w:rPr>
            </w:pPr>
            <w:r>
              <w:rPr>
                <w:rFonts w:hint="eastAsia" w:eastAsia="宋体"/>
                <w:color w:val="000000"/>
                <w:sz w:val="24"/>
              </w:rPr>
              <w:t>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3AC73">
            <w:pPr>
              <w:widowControl/>
              <w:spacing w:line="300" w:lineRule="exact"/>
              <w:jc w:val="left"/>
              <w:rPr>
                <w:rFonts w:eastAsia="宋体"/>
                <w:color w:val="000000"/>
                <w:sz w:val="24"/>
              </w:rPr>
            </w:pPr>
            <w:r>
              <w:rPr>
                <w:rFonts w:hint="eastAsia" w:eastAsia="宋体"/>
                <w:color w:val="000000"/>
                <w:sz w:val="24"/>
              </w:rPr>
              <w:t>20</w:t>
            </w:r>
          </w:p>
        </w:tc>
      </w:tr>
      <w:tr w14:paraId="0E3D97EC">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62720">
            <w:pPr>
              <w:widowControl/>
              <w:spacing w:line="300" w:lineRule="exact"/>
              <w:jc w:val="center"/>
              <w:rPr>
                <w:rFonts w:eastAsia="宋体"/>
                <w:color w:val="000000"/>
                <w:sz w:val="24"/>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5EC754">
            <w:pPr>
              <w:widowControl/>
              <w:spacing w:line="300" w:lineRule="exact"/>
              <w:jc w:val="center"/>
              <w:textAlignment w:val="center"/>
              <w:rPr>
                <w:rFonts w:eastAsia="宋体"/>
                <w:color w:val="000000"/>
                <w:sz w:val="24"/>
              </w:rPr>
            </w:pPr>
            <w:r>
              <w:rPr>
                <w:rFonts w:eastAsia="宋体"/>
                <w:color w:val="000000"/>
                <w:kern w:val="0"/>
                <w:sz w:val="24"/>
              </w:rPr>
              <w:t>效益指标</w:t>
            </w:r>
          </w:p>
        </w:tc>
        <w:tc>
          <w:tcPr>
            <w:tcW w:w="1273" w:type="dxa"/>
            <w:vMerge w:val="restart"/>
            <w:tcBorders>
              <w:top w:val="single" w:color="000000" w:sz="4" w:space="0"/>
              <w:left w:val="single" w:color="000000" w:sz="4" w:space="0"/>
              <w:right w:val="single" w:color="000000" w:sz="4" w:space="0"/>
            </w:tcBorders>
            <w:shd w:val="clear" w:color="auto" w:fill="auto"/>
            <w:vAlign w:val="center"/>
          </w:tcPr>
          <w:p w14:paraId="7AEF3F6A">
            <w:pPr>
              <w:widowControl/>
              <w:spacing w:line="300" w:lineRule="exact"/>
              <w:jc w:val="center"/>
              <w:textAlignment w:val="center"/>
              <w:rPr>
                <w:rFonts w:eastAsia="宋体"/>
                <w:color w:val="000000"/>
                <w:kern w:val="0"/>
                <w:sz w:val="24"/>
              </w:rPr>
            </w:pPr>
            <w:r>
              <w:rPr>
                <w:rFonts w:hint="eastAsia" w:eastAsia="宋体"/>
                <w:color w:val="000000"/>
                <w:kern w:val="0"/>
                <w:sz w:val="24"/>
              </w:rPr>
              <w:t>经济</w:t>
            </w:r>
            <w:r>
              <w:rPr>
                <w:rFonts w:eastAsia="宋体"/>
                <w:color w:val="000000"/>
                <w:kern w:val="0"/>
                <w:sz w:val="24"/>
              </w:rPr>
              <w:t>效益</w:t>
            </w:r>
          </w:p>
          <w:p w14:paraId="393E5ED6">
            <w:pPr>
              <w:widowControl/>
              <w:spacing w:line="300" w:lineRule="exact"/>
              <w:jc w:val="center"/>
              <w:textAlignment w:val="center"/>
              <w:rPr>
                <w:rFonts w:eastAsia="宋体"/>
                <w:color w:val="000000"/>
                <w:sz w:val="24"/>
              </w:rPr>
            </w:pPr>
            <w:r>
              <w:rPr>
                <w:rFonts w:eastAsia="宋体"/>
                <w:color w:val="000000"/>
                <w:kern w:val="0"/>
                <w:sz w:val="24"/>
              </w:rPr>
              <w:t>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A2337">
            <w:pPr>
              <w:widowControl/>
              <w:spacing w:line="300" w:lineRule="exact"/>
              <w:jc w:val="left"/>
              <w:rPr>
                <w:rFonts w:eastAsia="宋体"/>
                <w:color w:val="000000"/>
                <w:sz w:val="24"/>
              </w:rPr>
            </w:pPr>
            <w:r>
              <w:rPr>
                <w:rFonts w:hint="eastAsia" w:eastAsia="宋体"/>
                <w:color w:val="000000"/>
                <w:sz w:val="24"/>
              </w:rPr>
              <w:t>全州财政资金绩效管理</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C5A2A">
            <w:pPr>
              <w:widowControl/>
              <w:spacing w:line="300" w:lineRule="exact"/>
              <w:jc w:val="left"/>
              <w:rPr>
                <w:rFonts w:eastAsia="宋体"/>
                <w:color w:val="000000"/>
                <w:sz w:val="24"/>
              </w:rPr>
            </w:pPr>
            <w:r>
              <w:rPr>
                <w:rFonts w:eastAsia="宋体"/>
                <w:color w:val="000000"/>
                <w:sz w:val="24"/>
              </w:rPr>
              <w:t>定性</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10DF">
            <w:pPr>
              <w:widowControl/>
              <w:spacing w:line="300" w:lineRule="exact"/>
              <w:jc w:val="left"/>
              <w:rPr>
                <w:rFonts w:eastAsia="宋体"/>
                <w:color w:val="000000"/>
                <w:sz w:val="24"/>
              </w:rPr>
            </w:pPr>
            <w:r>
              <w:rPr>
                <w:rFonts w:eastAsia="宋体"/>
                <w:color w:val="000000"/>
                <w:sz w:val="24"/>
              </w:rPr>
              <w:t>优良中差</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F1981">
            <w:pPr>
              <w:widowControl/>
              <w:spacing w:line="300" w:lineRule="exact"/>
              <w:jc w:val="left"/>
              <w:rPr>
                <w:rFonts w:eastAsia="宋体"/>
                <w:color w:val="000000"/>
                <w:sz w:val="24"/>
              </w:rPr>
            </w:pPr>
            <w:r>
              <w:rPr>
                <w:rFonts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654CF">
            <w:pPr>
              <w:widowControl/>
              <w:spacing w:line="300" w:lineRule="exact"/>
              <w:jc w:val="left"/>
              <w:rPr>
                <w:rFonts w:eastAsia="宋体"/>
                <w:color w:val="000000"/>
                <w:sz w:val="24"/>
              </w:rPr>
            </w:pPr>
            <w:r>
              <w:rPr>
                <w:rFonts w:hint="eastAsia" w:eastAsia="宋体"/>
                <w:color w:val="000000"/>
                <w:sz w:val="24"/>
              </w:rPr>
              <w:t>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43E5">
            <w:pPr>
              <w:widowControl/>
              <w:spacing w:line="300" w:lineRule="exact"/>
              <w:jc w:val="left"/>
              <w:rPr>
                <w:rFonts w:eastAsia="宋体"/>
                <w:color w:val="000000"/>
                <w:sz w:val="24"/>
              </w:rPr>
            </w:pPr>
            <w:r>
              <w:rPr>
                <w:rFonts w:hint="eastAsia" w:eastAsia="宋体"/>
                <w:color w:val="000000"/>
                <w:sz w:val="24"/>
              </w:rPr>
              <w:t>10</w:t>
            </w:r>
          </w:p>
        </w:tc>
      </w:tr>
      <w:tr w14:paraId="7B095577">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C1AC1">
            <w:pPr>
              <w:widowControl/>
              <w:spacing w:line="300" w:lineRule="exact"/>
              <w:jc w:val="center"/>
              <w:rPr>
                <w:rFonts w:eastAsia="宋体"/>
                <w:color w:val="000000"/>
                <w:sz w:val="24"/>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0081C">
            <w:pPr>
              <w:widowControl/>
              <w:spacing w:line="300" w:lineRule="exact"/>
              <w:jc w:val="center"/>
              <w:rPr>
                <w:rFonts w:eastAsia="宋体"/>
                <w:color w:val="000000"/>
                <w:sz w:val="24"/>
              </w:rPr>
            </w:pPr>
          </w:p>
        </w:tc>
        <w:tc>
          <w:tcPr>
            <w:tcW w:w="1273" w:type="dxa"/>
            <w:vMerge w:val="continue"/>
            <w:tcBorders>
              <w:top w:val="single" w:color="000000" w:sz="4" w:space="0"/>
              <w:left w:val="single" w:color="000000" w:sz="4" w:space="0"/>
              <w:right w:val="single" w:color="000000" w:sz="4" w:space="0"/>
            </w:tcBorders>
            <w:shd w:val="clear" w:color="auto" w:fill="auto"/>
            <w:vAlign w:val="center"/>
          </w:tcPr>
          <w:p w14:paraId="14B72182">
            <w:pPr>
              <w:widowControl/>
              <w:spacing w:line="300" w:lineRule="exact"/>
              <w:jc w:val="center"/>
              <w:rPr>
                <w:rFonts w:eastAsia="宋体"/>
                <w:color w:val="000000"/>
                <w:sz w:val="24"/>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DD34B">
            <w:pPr>
              <w:widowControl/>
              <w:spacing w:line="300" w:lineRule="exact"/>
              <w:jc w:val="left"/>
              <w:rPr>
                <w:rFonts w:eastAsia="宋体"/>
                <w:color w:val="000000"/>
                <w:sz w:val="24"/>
              </w:rPr>
            </w:pPr>
            <w:r>
              <w:rPr>
                <w:rFonts w:hint="eastAsia" w:eastAsia="宋体"/>
                <w:color w:val="000000"/>
                <w:sz w:val="24"/>
              </w:rPr>
              <w:t>收入增长率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05C0">
            <w:pPr>
              <w:widowControl/>
              <w:spacing w:line="300" w:lineRule="exact"/>
              <w:jc w:val="left"/>
              <w:rPr>
                <w:rFonts w:eastAsia="宋体"/>
                <w:color w:val="000000"/>
                <w:sz w:val="24"/>
              </w:rPr>
            </w:pPr>
            <w:r>
              <w:rPr>
                <w:rFonts w:hint="eastAsia" w:eastAsia="宋体"/>
                <w:color w:val="000000"/>
                <w:sz w:val="24"/>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7F2A">
            <w:pPr>
              <w:widowControl/>
              <w:spacing w:line="300" w:lineRule="exact"/>
              <w:jc w:val="left"/>
              <w:rPr>
                <w:rFonts w:eastAsia="宋体"/>
                <w:color w:val="000000"/>
                <w:sz w:val="24"/>
              </w:rPr>
            </w:pPr>
            <w:r>
              <w:rPr>
                <w:rFonts w:hint="eastAsia" w:eastAsia="宋体"/>
                <w:color w:val="000000"/>
                <w:sz w:val="24"/>
              </w:rPr>
              <w:t>7</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F2975">
            <w:pPr>
              <w:widowControl/>
              <w:spacing w:line="300" w:lineRule="exact"/>
              <w:jc w:val="left"/>
              <w:rPr>
                <w:rFonts w:eastAsia="宋体"/>
                <w:color w:val="000000"/>
                <w:sz w:val="24"/>
              </w:rPr>
            </w:pPr>
            <w:r>
              <w:rPr>
                <w:rFonts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CBADF">
            <w:pPr>
              <w:widowControl/>
              <w:spacing w:line="300" w:lineRule="exact"/>
              <w:jc w:val="left"/>
              <w:rPr>
                <w:rFonts w:eastAsia="宋体"/>
                <w:color w:val="000000"/>
                <w:sz w:val="24"/>
              </w:rPr>
            </w:pPr>
            <w:r>
              <w:rPr>
                <w:rFonts w:hint="eastAsia" w:eastAsia="宋体"/>
                <w:color w:val="000000"/>
                <w:sz w:val="24"/>
              </w:rPr>
              <w:t>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B014">
            <w:pPr>
              <w:widowControl/>
              <w:spacing w:line="300" w:lineRule="exact"/>
              <w:jc w:val="left"/>
              <w:rPr>
                <w:rFonts w:eastAsia="宋体"/>
                <w:color w:val="000000"/>
                <w:sz w:val="24"/>
              </w:rPr>
            </w:pPr>
            <w:r>
              <w:rPr>
                <w:rFonts w:hint="eastAsia" w:eastAsia="宋体"/>
                <w:color w:val="000000"/>
                <w:sz w:val="24"/>
              </w:rPr>
              <w:t>10</w:t>
            </w:r>
          </w:p>
        </w:tc>
      </w:tr>
      <w:tr w14:paraId="08631282">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F5524">
            <w:pPr>
              <w:widowControl/>
              <w:spacing w:line="300" w:lineRule="exact"/>
              <w:jc w:val="center"/>
              <w:rPr>
                <w:rFonts w:eastAsia="宋体"/>
                <w:color w:val="000000"/>
                <w:sz w:val="24"/>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EE984">
            <w:pPr>
              <w:widowControl/>
              <w:spacing w:line="300" w:lineRule="exact"/>
              <w:jc w:val="center"/>
              <w:textAlignment w:val="center"/>
              <w:rPr>
                <w:rFonts w:eastAsia="宋体"/>
                <w:color w:val="000000"/>
                <w:sz w:val="24"/>
              </w:rPr>
            </w:pPr>
            <w:r>
              <w:rPr>
                <w:rFonts w:eastAsia="宋体"/>
                <w:color w:val="000000"/>
                <w:kern w:val="0"/>
                <w:sz w:val="24"/>
              </w:rPr>
              <w:t>满意度指标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FFC4C">
            <w:pPr>
              <w:widowControl/>
              <w:spacing w:line="300" w:lineRule="exact"/>
              <w:jc w:val="center"/>
              <w:textAlignment w:val="center"/>
              <w:rPr>
                <w:rFonts w:eastAsia="宋体"/>
                <w:color w:val="000000"/>
                <w:sz w:val="24"/>
              </w:rPr>
            </w:pPr>
            <w:r>
              <w:rPr>
                <w:rFonts w:eastAsia="宋体"/>
                <w:color w:val="000000"/>
                <w:kern w:val="0"/>
                <w:sz w:val="24"/>
              </w:rPr>
              <w:t>满意度指标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9B9B7">
            <w:pPr>
              <w:widowControl/>
              <w:spacing w:line="300" w:lineRule="exact"/>
              <w:jc w:val="left"/>
              <w:rPr>
                <w:rFonts w:eastAsia="宋体"/>
                <w:color w:val="000000"/>
                <w:sz w:val="24"/>
              </w:rPr>
            </w:pPr>
            <w:r>
              <w:rPr>
                <w:rFonts w:hint="eastAsia" w:eastAsia="宋体"/>
                <w:color w:val="000000"/>
                <w:sz w:val="24"/>
              </w:rPr>
              <w:t>年度履职情况受财政服务对象满意度</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B6D1">
            <w:pPr>
              <w:widowControl/>
              <w:spacing w:line="300" w:lineRule="exact"/>
              <w:jc w:val="left"/>
              <w:rPr>
                <w:rFonts w:eastAsia="宋体"/>
                <w:color w:val="000000"/>
                <w:sz w:val="24"/>
              </w:rPr>
            </w:pPr>
            <w:r>
              <w:rPr>
                <w:rFonts w:hint="eastAsia" w:eastAsia="宋体"/>
                <w:color w:val="000000"/>
                <w:sz w:val="24"/>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869E">
            <w:pPr>
              <w:widowControl/>
              <w:spacing w:line="300" w:lineRule="exact"/>
              <w:jc w:val="left"/>
              <w:rPr>
                <w:rFonts w:eastAsia="宋体"/>
                <w:color w:val="000000"/>
                <w:sz w:val="24"/>
              </w:rPr>
            </w:pPr>
            <w:r>
              <w:rPr>
                <w:rFonts w:hint="eastAsia" w:eastAsia="宋体"/>
                <w:color w:val="000000"/>
                <w:sz w:val="24"/>
              </w:rPr>
              <w:t>90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18827">
            <w:pPr>
              <w:widowControl/>
              <w:spacing w:line="300" w:lineRule="exact"/>
              <w:jc w:val="left"/>
              <w:rPr>
                <w:rFonts w:eastAsia="宋体"/>
                <w:color w:val="000000"/>
                <w:sz w:val="24"/>
              </w:rPr>
            </w:pPr>
            <w:r>
              <w:rPr>
                <w:rFonts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B2DC">
            <w:pPr>
              <w:widowControl/>
              <w:spacing w:line="300" w:lineRule="exact"/>
              <w:jc w:val="left"/>
              <w:rPr>
                <w:rFonts w:eastAsia="宋体"/>
                <w:color w:val="000000"/>
                <w:sz w:val="24"/>
              </w:rPr>
            </w:pPr>
            <w:r>
              <w:rPr>
                <w:rFonts w:hint="eastAsia" w:eastAsia="宋体"/>
                <w:color w:val="000000"/>
                <w:sz w:val="24"/>
              </w:rPr>
              <w:t>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2F832">
            <w:pPr>
              <w:widowControl/>
              <w:spacing w:line="300" w:lineRule="exact"/>
              <w:jc w:val="left"/>
              <w:rPr>
                <w:rFonts w:eastAsia="宋体"/>
                <w:color w:val="000000"/>
                <w:sz w:val="24"/>
              </w:rPr>
            </w:pPr>
            <w:r>
              <w:rPr>
                <w:rFonts w:hint="eastAsia" w:eastAsia="宋体"/>
                <w:color w:val="000000"/>
                <w:sz w:val="24"/>
              </w:rPr>
              <w:t>10</w:t>
            </w:r>
          </w:p>
        </w:tc>
      </w:tr>
      <w:tr w14:paraId="3A008C29">
        <w:tblPrEx>
          <w:tblCellMar>
            <w:top w:w="15" w:type="dxa"/>
            <w:left w:w="15" w:type="dxa"/>
            <w:bottom w:w="15" w:type="dxa"/>
            <w:right w:w="15" w:type="dxa"/>
          </w:tblCellMar>
        </w:tblPrEx>
        <w:trPr>
          <w:trHeight w:val="23" w:hRule="atLeast"/>
          <w:jc w:val="center"/>
        </w:trPr>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6F7FE">
            <w:pPr>
              <w:widowControl/>
              <w:spacing w:line="300" w:lineRule="exact"/>
              <w:jc w:val="center"/>
              <w:rPr>
                <w:rFonts w:eastAsia="宋体"/>
                <w:color w:val="000000"/>
                <w:sz w:val="24"/>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2486">
            <w:pPr>
              <w:widowControl/>
              <w:spacing w:line="300" w:lineRule="exact"/>
              <w:jc w:val="center"/>
              <w:textAlignment w:val="center"/>
              <w:rPr>
                <w:rFonts w:eastAsia="宋体"/>
                <w:color w:val="000000"/>
                <w:kern w:val="0"/>
                <w:sz w:val="24"/>
              </w:rPr>
            </w:pPr>
            <w:r>
              <w:rPr>
                <w:rFonts w:eastAsia="宋体"/>
                <w:color w:val="000000"/>
                <w:kern w:val="0"/>
                <w:sz w:val="24"/>
              </w:rPr>
              <w:t>成本指标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91B5">
            <w:pPr>
              <w:widowControl/>
              <w:spacing w:line="300" w:lineRule="exact"/>
              <w:jc w:val="center"/>
              <w:textAlignment w:val="center"/>
              <w:rPr>
                <w:rFonts w:eastAsia="宋体"/>
                <w:color w:val="000000"/>
                <w:kern w:val="0"/>
                <w:sz w:val="24"/>
              </w:rPr>
            </w:pPr>
            <w:r>
              <w:rPr>
                <w:rFonts w:eastAsia="宋体"/>
                <w:color w:val="000000"/>
                <w:kern w:val="0"/>
                <w:sz w:val="24"/>
              </w:rPr>
              <w:t>经济成本指标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0100">
            <w:pPr>
              <w:widowControl/>
              <w:spacing w:line="300" w:lineRule="exact"/>
              <w:jc w:val="left"/>
              <w:rPr>
                <w:rFonts w:eastAsia="宋体"/>
                <w:color w:val="000000"/>
                <w:sz w:val="24"/>
              </w:rPr>
            </w:pPr>
            <w:r>
              <w:rPr>
                <w:rFonts w:hint="eastAsia" w:eastAsia="宋体"/>
                <w:color w:val="000000"/>
                <w:sz w:val="24"/>
              </w:rPr>
              <w:t>“三公”经费压减，严格一般性支出，压减比例</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40E3">
            <w:pPr>
              <w:widowControl/>
              <w:spacing w:line="300" w:lineRule="exact"/>
              <w:jc w:val="left"/>
              <w:rPr>
                <w:rFonts w:eastAsia="宋体"/>
                <w:color w:val="000000"/>
                <w:sz w:val="24"/>
              </w:rPr>
            </w:pPr>
            <w:r>
              <w:rPr>
                <w:rFonts w:hint="eastAsia" w:eastAsia="宋体"/>
                <w:color w:val="000000"/>
                <w:sz w:val="24"/>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093E">
            <w:pPr>
              <w:widowControl/>
              <w:spacing w:line="300" w:lineRule="exact"/>
              <w:jc w:val="left"/>
              <w:rPr>
                <w:rFonts w:eastAsia="宋体"/>
                <w:color w:val="000000"/>
                <w:sz w:val="24"/>
              </w:rPr>
            </w:pPr>
            <w:r>
              <w:rPr>
                <w:rFonts w:hint="eastAsia" w:eastAsia="宋体"/>
                <w:color w:val="000000"/>
                <w:sz w:val="24"/>
              </w:rPr>
              <w:t>10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9ACF0">
            <w:pPr>
              <w:widowControl/>
              <w:spacing w:line="300" w:lineRule="exact"/>
              <w:jc w:val="left"/>
              <w:rPr>
                <w:rFonts w:eastAsia="宋体"/>
                <w:color w:val="000000"/>
                <w:sz w:val="24"/>
              </w:rPr>
            </w:pPr>
            <w:r>
              <w:rPr>
                <w:rFonts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E670">
            <w:pPr>
              <w:widowControl/>
              <w:spacing w:line="300" w:lineRule="exact"/>
              <w:jc w:val="left"/>
              <w:rPr>
                <w:rFonts w:eastAsia="宋体"/>
                <w:color w:val="000000"/>
                <w:sz w:val="24"/>
              </w:rPr>
            </w:pPr>
            <w:r>
              <w:rPr>
                <w:rFonts w:hint="eastAsia" w:eastAsia="宋体"/>
                <w:color w:val="000000"/>
                <w:sz w:val="24"/>
              </w:rPr>
              <w:t>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5FA6">
            <w:pPr>
              <w:widowControl/>
              <w:spacing w:line="300" w:lineRule="exact"/>
              <w:jc w:val="left"/>
              <w:rPr>
                <w:rFonts w:eastAsia="宋体"/>
                <w:color w:val="000000"/>
                <w:sz w:val="24"/>
              </w:rPr>
            </w:pPr>
            <w:r>
              <w:rPr>
                <w:rFonts w:hint="eastAsia" w:eastAsia="宋体"/>
                <w:color w:val="000000"/>
                <w:sz w:val="24"/>
              </w:rPr>
              <w:t>20</w:t>
            </w:r>
          </w:p>
        </w:tc>
      </w:tr>
    </w:tbl>
    <w:p w14:paraId="0E470527"/>
    <w:p w14:paraId="513CF7FF"/>
    <w:p w14:paraId="404C7C42">
      <w:pPr>
        <w:rPr>
          <w:rFonts w:hint="eastAsia" w:ascii="黑体" w:hAnsi="黑体" w:eastAsia="黑体"/>
          <w:sz w:val="32"/>
          <w:szCs w:val="32"/>
        </w:rPr>
      </w:pPr>
      <w:r>
        <w:rPr>
          <w:rFonts w:hint="eastAsia" w:ascii="黑体" w:hAnsi="黑体" w:eastAsia="黑体"/>
          <w:sz w:val="32"/>
          <w:szCs w:val="32"/>
        </w:rPr>
        <w:br w:type="page"/>
      </w:r>
    </w:p>
    <w:p w14:paraId="5CD16342">
      <w:pPr>
        <w:rPr>
          <w:rFonts w:hint="eastAsia" w:ascii="黑体" w:hAnsi="黑体" w:eastAsia="黑体"/>
        </w:rPr>
      </w:pPr>
    </w:p>
    <w:p w14:paraId="1BDD4E4C">
      <w:pPr>
        <w:pStyle w:val="2"/>
        <w:jc w:val="center"/>
        <w:rPr>
          <w:rFonts w:ascii="黑体" w:hAnsi="黑体" w:eastAsia="黑体"/>
        </w:rPr>
      </w:pPr>
      <w:r>
        <w:rPr>
          <w:rFonts w:hint="eastAsia" w:ascii="黑体" w:hAnsi="黑体" w:eastAsia="黑体"/>
        </w:rPr>
        <w:t>第五部分 附表</w:t>
      </w:r>
    </w:p>
    <w:p w14:paraId="07BA78F2">
      <w:pPr>
        <w:rPr>
          <w:rFonts w:ascii="仿宋" w:hAnsi="仿宋" w:eastAsia="仿宋"/>
          <w:sz w:val="32"/>
          <w:szCs w:val="32"/>
        </w:rPr>
      </w:pPr>
      <w:r>
        <w:rPr>
          <w:rFonts w:hint="eastAsia" w:ascii="仿宋" w:hAnsi="仿宋" w:eastAsia="仿宋"/>
          <w:sz w:val="32"/>
          <w:szCs w:val="32"/>
        </w:rPr>
        <w:t>一、收入支出决算总表</w:t>
      </w:r>
    </w:p>
    <w:p w14:paraId="19BF52CD">
      <w:pPr>
        <w:rPr>
          <w:rFonts w:ascii="仿宋" w:hAnsi="仿宋" w:eastAsia="仿宋"/>
          <w:sz w:val="32"/>
          <w:szCs w:val="32"/>
        </w:rPr>
      </w:pPr>
      <w:r>
        <w:rPr>
          <w:rFonts w:hint="eastAsia" w:ascii="仿宋" w:hAnsi="仿宋" w:eastAsia="仿宋"/>
          <w:sz w:val="32"/>
          <w:szCs w:val="32"/>
        </w:rPr>
        <w:t>二、收入决算表</w:t>
      </w:r>
    </w:p>
    <w:p w14:paraId="6D9B4659">
      <w:pPr>
        <w:rPr>
          <w:rFonts w:ascii="仿宋" w:hAnsi="仿宋" w:eastAsia="仿宋"/>
          <w:sz w:val="32"/>
          <w:szCs w:val="32"/>
        </w:rPr>
      </w:pPr>
      <w:r>
        <w:rPr>
          <w:rFonts w:hint="eastAsia" w:ascii="仿宋" w:hAnsi="仿宋" w:eastAsia="仿宋"/>
          <w:sz w:val="32"/>
          <w:szCs w:val="32"/>
        </w:rPr>
        <w:t>三、支出决算表</w:t>
      </w:r>
    </w:p>
    <w:p w14:paraId="781597E1">
      <w:pPr>
        <w:rPr>
          <w:rFonts w:ascii="仿宋" w:hAnsi="仿宋" w:eastAsia="仿宋"/>
          <w:sz w:val="32"/>
          <w:szCs w:val="32"/>
        </w:rPr>
      </w:pPr>
      <w:r>
        <w:rPr>
          <w:rFonts w:hint="eastAsia" w:ascii="仿宋" w:hAnsi="仿宋" w:eastAsia="仿宋"/>
          <w:sz w:val="32"/>
          <w:szCs w:val="32"/>
        </w:rPr>
        <w:t>四、财政拨款收入支出决算总表</w:t>
      </w:r>
    </w:p>
    <w:p w14:paraId="17BABE3C">
      <w:pPr>
        <w:rPr>
          <w:rFonts w:ascii="仿宋" w:hAnsi="仿宋" w:eastAsia="仿宋"/>
          <w:sz w:val="32"/>
          <w:szCs w:val="32"/>
        </w:rPr>
      </w:pPr>
      <w:r>
        <w:rPr>
          <w:rFonts w:hint="eastAsia" w:ascii="仿宋" w:hAnsi="仿宋" w:eastAsia="仿宋"/>
          <w:sz w:val="32"/>
          <w:szCs w:val="32"/>
        </w:rPr>
        <w:t>五、财政拨款支出决算明细表</w:t>
      </w:r>
    </w:p>
    <w:p w14:paraId="6F880902">
      <w:pPr>
        <w:rPr>
          <w:rFonts w:ascii="仿宋" w:hAnsi="仿宋" w:eastAsia="仿宋"/>
          <w:sz w:val="32"/>
          <w:szCs w:val="32"/>
        </w:rPr>
      </w:pPr>
      <w:r>
        <w:rPr>
          <w:rFonts w:hint="eastAsia" w:ascii="仿宋" w:hAnsi="仿宋" w:eastAsia="仿宋"/>
          <w:sz w:val="32"/>
          <w:szCs w:val="32"/>
        </w:rPr>
        <w:t>六、一般公共预算财政拨款支出决算表</w:t>
      </w:r>
    </w:p>
    <w:p w14:paraId="2EAE2300">
      <w:pPr>
        <w:rPr>
          <w:rFonts w:ascii="仿宋" w:hAnsi="仿宋" w:eastAsia="仿宋"/>
          <w:sz w:val="32"/>
          <w:szCs w:val="32"/>
        </w:rPr>
      </w:pPr>
      <w:r>
        <w:rPr>
          <w:rFonts w:hint="eastAsia" w:ascii="仿宋" w:hAnsi="仿宋" w:eastAsia="仿宋"/>
          <w:sz w:val="32"/>
          <w:szCs w:val="32"/>
        </w:rPr>
        <w:t>七、一般公共预算财政拨款支出决算明细表</w:t>
      </w:r>
    </w:p>
    <w:p w14:paraId="1CA26CBE">
      <w:pPr>
        <w:rPr>
          <w:rFonts w:ascii="仿宋" w:hAnsi="仿宋" w:eastAsia="仿宋"/>
          <w:sz w:val="32"/>
          <w:szCs w:val="32"/>
        </w:rPr>
      </w:pPr>
      <w:r>
        <w:rPr>
          <w:rFonts w:hint="eastAsia" w:ascii="仿宋" w:hAnsi="仿宋" w:eastAsia="仿宋"/>
          <w:sz w:val="32"/>
          <w:szCs w:val="32"/>
        </w:rPr>
        <w:t>八、一般公共预算财政拨款基本支出决算表</w:t>
      </w:r>
    </w:p>
    <w:p w14:paraId="510E7050">
      <w:pPr>
        <w:rPr>
          <w:rFonts w:ascii="仿宋" w:hAnsi="仿宋" w:eastAsia="仿宋"/>
          <w:sz w:val="32"/>
          <w:szCs w:val="32"/>
        </w:rPr>
      </w:pPr>
      <w:r>
        <w:rPr>
          <w:rFonts w:hint="eastAsia" w:ascii="仿宋" w:hAnsi="仿宋" w:eastAsia="仿宋"/>
          <w:sz w:val="32"/>
          <w:szCs w:val="32"/>
        </w:rPr>
        <w:t>九、一般公共预算财政拨款项目支出决算表</w:t>
      </w:r>
    </w:p>
    <w:p w14:paraId="0377C03F">
      <w:pPr>
        <w:rPr>
          <w:rFonts w:ascii="仿宋" w:hAnsi="仿宋" w:eastAsia="仿宋"/>
          <w:sz w:val="32"/>
          <w:szCs w:val="32"/>
        </w:rPr>
      </w:pPr>
      <w:r>
        <w:rPr>
          <w:rFonts w:hint="eastAsia" w:ascii="仿宋" w:hAnsi="仿宋" w:eastAsia="仿宋"/>
          <w:sz w:val="32"/>
          <w:szCs w:val="32"/>
        </w:rPr>
        <w:t>十、政府性基金预算财政拨款收入支出决算表</w:t>
      </w:r>
    </w:p>
    <w:p w14:paraId="109B4AA1">
      <w:pPr>
        <w:rPr>
          <w:rFonts w:ascii="仿宋" w:hAnsi="仿宋" w:eastAsia="仿宋"/>
          <w:sz w:val="32"/>
          <w:szCs w:val="32"/>
        </w:rPr>
      </w:pPr>
      <w:r>
        <w:rPr>
          <w:rFonts w:hint="eastAsia" w:ascii="仿宋" w:hAnsi="仿宋" w:eastAsia="仿宋"/>
          <w:sz w:val="32"/>
          <w:szCs w:val="32"/>
        </w:rPr>
        <w:t>十一、国有资本经营预算财政拨款收入支出决算表</w:t>
      </w:r>
    </w:p>
    <w:p w14:paraId="3612E6E8">
      <w:pPr>
        <w:rPr>
          <w:rFonts w:ascii="仿宋" w:hAnsi="仿宋" w:eastAsia="仿宋"/>
          <w:sz w:val="32"/>
          <w:szCs w:val="32"/>
        </w:rPr>
      </w:pPr>
      <w:r>
        <w:rPr>
          <w:rFonts w:hint="eastAsia" w:ascii="仿宋" w:hAnsi="仿宋" w:eastAsia="仿宋"/>
          <w:sz w:val="32"/>
          <w:szCs w:val="32"/>
        </w:rPr>
        <w:t>十二、国有资本经营预算财政拨款支出决算表</w:t>
      </w:r>
    </w:p>
    <w:p w14:paraId="58076DA2">
      <w:pPr>
        <w:rPr>
          <w:rFonts w:ascii="仿宋" w:hAnsi="仿宋" w:eastAsia="仿宋"/>
          <w:sz w:val="32"/>
          <w:szCs w:val="32"/>
        </w:rPr>
      </w:pPr>
      <w:r>
        <w:rPr>
          <w:rFonts w:hint="eastAsia" w:ascii="仿宋" w:hAnsi="仿宋" w:eastAsia="仿宋"/>
          <w:sz w:val="32"/>
          <w:szCs w:val="32"/>
        </w:rPr>
        <w:t>十三、财政拨款“三公”经费支出决算表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439D583A">
        <w:pPr>
          <w:pStyle w:val="11"/>
          <w:jc w:val="center"/>
        </w:pPr>
        <w:r>
          <w:fldChar w:fldCharType="begin"/>
        </w:r>
        <w:r>
          <w:instrText xml:space="preserve">PAGE   \* MERGEFORMAT</w:instrText>
        </w:r>
        <w:r>
          <w:fldChar w:fldCharType="separate"/>
        </w:r>
        <w:r>
          <w:rPr>
            <w:lang w:val="zh-CN"/>
          </w:rPr>
          <w:t>23</w:t>
        </w:r>
        <w:r>
          <w:fldChar w:fldCharType="end"/>
        </w:r>
      </w:p>
    </w:sdtContent>
  </w:sdt>
  <w:p w14:paraId="06CC5134">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CB6BA">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NkYzc1NzFiOWI5NmUwNjJhMzNjZDM5YzdhY2E3ZWQifQ=="/>
  </w:docVars>
  <w:rsids>
    <w:rsidRoot w:val="00F1361C"/>
    <w:rsid w:val="00014A1C"/>
    <w:rsid w:val="000222C6"/>
    <w:rsid w:val="0002549F"/>
    <w:rsid w:val="00035392"/>
    <w:rsid w:val="000468DB"/>
    <w:rsid w:val="0006487A"/>
    <w:rsid w:val="00065F8F"/>
    <w:rsid w:val="00070A43"/>
    <w:rsid w:val="000768F2"/>
    <w:rsid w:val="00082EAC"/>
    <w:rsid w:val="0009184B"/>
    <w:rsid w:val="00094236"/>
    <w:rsid w:val="0009593C"/>
    <w:rsid w:val="00097322"/>
    <w:rsid w:val="00097358"/>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30E5"/>
    <w:rsid w:val="00174518"/>
    <w:rsid w:val="0018106D"/>
    <w:rsid w:val="001877A7"/>
    <w:rsid w:val="00191536"/>
    <w:rsid w:val="00196687"/>
    <w:rsid w:val="001C0962"/>
    <w:rsid w:val="001C2738"/>
    <w:rsid w:val="001D7531"/>
    <w:rsid w:val="001E737D"/>
    <w:rsid w:val="001F0592"/>
    <w:rsid w:val="001F6419"/>
    <w:rsid w:val="001F7506"/>
    <w:rsid w:val="002006CD"/>
    <w:rsid w:val="00202B36"/>
    <w:rsid w:val="00204B7A"/>
    <w:rsid w:val="00204CDE"/>
    <w:rsid w:val="0021101A"/>
    <w:rsid w:val="00220536"/>
    <w:rsid w:val="00235629"/>
    <w:rsid w:val="00260289"/>
    <w:rsid w:val="00260C38"/>
    <w:rsid w:val="002616C0"/>
    <w:rsid w:val="002643DB"/>
    <w:rsid w:val="00265372"/>
    <w:rsid w:val="002662AA"/>
    <w:rsid w:val="00280496"/>
    <w:rsid w:val="00283D47"/>
    <w:rsid w:val="00294DC9"/>
    <w:rsid w:val="00295495"/>
    <w:rsid w:val="002A31DE"/>
    <w:rsid w:val="002A62F7"/>
    <w:rsid w:val="002B2613"/>
    <w:rsid w:val="002C1468"/>
    <w:rsid w:val="002D6D05"/>
    <w:rsid w:val="002F1818"/>
    <w:rsid w:val="002F5109"/>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2919"/>
    <w:rsid w:val="003D66DA"/>
    <w:rsid w:val="003E1310"/>
    <w:rsid w:val="003E2E6A"/>
    <w:rsid w:val="003E6F55"/>
    <w:rsid w:val="00406254"/>
    <w:rsid w:val="00410559"/>
    <w:rsid w:val="0041585D"/>
    <w:rsid w:val="00420B47"/>
    <w:rsid w:val="004223DE"/>
    <w:rsid w:val="00434489"/>
    <w:rsid w:val="00437085"/>
    <w:rsid w:val="00443880"/>
    <w:rsid w:val="004464F4"/>
    <w:rsid w:val="00447329"/>
    <w:rsid w:val="00471401"/>
    <w:rsid w:val="00473F31"/>
    <w:rsid w:val="0048263A"/>
    <w:rsid w:val="004826A2"/>
    <w:rsid w:val="00487E5D"/>
    <w:rsid w:val="004A711F"/>
    <w:rsid w:val="004B199D"/>
    <w:rsid w:val="004B4690"/>
    <w:rsid w:val="004E0A2D"/>
    <w:rsid w:val="004E206B"/>
    <w:rsid w:val="004E3607"/>
    <w:rsid w:val="004E6DF7"/>
    <w:rsid w:val="004F0FBD"/>
    <w:rsid w:val="00505A47"/>
    <w:rsid w:val="00512FDA"/>
    <w:rsid w:val="00520DA0"/>
    <w:rsid w:val="005664BB"/>
    <w:rsid w:val="00566FFA"/>
    <w:rsid w:val="0057481D"/>
    <w:rsid w:val="0058486E"/>
    <w:rsid w:val="00585B33"/>
    <w:rsid w:val="0059014D"/>
    <w:rsid w:val="005A09FD"/>
    <w:rsid w:val="005B0198"/>
    <w:rsid w:val="005B321C"/>
    <w:rsid w:val="005B5C64"/>
    <w:rsid w:val="005C5337"/>
    <w:rsid w:val="005C6BD0"/>
    <w:rsid w:val="005D1C8B"/>
    <w:rsid w:val="005D468D"/>
    <w:rsid w:val="005D5CED"/>
    <w:rsid w:val="005F1A4C"/>
    <w:rsid w:val="00605688"/>
    <w:rsid w:val="006070AF"/>
    <w:rsid w:val="00607E6C"/>
    <w:rsid w:val="006101B1"/>
    <w:rsid w:val="00614E44"/>
    <w:rsid w:val="00620030"/>
    <w:rsid w:val="0062270A"/>
    <w:rsid w:val="00622830"/>
    <w:rsid w:val="00623DA0"/>
    <w:rsid w:val="00630AEF"/>
    <w:rsid w:val="006325F8"/>
    <w:rsid w:val="00633463"/>
    <w:rsid w:val="00634C9A"/>
    <w:rsid w:val="00640417"/>
    <w:rsid w:val="00641F56"/>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516B"/>
    <w:rsid w:val="00746F48"/>
    <w:rsid w:val="0075404D"/>
    <w:rsid w:val="0076182A"/>
    <w:rsid w:val="00762406"/>
    <w:rsid w:val="0076493D"/>
    <w:rsid w:val="00767B7E"/>
    <w:rsid w:val="007770C3"/>
    <w:rsid w:val="00784D24"/>
    <w:rsid w:val="00785FBA"/>
    <w:rsid w:val="00786E4A"/>
    <w:rsid w:val="007875EB"/>
    <w:rsid w:val="0079426B"/>
    <w:rsid w:val="007D1682"/>
    <w:rsid w:val="007D312A"/>
    <w:rsid w:val="007D3F19"/>
    <w:rsid w:val="007E23B0"/>
    <w:rsid w:val="007E23E5"/>
    <w:rsid w:val="007E6A82"/>
    <w:rsid w:val="007F1991"/>
    <w:rsid w:val="007F2C2F"/>
    <w:rsid w:val="007F55FC"/>
    <w:rsid w:val="007F5665"/>
    <w:rsid w:val="007F7385"/>
    <w:rsid w:val="00800112"/>
    <w:rsid w:val="00813348"/>
    <w:rsid w:val="008253BB"/>
    <w:rsid w:val="0083706E"/>
    <w:rsid w:val="008408F6"/>
    <w:rsid w:val="008423A5"/>
    <w:rsid w:val="00850625"/>
    <w:rsid w:val="00853718"/>
    <w:rsid w:val="00855221"/>
    <w:rsid w:val="00860645"/>
    <w:rsid w:val="00871F71"/>
    <w:rsid w:val="00872FD8"/>
    <w:rsid w:val="00875641"/>
    <w:rsid w:val="00885AF4"/>
    <w:rsid w:val="00887F08"/>
    <w:rsid w:val="008914B9"/>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4F0"/>
    <w:rsid w:val="00935C98"/>
    <w:rsid w:val="00946945"/>
    <w:rsid w:val="00951248"/>
    <w:rsid w:val="0095152F"/>
    <w:rsid w:val="009546E4"/>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E50C8"/>
    <w:rsid w:val="009F1185"/>
    <w:rsid w:val="009F18CD"/>
    <w:rsid w:val="009F2A13"/>
    <w:rsid w:val="009F7527"/>
    <w:rsid w:val="00A04EB0"/>
    <w:rsid w:val="00A13CC1"/>
    <w:rsid w:val="00A16847"/>
    <w:rsid w:val="00A237D8"/>
    <w:rsid w:val="00A25C9F"/>
    <w:rsid w:val="00A268C4"/>
    <w:rsid w:val="00A27C77"/>
    <w:rsid w:val="00A307CD"/>
    <w:rsid w:val="00A331C8"/>
    <w:rsid w:val="00A40A00"/>
    <w:rsid w:val="00A4142F"/>
    <w:rsid w:val="00A422EB"/>
    <w:rsid w:val="00A45BB7"/>
    <w:rsid w:val="00A56DF2"/>
    <w:rsid w:val="00A56E6E"/>
    <w:rsid w:val="00A67AB5"/>
    <w:rsid w:val="00A733B2"/>
    <w:rsid w:val="00A741C2"/>
    <w:rsid w:val="00A74A9E"/>
    <w:rsid w:val="00A91760"/>
    <w:rsid w:val="00A93B00"/>
    <w:rsid w:val="00A93C21"/>
    <w:rsid w:val="00AB64C9"/>
    <w:rsid w:val="00AC2E50"/>
    <w:rsid w:val="00AC3C6A"/>
    <w:rsid w:val="00AD5620"/>
    <w:rsid w:val="00AD656B"/>
    <w:rsid w:val="00AD7C1B"/>
    <w:rsid w:val="00AE16BA"/>
    <w:rsid w:val="00AE1EBE"/>
    <w:rsid w:val="00B03C9D"/>
    <w:rsid w:val="00B060AE"/>
    <w:rsid w:val="00B10517"/>
    <w:rsid w:val="00B12E8B"/>
    <w:rsid w:val="00B14E76"/>
    <w:rsid w:val="00B161B8"/>
    <w:rsid w:val="00B2048C"/>
    <w:rsid w:val="00B310B9"/>
    <w:rsid w:val="00B35F3F"/>
    <w:rsid w:val="00B36CBB"/>
    <w:rsid w:val="00B411A6"/>
    <w:rsid w:val="00B425E0"/>
    <w:rsid w:val="00B440AA"/>
    <w:rsid w:val="00B44B70"/>
    <w:rsid w:val="00B53C56"/>
    <w:rsid w:val="00B57DAF"/>
    <w:rsid w:val="00B76F9D"/>
    <w:rsid w:val="00B77EA6"/>
    <w:rsid w:val="00B81598"/>
    <w:rsid w:val="00B841F1"/>
    <w:rsid w:val="00B944D6"/>
    <w:rsid w:val="00BA579E"/>
    <w:rsid w:val="00BB4DF0"/>
    <w:rsid w:val="00BC289F"/>
    <w:rsid w:val="00BC2D50"/>
    <w:rsid w:val="00BC5361"/>
    <w:rsid w:val="00BC5460"/>
    <w:rsid w:val="00BC6B50"/>
    <w:rsid w:val="00BD0E25"/>
    <w:rsid w:val="00BF5BD6"/>
    <w:rsid w:val="00C03E31"/>
    <w:rsid w:val="00C33E72"/>
    <w:rsid w:val="00C354B2"/>
    <w:rsid w:val="00C35554"/>
    <w:rsid w:val="00C42709"/>
    <w:rsid w:val="00C46119"/>
    <w:rsid w:val="00C533CC"/>
    <w:rsid w:val="00C5751C"/>
    <w:rsid w:val="00C61BFC"/>
    <w:rsid w:val="00C62B85"/>
    <w:rsid w:val="00C65438"/>
    <w:rsid w:val="00C860D5"/>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950A1"/>
    <w:rsid w:val="00DA634F"/>
    <w:rsid w:val="00DA65AC"/>
    <w:rsid w:val="00DB1913"/>
    <w:rsid w:val="00DC410D"/>
    <w:rsid w:val="00DC5A81"/>
    <w:rsid w:val="00DC68CA"/>
    <w:rsid w:val="00DC7CBA"/>
    <w:rsid w:val="00DD73B7"/>
    <w:rsid w:val="00DF24DF"/>
    <w:rsid w:val="00DF28BC"/>
    <w:rsid w:val="00DF34B9"/>
    <w:rsid w:val="00E01053"/>
    <w:rsid w:val="00E01B70"/>
    <w:rsid w:val="00E07ACF"/>
    <w:rsid w:val="00E11813"/>
    <w:rsid w:val="00E331A1"/>
    <w:rsid w:val="00E33202"/>
    <w:rsid w:val="00E336A9"/>
    <w:rsid w:val="00E472B1"/>
    <w:rsid w:val="00E50624"/>
    <w:rsid w:val="00E568DF"/>
    <w:rsid w:val="00E64269"/>
    <w:rsid w:val="00E82267"/>
    <w:rsid w:val="00E853CE"/>
    <w:rsid w:val="00E867B6"/>
    <w:rsid w:val="00EA010F"/>
    <w:rsid w:val="00EB0FAE"/>
    <w:rsid w:val="00ED1B63"/>
    <w:rsid w:val="00ED3C1F"/>
    <w:rsid w:val="00ED4085"/>
    <w:rsid w:val="00ED420E"/>
    <w:rsid w:val="00ED6FBE"/>
    <w:rsid w:val="00EE2F57"/>
    <w:rsid w:val="00EF4C34"/>
    <w:rsid w:val="00EF77C6"/>
    <w:rsid w:val="00F03938"/>
    <w:rsid w:val="00F05438"/>
    <w:rsid w:val="00F1361C"/>
    <w:rsid w:val="00F156F0"/>
    <w:rsid w:val="00F160C7"/>
    <w:rsid w:val="00F2408F"/>
    <w:rsid w:val="00F240E9"/>
    <w:rsid w:val="00F36D8F"/>
    <w:rsid w:val="00F417B1"/>
    <w:rsid w:val="00F45853"/>
    <w:rsid w:val="00F5561B"/>
    <w:rsid w:val="00F602DF"/>
    <w:rsid w:val="00F754A1"/>
    <w:rsid w:val="00F81FD9"/>
    <w:rsid w:val="00F841AA"/>
    <w:rsid w:val="00F84A94"/>
    <w:rsid w:val="00F87E96"/>
    <w:rsid w:val="00FA23E8"/>
    <w:rsid w:val="00FA789D"/>
    <w:rsid w:val="00FC7DA4"/>
    <w:rsid w:val="00FD3CC1"/>
    <w:rsid w:val="00FF1E02"/>
    <w:rsid w:val="00FF30B4"/>
    <w:rsid w:val="015975B8"/>
    <w:rsid w:val="02FEBE30"/>
    <w:rsid w:val="036F8141"/>
    <w:rsid w:val="03831917"/>
    <w:rsid w:val="066E0107"/>
    <w:rsid w:val="07996F6E"/>
    <w:rsid w:val="07DFD8BA"/>
    <w:rsid w:val="0A2032A3"/>
    <w:rsid w:val="0D35B1ED"/>
    <w:rsid w:val="0E7ED1F5"/>
    <w:rsid w:val="0F98263C"/>
    <w:rsid w:val="101860EC"/>
    <w:rsid w:val="10C055FF"/>
    <w:rsid w:val="118107EC"/>
    <w:rsid w:val="13D50BC4"/>
    <w:rsid w:val="13F5616D"/>
    <w:rsid w:val="16BB723D"/>
    <w:rsid w:val="17F9714D"/>
    <w:rsid w:val="1918F934"/>
    <w:rsid w:val="1BE8440E"/>
    <w:rsid w:val="1D155CEE"/>
    <w:rsid w:val="1DFBC4B3"/>
    <w:rsid w:val="1E740ACF"/>
    <w:rsid w:val="1F19C781"/>
    <w:rsid w:val="1F33FCE5"/>
    <w:rsid w:val="1F7F7398"/>
    <w:rsid w:val="1FD2DB6F"/>
    <w:rsid w:val="1FF35744"/>
    <w:rsid w:val="1FF6BC77"/>
    <w:rsid w:val="1FF9236D"/>
    <w:rsid w:val="2333840E"/>
    <w:rsid w:val="23860B96"/>
    <w:rsid w:val="240371BF"/>
    <w:rsid w:val="257C638F"/>
    <w:rsid w:val="29FD04D3"/>
    <w:rsid w:val="2BFF7BC6"/>
    <w:rsid w:val="2C8A61B5"/>
    <w:rsid w:val="2CD59C95"/>
    <w:rsid w:val="2DF04E50"/>
    <w:rsid w:val="2EFD05E5"/>
    <w:rsid w:val="2F040D46"/>
    <w:rsid w:val="2F4F95CE"/>
    <w:rsid w:val="2FACAFDD"/>
    <w:rsid w:val="2FAE5751"/>
    <w:rsid w:val="2FB1A395"/>
    <w:rsid w:val="2FCF0B76"/>
    <w:rsid w:val="2FD9A7D8"/>
    <w:rsid w:val="319F7F4E"/>
    <w:rsid w:val="3304709D"/>
    <w:rsid w:val="36AA5135"/>
    <w:rsid w:val="36BE0DA7"/>
    <w:rsid w:val="376B6AA6"/>
    <w:rsid w:val="376D39B2"/>
    <w:rsid w:val="37E16F03"/>
    <w:rsid w:val="37F53A3B"/>
    <w:rsid w:val="38D469F0"/>
    <w:rsid w:val="38F78389"/>
    <w:rsid w:val="397BAF1F"/>
    <w:rsid w:val="39E7B272"/>
    <w:rsid w:val="39F7642F"/>
    <w:rsid w:val="39FF7B37"/>
    <w:rsid w:val="3AB79AF3"/>
    <w:rsid w:val="3AFDCB77"/>
    <w:rsid w:val="3B7EF35A"/>
    <w:rsid w:val="3B9FDB6C"/>
    <w:rsid w:val="3BF5BC2F"/>
    <w:rsid w:val="3BF7C23A"/>
    <w:rsid w:val="3BFF223E"/>
    <w:rsid w:val="3C6EC0A1"/>
    <w:rsid w:val="3CDB0824"/>
    <w:rsid w:val="3CEBA265"/>
    <w:rsid w:val="3D6A7F9F"/>
    <w:rsid w:val="3D7E7F4D"/>
    <w:rsid w:val="3D98207C"/>
    <w:rsid w:val="3D9CF30A"/>
    <w:rsid w:val="3DFF5A3E"/>
    <w:rsid w:val="3E78745D"/>
    <w:rsid w:val="3EEE77E9"/>
    <w:rsid w:val="3F394AF5"/>
    <w:rsid w:val="3FBE5714"/>
    <w:rsid w:val="3FDD8615"/>
    <w:rsid w:val="3FDFB2FF"/>
    <w:rsid w:val="3FF4CAE0"/>
    <w:rsid w:val="3FF75FAF"/>
    <w:rsid w:val="3FF7B227"/>
    <w:rsid w:val="44E268DA"/>
    <w:rsid w:val="457F4F6B"/>
    <w:rsid w:val="4737FB58"/>
    <w:rsid w:val="47ECCB02"/>
    <w:rsid w:val="47FA6A3F"/>
    <w:rsid w:val="49D7AE48"/>
    <w:rsid w:val="4A3F6C7E"/>
    <w:rsid w:val="4A627F82"/>
    <w:rsid w:val="4B0E749A"/>
    <w:rsid w:val="4B4F25DA"/>
    <w:rsid w:val="4BBB4781"/>
    <w:rsid w:val="4BD709A5"/>
    <w:rsid w:val="4BDD9BFF"/>
    <w:rsid w:val="4BE068DB"/>
    <w:rsid w:val="4D577224"/>
    <w:rsid w:val="4DBF1CEB"/>
    <w:rsid w:val="4DBF6A6B"/>
    <w:rsid w:val="4DF6A672"/>
    <w:rsid w:val="4E5973A8"/>
    <w:rsid w:val="4EAB630A"/>
    <w:rsid w:val="4ECE2238"/>
    <w:rsid w:val="4F7EA413"/>
    <w:rsid w:val="4FAB812F"/>
    <w:rsid w:val="4FE9BD67"/>
    <w:rsid w:val="4FEE4C07"/>
    <w:rsid w:val="4FFB052F"/>
    <w:rsid w:val="537E6D0A"/>
    <w:rsid w:val="53AB6B88"/>
    <w:rsid w:val="53F74C96"/>
    <w:rsid w:val="54D56363"/>
    <w:rsid w:val="5583522D"/>
    <w:rsid w:val="57BD3DD4"/>
    <w:rsid w:val="57F9CD1E"/>
    <w:rsid w:val="5AF92295"/>
    <w:rsid w:val="5AF9D8E9"/>
    <w:rsid w:val="5BDD38BD"/>
    <w:rsid w:val="5BDD79E6"/>
    <w:rsid w:val="5BEFC772"/>
    <w:rsid w:val="5BFF5DFC"/>
    <w:rsid w:val="5CD71FC4"/>
    <w:rsid w:val="5D1F11B5"/>
    <w:rsid w:val="5D3647F9"/>
    <w:rsid w:val="5DA644D4"/>
    <w:rsid w:val="5DAE1B18"/>
    <w:rsid w:val="5DE7D9E5"/>
    <w:rsid w:val="5ECEC941"/>
    <w:rsid w:val="5EFF8FC6"/>
    <w:rsid w:val="5F5BA39A"/>
    <w:rsid w:val="5F7D3B79"/>
    <w:rsid w:val="5F7F4610"/>
    <w:rsid w:val="5FBF9FF3"/>
    <w:rsid w:val="5FCD4E2C"/>
    <w:rsid w:val="5FEF394A"/>
    <w:rsid w:val="5FF67715"/>
    <w:rsid w:val="61CA71D5"/>
    <w:rsid w:val="627EE9EA"/>
    <w:rsid w:val="63B23AA5"/>
    <w:rsid w:val="647F5392"/>
    <w:rsid w:val="64E322C4"/>
    <w:rsid w:val="65FB93B9"/>
    <w:rsid w:val="6633C463"/>
    <w:rsid w:val="67D55B77"/>
    <w:rsid w:val="67EE7F84"/>
    <w:rsid w:val="686F5F53"/>
    <w:rsid w:val="6AFFCEAF"/>
    <w:rsid w:val="6B96E9E6"/>
    <w:rsid w:val="6BCE57B5"/>
    <w:rsid w:val="6BFEA4DB"/>
    <w:rsid w:val="6BFFB662"/>
    <w:rsid w:val="6C4A05C8"/>
    <w:rsid w:val="6CFF4FB8"/>
    <w:rsid w:val="6D6BD6E0"/>
    <w:rsid w:val="6D77E73C"/>
    <w:rsid w:val="6DBF5E93"/>
    <w:rsid w:val="6DFF077E"/>
    <w:rsid w:val="6E7E3605"/>
    <w:rsid w:val="6E7FDCC7"/>
    <w:rsid w:val="6ED6A62E"/>
    <w:rsid w:val="6EE00B15"/>
    <w:rsid w:val="6EE737B2"/>
    <w:rsid w:val="6EEB2329"/>
    <w:rsid w:val="6EECE67A"/>
    <w:rsid w:val="6F6F90A8"/>
    <w:rsid w:val="6F6FB3EB"/>
    <w:rsid w:val="6F8731EA"/>
    <w:rsid w:val="6FBC2ADD"/>
    <w:rsid w:val="6FD57C00"/>
    <w:rsid w:val="6FEC70C1"/>
    <w:rsid w:val="6FEFFFD8"/>
    <w:rsid w:val="6FF5CC65"/>
    <w:rsid w:val="6FFB47EC"/>
    <w:rsid w:val="6FFF034A"/>
    <w:rsid w:val="712A28F1"/>
    <w:rsid w:val="715C0E4B"/>
    <w:rsid w:val="71FFD401"/>
    <w:rsid w:val="72233669"/>
    <w:rsid w:val="72734D90"/>
    <w:rsid w:val="729A4718"/>
    <w:rsid w:val="7332FE48"/>
    <w:rsid w:val="73AD73D5"/>
    <w:rsid w:val="73B6EB34"/>
    <w:rsid w:val="73FA497D"/>
    <w:rsid w:val="744731E5"/>
    <w:rsid w:val="74BBD01D"/>
    <w:rsid w:val="74ED5379"/>
    <w:rsid w:val="75DEEEC2"/>
    <w:rsid w:val="767F479D"/>
    <w:rsid w:val="76E3355F"/>
    <w:rsid w:val="76F742AF"/>
    <w:rsid w:val="76F7BE7D"/>
    <w:rsid w:val="76FF5125"/>
    <w:rsid w:val="773570D3"/>
    <w:rsid w:val="77597F31"/>
    <w:rsid w:val="776F6FFA"/>
    <w:rsid w:val="7777A522"/>
    <w:rsid w:val="77858688"/>
    <w:rsid w:val="778769C8"/>
    <w:rsid w:val="77CB741A"/>
    <w:rsid w:val="77D7BE3A"/>
    <w:rsid w:val="77DC22F5"/>
    <w:rsid w:val="797E3A6C"/>
    <w:rsid w:val="79CF70E2"/>
    <w:rsid w:val="79D7FD79"/>
    <w:rsid w:val="79E75806"/>
    <w:rsid w:val="79EE5BA4"/>
    <w:rsid w:val="7A641148"/>
    <w:rsid w:val="7A6F8BF5"/>
    <w:rsid w:val="7A894339"/>
    <w:rsid w:val="7ACF82B5"/>
    <w:rsid w:val="7AFF28C9"/>
    <w:rsid w:val="7AFF72A0"/>
    <w:rsid w:val="7AFF7572"/>
    <w:rsid w:val="7B6C7DFB"/>
    <w:rsid w:val="7B7D76A7"/>
    <w:rsid w:val="7BAE2FE2"/>
    <w:rsid w:val="7BAF6951"/>
    <w:rsid w:val="7BBFBED0"/>
    <w:rsid w:val="7BC3E394"/>
    <w:rsid w:val="7BF3FE4C"/>
    <w:rsid w:val="7BFB5035"/>
    <w:rsid w:val="7BFDE17E"/>
    <w:rsid w:val="7CBFC87B"/>
    <w:rsid w:val="7CFE0F48"/>
    <w:rsid w:val="7D3DE31C"/>
    <w:rsid w:val="7D7EC23E"/>
    <w:rsid w:val="7D7F8A13"/>
    <w:rsid w:val="7DBBCB01"/>
    <w:rsid w:val="7DC765D0"/>
    <w:rsid w:val="7DDB0EE0"/>
    <w:rsid w:val="7DFF51D8"/>
    <w:rsid w:val="7E634199"/>
    <w:rsid w:val="7E8ADEBF"/>
    <w:rsid w:val="7EEF11D3"/>
    <w:rsid w:val="7EF78C20"/>
    <w:rsid w:val="7F3F679B"/>
    <w:rsid w:val="7F4FC4EF"/>
    <w:rsid w:val="7F5E4D54"/>
    <w:rsid w:val="7F6B75FA"/>
    <w:rsid w:val="7F9F518D"/>
    <w:rsid w:val="7FA30C79"/>
    <w:rsid w:val="7FAF8ABF"/>
    <w:rsid w:val="7FB7269E"/>
    <w:rsid w:val="7FBD6753"/>
    <w:rsid w:val="7FBFABB4"/>
    <w:rsid w:val="7FC65084"/>
    <w:rsid w:val="7FC96657"/>
    <w:rsid w:val="7FD72595"/>
    <w:rsid w:val="7FDA9588"/>
    <w:rsid w:val="7FDF220F"/>
    <w:rsid w:val="7FDF4542"/>
    <w:rsid w:val="7FDF5405"/>
    <w:rsid w:val="7FEDC251"/>
    <w:rsid w:val="7FEDC5F7"/>
    <w:rsid w:val="7FEDD9DE"/>
    <w:rsid w:val="7FEFCDB9"/>
    <w:rsid w:val="7FF5890D"/>
    <w:rsid w:val="7FF5EB09"/>
    <w:rsid w:val="7FF89B92"/>
    <w:rsid w:val="7FF8F2E7"/>
    <w:rsid w:val="7FF93490"/>
    <w:rsid w:val="7FFA6237"/>
    <w:rsid w:val="7FFB5275"/>
    <w:rsid w:val="7FFD14DE"/>
    <w:rsid w:val="7FFFF783"/>
    <w:rsid w:val="93F70A9E"/>
    <w:rsid w:val="997D060E"/>
    <w:rsid w:val="99FF2014"/>
    <w:rsid w:val="9E59F895"/>
    <w:rsid w:val="9E7DEDC1"/>
    <w:rsid w:val="9EEF2B0D"/>
    <w:rsid w:val="9FF6F2A6"/>
    <w:rsid w:val="9FFE4AD9"/>
    <w:rsid w:val="9FFF61B9"/>
    <w:rsid w:val="A6DD0D7F"/>
    <w:rsid w:val="A7955197"/>
    <w:rsid w:val="A7FE5E0E"/>
    <w:rsid w:val="ADC6F725"/>
    <w:rsid w:val="AF0FFA84"/>
    <w:rsid w:val="AF9F0A5E"/>
    <w:rsid w:val="AFEF7964"/>
    <w:rsid w:val="B27A6F28"/>
    <w:rsid w:val="B35F0D5A"/>
    <w:rsid w:val="B3F7F693"/>
    <w:rsid w:val="B3FBBB6C"/>
    <w:rsid w:val="B5FFE407"/>
    <w:rsid w:val="B7CF06AB"/>
    <w:rsid w:val="B7CFA926"/>
    <w:rsid w:val="B7F8786B"/>
    <w:rsid w:val="B9EF5647"/>
    <w:rsid w:val="BABB6AA1"/>
    <w:rsid w:val="BAFCD398"/>
    <w:rsid w:val="BAFFDA0F"/>
    <w:rsid w:val="BB2F4199"/>
    <w:rsid w:val="BBFBD24E"/>
    <w:rsid w:val="BD079C78"/>
    <w:rsid w:val="BD2DD278"/>
    <w:rsid w:val="BD733540"/>
    <w:rsid w:val="BDF7970E"/>
    <w:rsid w:val="BDFE68BD"/>
    <w:rsid w:val="BE6FC990"/>
    <w:rsid w:val="BEBE9537"/>
    <w:rsid w:val="BEFF0D62"/>
    <w:rsid w:val="BEFF90EF"/>
    <w:rsid w:val="BF3735D5"/>
    <w:rsid w:val="BF7F09AC"/>
    <w:rsid w:val="BFB3380D"/>
    <w:rsid w:val="BFB7E7A2"/>
    <w:rsid w:val="BFC2F103"/>
    <w:rsid w:val="BFD475C3"/>
    <w:rsid w:val="BFDE5EA6"/>
    <w:rsid w:val="BFEF99E9"/>
    <w:rsid w:val="BFF9E564"/>
    <w:rsid w:val="BFFF3A69"/>
    <w:rsid w:val="C7BFEF9C"/>
    <w:rsid w:val="C8BD8F25"/>
    <w:rsid w:val="C94DA72E"/>
    <w:rsid w:val="CBEEAA00"/>
    <w:rsid w:val="CC7E9ECE"/>
    <w:rsid w:val="CDBFF9FF"/>
    <w:rsid w:val="CDF78664"/>
    <w:rsid w:val="CE3FF57E"/>
    <w:rsid w:val="CF3AB4AC"/>
    <w:rsid w:val="CF6FC6F3"/>
    <w:rsid w:val="CFD3D3D7"/>
    <w:rsid w:val="CFDF1009"/>
    <w:rsid w:val="D6B7E4F6"/>
    <w:rsid w:val="D6CB2739"/>
    <w:rsid w:val="D776A8DB"/>
    <w:rsid w:val="D7B6B268"/>
    <w:rsid w:val="D7D7B16A"/>
    <w:rsid w:val="D7EF2E2A"/>
    <w:rsid w:val="D8D6DB89"/>
    <w:rsid w:val="DB6F4CAB"/>
    <w:rsid w:val="DB777682"/>
    <w:rsid w:val="DBDDA52A"/>
    <w:rsid w:val="DCFFC0D1"/>
    <w:rsid w:val="DD1FB521"/>
    <w:rsid w:val="DDCB2E5E"/>
    <w:rsid w:val="DDFE75CA"/>
    <w:rsid w:val="DEFBBE33"/>
    <w:rsid w:val="DEFBFEAE"/>
    <w:rsid w:val="DF1F3B80"/>
    <w:rsid w:val="DF6F9789"/>
    <w:rsid w:val="DF9B8D55"/>
    <w:rsid w:val="DF9D198A"/>
    <w:rsid w:val="DFDF1D8E"/>
    <w:rsid w:val="DFEFC58B"/>
    <w:rsid w:val="DFF5F241"/>
    <w:rsid w:val="DFFFA9E8"/>
    <w:rsid w:val="E37D5D3F"/>
    <w:rsid w:val="E3FFE98D"/>
    <w:rsid w:val="E5F4E9DC"/>
    <w:rsid w:val="E67FF583"/>
    <w:rsid w:val="E70FE695"/>
    <w:rsid w:val="E7676621"/>
    <w:rsid w:val="E76B2B9A"/>
    <w:rsid w:val="E7AB7A34"/>
    <w:rsid w:val="E7DF1E20"/>
    <w:rsid w:val="E7FF6381"/>
    <w:rsid w:val="E9A30291"/>
    <w:rsid w:val="EBBF924C"/>
    <w:rsid w:val="ECFED1BC"/>
    <w:rsid w:val="ED1D69BB"/>
    <w:rsid w:val="ED2C2584"/>
    <w:rsid w:val="ED7FD312"/>
    <w:rsid w:val="EDBE03E0"/>
    <w:rsid w:val="EDD1A84A"/>
    <w:rsid w:val="EDFF8263"/>
    <w:rsid w:val="EE1FA0C7"/>
    <w:rsid w:val="EF53993F"/>
    <w:rsid w:val="EF7B8152"/>
    <w:rsid w:val="EF8E27E2"/>
    <w:rsid w:val="EFBFB2F4"/>
    <w:rsid w:val="EFBFFA21"/>
    <w:rsid w:val="EFDF4337"/>
    <w:rsid w:val="EFF7097E"/>
    <w:rsid w:val="F2BEBCB8"/>
    <w:rsid w:val="F36FB518"/>
    <w:rsid w:val="F3DE1A04"/>
    <w:rsid w:val="F3E244FA"/>
    <w:rsid w:val="F3EFB7CA"/>
    <w:rsid w:val="F3F722E5"/>
    <w:rsid w:val="F699BB1A"/>
    <w:rsid w:val="F6DEABFE"/>
    <w:rsid w:val="F7B650C7"/>
    <w:rsid w:val="F7EF9033"/>
    <w:rsid w:val="F7FDC2B1"/>
    <w:rsid w:val="F8DDDAC6"/>
    <w:rsid w:val="F96B55C8"/>
    <w:rsid w:val="FA2F5BEB"/>
    <w:rsid w:val="FA5F1E70"/>
    <w:rsid w:val="FA5FDB97"/>
    <w:rsid w:val="FB1BB959"/>
    <w:rsid w:val="FB75E3C8"/>
    <w:rsid w:val="FB7F461B"/>
    <w:rsid w:val="FB7F486A"/>
    <w:rsid w:val="FB7F6E28"/>
    <w:rsid w:val="FB8778F4"/>
    <w:rsid w:val="FBB61866"/>
    <w:rsid w:val="FBEE055A"/>
    <w:rsid w:val="FBF91527"/>
    <w:rsid w:val="FBFD1260"/>
    <w:rsid w:val="FBFF5B2E"/>
    <w:rsid w:val="FC833EBB"/>
    <w:rsid w:val="FCFE0B49"/>
    <w:rsid w:val="FD4B388D"/>
    <w:rsid w:val="FD77A83C"/>
    <w:rsid w:val="FD7FFE2B"/>
    <w:rsid w:val="FDADA43D"/>
    <w:rsid w:val="FDBDC432"/>
    <w:rsid w:val="FDEB412A"/>
    <w:rsid w:val="FDEE196B"/>
    <w:rsid w:val="FDEF50BC"/>
    <w:rsid w:val="FDFD5EC3"/>
    <w:rsid w:val="FDFE6575"/>
    <w:rsid w:val="FE9E11AB"/>
    <w:rsid w:val="FEBF38CD"/>
    <w:rsid w:val="FEDFDDC2"/>
    <w:rsid w:val="FEEB4E4D"/>
    <w:rsid w:val="FEED32F6"/>
    <w:rsid w:val="FEF781DD"/>
    <w:rsid w:val="FEF9D8C4"/>
    <w:rsid w:val="FF3F7E3F"/>
    <w:rsid w:val="FF3FF759"/>
    <w:rsid w:val="FF4749A3"/>
    <w:rsid w:val="FF4D3A28"/>
    <w:rsid w:val="FF5913BC"/>
    <w:rsid w:val="FF7F1E7E"/>
    <w:rsid w:val="FF9BAA5C"/>
    <w:rsid w:val="FFA57884"/>
    <w:rsid w:val="FFB513DD"/>
    <w:rsid w:val="FFBA12D7"/>
    <w:rsid w:val="FFBFE8C6"/>
    <w:rsid w:val="FFCF2925"/>
    <w:rsid w:val="FFD33B6C"/>
    <w:rsid w:val="FFDAD824"/>
    <w:rsid w:val="FFDE4064"/>
    <w:rsid w:val="FFDEA9D8"/>
    <w:rsid w:val="FFDF2DEC"/>
    <w:rsid w:val="FFDF624E"/>
    <w:rsid w:val="FFDF6BC0"/>
    <w:rsid w:val="FFDFFAEE"/>
    <w:rsid w:val="FFE3BA41"/>
    <w:rsid w:val="FFE3BED4"/>
    <w:rsid w:val="FFF316C1"/>
    <w:rsid w:val="FFF63ECC"/>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next w:val="8"/>
    <w:unhideWhenUsed/>
    <w:qFormat/>
    <w:uiPriority w:val="99"/>
    <w:pPr>
      <w:ind w:firstLine="420" w:firstLineChars="200"/>
    </w:pPr>
  </w:style>
  <w:style w:type="paragraph" w:styleId="8">
    <w:name w:val="Plain Text"/>
    <w:basedOn w:val="1"/>
    <w:qFormat/>
    <w:uiPriority w:val="0"/>
    <w:pPr>
      <w:widowControl w:val="0"/>
      <w:suppressAutoHyphens/>
      <w:bidi w:val="0"/>
      <w:jc w:val="both"/>
    </w:pPr>
    <w:rPr>
      <w:rFonts w:ascii="宋体" w:eastAsia="宋体" w:cs="Courier New"/>
      <w:color w:val="auto"/>
      <w:kern w:val="2"/>
      <w:sz w:val="32"/>
      <w:szCs w:val="22"/>
      <w:lang w:val="en-US" w:eastAsia="zh-CN" w:bidi="ar-SA"/>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unhideWhenUsed/>
    <w:qFormat/>
    <w:uiPriority w:val="99"/>
    <w:pPr>
      <w:widowControl/>
      <w:spacing w:line="240" w:lineRule="auto"/>
      <w:ind w:firstLine="0" w:firstLineChars="0"/>
    </w:pPr>
    <w:rPr>
      <w:rFonts w:ascii="宋体" w:hAnsi="宋体" w:eastAsia="宋体"/>
      <w:sz w:val="24"/>
      <w:szCs w:val="24"/>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5"/>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2"/>
    <w:qFormat/>
    <w:uiPriority w:val="9"/>
    <w:rPr>
      <w:rFonts w:ascii="Times New Roman" w:hAnsi="Times New Roman"/>
      <w:b/>
      <w:bCs/>
      <w:kern w:val="44"/>
      <w:sz w:val="44"/>
      <w:szCs w:val="44"/>
    </w:rPr>
  </w:style>
  <w:style w:type="character" w:customStyle="1" w:styleId="30">
    <w:name w:val="标题 2 字符"/>
    <w:basedOn w:val="17"/>
    <w:link w:val="3"/>
    <w:qFormat/>
    <w:uiPriority w:val="9"/>
    <w:rPr>
      <w:rFonts w:asciiTheme="majorHAnsi" w:hAnsiTheme="majorHAnsi" w:eastAsiaTheme="majorEastAsia" w:cstheme="majorBidi"/>
      <w:b/>
      <w:bCs/>
      <w:kern w:val="2"/>
      <w:sz w:val="32"/>
      <w:szCs w:val="32"/>
    </w:rPr>
  </w:style>
  <w:style w:type="paragraph" w:customStyle="1" w:styleId="3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10"/>
    <w:semiHidden/>
    <w:qFormat/>
    <w:uiPriority w:val="99"/>
    <w:rPr>
      <w:rFonts w:ascii="Times New Roman" w:hAnsi="Times New Roman"/>
      <w:kern w:val="2"/>
      <w:sz w:val="18"/>
      <w:szCs w:val="18"/>
    </w:rPr>
  </w:style>
  <w:style w:type="character" w:customStyle="1" w:styleId="33">
    <w:name w:val="标题 3 字符"/>
    <w:basedOn w:val="17"/>
    <w:link w:val="4"/>
    <w:qFormat/>
    <w:uiPriority w:val="9"/>
    <w:rPr>
      <w:rFonts w:ascii="Times New Roman" w:hAnsi="Times New Roman"/>
      <w:b/>
      <w:bCs/>
      <w:kern w:val="2"/>
      <w:sz w:val="32"/>
      <w:szCs w:val="32"/>
    </w:rPr>
  </w:style>
  <w:style w:type="paragraph" w:customStyle="1" w:styleId="3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 w:type="paragraph" w:customStyle="1" w:styleId="36">
    <w:name w:val="普通(网站) Char"/>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37">
    <w:name w:val="18"/>
    <w:basedOn w:val="17"/>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a:t>
            </a:r>
            <a:endParaRPr lang="en-US" altLang="zh-CN"/>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收、支决算总计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5047.37</c:v>
                </c:pt>
                <c:pt idx="1">
                  <c:v>4963.27</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2022年</c:v>
                </c:pt>
                <c:pt idx="1">
                  <c:v>2023年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2022年</c:v>
                </c:pt>
                <c:pt idx="1">
                  <c:v>2023年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46"/>
        <c:overlap val="-28"/>
        <c:axId val="420643339"/>
        <c:axId val="320385012"/>
      </c:barChart>
      <c:catAx>
        <c:axId val="4206433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0385012"/>
        <c:crosses val="autoZero"/>
        <c:auto val="1"/>
        <c:lblAlgn val="ctr"/>
        <c:lblOffset val="100"/>
        <c:noMultiLvlLbl val="0"/>
      </c:catAx>
      <c:valAx>
        <c:axId val="32038501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0643339"/>
        <c:crosses val="autoZero"/>
        <c:crossBetween val="between"/>
      </c:valAx>
      <c:spPr>
        <a:noFill/>
        <a:ln>
          <a:noFill/>
        </a:ln>
        <a:effectLst/>
      </c:spPr>
    </c:plotArea>
    <c:legend>
      <c:legendPos val="b"/>
      <c:legendEntry>
        <c:idx val="1"/>
        <c:delete val="1"/>
      </c:legendEntry>
      <c:legendEntry>
        <c:idx val="2"/>
        <c:delete val="1"/>
      </c:legendEntry>
      <c:layout>
        <c:manualLayout>
          <c:xMode val="edge"/>
          <c:yMode val="edge"/>
          <c:x val="0.308499265000668"/>
          <c:y val="0.89038785834738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收入决算表</c:v>
                </c:pt>
              </c:strCache>
            </c:strRef>
          </c:tx>
          <c:spPr/>
          <c:explosion val="0"/>
          <c:dPt>
            <c:idx val="0"/>
            <c:bubble3D val="0"/>
            <c:spPr>
              <a:solidFill>
                <a:schemeClr val="accent1"/>
              </a:solidFill>
              <a:ln>
                <a:solidFill>
                  <a:schemeClr val="bg1"/>
                </a:solidFill>
              </a:ln>
              <a:effectLst/>
            </c:spPr>
          </c:dPt>
          <c:dLbls>
            <c:delete val="1"/>
          </c:dLbls>
          <c:cat>
            <c:strRef>
              <c:f>Sheet1!$A$2</c:f>
              <c:strCache>
                <c:ptCount val="1"/>
                <c:pt idx="0">
                  <c:v>一般公共预算财政拨款收入</c:v>
                </c:pt>
              </c:strCache>
            </c:strRef>
          </c:cat>
          <c:val>
            <c:numRef>
              <c:f>Sheet1!$B$2</c:f>
              <c:numCache>
                <c:formatCode>General</c:formatCode>
                <c:ptCount val="1"/>
                <c:pt idx="0">
                  <c:v>4963.27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4103.8</c:v>
                </c:pt>
                <c:pt idx="1">
                  <c:v>859.47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财政拨款收支情况表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5047.37</c:v>
                </c:pt>
                <c:pt idx="1">
                  <c:v>4963.27</c:v>
                </c:pt>
              </c:numCache>
            </c:numRef>
          </c:val>
        </c:ser>
        <c:dLbls>
          <c:showLegendKey val="0"/>
          <c:showVal val="0"/>
          <c:showCatName val="0"/>
          <c:showSerName val="0"/>
          <c:showPercent val="0"/>
          <c:showBubbleSize val="0"/>
        </c:dLbls>
        <c:gapWidth val="246"/>
        <c:overlap val="-28"/>
        <c:axId val="509372660"/>
        <c:axId val="744386236"/>
      </c:barChart>
      <c:catAx>
        <c:axId val="50937266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4386236"/>
        <c:crosses val="autoZero"/>
        <c:auto val="1"/>
        <c:lblAlgn val="ctr"/>
        <c:lblOffset val="100"/>
        <c:noMultiLvlLbl val="0"/>
      </c:catAx>
      <c:valAx>
        <c:axId val="744386236"/>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0937266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delete val="1"/>
          </c:dLbls>
          <c:cat>
            <c:strRef>
              <c:f>Sheet1!$A$2:$A$3</c:f>
              <c:strCache>
                <c:ptCount val="2"/>
                <c:pt idx="0">
                  <c:v>2022年</c:v>
                </c:pt>
                <c:pt idx="1">
                  <c:v>2023年</c:v>
                </c:pt>
              </c:strCache>
            </c:strRef>
          </c:cat>
          <c:val>
            <c:numRef>
              <c:f>Sheet1!$B$2:$B$3</c:f>
              <c:numCache>
                <c:formatCode>General</c:formatCode>
                <c:ptCount val="2"/>
                <c:pt idx="0">
                  <c:v>5047.37</c:v>
                </c:pt>
                <c:pt idx="1">
                  <c:v>4963.27</c:v>
                </c:pt>
              </c:numCache>
            </c:numRef>
          </c:val>
        </c:ser>
        <c:dLbls>
          <c:showLegendKey val="0"/>
          <c:showVal val="0"/>
          <c:showCatName val="0"/>
          <c:showSerName val="0"/>
          <c:showPercent val="0"/>
          <c:showBubbleSize val="0"/>
        </c:dLbls>
        <c:gapWidth val="246"/>
        <c:overlap val="-28"/>
        <c:axId val="78038554"/>
        <c:axId val="862146666"/>
      </c:barChart>
      <c:catAx>
        <c:axId val="7803855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2146666"/>
        <c:crosses val="autoZero"/>
        <c:auto val="1"/>
        <c:lblAlgn val="ctr"/>
        <c:lblOffset val="100"/>
        <c:noMultiLvlLbl val="0"/>
      </c:catAx>
      <c:valAx>
        <c:axId val="862146666"/>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803855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4272.56</c:v>
                </c:pt>
                <c:pt idx="1">
                  <c:v>355.67</c:v>
                </c:pt>
                <c:pt idx="2">
                  <c:v>131.99</c:v>
                </c:pt>
                <c:pt idx="3">
                  <c:v>203.05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公务用车运行维护费</c:v>
                </c:pt>
                <c:pt idx="1">
                  <c:v>公务接待费</c:v>
                </c:pt>
              </c:strCache>
            </c:strRef>
          </c:cat>
          <c:val>
            <c:numRef>
              <c:f>Sheet1!$B$2:$B$3</c:f>
              <c:numCache>
                <c:formatCode>General</c:formatCode>
                <c:ptCount val="2"/>
                <c:pt idx="0">
                  <c:v>86.67</c:v>
                </c:pt>
                <c:pt idx="1">
                  <c:v>0.31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36</Pages>
  <Words>12758</Words>
  <Characters>13819</Characters>
  <Lines>72</Lines>
  <Paragraphs>20</Paragraphs>
  <TotalTime>26</TotalTime>
  <ScaleCrop>false</ScaleCrop>
  <LinksUpToDate>false</LinksUpToDate>
  <CharactersWithSpaces>13879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2024-08-05T07:12:00Z</dcterms:created>
  <dc:creator>曹颖</dc:creator>
  <cp:lastModifiedBy>FAAH</cp:lastModifiedBy>
  <cp:lastPrinted>2023-08-03T10:35:00Z</cp:lastPrinted>
  <dcterms:modified xsi:type="dcterms:W3CDTF">2024-09-10T08:59:08Z</dcterms:modified>
  <dc:title>四川省***</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74E30AF384564237814F515881F30C16_12</vt:lpwstr>
  </property>
</Properties>
</file>