
<file path=[Content_Types].xml><?xml version="1.0" encoding="utf-8"?>
<Types xmlns="http://schemas.openxmlformats.org/package/2006/content-types">
  <Default Extension="xlsx" ContentType="application/vnd.openxmlformats-officedocument.spreadsheetml.sheet"/>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colors3.xml" ContentType="application/vnd.ms-office.chartcolorstyle+xml"/>
  <Override PartName="/word/charts/colors4.xml" ContentType="application/vnd.ms-office.chartcolorstyle+xml"/>
  <Override PartName="/word/charts/colors5.xml" ContentType="application/vnd.ms-office.chartcolorstyle+xml"/>
  <Override PartName="/word/charts/colors6.xml" ContentType="application/vnd.ms-office.chartcolorstyle+xml"/>
  <Override PartName="/word/charts/colors7.xml" ContentType="application/vnd.ms-office.chartcolorstyle+xml"/>
  <Override PartName="/word/charts/style1.xml" ContentType="application/vnd.ms-office.chartstyle+xml"/>
  <Override PartName="/word/charts/style2.xml" ContentType="application/vnd.ms-office.chartstyle+xml"/>
  <Override PartName="/word/charts/style3.xml" ContentType="application/vnd.ms-office.chartstyle+xml"/>
  <Override PartName="/word/charts/style4.xml" ContentType="application/vnd.ms-office.chartstyle+xml"/>
  <Override PartName="/word/charts/style5.xml" ContentType="application/vnd.ms-office.chartstyle+xml"/>
  <Override PartName="/word/charts/style6.xml" ContentType="application/vnd.ms-office.chartstyle+xml"/>
  <Override PartName="/word/charts/style7.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4F54947">
      <w:pPr>
        <w:spacing w:line="600" w:lineRule="exact"/>
        <w:jc w:val="left"/>
        <w:outlineLvl w:val="0"/>
        <w:rPr>
          <w:rFonts w:ascii="方正小标宋简体" w:hAnsi="宋体" w:eastAsia="方正小标宋简体"/>
          <w:szCs w:val="21"/>
        </w:rPr>
      </w:pPr>
      <w:bookmarkStart w:id="0" w:name="_Toc15306267"/>
    </w:p>
    <w:p w14:paraId="3685B589">
      <w:pPr>
        <w:pStyle w:val="5"/>
        <w:spacing w:before="93"/>
      </w:pPr>
    </w:p>
    <w:p w14:paraId="40E217F2">
      <w:pPr>
        <w:spacing w:line="600" w:lineRule="exact"/>
        <w:jc w:val="center"/>
        <w:outlineLvl w:val="0"/>
        <w:rPr>
          <w:rFonts w:ascii="方正小标宋简体" w:hAnsi="宋体" w:eastAsia="方正小标宋简体"/>
          <w:sz w:val="72"/>
          <w:szCs w:val="72"/>
        </w:rPr>
      </w:pPr>
    </w:p>
    <w:p w14:paraId="0E5FD40C">
      <w:pPr>
        <w:spacing w:line="600" w:lineRule="exact"/>
        <w:jc w:val="center"/>
        <w:outlineLvl w:val="0"/>
        <w:rPr>
          <w:rFonts w:ascii="方正小标宋简体" w:hAnsi="宋体" w:eastAsia="方正小标宋简体"/>
          <w:sz w:val="72"/>
          <w:szCs w:val="72"/>
        </w:rPr>
      </w:pPr>
    </w:p>
    <w:p w14:paraId="7911EF76">
      <w:pPr>
        <w:adjustRightInd w:val="0"/>
        <w:snapToGrid w:val="0"/>
        <w:spacing w:line="360" w:lineRule="auto"/>
        <w:jc w:val="center"/>
        <w:outlineLvl w:val="0"/>
        <w:rPr>
          <w:rFonts w:ascii="方正小标宋简体" w:hAnsi="方正小标宋简体" w:eastAsia="方正小标宋简体" w:cs="方正小标宋简体"/>
          <w:sz w:val="72"/>
          <w:szCs w:val="72"/>
        </w:rPr>
      </w:pPr>
      <w:bookmarkStart w:id="1" w:name="_Toc15377193"/>
      <w:bookmarkStart w:id="2" w:name="_Toc15378441"/>
      <w:bookmarkStart w:id="3" w:name="_Toc15377425"/>
      <w:bookmarkStart w:id="4" w:name="_Toc15396475"/>
      <w:bookmarkStart w:id="5" w:name="_Toc15396597"/>
      <w:r>
        <w:rPr>
          <w:rFonts w:hint="eastAsia" w:ascii="方正小标宋简体" w:hAnsi="方正小标宋简体" w:eastAsia="方正小标宋简体" w:cs="方正小标宋简体"/>
          <w:sz w:val="72"/>
          <w:szCs w:val="72"/>
        </w:rPr>
        <w:t>2023年度</w:t>
      </w:r>
      <w:bookmarkEnd w:id="1"/>
      <w:bookmarkEnd w:id="2"/>
      <w:bookmarkEnd w:id="3"/>
      <w:bookmarkEnd w:id="4"/>
      <w:bookmarkEnd w:id="5"/>
    </w:p>
    <w:p w14:paraId="77A88347">
      <w:pPr>
        <w:adjustRightInd w:val="0"/>
        <w:snapToGrid w:val="0"/>
        <w:spacing w:line="360" w:lineRule="auto"/>
        <w:jc w:val="center"/>
        <w:outlineLvl w:val="0"/>
        <w:rPr>
          <w:rFonts w:ascii="方正小标宋简体" w:hAnsi="方正小标宋简体" w:eastAsia="方正小标宋简体" w:cs="方正小标宋简体"/>
          <w:sz w:val="72"/>
          <w:szCs w:val="72"/>
        </w:rPr>
      </w:pPr>
      <w:bookmarkStart w:id="6" w:name="_Toc15396598"/>
      <w:bookmarkStart w:id="7" w:name="_Toc15378442"/>
      <w:bookmarkStart w:id="8" w:name="_Toc15377194"/>
      <w:bookmarkStart w:id="9" w:name="_Toc15377426"/>
      <w:bookmarkStart w:id="10" w:name="_Toc15396476"/>
      <w:r>
        <w:rPr>
          <w:rFonts w:hint="eastAsia" w:ascii="方正小标宋简体" w:hAnsi="方正小标宋简体" w:eastAsia="方正小标宋简体" w:cs="方正小标宋简体"/>
          <w:sz w:val="72"/>
          <w:szCs w:val="72"/>
        </w:rPr>
        <w:t>四川省</w:t>
      </w:r>
      <w:bookmarkEnd w:id="0"/>
      <w:bookmarkStart w:id="11" w:name="_Toc15306268"/>
      <w:r>
        <w:rPr>
          <w:rFonts w:hint="eastAsia" w:ascii="方正小标宋简体" w:hAnsi="方正小标宋简体" w:eastAsia="方正小标宋简体" w:cs="方正小标宋简体"/>
          <w:sz w:val="72"/>
          <w:szCs w:val="72"/>
          <w:lang w:eastAsia="zh-CN"/>
        </w:rPr>
        <w:t>阿坝州财政局投资评审中心</w:t>
      </w:r>
      <w:r>
        <w:rPr>
          <w:rFonts w:hint="eastAsia" w:ascii="方正小标宋简体" w:hAnsi="方正小标宋简体" w:eastAsia="方正小标宋简体" w:cs="方正小标宋简体"/>
          <w:sz w:val="72"/>
          <w:szCs w:val="72"/>
        </w:rPr>
        <w:t>单位决算</w:t>
      </w:r>
      <w:bookmarkEnd w:id="6"/>
      <w:bookmarkEnd w:id="7"/>
      <w:bookmarkEnd w:id="8"/>
      <w:bookmarkEnd w:id="9"/>
      <w:bookmarkEnd w:id="10"/>
      <w:bookmarkEnd w:id="11"/>
    </w:p>
    <w:p w14:paraId="2BB44A68">
      <w:pPr>
        <w:adjustRightInd w:val="0"/>
        <w:snapToGrid w:val="0"/>
        <w:spacing w:line="360" w:lineRule="auto"/>
        <w:jc w:val="center"/>
        <w:outlineLvl w:val="0"/>
        <w:rPr>
          <w:rFonts w:ascii="方正小标宋简体" w:hAnsi="宋体" w:eastAsia="方正小标宋简体"/>
          <w:sz w:val="52"/>
          <w:szCs w:val="52"/>
        </w:rPr>
      </w:pPr>
      <w:r>
        <w:rPr>
          <w:rFonts w:hint="eastAsia" w:ascii="方正小标宋简体" w:hAnsi="宋体" w:eastAsia="方正小标宋简体"/>
          <w:sz w:val="52"/>
          <w:szCs w:val="52"/>
        </w:rPr>
        <w:t>(单位公开范本)</w:t>
      </w:r>
    </w:p>
    <w:p w14:paraId="389920FC">
      <w:pPr>
        <w:widowControl/>
        <w:jc w:val="center"/>
        <w:rPr>
          <w:rFonts w:ascii="黑体" w:hAnsi="黑体" w:eastAsia="黑体"/>
          <w:sz w:val="48"/>
          <w:szCs w:val="48"/>
        </w:rPr>
      </w:pPr>
      <w:r>
        <w:rPr>
          <w:rFonts w:ascii="方正小标宋简体" w:hAnsi="宋体" w:eastAsia="方正小标宋简体"/>
          <w:sz w:val="36"/>
          <w:szCs w:val="36"/>
        </w:rPr>
        <w:br w:type="page"/>
      </w:r>
      <w:r>
        <w:rPr>
          <w:rFonts w:hint="eastAsia" w:ascii="黑体" w:hAnsi="黑体" w:eastAsia="黑体"/>
          <w:sz w:val="48"/>
          <w:szCs w:val="48"/>
        </w:rPr>
        <w:t>目录</w:t>
      </w:r>
    </w:p>
    <w:p w14:paraId="27FD5A7E">
      <w:pPr>
        <w:widowControl/>
        <w:jc w:val="center"/>
        <w:rPr>
          <w:rFonts w:ascii="黑体" w:hAnsi="黑体" w:eastAsia="黑体" w:cstheme="minorBidi"/>
          <w:sz w:val="28"/>
          <w:szCs w:val="28"/>
        </w:rPr>
      </w:pPr>
    </w:p>
    <w:p w14:paraId="137E141A">
      <w:pPr>
        <w:pStyle w:val="11"/>
      </w:pPr>
      <w:r>
        <w:rPr>
          <w:rFonts w:hint="eastAsia"/>
        </w:rPr>
        <w:t>公开时间：2023年9月6日</w:t>
      </w:r>
    </w:p>
    <w:p w14:paraId="01E974E1"/>
    <w:p w14:paraId="6E84B2EB">
      <w:pPr>
        <w:pStyle w:val="11"/>
        <w:adjustRightInd w:val="0"/>
        <w:snapToGrid w:val="0"/>
        <w:spacing w:before="0" w:line="440" w:lineRule="exact"/>
        <w:jc w:val="left"/>
        <w:rPr>
          <w:rFonts w:cstheme="minorBidi"/>
          <w:sz w:val="24"/>
          <w:szCs w:val="24"/>
        </w:rPr>
      </w:pPr>
      <w:r>
        <w:rPr>
          <w:rFonts w:hint="eastAsia"/>
          <w:sz w:val="24"/>
        </w:rPr>
        <w:t>第一部分</w:t>
      </w:r>
      <w:r>
        <w:rPr>
          <w:sz w:val="24"/>
        </w:rPr>
        <w:t xml:space="preserve"> </w:t>
      </w:r>
      <w:r>
        <w:rPr>
          <w:rFonts w:hint="eastAsia"/>
          <w:sz w:val="24"/>
        </w:rPr>
        <w:t>单位概况</w:t>
      </w:r>
    </w:p>
    <w:p w14:paraId="1C309C17">
      <w:pPr>
        <w:pStyle w:val="12"/>
        <w:adjustRightInd w:val="0"/>
        <w:snapToGrid w:val="0"/>
        <w:spacing w:line="440" w:lineRule="exact"/>
        <w:jc w:val="left"/>
        <w:rPr>
          <w:sz w:val="24"/>
        </w:rPr>
      </w:pPr>
      <w:r>
        <w:rPr>
          <w:rFonts w:hint="eastAsia"/>
          <w:sz w:val="24"/>
        </w:rPr>
        <w:t>一、主要职责</w:t>
      </w:r>
    </w:p>
    <w:p w14:paraId="4CF77CD5">
      <w:pPr>
        <w:pStyle w:val="12"/>
        <w:adjustRightInd w:val="0"/>
        <w:snapToGrid w:val="0"/>
        <w:spacing w:line="440" w:lineRule="exact"/>
        <w:jc w:val="left"/>
      </w:pPr>
      <w:r>
        <w:rPr>
          <w:rFonts w:hint="eastAsia"/>
          <w:sz w:val="24"/>
        </w:rPr>
        <w:t>二、机构设置</w:t>
      </w:r>
    </w:p>
    <w:p w14:paraId="15B6C9BF">
      <w:pPr>
        <w:pStyle w:val="11"/>
        <w:adjustRightInd w:val="0"/>
        <w:snapToGrid w:val="0"/>
        <w:spacing w:before="0" w:line="440" w:lineRule="exact"/>
        <w:jc w:val="left"/>
        <w:rPr>
          <w:sz w:val="24"/>
          <w:szCs w:val="24"/>
        </w:rPr>
      </w:pPr>
      <w:r>
        <w:rPr>
          <w:rFonts w:hint="eastAsia"/>
          <w:sz w:val="24"/>
        </w:rPr>
        <w:t>第二部分 2023年度单位决算情况说明</w:t>
      </w:r>
    </w:p>
    <w:p w14:paraId="6D22A523">
      <w:pPr>
        <w:pStyle w:val="12"/>
        <w:adjustRightInd w:val="0"/>
        <w:snapToGrid w:val="0"/>
        <w:spacing w:line="440" w:lineRule="exact"/>
        <w:jc w:val="left"/>
        <w:rPr>
          <w:rFonts w:ascii="仿宋" w:hAnsi="仿宋" w:eastAsia="仿宋" w:cstheme="minorBidi"/>
          <w:sz w:val="24"/>
        </w:rPr>
      </w:pPr>
      <w:r>
        <w:rPr>
          <w:rFonts w:hint="eastAsia"/>
          <w:sz w:val="24"/>
        </w:rPr>
        <w:t>一、收入支出决算总体情况说明</w:t>
      </w:r>
    </w:p>
    <w:p w14:paraId="5800701F">
      <w:pPr>
        <w:pStyle w:val="12"/>
        <w:adjustRightInd w:val="0"/>
        <w:snapToGrid w:val="0"/>
        <w:spacing w:line="440" w:lineRule="exact"/>
        <w:jc w:val="left"/>
        <w:rPr>
          <w:rFonts w:ascii="仿宋" w:hAnsi="仿宋" w:eastAsia="仿宋" w:cstheme="minorBidi"/>
          <w:sz w:val="24"/>
        </w:rPr>
      </w:pPr>
      <w:r>
        <w:rPr>
          <w:rFonts w:hint="eastAsia"/>
          <w:sz w:val="24"/>
        </w:rPr>
        <w:t>二、收入决算情况说明</w:t>
      </w:r>
    </w:p>
    <w:p w14:paraId="0F61822A">
      <w:pPr>
        <w:pStyle w:val="12"/>
        <w:adjustRightInd w:val="0"/>
        <w:snapToGrid w:val="0"/>
        <w:spacing w:line="440" w:lineRule="exact"/>
        <w:jc w:val="left"/>
        <w:rPr>
          <w:rFonts w:ascii="仿宋" w:hAnsi="仿宋" w:eastAsia="仿宋" w:cstheme="minorBidi"/>
          <w:sz w:val="24"/>
        </w:rPr>
      </w:pPr>
      <w:r>
        <w:rPr>
          <w:rFonts w:hint="eastAsia"/>
          <w:sz w:val="24"/>
        </w:rPr>
        <w:t>三、支出决算情况说明</w:t>
      </w:r>
    </w:p>
    <w:p w14:paraId="2A075D72">
      <w:pPr>
        <w:pStyle w:val="12"/>
        <w:adjustRightInd w:val="0"/>
        <w:snapToGrid w:val="0"/>
        <w:spacing w:line="440" w:lineRule="exact"/>
        <w:jc w:val="left"/>
        <w:rPr>
          <w:rFonts w:ascii="仿宋" w:hAnsi="仿宋" w:eastAsia="仿宋" w:cstheme="minorBidi"/>
          <w:sz w:val="24"/>
        </w:rPr>
      </w:pPr>
      <w:r>
        <w:rPr>
          <w:rFonts w:hint="eastAsia"/>
          <w:sz w:val="24"/>
        </w:rPr>
        <w:t>四、财政拨款收入支出决算总体情况说明</w:t>
      </w:r>
    </w:p>
    <w:p w14:paraId="6692DDDA">
      <w:pPr>
        <w:pStyle w:val="12"/>
        <w:adjustRightInd w:val="0"/>
        <w:snapToGrid w:val="0"/>
        <w:spacing w:line="440" w:lineRule="exact"/>
        <w:jc w:val="left"/>
        <w:rPr>
          <w:rFonts w:ascii="仿宋" w:hAnsi="仿宋" w:eastAsia="仿宋" w:cstheme="minorBidi"/>
          <w:sz w:val="24"/>
        </w:rPr>
      </w:pPr>
      <w:r>
        <w:rPr>
          <w:rFonts w:hint="eastAsia"/>
          <w:sz w:val="24"/>
        </w:rPr>
        <w:t>五、一般公共预算财政拨款支出决算情况说明</w:t>
      </w:r>
    </w:p>
    <w:p w14:paraId="3904693D">
      <w:pPr>
        <w:pStyle w:val="12"/>
        <w:adjustRightInd w:val="0"/>
        <w:snapToGrid w:val="0"/>
        <w:spacing w:line="440" w:lineRule="exact"/>
        <w:jc w:val="left"/>
        <w:rPr>
          <w:rFonts w:ascii="仿宋" w:hAnsi="仿宋" w:eastAsia="仿宋" w:cstheme="minorBidi"/>
          <w:sz w:val="24"/>
        </w:rPr>
      </w:pPr>
      <w:r>
        <w:rPr>
          <w:rFonts w:hint="eastAsia"/>
          <w:sz w:val="24"/>
        </w:rPr>
        <w:t>六、一般公共预算财政拨款基本支出决算情况说明</w:t>
      </w:r>
    </w:p>
    <w:p w14:paraId="783BA9CB">
      <w:pPr>
        <w:pStyle w:val="12"/>
        <w:adjustRightInd w:val="0"/>
        <w:snapToGrid w:val="0"/>
        <w:spacing w:line="440" w:lineRule="exact"/>
        <w:jc w:val="left"/>
        <w:rPr>
          <w:rFonts w:ascii="仿宋" w:hAnsi="仿宋" w:eastAsia="仿宋" w:cstheme="minorBidi"/>
          <w:sz w:val="24"/>
        </w:rPr>
      </w:pPr>
      <w:r>
        <w:rPr>
          <w:rFonts w:hint="eastAsia"/>
          <w:sz w:val="24"/>
        </w:rPr>
        <w:t>七、财政拨款“三公”经费支出决算情况说明</w:t>
      </w:r>
    </w:p>
    <w:p w14:paraId="3CDA3665">
      <w:pPr>
        <w:pStyle w:val="12"/>
        <w:adjustRightInd w:val="0"/>
        <w:snapToGrid w:val="0"/>
        <w:spacing w:line="440" w:lineRule="exact"/>
        <w:jc w:val="left"/>
        <w:rPr>
          <w:rFonts w:ascii="仿宋" w:hAnsi="仿宋" w:eastAsia="仿宋" w:cstheme="minorBidi"/>
          <w:sz w:val="24"/>
        </w:rPr>
      </w:pPr>
      <w:r>
        <w:rPr>
          <w:rFonts w:hint="eastAsia"/>
          <w:sz w:val="24"/>
        </w:rPr>
        <w:t>八、政府性基金预算支出决算情况说明</w:t>
      </w:r>
    </w:p>
    <w:p w14:paraId="585F1219">
      <w:pPr>
        <w:pStyle w:val="12"/>
        <w:adjustRightInd w:val="0"/>
        <w:snapToGrid w:val="0"/>
        <w:spacing w:line="440" w:lineRule="exact"/>
        <w:jc w:val="left"/>
        <w:rPr>
          <w:sz w:val="24"/>
        </w:rPr>
      </w:pPr>
      <w:r>
        <w:rPr>
          <w:rFonts w:hint="eastAsia"/>
          <w:sz w:val="24"/>
        </w:rPr>
        <w:t>九、国有资本经营预算支出决算情况说明</w:t>
      </w:r>
    </w:p>
    <w:p w14:paraId="48868BCF">
      <w:pPr>
        <w:pStyle w:val="12"/>
        <w:adjustRightInd w:val="0"/>
        <w:snapToGrid w:val="0"/>
        <w:spacing w:line="440" w:lineRule="exact"/>
        <w:jc w:val="left"/>
        <w:rPr>
          <w:sz w:val="24"/>
        </w:rPr>
      </w:pPr>
      <w:r>
        <w:rPr>
          <w:rFonts w:hint="eastAsia"/>
          <w:sz w:val="24"/>
        </w:rPr>
        <w:t>十、其他重要事项的情况说明</w:t>
      </w:r>
    </w:p>
    <w:p w14:paraId="0117A185">
      <w:pPr>
        <w:pStyle w:val="11"/>
        <w:adjustRightInd w:val="0"/>
        <w:snapToGrid w:val="0"/>
        <w:spacing w:before="0" w:line="440" w:lineRule="exact"/>
        <w:jc w:val="left"/>
        <w:rPr>
          <w:rFonts w:cstheme="minorBidi"/>
          <w:sz w:val="24"/>
          <w:szCs w:val="24"/>
        </w:rPr>
      </w:pPr>
      <w:r>
        <w:rPr>
          <w:rFonts w:hint="eastAsia"/>
          <w:sz w:val="24"/>
        </w:rPr>
        <w:t>第三部分</w:t>
      </w:r>
      <w:r>
        <w:rPr>
          <w:sz w:val="24"/>
        </w:rPr>
        <w:t xml:space="preserve"> </w:t>
      </w:r>
      <w:r>
        <w:rPr>
          <w:rFonts w:hint="eastAsia"/>
          <w:sz w:val="24"/>
        </w:rPr>
        <w:t>名词解释</w:t>
      </w:r>
    </w:p>
    <w:p w14:paraId="09CC330E">
      <w:pPr>
        <w:pStyle w:val="11"/>
        <w:adjustRightInd w:val="0"/>
        <w:snapToGrid w:val="0"/>
        <w:spacing w:before="0" w:line="440" w:lineRule="exact"/>
        <w:jc w:val="left"/>
        <w:rPr>
          <w:rFonts w:cstheme="minorBidi"/>
          <w:sz w:val="24"/>
          <w:szCs w:val="24"/>
        </w:rPr>
      </w:pPr>
      <w:r>
        <w:rPr>
          <w:rFonts w:hint="eastAsia"/>
          <w:sz w:val="24"/>
        </w:rPr>
        <w:t>第四部分</w:t>
      </w:r>
      <w:r>
        <w:rPr>
          <w:sz w:val="24"/>
        </w:rPr>
        <w:t xml:space="preserve"> </w:t>
      </w:r>
      <w:r>
        <w:rPr>
          <w:rFonts w:hint="eastAsia"/>
          <w:sz w:val="24"/>
        </w:rPr>
        <w:t>附件</w:t>
      </w:r>
    </w:p>
    <w:p w14:paraId="748BFCEC">
      <w:pPr>
        <w:pStyle w:val="11"/>
        <w:adjustRightInd w:val="0"/>
        <w:snapToGrid w:val="0"/>
        <w:spacing w:before="0" w:line="440" w:lineRule="exact"/>
        <w:jc w:val="left"/>
        <w:rPr>
          <w:rFonts w:cstheme="minorBidi"/>
          <w:sz w:val="24"/>
          <w:szCs w:val="24"/>
        </w:rPr>
      </w:pPr>
      <w:r>
        <w:rPr>
          <w:rFonts w:hint="eastAsia"/>
          <w:sz w:val="24"/>
        </w:rPr>
        <w:t>第五部分</w:t>
      </w:r>
      <w:r>
        <w:rPr>
          <w:sz w:val="24"/>
        </w:rPr>
        <w:t xml:space="preserve"> </w:t>
      </w:r>
      <w:r>
        <w:rPr>
          <w:rFonts w:hint="eastAsia"/>
          <w:sz w:val="24"/>
        </w:rPr>
        <w:t>附表</w:t>
      </w:r>
    </w:p>
    <w:p w14:paraId="7D093B50">
      <w:pPr>
        <w:pStyle w:val="12"/>
        <w:adjustRightInd w:val="0"/>
        <w:snapToGrid w:val="0"/>
        <w:spacing w:line="440" w:lineRule="exact"/>
        <w:jc w:val="left"/>
        <w:rPr>
          <w:sz w:val="24"/>
        </w:rPr>
      </w:pPr>
      <w:r>
        <w:rPr>
          <w:rFonts w:hint="eastAsia"/>
          <w:sz w:val="24"/>
        </w:rPr>
        <w:t>一、收入支出决算总表</w:t>
      </w:r>
    </w:p>
    <w:p w14:paraId="74769D23">
      <w:pPr>
        <w:pStyle w:val="12"/>
        <w:adjustRightInd w:val="0"/>
        <w:snapToGrid w:val="0"/>
        <w:spacing w:line="440" w:lineRule="exact"/>
        <w:jc w:val="left"/>
        <w:rPr>
          <w:sz w:val="24"/>
        </w:rPr>
      </w:pPr>
      <w:r>
        <w:rPr>
          <w:rFonts w:hint="eastAsia"/>
          <w:sz w:val="24"/>
        </w:rPr>
        <w:t>二、收入决算表</w:t>
      </w:r>
    </w:p>
    <w:p w14:paraId="6CCB467D">
      <w:pPr>
        <w:pStyle w:val="12"/>
        <w:adjustRightInd w:val="0"/>
        <w:snapToGrid w:val="0"/>
        <w:spacing w:line="440" w:lineRule="exact"/>
        <w:jc w:val="left"/>
        <w:rPr>
          <w:sz w:val="24"/>
        </w:rPr>
      </w:pPr>
      <w:r>
        <w:rPr>
          <w:rFonts w:hint="eastAsia"/>
          <w:sz w:val="24"/>
        </w:rPr>
        <w:t>三、支出决算表</w:t>
      </w:r>
    </w:p>
    <w:p w14:paraId="5928CD67">
      <w:pPr>
        <w:pStyle w:val="12"/>
        <w:adjustRightInd w:val="0"/>
        <w:snapToGrid w:val="0"/>
        <w:spacing w:line="440" w:lineRule="exact"/>
        <w:jc w:val="left"/>
        <w:rPr>
          <w:sz w:val="24"/>
        </w:rPr>
      </w:pPr>
      <w:r>
        <w:rPr>
          <w:rFonts w:hint="eastAsia"/>
          <w:sz w:val="24"/>
        </w:rPr>
        <w:t>四、财政拨款收入支出决算总表</w:t>
      </w:r>
    </w:p>
    <w:p w14:paraId="00FA3851">
      <w:pPr>
        <w:pStyle w:val="12"/>
        <w:adjustRightInd w:val="0"/>
        <w:snapToGrid w:val="0"/>
        <w:spacing w:line="440" w:lineRule="exact"/>
        <w:jc w:val="left"/>
        <w:rPr>
          <w:sz w:val="24"/>
        </w:rPr>
      </w:pPr>
      <w:r>
        <w:rPr>
          <w:rFonts w:hint="eastAsia"/>
          <w:sz w:val="24"/>
        </w:rPr>
        <w:t>五、财政拨款支出决算明细表</w:t>
      </w:r>
    </w:p>
    <w:p w14:paraId="6843CD98">
      <w:pPr>
        <w:pStyle w:val="12"/>
        <w:adjustRightInd w:val="0"/>
        <w:snapToGrid w:val="0"/>
        <w:spacing w:line="440" w:lineRule="exact"/>
        <w:jc w:val="left"/>
        <w:rPr>
          <w:sz w:val="24"/>
        </w:rPr>
      </w:pPr>
      <w:r>
        <w:rPr>
          <w:rFonts w:hint="eastAsia"/>
          <w:sz w:val="24"/>
        </w:rPr>
        <w:t>六、一般公共预算财政拨款支出决算表</w:t>
      </w:r>
    </w:p>
    <w:p w14:paraId="1A80C20F">
      <w:pPr>
        <w:pStyle w:val="12"/>
        <w:adjustRightInd w:val="0"/>
        <w:snapToGrid w:val="0"/>
        <w:spacing w:line="440" w:lineRule="exact"/>
        <w:jc w:val="left"/>
        <w:rPr>
          <w:sz w:val="24"/>
        </w:rPr>
      </w:pPr>
      <w:r>
        <w:rPr>
          <w:rFonts w:hint="eastAsia"/>
          <w:sz w:val="24"/>
        </w:rPr>
        <w:t>七、一般公共预算财政拨款支出决算明细表</w:t>
      </w:r>
    </w:p>
    <w:p w14:paraId="55479081">
      <w:pPr>
        <w:pStyle w:val="12"/>
        <w:adjustRightInd w:val="0"/>
        <w:snapToGrid w:val="0"/>
        <w:spacing w:line="440" w:lineRule="exact"/>
        <w:jc w:val="left"/>
        <w:rPr>
          <w:sz w:val="24"/>
        </w:rPr>
      </w:pPr>
      <w:r>
        <w:rPr>
          <w:rFonts w:hint="eastAsia"/>
          <w:sz w:val="24"/>
        </w:rPr>
        <w:t>八、一般公共预算财政拨款基本支出决算明细表</w:t>
      </w:r>
    </w:p>
    <w:p w14:paraId="737408C6">
      <w:pPr>
        <w:pStyle w:val="12"/>
        <w:adjustRightInd w:val="0"/>
        <w:snapToGrid w:val="0"/>
        <w:spacing w:line="440" w:lineRule="exact"/>
        <w:jc w:val="left"/>
        <w:rPr>
          <w:sz w:val="24"/>
        </w:rPr>
      </w:pPr>
      <w:r>
        <w:rPr>
          <w:rFonts w:hint="eastAsia"/>
          <w:sz w:val="24"/>
        </w:rPr>
        <w:t>九、一般公共预算财政拨款项目支出决算表</w:t>
      </w:r>
    </w:p>
    <w:p w14:paraId="2E71415A">
      <w:pPr>
        <w:pStyle w:val="12"/>
        <w:adjustRightInd w:val="0"/>
        <w:snapToGrid w:val="0"/>
        <w:spacing w:line="440" w:lineRule="exact"/>
        <w:jc w:val="left"/>
        <w:rPr>
          <w:sz w:val="24"/>
        </w:rPr>
      </w:pPr>
      <w:r>
        <w:rPr>
          <w:rFonts w:hint="eastAsia"/>
          <w:sz w:val="24"/>
        </w:rPr>
        <w:t>十、政府性基金预算财政拨款收入支出决算表</w:t>
      </w:r>
    </w:p>
    <w:p w14:paraId="3C3E4D51">
      <w:pPr>
        <w:pStyle w:val="12"/>
        <w:adjustRightInd w:val="0"/>
        <w:snapToGrid w:val="0"/>
        <w:spacing w:line="440" w:lineRule="exact"/>
        <w:jc w:val="left"/>
        <w:rPr>
          <w:sz w:val="24"/>
        </w:rPr>
      </w:pPr>
      <w:r>
        <w:rPr>
          <w:rFonts w:hint="eastAsia"/>
          <w:sz w:val="24"/>
        </w:rPr>
        <w:t>十一、国有资本经营预算财政拨款收入支出决算表</w:t>
      </w:r>
    </w:p>
    <w:p w14:paraId="1D80F775">
      <w:pPr>
        <w:pStyle w:val="12"/>
        <w:adjustRightInd w:val="0"/>
        <w:snapToGrid w:val="0"/>
        <w:spacing w:line="440" w:lineRule="exact"/>
        <w:jc w:val="left"/>
        <w:rPr>
          <w:sz w:val="24"/>
        </w:rPr>
      </w:pPr>
      <w:r>
        <w:rPr>
          <w:rFonts w:hint="eastAsia"/>
          <w:sz w:val="24"/>
        </w:rPr>
        <w:t>十二、国有资本经营预算财政拨款支出决算表</w:t>
      </w:r>
    </w:p>
    <w:p w14:paraId="1B07EE94">
      <w:pPr>
        <w:pStyle w:val="12"/>
        <w:adjustRightInd w:val="0"/>
        <w:snapToGrid w:val="0"/>
        <w:spacing w:line="440" w:lineRule="exact"/>
        <w:jc w:val="left"/>
        <w:rPr>
          <w:sz w:val="24"/>
        </w:rPr>
      </w:pPr>
      <w:r>
        <w:rPr>
          <w:rFonts w:hint="eastAsia"/>
          <w:sz w:val="24"/>
        </w:rPr>
        <w:t>十三、财政拨款“三公”经费支出决算表</w:t>
      </w:r>
    </w:p>
    <w:p w14:paraId="6E90F1FE">
      <w:pPr>
        <w:widowControl/>
        <w:adjustRightInd w:val="0"/>
        <w:snapToGrid w:val="0"/>
        <w:spacing w:line="440" w:lineRule="exact"/>
        <w:ind w:firstLine="1320" w:firstLineChars="550"/>
        <w:jc w:val="left"/>
        <w:rPr>
          <w:rFonts w:ascii="仿宋" w:hAnsi="仿宋" w:eastAsia="仿宋"/>
          <w:sz w:val="24"/>
        </w:rPr>
      </w:pPr>
      <w:r>
        <w:rPr>
          <w:rFonts w:ascii="仿宋" w:hAnsi="仿宋" w:eastAsia="仿宋"/>
          <w:sz w:val="24"/>
        </w:rPr>
        <w:t>(注：</w:t>
      </w:r>
      <w:r>
        <w:rPr>
          <w:rFonts w:hint="eastAsia" w:ascii="仿宋" w:hAnsi="仿宋" w:eastAsia="仿宋"/>
          <w:sz w:val="24"/>
        </w:rPr>
        <w:t>请单位根据实际注明页码</w:t>
      </w:r>
      <w:r>
        <w:rPr>
          <w:rFonts w:ascii="仿宋" w:hAnsi="仿宋" w:eastAsia="仿宋"/>
          <w:sz w:val="24"/>
        </w:rPr>
        <w:t>)</w:t>
      </w:r>
    </w:p>
    <w:p w14:paraId="631DF2D6">
      <w:pPr>
        <w:widowControl/>
        <w:spacing w:line="440" w:lineRule="exact"/>
        <w:jc w:val="left"/>
        <w:rPr>
          <w:rFonts w:ascii="仿宋" w:hAnsi="仿宋" w:eastAsia="仿宋"/>
          <w:bCs/>
          <w:kern w:val="44"/>
          <w:sz w:val="24"/>
        </w:rPr>
      </w:pPr>
      <w:bookmarkStart w:id="12" w:name="_Toc15396599"/>
      <w:bookmarkStart w:id="13" w:name="_Toc15377196"/>
      <w:r>
        <w:rPr>
          <w:rFonts w:ascii="仿宋" w:hAnsi="仿宋" w:eastAsia="仿宋"/>
          <w:b/>
          <w:sz w:val="24"/>
        </w:rPr>
        <w:br w:type="page"/>
      </w:r>
    </w:p>
    <w:p w14:paraId="7E9AECE5">
      <w:pPr>
        <w:pStyle w:val="2"/>
        <w:jc w:val="center"/>
        <w:rPr>
          <w:rStyle w:val="29"/>
          <w:rFonts w:ascii="黑体" w:hAnsi="黑体" w:eastAsia="黑体"/>
          <w:b/>
          <w:bCs w:val="0"/>
        </w:rPr>
      </w:pPr>
      <w:r>
        <w:rPr>
          <w:rFonts w:hint="eastAsia" w:ascii="黑体" w:hAnsi="黑体" w:eastAsia="黑体"/>
          <w:b w:val="0"/>
        </w:rPr>
        <w:t>第一部分 单位</w:t>
      </w:r>
      <w:r>
        <w:rPr>
          <w:rStyle w:val="29"/>
          <w:rFonts w:hint="eastAsia" w:ascii="黑体" w:hAnsi="黑体" w:eastAsia="黑体"/>
          <w:b w:val="0"/>
          <w:bCs w:val="0"/>
        </w:rPr>
        <w:t>概况</w:t>
      </w:r>
      <w:bookmarkEnd w:id="12"/>
      <w:bookmarkEnd w:id="13"/>
    </w:p>
    <w:p w14:paraId="2580F50D">
      <w:pPr>
        <w:widowControl/>
        <w:jc w:val="left"/>
        <w:rPr>
          <w:rFonts w:ascii="黑体" w:eastAsia="黑体"/>
          <w:sz w:val="32"/>
          <w:szCs w:val="32"/>
        </w:rPr>
      </w:pPr>
    </w:p>
    <w:p w14:paraId="4F1881D8">
      <w:pPr>
        <w:pStyle w:val="3"/>
        <w:numPr>
          <w:ilvl w:val="0"/>
          <w:numId w:val="1"/>
        </w:numPr>
        <w:rPr>
          <w:rStyle w:val="30"/>
          <w:rFonts w:ascii="黑体" w:hAnsi="黑体" w:eastAsia="黑体"/>
          <w:b w:val="0"/>
          <w:bCs w:val="0"/>
        </w:rPr>
      </w:pPr>
      <w:bookmarkStart w:id="14" w:name="_Toc15396600"/>
      <w:bookmarkStart w:id="15" w:name="_Toc15377197"/>
      <w:r>
        <w:rPr>
          <w:rStyle w:val="30"/>
          <w:rFonts w:hint="eastAsia" w:ascii="黑体" w:hAnsi="黑体" w:eastAsia="黑体"/>
          <w:b w:val="0"/>
          <w:bCs w:val="0"/>
        </w:rPr>
        <w:t>主要职责</w:t>
      </w:r>
    </w:p>
    <w:p w14:paraId="7E557AB6">
      <w:pPr>
        <w:pStyle w:val="14"/>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560" w:lineRule="exact"/>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一、明确工程建设类项目评审额度</w:t>
      </w:r>
    </w:p>
    <w:p w14:paraId="5B7FF55C">
      <w:pPr>
        <w:pStyle w:val="13"/>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000000"/>
          <w:sz w:val="32"/>
          <w:szCs w:val="32"/>
        </w:rPr>
        <w:t>为进一步深化财政投资领域“放管服”改革，通过抓“大“小”，促进财政评审力量向重大项目和预算支出类项目倾斜效提高财政投资评审效率，现对工程建设类项目评审额度作调整。</w:t>
      </w:r>
    </w:p>
    <w:p w14:paraId="04108364">
      <w:pPr>
        <w:pStyle w:val="13"/>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000000"/>
          <w:sz w:val="32"/>
          <w:szCs w:val="32"/>
        </w:rPr>
        <w:t>（一）将州本级建设项目招标控制价评审额度由10万元（万元）以上调整为50万元（含50万元）以上。</w:t>
      </w:r>
    </w:p>
    <w:p w14:paraId="46455726">
      <w:pPr>
        <w:pStyle w:val="13"/>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000000"/>
          <w:sz w:val="32"/>
          <w:szCs w:val="32"/>
        </w:rPr>
        <w:t>（二）将州本级建设项目竣工结算价评审额度调整为400（含400万元）以上。</w:t>
      </w:r>
    </w:p>
    <w:p w14:paraId="2913DC96">
      <w:pPr>
        <w:pStyle w:val="13"/>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000000"/>
          <w:sz w:val="32"/>
          <w:szCs w:val="32"/>
        </w:rPr>
        <w:t>二、明确财政投资评审内容</w:t>
      </w:r>
    </w:p>
    <w:p w14:paraId="3951C67F">
      <w:pPr>
        <w:pStyle w:val="13"/>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000000"/>
          <w:sz w:val="32"/>
          <w:szCs w:val="32"/>
        </w:rPr>
        <w:t>（一）工程建设类项目评审主要包括工程量计算是否符合规范计算规则的规定，是否准确。工程计价套用定额是否符执行的定额标准。计税取费是否正确。建筑材料价格是否合理确。</w:t>
      </w:r>
    </w:p>
    <w:p w14:paraId="57C7FD99">
      <w:pPr>
        <w:pStyle w:val="13"/>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000000"/>
          <w:sz w:val="32"/>
          <w:szCs w:val="32"/>
        </w:rPr>
        <w:t>（二）预算支出类项目评审主要包括预算完整性、必要性行性和合理性等方面。完整性主要是审核项目申报程序是否项目申报内容填写是否全面，项目申报所需资料是否齐全等要性主要是审核项目立项依据是否充分，与部门职责和宏观衔接是否紧密，与其他项目是否存在交叉重复，是否符合“节约、反对浪费”相关规定等。可行性主要是审核项目立项方案设计是否可行，是否具备执行条件等。合理性主要是审目支出内容是否真实、合规、预算需求与绩效目标设置是否合理等。</w:t>
      </w:r>
    </w:p>
    <w:p w14:paraId="60321826">
      <w:pPr>
        <w:pStyle w:val="13"/>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000000"/>
          <w:sz w:val="32"/>
          <w:szCs w:val="32"/>
        </w:rPr>
        <w:t>三、明确财政投资评审范围</w:t>
      </w:r>
    </w:p>
    <w:p w14:paraId="29B28111">
      <w:pPr>
        <w:pStyle w:val="13"/>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firstLine="640"/>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000000"/>
          <w:sz w:val="32"/>
          <w:szCs w:val="32"/>
        </w:rPr>
        <w:t>（一）概算评审范围</w:t>
      </w:r>
    </w:p>
    <w:p w14:paraId="72554E75">
      <w:pPr>
        <w:pStyle w:val="13"/>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firstLine="640"/>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000000"/>
          <w:sz w:val="32"/>
          <w:szCs w:val="32"/>
        </w:rPr>
        <w:t>采用 EPC方式承包的政府投资项目，取得初步设计及概算后报送财政部门申请评审，确定项目招标控制价后，进行工承包发包。</w:t>
      </w:r>
    </w:p>
    <w:p w14:paraId="6BF1B9C2">
      <w:pPr>
        <w:pStyle w:val="13"/>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firstLine="640"/>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000000"/>
          <w:sz w:val="32"/>
          <w:szCs w:val="32"/>
        </w:rPr>
        <w:t>（二）预算评审范围</w:t>
      </w:r>
    </w:p>
    <w:p w14:paraId="343C7794">
      <w:pPr>
        <w:pStyle w:val="13"/>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firstLine="640"/>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000000"/>
          <w:sz w:val="32"/>
          <w:szCs w:val="32"/>
        </w:rPr>
        <w:t>1.凡使用财政预算资金超过50万元以上（含50万元）工设类项目的招标控制价。</w:t>
      </w:r>
    </w:p>
    <w:p w14:paraId="0AD1EE10">
      <w:pPr>
        <w:pStyle w:val="13"/>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firstLine="640"/>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000000"/>
          <w:sz w:val="32"/>
          <w:szCs w:val="32"/>
        </w:rPr>
        <w:t>2.已纳入预算管理一体化项目库管理的超过200万元以其他运转类和特定目标类项目。</w:t>
      </w:r>
    </w:p>
    <w:p w14:paraId="207A0136">
      <w:pPr>
        <w:pStyle w:val="13"/>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firstLine="640"/>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000000"/>
          <w:sz w:val="32"/>
          <w:szCs w:val="32"/>
        </w:rPr>
        <w:t>（三）结算评审范围</w:t>
      </w:r>
    </w:p>
    <w:p w14:paraId="4BA666B2">
      <w:pPr>
        <w:pStyle w:val="13"/>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firstLine="640"/>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000000"/>
          <w:sz w:val="32"/>
          <w:szCs w:val="32"/>
        </w:rPr>
        <w:t>凡使用财政预算资金超过400万元以上（含400万元）且发改委公开招投标程序确定的工程建设类项目。</w:t>
      </w:r>
    </w:p>
    <w:p w14:paraId="38BFF778">
      <w:pPr>
        <w:pStyle w:val="13"/>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firstLine="640"/>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000000"/>
          <w:sz w:val="32"/>
          <w:szCs w:val="32"/>
        </w:rPr>
        <w:t>（四）根据工作实际安排，其他需要评审的项目。</w:t>
      </w:r>
    </w:p>
    <w:p w14:paraId="44A21A1F">
      <w:pPr>
        <w:pStyle w:val="13"/>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firstLine="640"/>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000000"/>
          <w:sz w:val="32"/>
          <w:szCs w:val="32"/>
        </w:rPr>
        <w:t>以上项目，按规定适用事前绩效评估要求的，应优先纳入绩效评估，已开展重点绩效评估的项目，视同已开展部门预审；同一项目进行了概算评审，就不再进行预算评审。</w:t>
      </w:r>
    </w:p>
    <w:p w14:paraId="7139BE5C">
      <w:pPr>
        <w:pStyle w:val="13"/>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000000"/>
          <w:sz w:val="32"/>
          <w:szCs w:val="32"/>
        </w:rPr>
        <w:t xml:space="preserve">四、调整财政投资评审流程 </w:t>
      </w:r>
    </w:p>
    <w:p w14:paraId="7842CE94">
      <w:pPr>
        <w:pStyle w:val="13"/>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firstLine="640"/>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000000"/>
          <w:sz w:val="32"/>
          <w:szCs w:val="32"/>
        </w:rPr>
        <w:t>财政投资评审遵循“先评审后招标”和“先预算评审后预排”的原则。项目单位将申报材料报送州财政局对口科室，科室对项目安排的必要性、可行性进行审核，提出是否评审向评审中心下达评审任务。评审中心接收到评审任务后，分管领导审签。评审工作结束后，评审中心出具评审报告，对口科室审定后，批复项目单位。</w:t>
      </w:r>
    </w:p>
    <w:p w14:paraId="19914371">
      <w:pPr>
        <w:pStyle w:val="13"/>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000000"/>
          <w:sz w:val="32"/>
          <w:szCs w:val="32"/>
        </w:rPr>
        <w:t>五、强化财政投资评审结果运用</w:t>
      </w:r>
    </w:p>
    <w:p w14:paraId="7F40E89E">
      <w:pPr>
        <w:pStyle w:val="13"/>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firstLine="640"/>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000000"/>
          <w:sz w:val="32"/>
          <w:szCs w:val="32"/>
        </w:rPr>
        <w:t>各支出科室要切实加强评审结果的运用，强化评审约束把评审结论作为项目申报、调整和资金安排、拨付的重要各对口科室要根据评审意见确定项目支出预算是否安排，额度原则上不能高于评审建议数，对申报不实、预算审减率的部门，资金管理科室采取通报、压减部门以后年度预算等予以督促，切实加强部门预算管理的主体责任。</w:t>
      </w:r>
    </w:p>
    <w:p w14:paraId="0B8B5ADB">
      <w:pPr>
        <w:pStyle w:val="14"/>
        <w:shd w:val="clear" w:color="auto" w:fill="FFFFFF"/>
        <w:rPr>
          <w:rFonts w:hint="eastAsia" w:ascii="黑体" w:hAnsi="黑体" w:eastAsia="黑体" w:cs="黑体"/>
          <w:sz w:val="32"/>
          <w:szCs w:val="32"/>
        </w:rPr>
      </w:pPr>
      <w:r>
        <w:rPr>
          <w:rFonts w:hint="eastAsia" w:ascii="黑体" w:hAnsi="黑体" w:eastAsia="黑体" w:cs="黑体"/>
          <w:sz w:val="32"/>
          <w:szCs w:val="32"/>
        </w:rPr>
        <w:t>（二）2022年重点工作完成情况。</w:t>
      </w:r>
    </w:p>
    <w:p w14:paraId="5EF3ADFF">
      <w:pPr>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textAlignment w:val="auto"/>
        <w:rPr>
          <w:rFonts w:hint="eastAsia" w:ascii="仿宋_GB2312" w:hAnsi="仿宋_GB2312" w:eastAsia="仿宋_GB2312" w:cs="仿宋_GB2312"/>
          <w:b w:val="0"/>
          <w:bCs/>
          <w:color w:val="333333"/>
          <w:sz w:val="32"/>
          <w:szCs w:val="32"/>
        </w:rPr>
      </w:pPr>
      <w:r>
        <w:rPr>
          <w:rFonts w:hint="eastAsia" w:ascii="仿宋_GB2312" w:hAnsi="仿宋_GB2312" w:eastAsia="仿宋_GB2312" w:cs="仿宋_GB2312"/>
          <w:b w:val="0"/>
          <w:bCs/>
          <w:color w:val="333333"/>
          <w:sz w:val="32"/>
          <w:szCs w:val="32"/>
        </w:rPr>
        <w:t xml:space="preserve">（一）服务预算管理，积极开展财政投资评审工作 </w:t>
      </w:r>
    </w:p>
    <w:p w14:paraId="6116135B">
      <w:pPr>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firstLine="640"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rPr>
        <w:t>2022年</w:t>
      </w:r>
      <w:r>
        <w:rPr>
          <w:rFonts w:hint="eastAsia" w:ascii="仿宋_GB2312" w:hAnsi="仿宋_GB2312" w:eastAsia="仿宋_GB2312" w:cs="仿宋_GB2312"/>
          <w:bCs/>
          <w:sz w:val="32"/>
          <w:szCs w:val="32"/>
        </w:rPr>
        <w:t>，</w:t>
      </w:r>
      <w:r>
        <w:rPr>
          <w:rFonts w:hint="eastAsia" w:ascii="仿宋_GB2312" w:hAnsi="仿宋_GB2312" w:eastAsia="仿宋_GB2312" w:cs="仿宋_GB2312"/>
          <w:sz w:val="32"/>
          <w:szCs w:val="32"/>
        </w:rPr>
        <w:t>评审中心审核完成州本级建设项目招标控制价及工程竣工结算</w:t>
      </w:r>
      <w:r>
        <w:rPr>
          <w:rFonts w:hint="eastAsia" w:ascii="仿宋_GB2312" w:hAnsi="仿宋_GB2312" w:eastAsia="仿宋_GB2312" w:cs="仿宋_GB2312"/>
          <w:bCs/>
          <w:sz w:val="32"/>
          <w:szCs w:val="32"/>
        </w:rPr>
        <w:t>共159项，送审项目总金额240639.73万元，审定217179.45万元</w:t>
      </w:r>
      <w:r>
        <w:rPr>
          <w:rFonts w:hint="eastAsia" w:ascii="仿宋_GB2312" w:hAnsi="仿宋_GB2312" w:eastAsia="仿宋_GB2312" w:cs="仿宋_GB2312"/>
          <w:sz w:val="32"/>
          <w:szCs w:val="32"/>
        </w:rPr>
        <w:t>，品迭后核</w:t>
      </w:r>
      <w:r>
        <w:rPr>
          <w:rFonts w:hint="eastAsia" w:ascii="仿宋_GB2312" w:hAnsi="仿宋_GB2312" w:eastAsia="仿宋_GB2312" w:cs="仿宋_GB2312"/>
          <w:bCs/>
          <w:sz w:val="32"/>
          <w:szCs w:val="32"/>
        </w:rPr>
        <w:t>减23460.27万元，平均审减率9.75%。其中：控制价审核133项，送审金额144664.70万元，审定126688.54万元，品迭后核减17976.16万元，审减率12.43%；完成结算审核26项，送审金额95975.03万元，审定90490.92万元，核减5484.11万元，审减率5.71%</w:t>
      </w:r>
      <w:r>
        <w:rPr>
          <w:rFonts w:hint="eastAsia" w:ascii="仿宋_GB2312" w:hAnsi="仿宋_GB2312" w:eastAsia="仿宋_GB2312" w:cs="仿宋_GB2312"/>
          <w:b/>
          <w:bCs/>
          <w:sz w:val="32"/>
          <w:szCs w:val="32"/>
        </w:rPr>
        <w:t>。</w:t>
      </w:r>
    </w:p>
    <w:p w14:paraId="31F6091C">
      <w:pPr>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firstLine="482" w:firstLineChars="150"/>
        <w:textAlignment w:val="auto"/>
        <w:rPr>
          <w:rFonts w:hint="eastAsia" w:ascii="仿宋_GB2312" w:hAnsi="仿宋_GB2312" w:eastAsia="仿宋_GB2312" w:cs="仿宋_GB2312"/>
          <w:b/>
          <w:color w:val="333333"/>
          <w:sz w:val="32"/>
          <w:szCs w:val="32"/>
        </w:rPr>
      </w:pPr>
      <w:r>
        <w:rPr>
          <w:rFonts w:hint="eastAsia" w:ascii="仿宋_GB2312" w:hAnsi="仿宋_GB2312" w:eastAsia="仿宋_GB2312" w:cs="仿宋_GB2312"/>
          <w:b/>
          <w:color w:val="333333"/>
          <w:sz w:val="32"/>
          <w:szCs w:val="32"/>
        </w:rPr>
        <w:t>（二）主动作为，靠前服务州庆及重点项目评审</w:t>
      </w:r>
    </w:p>
    <w:p w14:paraId="6BD9E374">
      <w:pPr>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firstLine="640" w:firstLineChars="200"/>
        <w:textAlignment w:val="auto"/>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根据局党组“跨前一步主动作为”的要求，评审中心坚持“紧盯重点环节”“主动靠前服务”原则，对州庆及重点项目开辟评审“路色通道”，加强与项目单位沟通协调，做到随到随评，限时办理，在确保评审质量的前提下，最大程度缩短评审时间，力促项目尽快开工建设。</w:t>
      </w:r>
    </w:p>
    <w:p w14:paraId="57F4E49C">
      <w:pPr>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firstLine="482" w:firstLineChars="150"/>
        <w:textAlignment w:val="auto"/>
        <w:rPr>
          <w:rFonts w:hint="eastAsia" w:ascii="仿宋_GB2312" w:hAnsi="仿宋_GB2312" w:eastAsia="仿宋_GB2312" w:cs="仿宋_GB2312"/>
          <w:b/>
          <w:color w:val="333333"/>
          <w:sz w:val="32"/>
          <w:szCs w:val="32"/>
        </w:rPr>
      </w:pPr>
      <w:r>
        <w:rPr>
          <w:rFonts w:hint="eastAsia" w:ascii="仿宋_GB2312" w:hAnsi="仿宋_GB2312" w:eastAsia="仿宋_GB2312" w:cs="仿宋_GB2312"/>
          <w:b/>
          <w:color w:val="333333"/>
          <w:sz w:val="32"/>
          <w:szCs w:val="32"/>
        </w:rPr>
        <w:t>（三）集中力量，重点服务九寨沟地震灾后恢复重建项目评审工作</w:t>
      </w:r>
    </w:p>
    <w:p w14:paraId="3E317911">
      <w:pPr>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firstLine="645"/>
        <w:textAlignment w:val="auto"/>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截至2022年12月16日，累计完成“8.8”九寨沟地震灾后恢复重建项目招标控制价及工程竣工结算共计748项，送审项目总金额47.41亿元，审定39.54亿元，品迭后核减7.87亿元，审减率16.60%。</w:t>
      </w:r>
    </w:p>
    <w:p w14:paraId="3A2ED4D5">
      <w:pPr>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firstLine="645"/>
        <w:textAlignment w:val="auto"/>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其中：控制价评审706项，送审金额32.67亿元，审定25.85亿元，品迭后核减6.82亿元，审减率20.88%；完成结算审核42项，送审金额14.74亿元，审定13.69亿元，核减1.05亿元，审减率7.11%。</w:t>
      </w:r>
    </w:p>
    <w:p w14:paraId="67502EE5">
      <w:pPr>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firstLine="482" w:firstLineChars="150"/>
        <w:textAlignment w:val="auto"/>
        <w:rPr>
          <w:rFonts w:hint="eastAsia" w:ascii="仿宋_GB2312" w:hAnsi="仿宋_GB2312" w:eastAsia="仿宋_GB2312" w:cs="仿宋_GB2312"/>
          <w:b/>
          <w:color w:val="333333"/>
          <w:sz w:val="32"/>
          <w:szCs w:val="32"/>
        </w:rPr>
      </w:pPr>
      <w:r>
        <w:rPr>
          <w:rFonts w:hint="eastAsia" w:ascii="仿宋_GB2312" w:hAnsi="仿宋_GB2312" w:eastAsia="仿宋_GB2312" w:cs="仿宋_GB2312"/>
          <w:b/>
          <w:color w:val="333333"/>
          <w:sz w:val="32"/>
          <w:szCs w:val="32"/>
        </w:rPr>
        <w:t>（四）狠抓理论学习，积极参加业务理论培训</w:t>
      </w:r>
    </w:p>
    <w:p w14:paraId="131FAE60">
      <w:pPr>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firstLine="640" w:firstLineChars="200"/>
        <w:textAlignment w:val="auto"/>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工程项目评审是一项专业性非常强的工作，再加上业务范围的不断扩展、业务精度的不断加深，加快知识结构更新、不断学习财政业务知识和提高专业技能，已成为更好的完成财政评审的必要前提。一是参加省财政厅、省建设厅及州级相关部门组织的业务培训，学习相关财政法规政策、工程造价管理知识、造价软件操作技能等，坚持理论与实际相结合，不断充实财政业务知识。二是及时进行知识更新。定期组织评审工作人员认真学习新的计价依据，计价调整文件等新法新规，做到熟练应用新法新规开展评审工作；三是定期开展业务讨论，对已完成、未完成的项目进行分析讨论，查摆问题、解决问题，做到在学中干、干中学。</w:t>
      </w:r>
    </w:p>
    <w:p w14:paraId="1CC9052F">
      <w:pPr>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firstLine="482" w:firstLineChars="150"/>
        <w:textAlignment w:val="auto"/>
        <w:rPr>
          <w:rFonts w:hint="eastAsia" w:ascii="仿宋_GB2312" w:hAnsi="仿宋_GB2312" w:eastAsia="仿宋_GB2312" w:cs="仿宋_GB2312"/>
          <w:b/>
          <w:color w:val="333333"/>
          <w:sz w:val="32"/>
          <w:szCs w:val="32"/>
        </w:rPr>
      </w:pPr>
      <w:r>
        <w:rPr>
          <w:rFonts w:hint="eastAsia" w:ascii="仿宋_GB2312" w:hAnsi="仿宋_GB2312" w:eastAsia="仿宋_GB2312" w:cs="仿宋_GB2312"/>
          <w:b/>
          <w:color w:val="333333"/>
          <w:sz w:val="32"/>
          <w:szCs w:val="32"/>
        </w:rPr>
        <w:t>（五）围绕财政中心工作，助力乡村振兴、维稳工作</w:t>
      </w:r>
    </w:p>
    <w:p w14:paraId="223CED94">
      <w:pPr>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firstLine="640" w:firstLineChars="200"/>
        <w:textAlignment w:val="auto"/>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围绕财政中心工作，评审中心在人员少、任务重的不利条件下，牢固树立大局意识，优先安排两名干部下沉一线，助力财政中心工作。一是为更好地推动乡村振兴战略落实，202</w:t>
      </w:r>
      <w:r>
        <w:rPr>
          <w:rFonts w:hint="eastAsia" w:ascii="仿宋_GB2312" w:hAnsi="仿宋_GB2312" w:eastAsia="仿宋_GB2312" w:cs="仿宋_GB2312"/>
          <w:bCs/>
          <w:sz w:val="32"/>
          <w:szCs w:val="32"/>
          <w:lang w:val="en-US" w:eastAsia="zh-CN"/>
        </w:rPr>
        <w:t>2</w:t>
      </w:r>
      <w:r>
        <w:rPr>
          <w:rFonts w:hint="eastAsia" w:ascii="仿宋_GB2312" w:hAnsi="仿宋_GB2312" w:eastAsia="仿宋_GB2312" w:cs="仿宋_GB2312"/>
          <w:bCs/>
          <w:sz w:val="32"/>
          <w:szCs w:val="32"/>
        </w:rPr>
        <w:t>年5月至今，我中心选派一名年轻干部驻村，全力推动乡村振兴落地见效，提供财政智慧；二是今年5月至11月选派一名双语干部开展维稳工作，确保</w:t>
      </w:r>
      <w:r>
        <w:rPr>
          <w:rFonts w:hint="eastAsia" w:ascii="仿宋_GB2312" w:hAnsi="仿宋_GB2312" w:eastAsia="仿宋_GB2312" w:cs="仿宋_GB2312"/>
          <w:bCs/>
          <w:sz w:val="32"/>
          <w:szCs w:val="32"/>
          <w:lang w:val="en-US" w:eastAsia="zh-CN"/>
        </w:rPr>
        <w:t>党的</w:t>
      </w:r>
      <w:r>
        <w:rPr>
          <w:rFonts w:hint="eastAsia" w:ascii="仿宋_GB2312" w:hAnsi="仿宋_GB2312" w:eastAsia="仿宋_GB2312" w:cs="仿宋_GB2312"/>
          <w:bCs/>
          <w:sz w:val="32"/>
          <w:szCs w:val="32"/>
        </w:rPr>
        <w:t>二十大</w:t>
      </w:r>
      <w:r>
        <w:rPr>
          <w:rFonts w:hint="eastAsia" w:ascii="仿宋_GB2312" w:hAnsi="仿宋_GB2312" w:eastAsia="仿宋_GB2312" w:cs="仿宋_GB2312"/>
          <w:bCs/>
          <w:sz w:val="32"/>
          <w:szCs w:val="32"/>
          <w:lang w:val="en-US" w:eastAsia="zh-CN"/>
        </w:rPr>
        <w:t>胜利</w:t>
      </w:r>
      <w:bookmarkStart w:id="67" w:name="_GoBack"/>
      <w:bookmarkEnd w:id="67"/>
      <w:r>
        <w:rPr>
          <w:rFonts w:hint="eastAsia" w:ascii="仿宋_GB2312" w:hAnsi="仿宋_GB2312" w:eastAsia="仿宋_GB2312" w:cs="仿宋_GB2312"/>
          <w:bCs/>
          <w:sz w:val="32"/>
          <w:szCs w:val="32"/>
        </w:rPr>
        <w:t>召开，提供财政力量。</w:t>
      </w:r>
    </w:p>
    <w:p w14:paraId="68267357">
      <w:pPr>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firstLine="482" w:firstLineChars="150"/>
        <w:textAlignment w:val="auto"/>
        <w:rPr>
          <w:rFonts w:hint="eastAsia" w:ascii="仿宋_GB2312" w:hAnsi="仿宋_GB2312" w:eastAsia="仿宋_GB2312" w:cs="仿宋_GB2312"/>
          <w:b/>
          <w:color w:val="333333"/>
          <w:sz w:val="32"/>
          <w:szCs w:val="32"/>
        </w:rPr>
      </w:pPr>
      <w:r>
        <w:rPr>
          <w:rFonts w:hint="eastAsia" w:ascii="仿宋_GB2312" w:hAnsi="仿宋_GB2312" w:eastAsia="仿宋_GB2312" w:cs="仿宋_GB2312"/>
          <w:b/>
          <w:color w:val="333333"/>
          <w:sz w:val="32"/>
          <w:szCs w:val="32"/>
        </w:rPr>
        <w:t>（六）积极协调、踏勘复核，严把结算审核关</w:t>
      </w:r>
    </w:p>
    <w:p w14:paraId="30B8F9AC">
      <w:pPr>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firstLine="640" w:firstLineChars="200"/>
        <w:textAlignment w:val="auto"/>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中心在审核竣工结算时，发现送审资料中存在虚假签证、重复结算、高套定额等问题,增加了审计工作难度和审计风险。为进一步提高财政投资评审质量及效率，不断强化财政投资评审管理职能，通过“现场踏勘”“集中开会”“协商解决”等方式集中解决评审过程遇到的“疑点难点”问题。结算项目实行现场踏勘，组织召开专业会商协调会议解决发包人或承包人对竣工结算审核意见有异议的事项、需澄清的问题、缺陷的弥补及施工合同中约定不明的事宜，做到严格复核、严格把关。</w:t>
      </w:r>
    </w:p>
    <w:p w14:paraId="7BDA5E1D">
      <w:pPr>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firstLine="482" w:firstLineChars="150"/>
        <w:textAlignment w:val="auto"/>
        <w:rPr>
          <w:rFonts w:hint="eastAsia" w:ascii="仿宋_GB2312" w:hAnsi="仿宋_GB2312" w:eastAsia="仿宋_GB2312" w:cs="仿宋_GB2312"/>
          <w:b/>
          <w:color w:val="333333"/>
          <w:sz w:val="32"/>
          <w:szCs w:val="32"/>
        </w:rPr>
      </w:pPr>
      <w:r>
        <w:rPr>
          <w:rFonts w:hint="eastAsia" w:ascii="仿宋_GB2312" w:hAnsi="仿宋_GB2312" w:eastAsia="仿宋_GB2312" w:cs="仿宋_GB2312"/>
          <w:b/>
          <w:color w:val="333333"/>
          <w:sz w:val="32"/>
          <w:szCs w:val="32"/>
        </w:rPr>
        <w:t>（七）加强廉政建设，打造廉洁守节团队</w:t>
      </w:r>
    </w:p>
    <w:p w14:paraId="2623B335">
      <w:r>
        <w:rPr>
          <w:rFonts w:hint="eastAsia" w:ascii="仿宋_GB2312" w:hAnsi="仿宋_GB2312" w:eastAsia="仿宋_GB2312" w:cs="仿宋_GB2312"/>
          <w:bCs/>
          <w:sz w:val="32"/>
          <w:szCs w:val="32"/>
        </w:rPr>
        <w:t>工程建设领域是腐败问题的高发领域，要求评审人员都能坚定廉政思想，时刻提醒自己要不忘初心、牢记使命，自觉接受廉政教育，守住底线，不碰高压线，以昂扬的精神风貌全身心投入到评审工作，履行好新时代财政评审的职责使命。</w:t>
      </w:r>
    </w:p>
    <w:p w14:paraId="244E260E">
      <w:pPr>
        <w:pStyle w:val="3"/>
        <w:rPr>
          <w:rFonts w:ascii="黑体" w:hAnsi="黑体" w:eastAsia="黑体"/>
          <w:b w:val="0"/>
        </w:rPr>
      </w:pPr>
      <w:r>
        <w:rPr>
          <w:rFonts w:hint="eastAsia" w:ascii="黑体" w:hAnsi="黑体" w:eastAsia="黑体"/>
          <w:b w:val="0"/>
        </w:rPr>
        <w:t>二、机构设置</w:t>
      </w:r>
    </w:p>
    <w:bookmarkEnd w:id="14"/>
    <w:bookmarkEnd w:id="15"/>
    <w:p w14:paraId="2BF67F90">
      <w:pPr>
        <w:pStyle w:val="14"/>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阿坝州财政局投资评审中心无</w:t>
      </w:r>
      <w:r>
        <w:rPr>
          <w:rFonts w:hint="eastAsia" w:ascii="仿宋_GB2312" w:hAnsi="仿宋_GB2312" w:eastAsia="仿宋_GB2312" w:cs="仿宋_GB2312"/>
          <w:sz w:val="32"/>
          <w:szCs w:val="32"/>
          <w:lang w:eastAsia="zh-CN"/>
        </w:rPr>
        <w:t>二</w:t>
      </w:r>
      <w:r>
        <w:rPr>
          <w:rFonts w:hint="eastAsia" w:ascii="仿宋_GB2312" w:hAnsi="仿宋_GB2312" w:eastAsia="仿宋_GB2312" w:cs="仿宋_GB2312"/>
          <w:sz w:val="32"/>
          <w:szCs w:val="32"/>
        </w:rPr>
        <w:t>级预算单位。</w:t>
      </w:r>
    </w:p>
    <w:p w14:paraId="57737302">
      <w:pPr>
        <w:widowControl/>
        <w:jc w:val="left"/>
        <w:rPr>
          <w:rFonts w:ascii="仿宋" w:hAnsi="仿宋" w:eastAsia="仿宋"/>
          <w:kern w:val="0"/>
          <w:sz w:val="32"/>
          <w:szCs w:val="32"/>
        </w:rPr>
      </w:pPr>
    </w:p>
    <w:p w14:paraId="152C4806">
      <w:pPr>
        <w:rPr>
          <w:rFonts w:hint="eastAsia" w:ascii="黑体" w:hAnsi="黑体" w:eastAsia="黑体"/>
          <w:b w:val="0"/>
        </w:rPr>
      </w:pPr>
      <w:bookmarkStart w:id="16" w:name="_Toc15377204"/>
      <w:bookmarkStart w:id="17" w:name="_Toc15396602"/>
      <w:r>
        <w:rPr>
          <w:rFonts w:hint="eastAsia" w:ascii="黑体" w:hAnsi="黑体" w:eastAsia="黑体"/>
          <w:b w:val="0"/>
        </w:rPr>
        <w:br w:type="page"/>
      </w:r>
    </w:p>
    <w:p w14:paraId="34F4D2FB">
      <w:pPr>
        <w:pStyle w:val="2"/>
        <w:ind w:right="440"/>
        <w:jc w:val="center"/>
        <w:rPr>
          <w:rStyle w:val="29"/>
          <w:rFonts w:ascii="黑体" w:hAnsi="黑体" w:eastAsia="黑体"/>
          <w:b w:val="0"/>
          <w:bCs/>
        </w:rPr>
      </w:pPr>
      <w:r>
        <w:rPr>
          <w:rFonts w:hint="eastAsia" w:ascii="黑体" w:hAnsi="黑体" w:eastAsia="黑体"/>
          <w:b w:val="0"/>
        </w:rPr>
        <w:t>第二部分 2023年度</w:t>
      </w:r>
      <w:r>
        <w:rPr>
          <w:rStyle w:val="29"/>
          <w:rFonts w:hint="eastAsia" w:ascii="黑体" w:hAnsi="黑体" w:eastAsia="黑体"/>
          <w:b w:val="0"/>
          <w:bCs/>
        </w:rPr>
        <w:t>单位决算情况说明</w:t>
      </w:r>
      <w:bookmarkEnd w:id="16"/>
      <w:bookmarkEnd w:id="17"/>
    </w:p>
    <w:p w14:paraId="5089D4E4"/>
    <w:p w14:paraId="311EED2E">
      <w:pPr>
        <w:pStyle w:val="28"/>
        <w:numPr>
          <w:ilvl w:val="0"/>
          <w:numId w:val="0"/>
        </w:numPr>
        <w:spacing w:line="600" w:lineRule="exact"/>
        <w:ind w:left="1360" w:leftChars="0" w:hanging="720" w:firstLineChars="0"/>
        <w:outlineLvl w:val="1"/>
        <w:rPr>
          <w:rStyle w:val="30"/>
          <w:rFonts w:ascii="黑体" w:hAnsi="黑体" w:eastAsia="黑体"/>
          <w:b w:val="0"/>
        </w:rPr>
      </w:pPr>
      <w:bookmarkStart w:id="18" w:name="_Toc15377205"/>
      <w:bookmarkStart w:id="19" w:name="_Toc15396603"/>
      <w:r>
        <w:rPr>
          <w:rFonts w:hint="default" w:ascii="黑体" w:hAnsi="黑体" w:eastAsia="黑体" w:cstheme="majorBidi"/>
          <w:b w:val="0"/>
          <w:bCs/>
          <w:kern w:val="2"/>
          <w:sz w:val="32"/>
          <w:szCs w:val="32"/>
          <w:lang w:val="en-US" w:eastAsia="zh-CN" w:bidi="ar-SA"/>
        </w:rPr>
        <w:t>一、</w:t>
      </w:r>
      <w:r>
        <w:rPr>
          <w:rFonts w:hint="eastAsia" w:ascii="黑体" w:hAnsi="黑体" w:eastAsia="黑体"/>
          <w:sz w:val="32"/>
          <w:szCs w:val="32"/>
        </w:rPr>
        <w:t>收</w:t>
      </w:r>
      <w:r>
        <w:rPr>
          <w:rStyle w:val="30"/>
          <w:rFonts w:hint="eastAsia" w:ascii="黑体" w:hAnsi="黑体" w:eastAsia="黑体"/>
          <w:b w:val="0"/>
        </w:rPr>
        <w:t>入支出决算总体情况说明</w:t>
      </w:r>
      <w:bookmarkEnd w:id="18"/>
      <w:bookmarkEnd w:id="19"/>
    </w:p>
    <w:p w14:paraId="6BADD823">
      <w:pPr>
        <w:spacing w:line="600" w:lineRule="exact"/>
        <w:ind w:firstLine="640" w:firstLineChars="200"/>
        <w:rPr>
          <w:rFonts w:ascii="仿宋" w:hAnsi="仿宋" w:eastAsia="仿宋"/>
          <w:sz w:val="32"/>
          <w:szCs w:val="32"/>
        </w:rPr>
      </w:pPr>
      <w:r>
        <w:rPr>
          <w:rFonts w:hint="eastAsia" w:ascii="仿宋" w:hAnsi="仿宋" w:eastAsia="仿宋"/>
          <w:sz w:val="32"/>
          <w:szCs w:val="32"/>
        </w:rPr>
        <w:t>2023年度收、支总计均为</w:t>
      </w:r>
      <w:r>
        <w:rPr>
          <w:rFonts w:hint="eastAsia" w:ascii="仿宋" w:hAnsi="仿宋" w:eastAsia="仿宋"/>
          <w:b/>
          <w:sz w:val="32"/>
          <w:szCs w:val="32"/>
        </w:rPr>
        <w:t>1299.56</w:t>
      </w:r>
      <w:r>
        <w:rPr>
          <w:rFonts w:hint="eastAsia" w:ascii="仿宋" w:hAnsi="仿宋" w:eastAsia="仿宋"/>
          <w:sz w:val="32"/>
          <w:szCs w:val="32"/>
        </w:rPr>
        <w:t>万元。与2022年度相比，收、支总计各减少</w:t>
      </w:r>
      <w:r>
        <w:rPr>
          <w:rFonts w:hint="eastAsia" w:ascii="仿宋" w:hAnsi="仿宋" w:eastAsia="仿宋"/>
          <w:sz w:val="32"/>
          <w:szCs w:val="32"/>
          <w:lang w:val="en-US" w:eastAsia="zh-CN"/>
        </w:rPr>
        <w:t>8.89</w:t>
      </w:r>
      <w:r>
        <w:rPr>
          <w:rFonts w:hint="eastAsia" w:ascii="仿宋" w:hAnsi="仿宋" w:eastAsia="仿宋"/>
          <w:sz w:val="32"/>
          <w:szCs w:val="32"/>
        </w:rPr>
        <w:t>万元，下降</w:t>
      </w:r>
      <w:r>
        <w:rPr>
          <w:rFonts w:hint="eastAsia" w:ascii="仿宋" w:hAnsi="仿宋" w:eastAsia="仿宋"/>
          <w:sz w:val="32"/>
          <w:szCs w:val="32"/>
          <w:lang w:val="en-US" w:eastAsia="zh-CN"/>
        </w:rPr>
        <w:t>0.68</w:t>
      </w:r>
      <w:r>
        <w:rPr>
          <w:rFonts w:ascii="仿宋" w:hAnsi="仿宋" w:eastAsia="仿宋"/>
          <w:sz w:val="32"/>
          <w:szCs w:val="32"/>
        </w:rPr>
        <w:t>%</w:t>
      </w:r>
      <w:r>
        <w:rPr>
          <w:rFonts w:hint="eastAsia" w:ascii="仿宋" w:hAnsi="仿宋" w:eastAsia="仿宋"/>
          <w:sz w:val="32"/>
          <w:szCs w:val="32"/>
        </w:rPr>
        <w:t>。主要变动原因是</w:t>
      </w:r>
      <w:r>
        <w:rPr>
          <w:rFonts w:hint="eastAsia" w:ascii="仿宋" w:hAnsi="仿宋" w:eastAsia="仿宋"/>
          <w:sz w:val="32"/>
          <w:szCs w:val="32"/>
          <w:lang w:eastAsia="zh-CN"/>
        </w:rPr>
        <w:t>财政经费节约</w:t>
      </w:r>
      <w:r>
        <w:rPr>
          <w:rFonts w:hint="eastAsia" w:ascii="仿宋" w:hAnsi="仿宋" w:eastAsia="仿宋"/>
          <w:sz w:val="32"/>
          <w:szCs w:val="32"/>
        </w:rPr>
        <w:t>。</w:t>
      </w:r>
    </w:p>
    <w:p w14:paraId="2A873239">
      <w:pPr>
        <w:spacing w:line="600" w:lineRule="exact"/>
        <w:ind w:firstLine="640" w:firstLineChars="200"/>
        <w:rPr>
          <w:rFonts w:ascii="仿宋" w:hAnsi="仿宋" w:eastAsia="仿宋"/>
          <w:sz w:val="32"/>
          <w:szCs w:val="32"/>
        </w:rPr>
      </w:pPr>
      <w:r>
        <w:rPr>
          <w:rFonts w:hint="eastAsia" w:ascii="仿宋" w:hAnsi="仿宋" w:eastAsia="仿宋"/>
          <w:sz w:val="32"/>
          <w:szCs w:val="32"/>
        </w:rPr>
        <w:t>（图</w:t>
      </w:r>
      <w:r>
        <w:rPr>
          <w:rFonts w:ascii="仿宋" w:hAnsi="仿宋" w:eastAsia="仿宋"/>
          <w:sz w:val="32"/>
          <w:szCs w:val="32"/>
        </w:rPr>
        <w:t>1</w:t>
      </w:r>
      <w:r>
        <w:rPr>
          <w:rFonts w:hint="eastAsia" w:ascii="仿宋" w:hAnsi="仿宋" w:eastAsia="仿宋"/>
          <w:sz w:val="32"/>
          <w:szCs w:val="32"/>
        </w:rPr>
        <w:t>：收、支决算总计变动情况图）（柱状图）</w:t>
      </w:r>
    </w:p>
    <w:p w14:paraId="3DFC5045">
      <w:pPr>
        <w:spacing w:line="600" w:lineRule="exact"/>
        <w:ind w:firstLine="640" w:firstLineChars="200"/>
        <w:jc w:val="left"/>
        <w:rPr>
          <w:rFonts w:hint="eastAsia" w:ascii="仿宋_GB2312" w:eastAsia="仿宋_GB2312"/>
          <w:sz w:val="32"/>
          <w:szCs w:val="32"/>
          <w:lang w:eastAsia="zh-CN"/>
        </w:rPr>
      </w:pPr>
      <w:r>
        <w:rPr>
          <w:rFonts w:hint="eastAsia" w:ascii="仿宋_GB2312" w:eastAsia="仿宋_GB2312"/>
          <w:sz w:val="32"/>
          <w:szCs w:val="32"/>
          <w:lang w:eastAsia="zh-CN"/>
        </w:rPr>
        <w:drawing>
          <wp:anchor distT="0" distB="0" distL="114300" distR="114300" simplePos="0" relativeHeight="251659264" behindDoc="0" locked="0" layoutInCell="1" allowOverlap="1">
            <wp:simplePos x="0" y="0"/>
            <wp:positionH relativeFrom="column">
              <wp:posOffset>-12065</wp:posOffset>
            </wp:positionH>
            <wp:positionV relativeFrom="paragraph">
              <wp:posOffset>287020</wp:posOffset>
            </wp:positionV>
            <wp:extent cx="5256530" cy="2988310"/>
            <wp:effectExtent l="5080" t="4445" r="11430" b="9525"/>
            <wp:wrapNone/>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anchor>
        </w:drawing>
      </w:r>
    </w:p>
    <w:p w14:paraId="4EE727A7">
      <w:pPr>
        <w:pStyle w:val="28"/>
        <w:numPr>
          <w:ilvl w:val="0"/>
          <w:numId w:val="0"/>
        </w:numPr>
        <w:spacing w:line="600" w:lineRule="exact"/>
        <w:ind w:left="1360" w:leftChars="0" w:hanging="720" w:firstLineChars="0"/>
        <w:outlineLvl w:val="1"/>
        <w:rPr>
          <w:rFonts w:hint="default" w:ascii="黑体" w:hAnsi="黑体" w:eastAsia="黑体" w:cstheme="majorBidi"/>
          <w:b w:val="0"/>
          <w:bCs/>
          <w:kern w:val="2"/>
          <w:sz w:val="32"/>
          <w:szCs w:val="32"/>
          <w:lang w:val="en-US" w:eastAsia="zh-CN" w:bidi="ar-SA"/>
        </w:rPr>
      </w:pPr>
      <w:bookmarkStart w:id="20" w:name="_Toc15377206"/>
      <w:bookmarkStart w:id="21" w:name="_Toc15396604"/>
    </w:p>
    <w:p w14:paraId="3F3D2BE4">
      <w:pPr>
        <w:pStyle w:val="28"/>
        <w:numPr>
          <w:ilvl w:val="0"/>
          <w:numId w:val="0"/>
        </w:numPr>
        <w:spacing w:line="600" w:lineRule="exact"/>
        <w:ind w:left="1360" w:leftChars="0" w:hanging="720" w:firstLineChars="0"/>
        <w:outlineLvl w:val="1"/>
        <w:rPr>
          <w:rFonts w:hint="default" w:ascii="黑体" w:hAnsi="黑体" w:eastAsia="黑体" w:cstheme="majorBidi"/>
          <w:b w:val="0"/>
          <w:bCs/>
          <w:kern w:val="2"/>
          <w:sz w:val="32"/>
          <w:szCs w:val="32"/>
          <w:lang w:val="en-US" w:eastAsia="zh-CN" w:bidi="ar-SA"/>
        </w:rPr>
      </w:pPr>
    </w:p>
    <w:p w14:paraId="79D602DB">
      <w:pPr>
        <w:pStyle w:val="28"/>
        <w:numPr>
          <w:ilvl w:val="0"/>
          <w:numId w:val="0"/>
        </w:numPr>
        <w:spacing w:line="600" w:lineRule="exact"/>
        <w:ind w:left="1360" w:leftChars="0" w:hanging="720" w:firstLineChars="0"/>
        <w:outlineLvl w:val="1"/>
        <w:rPr>
          <w:rFonts w:hint="default" w:ascii="黑体" w:hAnsi="黑体" w:eastAsia="黑体" w:cstheme="majorBidi"/>
          <w:b w:val="0"/>
          <w:bCs/>
          <w:kern w:val="2"/>
          <w:sz w:val="32"/>
          <w:szCs w:val="32"/>
          <w:lang w:val="en-US" w:eastAsia="zh-CN" w:bidi="ar-SA"/>
        </w:rPr>
      </w:pPr>
    </w:p>
    <w:p w14:paraId="05D74A52">
      <w:pPr>
        <w:pStyle w:val="28"/>
        <w:numPr>
          <w:ilvl w:val="0"/>
          <w:numId w:val="0"/>
        </w:numPr>
        <w:spacing w:line="600" w:lineRule="exact"/>
        <w:ind w:left="1360" w:leftChars="0" w:hanging="720" w:firstLineChars="0"/>
        <w:outlineLvl w:val="1"/>
        <w:rPr>
          <w:rFonts w:hint="default" w:ascii="黑体" w:hAnsi="黑体" w:eastAsia="黑体" w:cstheme="majorBidi"/>
          <w:b w:val="0"/>
          <w:bCs/>
          <w:kern w:val="2"/>
          <w:sz w:val="32"/>
          <w:szCs w:val="32"/>
          <w:lang w:val="en-US" w:eastAsia="zh-CN" w:bidi="ar-SA"/>
        </w:rPr>
      </w:pPr>
    </w:p>
    <w:p w14:paraId="432A5382">
      <w:pPr>
        <w:pStyle w:val="28"/>
        <w:numPr>
          <w:ilvl w:val="0"/>
          <w:numId w:val="0"/>
        </w:numPr>
        <w:spacing w:line="600" w:lineRule="exact"/>
        <w:ind w:left="1360" w:leftChars="0" w:hanging="720" w:firstLineChars="0"/>
        <w:outlineLvl w:val="1"/>
        <w:rPr>
          <w:rFonts w:hint="default" w:ascii="黑体" w:hAnsi="黑体" w:eastAsia="黑体" w:cstheme="majorBidi"/>
          <w:b w:val="0"/>
          <w:bCs/>
          <w:kern w:val="2"/>
          <w:sz w:val="32"/>
          <w:szCs w:val="32"/>
          <w:lang w:val="en-US" w:eastAsia="zh-CN" w:bidi="ar-SA"/>
        </w:rPr>
      </w:pPr>
    </w:p>
    <w:p w14:paraId="716622AF">
      <w:pPr>
        <w:pStyle w:val="28"/>
        <w:numPr>
          <w:ilvl w:val="0"/>
          <w:numId w:val="0"/>
        </w:numPr>
        <w:spacing w:line="600" w:lineRule="exact"/>
        <w:ind w:left="1360" w:leftChars="0" w:hanging="720" w:firstLineChars="0"/>
        <w:outlineLvl w:val="1"/>
        <w:rPr>
          <w:rFonts w:hint="default" w:ascii="黑体" w:hAnsi="黑体" w:eastAsia="黑体" w:cstheme="majorBidi"/>
          <w:b w:val="0"/>
          <w:bCs/>
          <w:kern w:val="2"/>
          <w:sz w:val="32"/>
          <w:szCs w:val="32"/>
          <w:lang w:val="en-US" w:eastAsia="zh-CN" w:bidi="ar-SA"/>
        </w:rPr>
      </w:pPr>
    </w:p>
    <w:p w14:paraId="6E0C7633">
      <w:pPr>
        <w:pStyle w:val="28"/>
        <w:numPr>
          <w:ilvl w:val="0"/>
          <w:numId w:val="0"/>
        </w:numPr>
        <w:spacing w:line="600" w:lineRule="exact"/>
        <w:ind w:left="1360" w:leftChars="0" w:hanging="720" w:firstLineChars="0"/>
        <w:outlineLvl w:val="1"/>
        <w:rPr>
          <w:rFonts w:hint="default" w:ascii="黑体" w:hAnsi="黑体" w:eastAsia="黑体" w:cstheme="majorBidi"/>
          <w:b w:val="0"/>
          <w:bCs/>
          <w:kern w:val="2"/>
          <w:sz w:val="32"/>
          <w:szCs w:val="32"/>
          <w:lang w:val="en-US" w:eastAsia="zh-CN" w:bidi="ar-SA"/>
        </w:rPr>
      </w:pPr>
    </w:p>
    <w:p w14:paraId="52EA939C">
      <w:pPr>
        <w:pStyle w:val="28"/>
        <w:numPr>
          <w:ilvl w:val="0"/>
          <w:numId w:val="0"/>
        </w:numPr>
        <w:spacing w:line="600" w:lineRule="exact"/>
        <w:ind w:left="1360" w:leftChars="0" w:hanging="720" w:firstLineChars="0"/>
        <w:outlineLvl w:val="1"/>
        <w:rPr>
          <w:rFonts w:hint="default" w:ascii="黑体" w:hAnsi="黑体" w:eastAsia="黑体" w:cstheme="majorBidi"/>
          <w:b w:val="0"/>
          <w:bCs/>
          <w:kern w:val="2"/>
          <w:sz w:val="32"/>
          <w:szCs w:val="32"/>
          <w:lang w:val="en-US" w:eastAsia="zh-CN" w:bidi="ar-SA"/>
        </w:rPr>
      </w:pPr>
    </w:p>
    <w:p w14:paraId="3B9950CB">
      <w:pPr>
        <w:pStyle w:val="28"/>
        <w:numPr>
          <w:ilvl w:val="0"/>
          <w:numId w:val="0"/>
        </w:numPr>
        <w:spacing w:line="600" w:lineRule="exact"/>
        <w:ind w:left="1360" w:leftChars="0" w:hanging="720" w:firstLineChars="0"/>
        <w:outlineLvl w:val="1"/>
        <w:rPr>
          <w:rStyle w:val="30"/>
          <w:rFonts w:ascii="黑体" w:hAnsi="黑体" w:eastAsia="黑体"/>
          <w:b w:val="0"/>
        </w:rPr>
      </w:pPr>
      <w:r>
        <w:rPr>
          <w:rFonts w:hint="default" w:ascii="黑体" w:hAnsi="黑体" w:eastAsia="黑体" w:cstheme="majorBidi"/>
          <w:b w:val="0"/>
          <w:bCs/>
          <w:kern w:val="2"/>
          <w:sz w:val="32"/>
          <w:szCs w:val="32"/>
          <w:lang w:val="en-US" w:eastAsia="zh-CN" w:bidi="ar-SA"/>
        </w:rPr>
        <w:t>二、</w:t>
      </w:r>
      <w:r>
        <w:rPr>
          <w:rFonts w:hint="eastAsia" w:ascii="黑体" w:hAnsi="黑体" w:eastAsia="黑体"/>
          <w:sz w:val="32"/>
          <w:szCs w:val="32"/>
        </w:rPr>
        <w:t>收</w:t>
      </w:r>
      <w:r>
        <w:rPr>
          <w:rStyle w:val="30"/>
          <w:rFonts w:hint="eastAsia" w:ascii="黑体" w:hAnsi="黑体" w:eastAsia="黑体"/>
          <w:b w:val="0"/>
        </w:rPr>
        <w:t>入决算情况说明</w:t>
      </w:r>
      <w:bookmarkEnd w:id="20"/>
      <w:bookmarkEnd w:id="21"/>
    </w:p>
    <w:p w14:paraId="3F2B5CF4">
      <w:pPr>
        <w:spacing w:line="600" w:lineRule="exact"/>
        <w:ind w:firstLine="640" w:firstLineChars="200"/>
        <w:outlineLvl w:val="1"/>
        <w:rPr>
          <w:rFonts w:ascii="仿宋" w:hAnsi="仿宋" w:eastAsia="仿宋"/>
          <w:sz w:val="32"/>
          <w:szCs w:val="32"/>
        </w:rPr>
      </w:pPr>
      <w:r>
        <w:rPr>
          <w:rFonts w:hint="eastAsia" w:ascii="仿宋" w:hAnsi="仿宋" w:eastAsia="仿宋"/>
          <w:sz w:val="32"/>
          <w:szCs w:val="32"/>
        </w:rPr>
        <w:t>2023年度本年收入合计</w:t>
      </w:r>
      <w:r>
        <w:rPr>
          <w:rFonts w:ascii="仿宋" w:hAnsi="仿宋" w:eastAsia="仿宋"/>
          <w:b/>
          <w:sz w:val="32"/>
          <w:szCs w:val="32"/>
        </w:rPr>
        <w:t>1299.56</w:t>
      </w:r>
      <w:r>
        <w:rPr>
          <w:rFonts w:hint="eastAsia" w:ascii="仿宋" w:hAnsi="仿宋" w:eastAsia="仿宋"/>
          <w:sz w:val="32"/>
          <w:szCs w:val="32"/>
        </w:rPr>
        <w:t>万元，其中：一般公共预算财政拨款收入</w:t>
      </w:r>
      <w:r>
        <w:rPr>
          <w:rFonts w:ascii="仿宋" w:hAnsi="仿宋" w:eastAsia="仿宋"/>
          <w:b/>
          <w:sz w:val="32"/>
          <w:szCs w:val="32"/>
        </w:rPr>
        <w:t>1299.56</w:t>
      </w:r>
      <w:r>
        <w:rPr>
          <w:rFonts w:hint="eastAsia" w:ascii="仿宋" w:hAnsi="仿宋" w:eastAsia="仿宋"/>
          <w:sz w:val="32"/>
          <w:szCs w:val="32"/>
        </w:rPr>
        <w:t>万元，占</w:t>
      </w:r>
      <w:r>
        <w:rPr>
          <w:rFonts w:ascii="仿宋" w:hAnsi="仿宋" w:eastAsia="仿宋"/>
          <w:b/>
          <w:sz w:val="32"/>
          <w:szCs w:val="32"/>
        </w:rPr>
        <w:t>100%</w:t>
      </w:r>
      <w:r>
        <w:rPr>
          <w:rFonts w:hint="eastAsia" w:ascii="仿宋" w:hAnsi="仿宋" w:eastAsia="仿宋"/>
          <w:sz w:val="32"/>
          <w:szCs w:val="32"/>
        </w:rPr>
        <w:t>；政府性基金预算财政拨款收入</w:t>
      </w:r>
      <w:r>
        <w:rPr>
          <w:rFonts w:ascii="仿宋" w:hAnsi="仿宋" w:eastAsia="仿宋"/>
          <w:b/>
          <w:sz w:val="32"/>
          <w:szCs w:val="32"/>
        </w:rPr>
        <w:t>0</w:t>
      </w:r>
      <w:r>
        <w:rPr>
          <w:rFonts w:hint="eastAsia" w:ascii="仿宋" w:hAnsi="仿宋" w:eastAsia="仿宋"/>
          <w:sz w:val="32"/>
          <w:szCs w:val="32"/>
        </w:rPr>
        <w:t>万元，占</w:t>
      </w:r>
      <w:r>
        <w:rPr>
          <w:rFonts w:ascii="仿宋" w:hAnsi="仿宋" w:eastAsia="仿宋"/>
          <w:b/>
          <w:sz w:val="32"/>
          <w:szCs w:val="32"/>
        </w:rPr>
        <w:t>0</w:t>
      </w:r>
      <w:r>
        <w:rPr>
          <w:rFonts w:ascii="仿宋" w:hAnsi="仿宋" w:eastAsia="仿宋"/>
          <w:sz w:val="32"/>
          <w:szCs w:val="32"/>
        </w:rPr>
        <w:t>%</w:t>
      </w:r>
      <w:r>
        <w:rPr>
          <w:rFonts w:hint="eastAsia" w:ascii="仿宋" w:hAnsi="仿宋" w:eastAsia="仿宋"/>
          <w:sz w:val="32"/>
          <w:szCs w:val="32"/>
        </w:rPr>
        <w:t>；国有资本经营预算财政拨款收入</w:t>
      </w:r>
      <w:r>
        <w:rPr>
          <w:rFonts w:ascii="仿宋" w:hAnsi="仿宋" w:eastAsia="仿宋"/>
          <w:b/>
          <w:sz w:val="32"/>
          <w:szCs w:val="32"/>
        </w:rPr>
        <w:t>0</w:t>
      </w:r>
      <w:r>
        <w:rPr>
          <w:rFonts w:hint="eastAsia" w:ascii="仿宋" w:hAnsi="仿宋" w:eastAsia="仿宋"/>
          <w:sz w:val="32"/>
          <w:szCs w:val="32"/>
        </w:rPr>
        <w:t>万元，占</w:t>
      </w:r>
      <w:r>
        <w:rPr>
          <w:rFonts w:ascii="仿宋" w:hAnsi="仿宋" w:eastAsia="仿宋"/>
          <w:b/>
          <w:sz w:val="32"/>
          <w:szCs w:val="32"/>
        </w:rPr>
        <w:t>0</w:t>
      </w:r>
      <w:r>
        <w:rPr>
          <w:rFonts w:ascii="仿宋" w:hAnsi="仿宋" w:eastAsia="仿宋"/>
          <w:sz w:val="32"/>
          <w:szCs w:val="32"/>
        </w:rPr>
        <w:t>%</w:t>
      </w:r>
      <w:r>
        <w:rPr>
          <w:rFonts w:hint="eastAsia" w:ascii="仿宋" w:hAnsi="仿宋" w:eastAsia="仿宋"/>
          <w:sz w:val="32"/>
          <w:szCs w:val="32"/>
        </w:rPr>
        <w:t>；上级补助收入</w:t>
      </w:r>
      <w:r>
        <w:rPr>
          <w:rFonts w:ascii="仿宋" w:hAnsi="仿宋" w:eastAsia="仿宋"/>
          <w:b/>
          <w:sz w:val="32"/>
          <w:szCs w:val="32"/>
        </w:rPr>
        <w:t>0</w:t>
      </w:r>
      <w:r>
        <w:rPr>
          <w:rFonts w:hint="eastAsia" w:ascii="仿宋" w:hAnsi="仿宋" w:eastAsia="仿宋"/>
          <w:sz w:val="32"/>
          <w:szCs w:val="32"/>
        </w:rPr>
        <w:t>万元，占</w:t>
      </w:r>
      <w:r>
        <w:rPr>
          <w:rFonts w:ascii="仿宋" w:hAnsi="仿宋" w:eastAsia="仿宋"/>
          <w:sz w:val="32"/>
          <w:szCs w:val="32"/>
        </w:rPr>
        <w:t>0%</w:t>
      </w:r>
      <w:r>
        <w:rPr>
          <w:rFonts w:hint="eastAsia" w:ascii="仿宋" w:hAnsi="仿宋" w:eastAsia="仿宋"/>
          <w:sz w:val="32"/>
          <w:szCs w:val="32"/>
        </w:rPr>
        <w:t>；事业收入</w:t>
      </w:r>
      <w:r>
        <w:rPr>
          <w:rFonts w:ascii="仿宋" w:hAnsi="仿宋" w:eastAsia="仿宋"/>
          <w:b/>
          <w:sz w:val="32"/>
          <w:szCs w:val="32"/>
        </w:rPr>
        <w:t>0</w:t>
      </w:r>
      <w:r>
        <w:rPr>
          <w:rFonts w:hint="eastAsia" w:ascii="仿宋" w:hAnsi="仿宋" w:eastAsia="仿宋"/>
          <w:sz w:val="32"/>
          <w:szCs w:val="32"/>
        </w:rPr>
        <w:t>万元，占</w:t>
      </w:r>
      <w:r>
        <w:rPr>
          <w:rFonts w:ascii="仿宋" w:hAnsi="仿宋" w:eastAsia="仿宋"/>
          <w:b/>
          <w:sz w:val="32"/>
          <w:szCs w:val="32"/>
        </w:rPr>
        <w:t>0</w:t>
      </w:r>
      <w:r>
        <w:rPr>
          <w:rFonts w:ascii="仿宋" w:hAnsi="仿宋" w:eastAsia="仿宋"/>
          <w:sz w:val="32"/>
          <w:szCs w:val="32"/>
        </w:rPr>
        <w:t>%</w:t>
      </w:r>
      <w:r>
        <w:rPr>
          <w:rFonts w:hint="eastAsia" w:ascii="仿宋" w:hAnsi="仿宋" w:eastAsia="仿宋"/>
          <w:sz w:val="32"/>
          <w:szCs w:val="32"/>
        </w:rPr>
        <w:t>；经营收入</w:t>
      </w:r>
      <w:r>
        <w:rPr>
          <w:rFonts w:ascii="仿宋" w:hAnsi="仿宋" w:eastAsia="仿宋"/>
          <w:b/>
          <w:sz w:val="32"/>
          <w:szCs w:val="32"/>
        </w:rPr>
        <w:t>0</w:t>
      </w:r>
      <w:r>
        <w:rPr>
          <w:rFonts w:hint="eastAsia" w:ascii="仿宋" w:hAnsi="仿宋" w:eastAsia="仿宋"/>
          <w:sz w:val="32"/>
          <w:szCs w:val="32"/>
        </w:rPr>
        <w:t>万元，占</w:t>
      </w:r>
      <w:r>
        <w:rPr>
          <w:rFonts w:ascii="仿宋" w:hAnsi="仿宋" w:eastAsia="仿宋"/>
          <w:b/>
          <w:sz w:val="32"/>
          <w:szCs w:val="32"/>
        </w:rPr>
        <w:t>0</w:t>
      </w:r>
      <w:r>
        <w:rPr>
          <w:rFonts w:ascii="仿宋" w:hAnsi="仿宋" w:eastAsia="仿宋"/>
          <w:sz w:val="32"/>
          <w:szCs w:val="32"/>
        </w:rPr>
        <w:t>%</w:t>
      </w:r>
      <w:r>
        <w:rPr>
          <w:rFonts w:hint="eastAsia" w:ascii="仿宋" w:hAnsi="仿宋" w:eastAsia="仿宋"/>
          <w:sz w:val="32"/>
          <w:szCs w:val="32"/>
        </w:rPr>
        <w:t>；附属单位上缴收入</w:t>
      </w:r>
      <w:r>
        <w:rPr>
          <w:rFonts w:ascii="仿宋" w:hAnsi="仿宋" w:eastAsia="仿宋"/>
          <w:b/>
          <w:sz w:val="32"/>
          <w:szCs w:val="32"/>
        </w:rPr>
        <w:t>0</w:t>
      </w:r>
      <w:r>
        <w:rPr>
          <w:rFonts w:hint="eastAsia" w:ascii="仿宋" w:hAnsi="仿宋" w:eastAsia="仿宋"/>
          <w:sz w:val="32"/>
          <w:szCs w:val="32"/>
        </w:rPr>
        <w:t>万元，占</w:t>
      </w:r>
      <w:r>
        <w:rPr>
          <w:rFonts w:ascii="仿宋" w:hAnsi="仿宋" w:eastAsia="仿宋"/>
          <w:b/>
          <w:sz w:val="32"/>
          <w:szCs w:val="32"/>
        </w:rPr>
        <w:t>0</w:t>
      </w:r>
      <w:r>
        <w:rPr>
          <w:rFonts w:ascii="仿宋" w:hAnsi="仿宋" w:eastAsia="仿宋"/>
          <w:sz w:val="32"/>
          <w:szCs w:val="32"/>
        </w:rPr>
        <w:t>%</w:t>
      </w:r>
      <w:r>
        <w:rPr>
          <w:rFonts w:hint="eastAsia" w:ascii="仿宋" w:hAnsi="仿宋" w:eastAsia="仿宋"/>
          <w:sz w:val="32"/>
          <w:szCs w:val="32"/>
        </w:rPr>
        <w:t>；其他收入</w:t>
      </w:r>
      <w:r>
        <w:rPr>
          <w:rFonts w:ascii="仿宋" w:hAnsi="仿宋" w:eastAsia="仿宋"/>
          <w:b/>
          <w:sz w:val="32"/>
          <w:szCs w:val="32"/>
        </w:rPr>
        <w:t>0</w:t>
      </w:r>
      <w:r>
        <w:rPr>
          <w:rFonts w:hint="eastAsia" w:ascii="仿宋" w:hAnsi="仿宋" w:eastAsia="仿宋"/>
          <w:sz w:val="32"/>
          <w:szCs w:val="32"/>
        </w:rPr>
        <w:t>万元，占</w:t>
      </w:r>
      <w:r>
        <w:rPr>
          <w:rFonts w:ascii="仿宋" w:hAnsi="仿宋" w:eastAsia="仿宋"/>
          <w:b/>
          <w:sz w:val="32"/>
          <w:szCs w:val="32"/>
        </w:rPr>
        <w:t>0</w:t>
      </w:r>
      <w:r>
        <w:rPr>
          <w:rFonts w:ascii="仿宋" w:hAnsi="仿宋" w:eastAsia="仿宋"/>
          <w:sz w:val="32"/>
          <w:szCs w:val="32"/>
        </w:rPr>
        <w:t>%</w:t>
      </w:r>
    </w:p>
    <w:p w14:paraId="5D47D77F">
      <w:pPr>
        <w:spacing w:line="600" w:lineRule="exact"/>
        <w:ind w:firstLine="643" w:firstLineChars="200"/>
        <w:outlineLvl w:val="1"/>
        <w:rPr>
          <w:rFonts w:ascii="仿宋" w:hAnsi="仿宋" w:eastAsia="仿宋"/>
          <w:b/>
          <w:sz w:val="32"/>
          <w:szCs w:val="32"/>
        </w:rPr>
      </w:pPr>
      <w:r>
        <w:rPr>
          <w:rFonts w:hint="eastAsia" w:ascii="仿宋" w:hAnsi="仿宋" w:eastAsia="仿宋"/>
          <w:b/>
          <w:sz w:val="32"/>
          <w:szCs w:val="32"/>
        </w:rPr>
        <w:t>（注：数据来源于财决</w:t>
      </w:r>
      <w:r>
        <w:rPr>
          <w:rFonts w:ascii="仿宋" w:hAnsi="仿宋" w:eastAsia="仿宋"/>
          <w:b/>
          <w:sz w:val="32"/>
          <w:szCs w:val="32"/>
        </w:rPr>
        <w:t>01表</w:t>
      </w:r>
      <w:r>
        <w:rPr>
          <w:rFonts w:hint="eastAsia" w:ascii="仿宋" w:hAnsi="仿宋" w:eastAsia="仿宋"/>
          <w:b/>
          <w:sz w:val="32"/>
          <w:szCs w:val="32"/>
        </w:rPr>
        <w:t>，仅罗列本单位涉及的收入。</w:t>
      </w:r>
      <w:r>
        <w:rPr>
          <w:rFonts w:ascii="仿宋" w:hAnsi="仿宋" w:eastAsia="仿宋"/>
          <w:b/>
          <w:sz w:val="32"/>
          <w:szCs w:val="32"/>
        </w:rPr>
        <w:t>）</w:t>
      </w:r>
    </w:p>
    <w:p w14:paraId="0C0DA5DB">
      <w:pPr>
        <w:spacing w:line="600" w:lineRule="exact"/>
        <w:ind w:firstLine="640" w:firstLineChars="200"/>
        <w:rPr>
          <w:rFonts w:ascii="仿宋" w:hAnsi="仿宋" w:eastAsia="仿宋"/>
          <w:sz w:val="32"/>
          <w:szCs w:val="32"/>
        </w:rPr>
      </w:pPr>
      <w:r>
        <w:rPr>
          <w:rFonts w:hint="eastAsia" w:ascii="仿宋" w:hAnsi="仿宋" w:eastAsia="仿宋"/>
          <w:sz w:val="32"/>
          <w:szCs w:val="32"/>
        </w:rPr>
        <w:t>（图2：收入决算结构图）（饼状图）</w:t>
      </w:r>
    </w:p>
    <w:p w14:paraId="6BAC6D73">
      <w:pPr>
        <w:spacing w:line="600"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drawing>
          <wp:anchor distT="0" distB="0" distL="114300" distR="114300" simplePos="0" relativeHeight="251660288" behindDoc="0" locked="0" layoutInCell="1" allowOverlap="1">
            <wp:simplePos x="0" y="0"/>
            <wp:positionH relativeFrom="column">
              <wp:posOffset>410845</wp:posOffset>
            </wp:positionH>
            <wp:positionV relativeFrom="paragraph">
              <wp:posOffset>229870</wp:posOffset>
            </wp:positionV>
            <wp:extent cx="4477385" cy="2726055"/>
            <wp:effectExtent l="4445" t="4445" r="13970" b="12700"/>
            <wp:wrapNone/>
            <wp:docPr id="2"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anchor>
        </w:drawing>
      </w:r>
    </w:p>
    <w:p w14:paraId="62C98339">
      <w:pPr>
        <w:pStyle w:val="28"/>
        <w:numPr>
          <w:ilvl w:val="0"/>
          <w:numId w:val="0"/>
        </w:numPr>
        <w:spacing w:line="600" w:lineRule="exact"/>
        <w:ind w:left="1360" w:leftChars="0" w:hanging="720" w:firstLineChars="0"/>
        <w:outlineLvl w:val="1"/>
        <w:rPr>
          <w:rFonts w:hint="default" w:ascii="黑体" w:hAnsi="黑体" w:eastAsia="黑体" w:cstheme="majorBidi"/>
          <w:b w:val="0"/>
          <w:bCs/>
          <w:kern w:val="2"/>
          <w:sz w:val="32"/>
          <w:szCs w:val="32"/>
          <w:lang w:val="en-US" w:eastAsia="zh-CN" w:bidi="ar-SA"/>
        </w:rPr>
      </w:pPr>
      <w:bookmarkStart w:id="22" w:name="_Toc15377207"/>
      <w:bookmarkStart w:id="23" w:name="_Toc15396605"/>
    </w:p>
    <w:p w14:paraId="74EE0BBC">
      <w:pPr>
        <w:pStyle w:val="28"/>
        <w:numPr>
          <w:ilvl w:val="0"/>
          <w:numId w:val="0"/>
        </w:numPr>
        <w:spacing w:line="600" w:lineRule="exact"/>
        <w:ind w:left="1360" w:leftChars="0" w:hanging="720" w:firstLineChars="0"/>
        <w:outlineLvl w:val="1"/>
        <w:rPr>
          <w:rFonts w:hint="default" w:ascii="黑体" w:hAnsi="黑体" w:eastAsia="黑体" w:cstheme="majorBidi"/>
          <w:b w:val="0"/>
          <w:bCs/>
          <w:kern w:val="2"/>
          <w:sz w:val="32"/>
          <w:szCs w:val="32"/>
          <w:lang w:val="en-US" w:eastAsia="zh-CN" w:bidi="ar-SA"/>
        </w:rPr>
      </w:pPr>
    </w:p>
    <w:p w14:paraId="08A39675">
      <w:pPr>
        <w:pStyle w:val="28"/>
        <w:numPr>
          <w:ilvl w:val="0"/>
          <w:numId w:val="0"/>
        </w:numPr>
        <w:spacing w:line="600" w:lineRule="exact"/>
        <w:ind w:left="1360" w:leftChars="0" w:hanging="720" w:firstLineChars="0"/>
        <w:outlineLvl w:val="1"/>
        <w:rPr>
          <w:rFonts w:hint="default" w:ascii="黑体" w:hAnsi="黑体" w:eastAsia="黑体" w:cstheme="majorBidi"/>
          <w:b w:val="0"/>
          <w:bCs/>
          <w:kern w:val="2"/>
          <w:sz w:val="32"/>
          <w:szCs w:val="32"/>
          <w:lang w:val="en-US" w:eastAsia="zh-CN" w:bidi="ar-SA"/>
        </w:rPr>
      </w:pPr>
    </w:p>
    <w:p w14:paraId="36E24AFC">
      <w:pPr>
        <w:pStyle w:val="28"/>
        <w:numPr>
          <w:ilvl w:val="0"/>
          <w:numId w:val="0"/>
        </w:numPr>
        <w:spacing w:line="600" w:lineRule="exact"/>
        <w:ind w:left="1360" w:leftChars="0" w:hanging="720" w:firstLineChars="0"/>
        <w:outlineLvl w:val="1"/>
        <w:rPr>
          <w:rFonts w:hint="default" w:ascii="黑体" w:hAnsi="黑体" w:eastAsia="黑体" w:cstheme="majorBidi"/>
          <w:b w:val="0"/>
          <w:bCs/>
          <w:kern w:val="2"/>
          <w:sz w:val="32"/>
          <w:szCs w:val="32"/>
          <w:lang w:val="en-US" w:eastAsia="zh-CN" w:bidi="ar-SA"/>
        </w:rPr>
      </w:pPr>
    </w:p>
    <w:p w14:paraId="68C5A713">
      <w:pPr>
        <w:pStyle w:val="28"/>
        <w:numPr>
          <w:ilvl w:val="0"/>
          <w:numId w:val="0"/>
        </w:numPr>
        <w:spacing w:line="600" w:lineRule="exact"/>
        <w:ind w:left="1360" w:leftChars="0" w:hanging="720" w:firstLineChars="0"/>
        <w:outlineLvl w:val="1"/>
        <w:rPr>
          <w:rFonts w:hint="default" w:ascii="黑体" w:hAnsi="黑体" w:eastAsia="黑体" w:cstheme="majorBidi"/>
          <w:b w:val="0"/>
          <w:bCs/>
          <w:kern w:val="2"/>
          <w:sz w:val="32"/>
          <w:szCs w:val="32"/>
          <w:lang w:val="en-US" w:eastAsia="zh-CN" w:bidi="ar-SA"/>
        </w:rPr>
      </w:pPr>
    </w:p>
    <w:p w14:paraId="7BFC1515">
      <w:pPr>
        <w:pStyle w:val="28"/>
        <w:numPr>
          <w:ilvl w:val="0"/>
          <w:numId w:val="0"/>
        </w:numPr>
        <w:spacing w:line="600" w:lineRule="exact"/>
        <w:ind w:left="1360" w:leftChars="0" w:hanging="720" w:firstLineChars="0"/>
        <w:outlineLvl w:val="1"/>
        <w:rPr>
          <w:rFonts w:hint="default" w:ascii="黑体" w:hAnsi="黑体" w:eastAsia="黑体" w:cstheme="majorBidi"/>
          <w:b w:val="0"/>
          <w:bCs/>
          <w:kern w:val="2"/>
          <w:sz w:val="32"/>
          <w:szCs w:val="32"/>
          <w:lang w:val="en-US" w:eastAsia="zh-CN" w:bidi="ar-SA"/>
        </w:rPr>
      </w:pPr>
    </w:p>
    <w:p w14:paraId="08762B92">
      <w:pPr>
        <w:pStyle w:val="28"/>
        <w:numPr>
          <w:ilvl w:val="0"/>
          <w:numId w:val="0"/>
        </w:numPr>
        <w:spacing w:line="600" w:lineRule="exact"/>
        <w:ind w:left="1360" w:leftChars="0" w:hanging="720" w:firstLineChars="0"/>
        <w:outlineLvl w:val="1"/>
        <w:rPr>
          <w:rFonts w:hint="default" w:ascii="黑体" w:hAnsi="黑体" w:eastAsia="黑体" w:cstheme="majorBidi"/>
          <w:b w:val="0"/>
          <w:bCs/>
          <w:kern w:val="2"/>
          <w:sz w:val="32"/>
          <w:szCs w:val="32"/>
          <w:lang w:val="en-US" w:eastAsia="zh-CN" w:bidi="ar-SA"/>
        </w:rPr>
      </w:pPr>
    </w:p>
    <w:p w14:paraId="3FA5B38B">
      <w:pPr>
        <w:pStyle w:val="28"/>
        <w:numPr>
          <w:ilvl w:val="0"/>
          <w:numId w:val="0"/>
        </w:numPr>
        <w:spacing w:line="600" w:lineRule="exact"/>
        <w:ind w:left="1360" w:leftChars="0" w:hanging="720" w:firstLineChars="0"/>
        <w:outlineLvl w:val="1"/>
        <w:rPr>
          <w:rStyle w:val="30"/>
          <w:rFonts w:ascii="黑体" w:hAnsi="黑体" w:eastAsia="黑体"/>
          <w:b w:val="0"/>
        </w:rPr>
      </w:pPr>
      <w:r>
        <w:rPr>
          <w:rFonts w:hint="default" w:ascii="黑体" w:hAnsi="黑体" w:eastAsia="黑体" w:cstheme="majorBidi"/>
          <w:b w:val="0"/>
          <w:bCs/>
          <w:kern w:val="2"/>
          <w:sz w:val="32"/>
          <w:szCs w:val="32"/>
          <w:lang w:val="en-US" w:eastAsia="zh-CN" w:bidi="ar-SA"/>
        </w:rPr>
        <w:t>三、</w:t>
      </w:r>
      <w:r>
        <w:rPr>
          <w:rFonts w:hint="eastAsia" w:ascii="黑体" w:hAnsi="黑体" w:eastAsia="黑体"/>
          <w:sz w:val="32"/>
          <w:szCs w:val="32"/>
        </w:rPr>
        <w:t>支</w:t>
      </w:r>
      <w:r>
        <w:rPr>
          <w:rStyle w:val="30"/>
          <w:rFonts w:hint="eastAsia" w:ascii="黑体" w:hAnsi="黑体" w:eastAsia="黑体"/>
          <w:b w:val="0"/>
        </w:rPr>
        <w:t>出决算情况说明</w:t>
      </w:r>
      <w:bookmarkEnd w:id="22"/>
      <w:bookmarkEnd w:id="23"/>
    </w:p>
    <w:p w14:paraId="12DF429F">
      <w:pPr>
        <w:spacing w:line="600" w:lineRule="exact"/>
        <w:ind w:firstLine="640" w:firstLineChars="200"/>
        <w:outlineLvl w:val="1"/>
        <w:rPr>
          <w:rFonts w:ascii="仿宋" w:hAnsi="仿宋" w:eastAsia="仿宋"/>
          <w:sz w:val="32"/>
          <w:szCs w:val="32"/>
        </w:rPr>
      </w:pPr>
      <w:r>
        <w:rPr>
          <w:rFonts w:hint="eastAsia" w:ascii="仿宋" w:hAnsi="仿宋" w:eastAsia="仿宋"/>
          <w:sz w:val="32"/>
          <w:szCs w:val="32"/>
        </w:rPr>
        <w:t>2023年度本年支出合计</w:t>
      </w:r>
      <w:r>
        <w:rPr>
          <w:rFonts w:ascii="仿宋" w:hAnsi="仿宋" w:eastAsia="仿宋"/>
          <w:b/>
          <w:sz w:val="32"/>
          <w:szCs w:val="32"/>
        </w:rPr>
        <w:t>1299.56</w:t>
      </w:r>
      <w:r>
        <w:rPr>
          <w:rFonts w:hint="eastAsia" w:ascii="仿宋" w:hAnsi="仿宋" w:eastAsia="仿宋"/>
          <w:sz w:val="32"/>
          <w:szCs w:val="32"/>
        </w:rPr>
        <w:t>万元，其中：基本支出</w:t>
      </w:r>
      <w:r>
        <w:rPr>
          <w:rFonts w:ascii="仿宋" w:hAnsi="仿宋" w:eastAsia="仿宋"/>
          <w:b/>
          <w:sz w:val="32"/>
          <w:szCs w:val="32"/>
        </w:rPr>
        <w:t>1014.83</w:t>
      </w:r>
      <w:r>
        <w:rPr>
          <w:rFonts w:hint="eastAsia" w:ascii="仿宋" w:hAnsi="仿宋" w:eastAsia="仿宋"/>
          <w:sz w:val="32"/>
          <w:szCs w:val="32"/>
        </w:rPr>
        <w:t>万元，占</w:t>
      </w:r>
      <w:r>
        <w:rPr>
          <w:rFonts w:ascii="仿宋" w:hAnsi="仿宋" w:eastAsia="仿宋"/>
          <w:b/>
          <w:sz w:val="32"/>
          <w:szCs w:val="32"/>
        </w:rPr>
        <w:t>78.09</w:t>
      </w:r>
      <w:r>
        <w:rPr>
          <w:rFonts w:ascii="仿宋" w:hAnsi="仿宋" w:eastAsia="仿宋"/>
          <w:sz w:val="32"/>
          <w:szCs w:val="32"/>
        </w:rPr>
        <w:t>%</w:t>
      </w:r>
      <w:r>
        <w:rPr>
          <w:rFonts w:hint="eastAsia" w:ascii="仿宋" w:hAnsi="仿宋" w:eastAsia="仿宋"/>
          <w:sz w:val="32"/>
          <w:szCs w:val="32"/>
        </w:rPr>
        <w:t>；项目支出</w:t>
      </w:r>
      <w:r>
        <w:rPr>
          <w:rFonts w:ascii="仿宋" w:hAnsi="仿宋" w:eastAsia="仿宋"/>
          <w:b/>
          <w:sz w:val="32"/>
          <w:szCs w:val="32"/>
        </w:rPr>
        <w:t>284.73</w:t>
      </w:r>
      <w:r>
        <w:rPr>
          <w:rFonts w:hint="eastAsia" w:ascii="仿宋" w:hAnsi="仿宋" w:eastAsia="仿宋"/>
          <w:sz w:val="32"/>
          <w:szCs w:val="32"/>
        </w:rPr>
        <w:t>万元，占</w:t>
      </w:r>
      <w:r>
        <w:rPr>
          <w:rFonts w:ascii="仿宋" w:hAnsi="仿宋" w:eastAsia="仿宋"/>
          <w:b/>
          <w:sz w:val="32"/>
          <w:szCs w:val="32"/>
        </w:rPr>
        <w:t>21.9</w:t>
      </w:r>
      <w:r>
        <w:rPr>
          <w:rFonts w:ascii="仿宋" w:hAnsi="仿宋" w:eastAsia="仿宋"/>
          <w:sz w:val="32"/>
          <w:szCs w:val="32"/>
        </w:rPr>
        <w:t>%</w:t>
      </w:r>
      <w:r>
        <w:rPr>
          <w:rFonts w:hint="eastAsia" w:ascii="仿宋" w:hAnsi="仿宋" w:eastAsia="仿宋"/>
          <w:sz w:val="32"/>
          <w:szCs w:val="32"/>
        </w:rPr>
        <w:t>；上缴上级支出</w:t>
      </w:r>
      <w:r>
        <w:rPr>
          <w:rFonts w:ascii="仿宋" w:hAnsi="仿宋" w:eastAsia="仿宋"/>
          <w:b/>
          <w:sz w:val="32"/>
          <w:szCs w:val="32"/>
        </w:rPr>
        <w:t>0</w:t>
      </w:r>
      <w:r>
        <w:rPr>
          <w:rFonts w:hint="eastAsia" w:ascii="仿宋" w:hAnsi="仿宋" w:eastAsia="仿宋"/>
          <w:sz w:val="32"/>
          <w:szCs w:val="32"/>
        </w:rPr>
        <w:t>万元，占</w:t>
      </w:r>
      <w:r>
        <w:rPr>
          <w:rFonts w:hint="eastAsia" w:ascii="仿宋" w:hAnsi="仿宋" w:eastAsia="仿宋"/>
          <w:b/>
          <w:sz w:val="32"/>
          <w:szCs w:val="32"/>
        </w:rPr>
        <w:t>0</w:t>
      </w:r>
      <w:r>
        <w:rPr>
          <w:rFonts w:ascii="仿宋" w:hAnsi="仿宋" w:eastAsia="仿宋"/>
          <w:sz w:val="32"/>
          <w:szCs w:val="32"/>
        </w:rPr>
        <w:t>%</w:t>
      </w:r>
      <w:r>
        <w:rPr>
          <w:rFonts w:hint="eastAsia" w:ascii="仿宋" w:hAnsi="仿宋" w:eastAsia="仿宋"/>
          <w:sz w:val="32"/>
          <w:szCs w:val="32"/>
        </w:rPr>
        <w:t>；经营支出</w:t>
      </w:r>
      <w:r>
        <w:rPr>
          <w:rFonts w:ascii="仿宋" w:hAnsi="仿宋" w:eastAsia="仿宋"/>
          <w:b/>
          <w:sz w:val="32"/>
          <w:szCs w:val="32"/>
        </w:rPr>
        <w:t>0</w:t>
      </w:r>
      <w:r>
        <w:rPr>
          <w:rFonts w:hint="eastAsia" w:ascii="仿宋" w:hAnsi="仿宋" w:eastAsia="仿宋"/>
          <w:sz w:val="32"/>
          <w:szCs w:val="32"/>
        </w:rPr>
        <w:t>万元，占</w:t>
      </w:r>
      <w:r>
        <w:rPr>
          <w:rFonts w:ascii="仿宋" w:hAnsi="仿宋" w:eastAsia="仿宋"/>
          <w:b/>
          <w:sz w:val="32"/>
          <w:szCs w:val="32"/>
        </w:rPr>
        <w:t>0</w:t>
      </w:r>
      <w:r>
        <w:rPr>
          <w:rFonts w:ascii="仿宋" w:hAnsi="仿宋" w:eastAsia="仿宋"/>
          <w:sz w:val="32"/>
          <w:szCs w:val="32"/>
        </w:rPr>
        <w:t>%</w:t>
      </w:r>
      <w:r>
        <w:rPr>
          <w:rFonts w:hint="eastAsia" w:ascii="仿宋" w:hAnsi="仿宋" w:eastAsia="仿宋"/>
          <w:sz w:val="32"/>
          <w:szCs w:val="32"/>
        </w:rPr>
        <w:t>；对附属单位补助支出</w:t>
      </w:r>
      <w:r>
        <w:rPr>
          <w:rFonts w:ascii="仿宋" w:hAnsi="仿宋" w:eastAsia="仿宋"/>
          <w:b/>
          <w:sz w:val="32"/>
          <w:szCs w:val="32"/>
        </w:rPr>
        <w:t>0</w:t>
      </w:r>
      <w:r>
        <w:rPr>
          <w:rFonts w:hint="eastAsia" w:ascii="仿宋" w:hAnsi="仿宋" w:eastAsia="仿宋"/>
          <w:sz w:val="32"/>
          <w:szCs w:val="32"/>
        </w:rPr>
        <w:t>万元，占</w:t>
      </w:r>
      <w:r>
        <w:rPr>
          <w:rFonts w:ascii="仿宋" w:hAnsi="仿宋" w:eastAsia="仿宋"/>
          <w:b/>
          <w:sz w:val="32"/>
          <w:szCs w:val="32"/>
        </w:rPr>
        <w:t>0</w:t>
      </w:r>
      <w:r>
        <w:rPr>
          <w:rFonts w:ascii="仿宋" w:hAnsi="仿宋" w:eastAsia="仿宋"/>
          <w:sz w:val="32"/>
          <w:szCs w:val="32"/>
        </w:rPr>
        <w:t>%</w:t>
      </w:r>
      <w:r>
        <w:rPr>
          <w:rFonts w:hint="eastAsia" w:ascii="仿宋" w:hAnsi="仿宋" w:eastAsia="仿宋"/>
          <w:sz w:val="32"/>
          <w:szCs w:val="32"/>
        </w:rPr>
        <w:t>。</w:t>
      </w:r>
    </w:p>
    <w:p w14:paraId="1C3731D5">
      <w:pPr>
        <w:spacing w:line="600" w:lineRule="exact"/>
        <w:ind w:firstLine="643" w:firstLineChars="200"/>
        <w:outlineLvl w:val="1"/>
        <w:rPr>
          <w:rFonts w:ascii="仿宋" w:hAnsi="仿宋" w:eastAsia="仿宋"/>
          <w:b/>
          <w:sz w:val="32"/>
          <w:szCs w:val="32"/>
        </w:rPr>
      </w:pPr>
      <w:r>
        <w:rPr>
          <w:rFonts w:hint="eastAsia" w:ascii="仿宋" w:hAnsi="仿宋" w:eastAsia="仿宋"/>
          <w:b/>
          <w:sz w:val="32"/>
          <w:szCs w:val="32"/>
        </w:rPr>
        <w:t>（注：数据来源于财决</w:t>
      </w:r>
      <w:r>
        <w:rPr>
          <w:rFonts w:ascii="仿宋" w:hAnsi="仿宋" w:eastAsia="仿宋"/>
          <w:b/>
          <w:sz w:val="32"/>
          <w:szCs w:val="32"/>
        </w:rPr>
        <w:t>04</w:t>
      </w:r>
      <w:r>
        <w:rPr>
          <w:rFonts w:hint="eastAsia" w:ascii="仿宋" w:hAnsi="仿宋" w:eastAsia="仿宋"/>
          <w:b/>
          <w:sz w:val="32"/>
          <w:szCs w:val="32"/>
        </w:rPr>
        <w:t>表，仅罗列本单位涉及的支出。）</w:t>
      </w:r>
    </w:p>
    <w:p w14:paraId="6C76848A">
      <w:pPr>
        <w:spacing w:line="600" w:lineRule="exact"/>
        <w:ind w:firstLine="640" w:firstLineChars="200"/>
        <w:rPr>
          <w:rFonts w:ascii="仿宋" w:hAnsi="仿宋" w:eastAsia="仿宋"/>
          <w:sz w:val="32"/>
          <w:szCs w:val="32"/>
        </w:rPr>
      </w:pPr>
      <w:r>
        <w:rPr>
          <w:rFonts w:hint="eastAsia" w:ascii="仿宋" w:hAnsi="仿宋" w:eastAsia="仿宋"/>
          <w:sz w:val="32"/>
          <w:szCs w:val="32"/>
        </w:rPr>
        <w:t>（图3：支出决算结构图）（饼状图）</w:t>
      </w:r>
    </w:p>
    <w:p w14:paraId="32EB3209">
      <w:pPr>
        <w:spacing w:line="600" w:lineRule="exact"/>
        <w:ind w:firstLine="640" w:firstLineChars="200"/>
        <w:rPr>
          <w:rFonts w:ascii="仿宋_GB2312" w:eastAsia="仿宋_GB2312"/>
          <w:sz w:val="32"/>
          <w:szCs w:val="32"/>
        </w:rPr>
      </w:pPr>
    </w:p>
    <w:p w14:paraId="0347DA06">
      <w:pPr>
        <w:spacing w:line="600" w:lineRule="exact"/>
        <w:ind w:firstLine="640" w:firstLineChars="200"/>
        <w:rPr>
          <w:rFonts w:ascii="仿宋_GB2312" w:eastAsia="仿宋_GB2312"/>
          <w:sz w:val="32"/>
          <w:szCs w:val="32"/>
        </w:rPr>
      </w:pPr>
    </w:p>
    <w:p w14:paraId="0619ED73">
      <w:pPr>
        <w:spacing w:line="600" w:lineRule="exact"/>
        <w:ind w:firstLine="640" w:firstLineChars="200"/>
        <w:rPr>
          <w:rFonts w:ascii="仿宋_GB2312" w:eastAsia="仿宋_GB2312"/>
          <w:sz w:val="32"/>
          <w:szCs w:val="32"/>
        </w:rPr>
      </w:pPr>
    </w:p>
    <w:p w14:paraId="267AA481">
      <w:pPr>
        <w:spacing w:line="600"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drawing>
          <wp:anchor distT="0" distB="0" distL="114300" distR="114300" simplePos="0" relativeHeight="251661312" behindDoc="0" locked="0" layoutInCell="1" allowOverlap="1">
            <wp:simplePos x="0" y="0"/>
            <wp:positionH relativeFrom="column">
              <wp:posOffset>182880</wp:posOffset>
            </wp:positionH>
            <wp:positionV relativeFrom="paragraph">
              <wp:posOffset>270510</wp:posOffset>
            </wp:positionV>
            <wp:extent cx="4554220" cy="2388235"/>
            <wp:effectExtent l="4445" t="4445" r="13335" b="15240"/>
            <wp:wrapNone/>
            <wp:docPr id="3"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anchor>
        </w:drawing>
      </w:r>
    </w:p>
    <w:p w14:paraId="7C5E15A8">
      <w:pPr>
        <w:spacing w:line="600" w:lineRule="exact"/>
        <w:ind w:firstLine="640" w:firstLineChars="200"/>
        <w:rPr>
          <w:rFonts w:ascii="仿宋_GB2312" w:eastAsia="仿宋_GB2312"/>
          <w:sz w:val="32"/>
          <w:szCs w:val="32"/>
        </w:rPr>
      </w:pPr>
    </w:p>
    <w:p w14:paraId="4219B858">
      <w:pPr>
        <w:spacing w:line="600" w:lineRule="exact"/>
        <w:ind w:firstLine="640" w:firstLineChars="200"/>
        <w:rPr>
          <w:rFonts w:ascii="仿宋_GB2312" w:eastAsia="仿宋_GB2312"/>
          <w:sz w:val="32"/>
          <w:szCs w:val="32"/>
        </w:rPr>
      </w:pPr>
    </w:p>
    <w:p w14:paraId="5F366C11">
      <w:pPr>
        <w:spacing w:line="600" w:lineRule="exact"/>
        <w:ind w:firstLine="640" w:firstLineChars="200"/>
        <w:rPr>
          <w:rFonts w:ascii="仿宋_GB2312" w:eastAsia="仿宋_GB2312"/>
          <w:sz w:val="32"/>
          <w:szCs w:val="32"/>
        </w:rPr>
      </w:pPr>
    </w:p>
    <w:p w14:paraId="4E4C8C08">
      <w:pPr>
        <w:spacing w:line="600" w:lineRule="exact"/>
        <w:ind w:firstLine="640" w:firstLineChars="200"/>
        <w:rPr>
          <w:rFonts w:ascii="仿宋_GB2312" w:eastAsia="仿宋_GB2312"/>
          <w:sz w:val="32"/>
          <w:szCs w:val="32"/>
        </w:rPr>
      </w:pPr>
    </w:p>
    <w:p w14:paraId="53719AFA">
      <w:pPr>
        <w:spacing w:line="600" w:lineRule="exact"/>
        <w:ind w:firstLine="640" w:firstLineChars="200"/>
        <w:outlineLvl w:val="1"/>
        <w:rPr>
          <w:rFonts w:hint="eastAsia" w:ascii="黑体" w:hAnsi="黑体" w:eastAsia="黑体"/>
          <w:sz w:val="32"/>
          <w:szCs w:val="32"/>
        </w:rPr>
      </w:pPr>
      <w:bookmarkStart w:id="24" w:name="_Toc15377208"/>
      <w:bookmarkStart w:id="25" w:name="_Toc15396606"/>
    </w:p>
    <w:p w14:paraId="651D1C75">
      <w:pPr>
        <w:spacing w:line="600" w:lineRule="exact"/>
        <w:ind w:firstLine="640" w:firstLineChars="200"/>
        <w:outlineLvl w:val="1"/>
        <w:rPr>
          <w:rFonts w:hint="eastAsia" w:ascii="黑体" w:hAnsi="黑体" w:eastAsia="黑体"/>
          <w:sz w:val="32"/>
          <w:szCs w:val="32"/>
        </w:rPr>
      </w:pPr>
    </w:p>
    <w:p w14:paraId="6CCEE4E4">
      <w:pPr>
        <w:spacing w:line="600" w:lineRule="exact"/>
        <w:ind w:firstLine="640" w:firstLineChars="200"/>
        <w:outlineLvl w:val="1"/>
        <w:rPr>
          <w:rFonts w:hint="eastAsia" w:ascii="黑体" w:hAnsi="黑体" w:eastAsia="黑体"/>
          <w:sz w:val="32"/>
          <w:szCs w:val="32"/>
        </w:rPr>
      </w:pPr>
    </w:p>
    <w:p w14:paraId="090844E7">
      <w:pPr>
        <w:spacing w:line="600" w:lineRule="exact"/>
        <w:ind w:firstLine="640" w:firstLineChars="200"/>
        <w:outlineLvl w:val="1"/>
        <w:rPr>
          <w:rStyle w:val="30"/>
          <w:rFonts w:ascii="黑体" w:hAnsi="黑体" w:eastAsia="黑体"/>
          <w:b w:val="0"/>
        </w:rPr>
      </w:pPr>
      <w:r>
        <w:rPr>
          <w:rFonts w:hint="eastAsia" w:ascii="黑体" w:hAnsi="黑体" w:eastAsia="黑体"/>
          <w:sz w:val="32"/>
          <w:szCs w:val="32"/>
        </w:rPr>
        <w:t>四、财</w:t>
      </w:r>
      <w:r>
        <w:rPr>
          <w:rStyle w:val="30"/>
          <w:rFonts w:hint="eastAsia" w:ascii="黑体" w:hAnsi="黑体" w:eastAsia="黑体"/>
          <w:b w:val="0"/>
        </w:rPr>
        <w:t>政拨款收入支出决算总体情况说明</w:t>
      </w:r>
      <w:bookmarkEnd w:id="24"/>
      <w:bookmarkEnd w:id="25"/>
    </w:p>
    <w:p w14:paraId="49C460FA">
      <w:pPr>
        <w:spacing w:line="600" w:lineRule="exact"/>
        <w:ind w:firstLine="640"/>
        <w:rPr>
          <w:rFonts w:hint="default" w:ascii="仿宋" w:hAnsi="仿宋" w:eastAsia="仿宋"/>
          <w:sz w:val="32"/>
          <w:szCs w:val="32"/>
          <w:lang w:val="en-US" w:eastAsia="zh-CN"/>
        </w:rPr>
      </w:pPr>
      <w:r>
        <w:rPr>
          <w:rFonts w:hint="eastAsia" w:ascii="仿宋" w:hAnsi="仿宋" w:eastAsia="仿宋"/>
          <w:sz w:val="32"/>
          <w:szCs w:val="32"/>
        </w:rPr>
        <w:t>2023年度财政拨款收、支总计均为</w:t>
      </w:r>
      <w:r>
        <w:rPr>
          <w:rFonts w:ascii="仿宋" w:hAnsi="仿宋" w:eastAsia="仿宋"/>
          <w:b/>
          <w:sz w:val="32"/>
          <w:szCs w:val="32"/>
        </w:rPr>
        <w:t>1299.56</w:t>
      </w:r>
      <w:r>
        <w:rPr>
          <w:rFonts w:hint="eastAsia" w:ascii="仿宋" w:hAnsi="仿宋" w:eastAsia="仿宋"/>
          <w:sz w:val="32"/>
          <w:szCs w:val="32"/>
        </w:rPr>
        <w:t>万元。与2022年度相比，财政拨款收、支总计各减少</w:t>
      </w:r>
      <w:r>
        <w:rPr>
          <w:rFonts w:hint="eastAsia" w:ascii="仿宋" w:hAnsi="仿宋" w:eastAsia="仿宋"/>
          <w:sz w:val="32"/>
          <w:szCs w:val="32"/>
          <w:lang w:val="en-US" w:eastAsia="zh-CN"/>
        </w:rPr>
        <w:t>8.89</w:t>
      </w:r>
      <w:r>
        <w:rPr>
          <w:rFonts w:hint="eastAsia" w:ascii="仿宋" w:hAnsi="仿宋" w:eastAsia="仿宋"/>
          <w:sz w:val="32"/>
          <w:szCs w:val="32"/>
        </w:rPr>
        <w:t>万元，</w:t>
      </w:r>
      <w:r>
        <w:rPr>
          <w:rFonts w:hint="eastAsia" w:ascii="仿宋" w:hAnsi="仿宋" w:eastAsia="仿宋"/>
          <w:sz w:val="32"/>
          <w:szCs w:val="32"/>
          <w:lang w:eastAsia="zh-CN"/>
        </w:rPr>
        <w:t>下</w:t>
      </w:r>
      <w:r>
        <w:rPr>
          <w:rFonts w:hint="eastAsia" w:ascii="仿宋" w:hAnsi="仿宋" w:eastAsia="仿宋"/>
          <w:sz w:val="32"/>
          <w:szCs w:val="32"/>
        </w:rPr>
        <w:t>降</w:t>
      </w:r>
      <w:r>
        <w:rPr>
          <w:rFonts w:hint="eastAsia" w:ascii="仿宋" w:hAnsi="仿宋" w:eastAsia="仿宋"/>
          <w:sz w:val="32"/>
          <w:szCs w:val="32"/>
          <w:lang w:val="en-US" w:eastAsia="zh-CN"/>
        </w:rPr>
        <w:t>0.68</w:t>
      </w:r>
      <w:r>
        <w:rPr>
          <w:rFonts w:ascii="仿宋" w:hAnsi="仿宋" w:eastAsia="仿宋"/>
          <w:sz w:val="32"/>
          <w:szCs w:val="32"/>
        </w:rPr>
        <w:t>%</w:t>
      </w:r>
      <w:r>
        <w:rPr>
          <w:rFonts w:hint="eastAsia" w:ascii="仿宋" w:hAnsi="仿宋" w:eastAsia="仿宋"/>
          <w:sz w:val="32"/>
          <w:szCs w:val="32"/>
        </w:rPr>
        <w:t>。主要变动原因是</w:t>
      </w:r>
      <w:r>
        <w:rPr>
          <w:rFonts w:hint="eastAsia" w:ascii="仿宋" w:hAnsi="仿宋" w:eastAsia="仿宋"/>
          <w:sz w:val="32"/>
          <w:szCs w:val="32"/>
          <w:lang w:eastAsia="zh-CN"/>
        </w:rPr>
        <w:t>财政厉行节约。</w:t>
      </w:r>
    </w:p>
    <w:p w14:paraId="7A260808">
      <w:pPr>
        <w:spacing w:line="600" w:lineRule="exact"/>
        <w:ind w:firstLine="640"/>
        <w:rPr>
          <w:rFonts w:ascii="仿宋" w:hAnsi="仿宋" w:eastAsia="仿宋"/>
          <w:b/>
          <w:sz w:val="32"/>
          <w:szCs w:val="32"/>
        </w:rPr>
      </w:pPr>
      <w:r>
        <w:rPr>
          <w:rFonts w:hint="eastAsia" w:ascii="仿宋" w:hAnsi="仿宋" w:eastAsia="仿宋"/>
          <w:b/>
          <w:sz w:val="32"/>
          <w:szCs w:val="32"/>
        </w:rPr>
        <w:t>（注：数据来源于财决</w:t>
      </w:r>
      <w:r>
        <w:rPr>
          <w:rFonts w:ascii="仿宋" w:hAnsi="仿宋" w:eastAsia="仿宋"/>
          <w:b/>
          <w:sz w:val="32"/>
          <w:szCs w:val="32"/>
        </w:rPr>
        <w:t>01-1</w:t>
      </w:r>
      <w:r>
        <w:rPr>
          <w:rFonts w:hint="eastAsia" w:ascii="仿宋" w:hAnsi="仿宋" w:eastAsia="仿宋"/>
          <w:b/>
          <w:sz w:val="32"/>
          <w:szCs w:val="32"/>
        </w:rPr>
        <w:t>表</w:t>
      </w:r>
      <w:r>
        <w:rPr>
          <w:rFonts w:ascii="仿宋" w:hAnsi="仿宋" w:eastAsia="仿宋"/>
          <w:b/>
          <w:sz w:val="32"/>
          <w:szCs w:val="32"/>
        </w:rPr>
        <w:t>）</w:t>
      </w:r>
    </w:p>
    <w:p w14:paraId="3CD7A8A8">
      <w:pPr>
        <w:spacing w:line="600" w:lineRule="exact"/>
        <w:ind w:firstLine="640" w:firstLineChars="200"/>
        <w:rPr>
          <w:rFonts w:ascii="仿宋" w:hAnsi="仿宋" w:eastAsia="仿宋"/>
          <w:sz w:val="32"/>
          <w:szCs w:val="32"/>
        </w:rPr>
      </w:pPr>
      <w:r>
        <w:rPr>
          <w:rFonts w:hint="eastAsia" w:ascii="仿宋" w:hAnsi="仿宋" w:eastAsia="仿宋"/>
          <w:sz w:val="32"/>
          <w:szCs w:val="32"/>
        </w:rPr>
        <w:t>（图4：财政拨款收、支决算总计变动情况）（柱状图）</w:t>
      </w:r>
    </w:p>
    <w:p w14:paraId="6A195AF1">
      <w:pPr>
        <w:spacing w:line="600" w:lineRule="exact"/>
        <w:ind w:firstLine="640"/>
        <w:rPr>
          <w:rFonts w:ascii="仿宋" w:hAnsi="仿宋" w:eastAsia="仿宋"/>
          <w:b/>
          <w:sz w:val="32"/>
          <w:szCs w:val="32"/>
        </w:rPr>
      </w:pPr>
      <w:r>
        <w:rPr>
          <w:rFonts w:hint="eastAsia" w:ascii="仿宋_GB2312" w:eastAsia="仿宋_GB2312"/>
          <w:sz w:val="32"/>
          <w:szCs w:val="32"/>
          <w:lang w:eastAsia="zh-CN"/>
        </w:rPr>
        <w:drawing>
          <wp:anchor distT="0" distB="0" distL="114300" distR="114300" simplePos="0" relativeHeight="251662336" behindDoc="0" locked="0" layoutInCell="1" allowOverlap="1">
            <wp:simplePos x="0" y="0"/>
            <wp:positionH relativeFrom="column">
              <wp:posOffset>144145</wp:posOffset>
            </wp:positionH>
            <wp:positionV relativeFrom="paragraph">
              <wp:posOffset>169545</wp:posOffset>
            </wp:positionV>
            <wp:extent cx="5256530" cy="2988310"/>
            <wp:effectExtent l="5080" t="4445" r="11430" b="9525"/>
            <wp:wrapNone/>
            <wp:docPr id="4"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anchor>
        </w:drawing>
      </w:r>
    </w:p>
    <w:p w14:paraId="17EFB2F0">
      <w:pPr>
        <w:spacing w:line="600" w:lineRule="exact"/>
        <w:ind w:firstLine="640"/>
        <w:rPr>
          <w:rFonts w:ascii="仿宋" w:hAnsi="仿宋" w:eastAsia="仿宋"/>
          <w:b/>
          <w:sz w:val="32"/>
          <w:szCs w:val="32"/>
        </w:rPr>
      </w:pPr>
    </w:p>
    <w:p w14:paraId="60C6C370">
      <w:pPr>
        <w:spacing w:line="600" w:lineRule="exact"/>
        <w:ind w:firstLine="640"/>
        <w:rPr>
          <w:rFonts w:ascii="仿宋" w:hAnsi="仿宋" w:eastAsia="仿宋"/>
          <w:b/>
          <w:sz w:val="32"/>
          <w:szCs w:val="32"/>
        </w:rPr>
      </w:pPr>
    </w:p>
    <w:p w14:paraId="4ECBCCAA">
      <w:pPr>
        <w:spacing w:line="600" w:lineRule="exact"/>
        <w:ind w:firstLine="640"/>
        <w:rPr>
          <w:rFonts w:ascii="仿宋" w:hAnsi="仿宋" w:eastAsia="仿宋"/>
          <w:b/>
          <w:sz w:val="32"/>
          <w:szCs w:val="32"/>
        </w:rPr>
      </w:pPr>
    </w:p>
    <w:p w14:paraId="0BB5F7A9">
      <w:pPr>
        <w:spacing w:line="600" w:lineRule="exact"/>
        <w:ind w:firstLine="640"/>
        <w:rPr>
          <w:rFonts w:ascii="仿宋" w:hAnsi="仿宋" w:eastAsia="仿宋"/>
          <w:b/>
          <w:sz w:val="32"/>
          <w:szCs w:val="32"/>
        </w:rPr>
      </w:pPr>
    </w:p>
    <w:p w14:paraId="4631E5D5">
      <w:pPr>
        <w:spacing w:line="600" w:lineRule="exact"/>
        <w:ind w:firstLine="640"/>
        <w:rPr>
          <w:rFonts w:ascii="仿宋" w:hAnsi="仿宋" w:eastAsia="仿宋"/>
          <w:b/>
          <w:sz w:val="32"/>
          <w:szCs w:val="32"/>
        </w:rPr>
      </w:pPr>
    </w:p>
    <w:p w14:paraId="5AD6CB78">
      <w:pPr>
        <w:spacing w:line="600" w:lineRule="exact"/>
        <w:ind w:firstLine="640"/>
        <w:rPr>
          <w:rFonts w:ascii="仿宋" w:hAnsi="仿宋" w:eastAsia="仿宋"/>
          <w:b/>
          <w:sz w:val="32"/>
          <w:szCs w:val="32"/>
        </w:rPr>
      </w:pPr>
    </w:p>
    <w:p w14:paraId="6441D0BF">
      <w:pPr>
        <w:spacing w:line="600" w:lineRule="exact"/>
        <w:ind w:firstLine="640"/>
        <w:rPr>
          <w:rFonts w:ascii="仿宋" w:hAnsi="仿宋" w:eastAsia="仿宋"/>
          <w:b/>
          <w:sz w:val="32"/>
          <w:szCs w:val="32"/>
        </w:rPr>
      </w:pPr>
    </w:p>
    <w:p w14:paraId="61BE7306">
      <w:pPr>
        <w:spacing w:line="600" w:lineRule="exact"/>
        <w:ind w:firstLine="640"/>
        <w:rPr>
          <w:rFonts w:ascii="仿宋" w:hAnsi="仿宋" w:eastAsia="仿宋"/>
          <w:b/>
          <w:sz w:val="32"/>
          <w:szCs w:val="32"/>
        </w:rPr>
      </w:pPr>
    </w:p>
    <w:p w14:paraId="2036B560">
      <w:pPr>
        <w:spacing w:line="600" w:lineRule="exact"/>
        <w:ind w:firstLine="640" w:firstLineChars="200"/>
        <w:outlineLvl w:val="1"/>
        <w:rPr>
          <w:rStyle w:val="30"/>
          <w:rFonts w:ascii="黑体" w:hAnsi="黑体" w:eastAsia="黑体"/>
          <w:b w:val="0"/>
        </w:rPr>
      </w:pPr>
      <w:bookmarkStart w:id="26" w:name="_Toc15396607"/>
      <w:bookmarkStart w:id="27" w:name="_Toc15377209"/>
      <w:r>
        <w:rPr>
          <w:rFonts w:hint="eastAsia" w:ascii="黑体" w:hAnsi="黑体" w:eastAsia="黑体"/>
          <w:sz w:val="32"/>
          <w:szCs w:val="32"/>
        </w:rPr>
        <w:t>五、</w:t>
      </w:r>
      <w:r>
        <w:rPr>
          <w:rFonts w:hint="eastAsia" w:ascii="黑体" w:hAnsi="黑体" w:eastAsia="黑体"/>
          <w:b/>
          <w:sz w:val="32"/>
          <w:szCs w:val="32"/>
        </w:rPr>
        <w:t>一</w:t>
      </w:r>
      <w:r>
        <w:rPr>
          <w:rStyle w:val="30"/>
          <w:rFonts w:hint="eastAsia" w:ascii="黑体" w:hAnsi="黑体" w:eastAsia="黑体"/>
          <w:b w:val="0"/>
        </w:rPr>
        <w:t>般公共预算财政拨款支出决算情况说明</w:t>
      </w:r>
      <w:bookmarkEnd w:id="26"/>
      <w:bookmarkEnd w:id="27"/>
    </w:p>
    <w:p w14:paraId="011C5BA8">
      <w:pPr>
        <w:spacing w:line="600" w:lineRule="exact"/>
        <w:ind w:firstLine="643" w:firstLineChars="200"/>
        <w:outlineLvl w:val="2"/>
        <w:rPr>
          <w:rFonts w:ascii="仿宋" w:hAnsi="仿宋" w:eastAsia="仿宋"/>
          <w:b/>
          <w:sz w:val="32"/>
          <w:szCs w:val="32"/>
        </w:rPr>
      </w:pPr>
      <w:bookmarkStart w:id="28" w:name="_Toc15377210"/>
      <w:r>
        <w:rPr>
          <w:rFonts w:hint="eastAsia" w:ascii="仿宋" w:hAnsi="仿宋" w:eastAsia="仿宋"/>
          <w:b/>
          <w:sz w:val="32"/>
          <w:szCs w:val="32"/>
        </w:rPr>
        <w:t>（一）一般公共预算财政拨款支出决算总体情况</w:t>
      </w:r>
      <w:bookmarkEnd w:id="28"/>
    </w:p>
    <w:p w14:paraId="62C8C5D8">
      <w:pPr>
        <w:spacing w:line="600" w:lineRule="exact"/>
        <w:ind w:firstLine="640" w:firstLineChars="200"/>
        <w:rPr>
          <w:rFonts w:hint="eastAsia" w:ascii="仿宋" w:hAnsi="仿宋" w:eastAsia="仿宋"/>
          <w:sz w:val="32"/>
          <w:szCs w:val="32"/>
          <w:lang w:eastAsia="zh-CN"/>
        </w:rPr>
      </w:pPr>
      <w:r>
        <w:rPr>
          <w:rFonts w:hint="eastAsia" w:ascii="仿宋" w:hAnsi="仿宋" w:eastAsia="仿宋"/>
          <w:sz w:val="32"/>
          <w:szCs w:val="32"/>
        </w:rPr>
        <w:t>2023年度一般公共预算财政拨款支出</w:t>
      </w:r>
      <w:r>
        <w:rPr>
          <w:rFonts w:ascii="仿宋" w:hAnsi="仿宋" w:eastAsia="仿宋"/>
          <w:b/>
          <w:sz w:val="32"/>
          <w:szCs w:val="32"/>
        </w:rPr>
        <w:t>1299.56</w:t>
      </w:r>
      <w:r>
        <w:rPr>
          <w:rFonts w:hint="eastAsia" w:ascii="仿宋" w:hAnsi="仿宋" w:eastAsia="仿宋"/>
          <w:sz w:val="32"/>
          <w:szCs w:val="32"/>
        </w:rPr>
        <w:t>万元，占本年支出合计的</w:t>
      </w:r>
      <w:r>
        <w:rPr>
          <w:rFonts w:ascii="仿宋" w:hAnsi="仿宋" w:eastAsia="仿宋"/>
          <w:b/>
          <w:sz w:val="32"/>
          <w:szCs w:val="32"/>
        </w:rPr>
        <w:t>100</w:t>
      </w:r>
      <w:r>
        <w:rPr>
          <w:rFonts w:ascii="仿宋" w:hAnsi="仿宋" w:eastAsia="仿宋"/>
          <w:sz w:val="32"/>
          <w:szCs w:val="32"/>
        </w:rPr>
        <w:t>%</w:t>
      </w:r>
      <w:r>
        <w:rPr>
          <w:rFonts w:hint="eastAsia" w:ascii="仿宋" w:hAnsi="仿宋" w:eastAsia="仿宋"/>
          <w:sz w:val="32"/>
          <w:szCs w:val="32"/>
        </w:rPr>
        <w:t>。与2022年度相比，一般公共预算财政拨款支出减少</w:t>
      </w:r>
      <w:r>
        <w:rPr>
          <w:rFonts w:hint="eastAsia" w:ascii="仿宋" w:hAnsi="仿宋" w:eastAsia="仿宋"/>
          <w:sz w:val="32"/>
          <w:szCs w:val="32"/>
          <w:lang w:val="en-US" w:eastAsia="zh-CN"/>
        </w:rPr>
        <w:t>8.89</w:t>
      </w:r>
      <w:r>
        <w:rPr>
          <w:rFonts w:hint="eastAsia" w:ascii="仿宋" w:hAnsi="仿宋" w:eastAsia="仿宋"/>
          <w:sz w:val="32"/>
          <w:szCs w:val="32"/>
        </w:rPr>
        <w:t>万元，下降</w:t>
      </w:r>
      <w:r>
        <w:rPr>
          <w:rFonts w:hint="eastAsia" w:ascii="仿宋" w:hAnsi="仿宋" w:eastAsia="仿宋"/>
          <w:sz w:val="32"/>
          <w:szCs w:val="32"/>
          <w:lang w:val="en-US" w:eastAsia="zh-CN"/>
        </w:rPr>
        <w:t>0.68</w:t>
      </w:r>
      <w:r>
        <w:rPr>
          <w:rFonts w:ascii="仿宋" w:hAnsi="仿宋" w:eastAsia="仿宋"/>
          <w:sz w:val="32"/>
          <w:szCs w:val="32"/>
        </w:rPr>
        <w:t>%</w:t>
      </w:r>
      <w:r>
        <w:rPr>
          <w:rFonts w:hint="eastAsia" w:ascii="仿宋" w:hAnsi="仿宋" w:eastAsia="仿宋"/>
          <w:sz w:val="32"/>
          <w:szCs w:val="32"/>
        </w:rPr>
        <w:t>。主要变动原因是</w:t>
      </w:r>
      <w:r>
        <w:rPr>
          <w:rFonts w:hint="eastAsia" w:ascii="仿宋" w:hAnsi="仿宋" w:eastAsia="仿宋"/>
          <w:sz w:val="32"/>
          <w:szCs w:val="32"/>
          <w:lang w:eastAsia="zh-CN"/>
        </w:rPr>
        <w:t>财政厉行节约。</w:t>
      </w:r>
    </w:p>
    <w:p w14:paraId="562C1E72">
      <w:pPr>
        <w:spacing w:line="600" w:lineRule="exact"/>
        <w:ind w:firstLine="640" w:firstLineChars="200"/>
        <w:rPr>
          <w:rFonts w:ascii="仿宋" w:hAnsi="仿宋" w:eastAsia="仿宋"/>
          <w:sz w:val="32"/>
          <w:szCs w:val="32"/>
        </w:rPr>
      </w:pPr>
      <w:r>
        <w:rPr>
          <w:rFonts w:hint="eastAsia" w:ascii="仿宋" w:hAnsi="仿宋" w:eastAsia="仿宋"/>
          <w:sz w:val="32"/>
          <w:szCs w:val="32"/>
        </w:rPr>
        <w:t>（图5：一般公共预算财政拨款支出决算变动情况）（柱状图）</w:t>
      </w:r>
    </w:p>
    <w:p w14:paraId="646D9071">
      <w:pPr>
        <w:spacing w:line="600" w:lineRule="exact"/>
        <w:ind w:firstLine="640" w:firstLineChars="200"/>
        <w:rPr>
          <w:rFonts w:ascii="仿宋" w:hAnsi="仿宋" w:eastAsia="仿宋"/>
          <w:sz w:val="32"/>
          <w:szCs w:val="32"/>
        </w:rPr>
      </w:pPr>
      <w:r>
        <w:rPr>
          <w:rFonts w:hint="eastAsia" w:ascii="仿宋_GB2312" w:eastAsia="仿宋_GB2312"/>
          <w:sz w:val="32"/>
          <w:szCs w:val="32"/>
          <w:lang w:eastAsia="zh-CN"/>
        </w:rPr>
        <w:drawing>
          <wp:anchor distT="0" distB="0" distL="114300" distR="114300" simplePos="0" relativeHeight="251663360" behindDoc="0" locked="0" layoutInCell="1" allowOverlap="1">
            <wp:simplePos x="0" y="0"/>
            <wp:positionH relativeFrom="column">
              <wp:posOffset>59055</wp:posOffset>
            </wp:positionH>
            <wp:positionV relativeFrom="paragraph">
              <wp:posOffset>202565</wp:posOffset>
            </wp:positionV>
            <wp:extent cx="5256530" cy="2988310"/>
            <wp:effectExtent l="5080" t="4445" r="11430" b="9525"/>
            <wp:wrapNone/>
            <wp:docPr id="5"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anchor>
        </w:drawing>
      </w:r>
    </w:p>
    <w:p w14:paraId="706525A2">
      <w:pPr>
        <w:spacing w:line="600" w:lineRule="exact"/>
        <w:ind w:firstLine="640" w:firstLineChars="200"/>
        <w:rPr>
          <w:rFonts w:ascii="仿宋" w:hAnsi="仿宋" w:eastAsia="仿宋"/>
          <w:sz w:val="32"/>
          <w:szCs w:val="32"/>
        </w:rPr>
      </w:pPr>
    </w:p>
    <w:p w14:paraId="33919E3A">
      <w:pPr>
        <w:spacing w:line="600" w:lineRule="exact"/>
        <w:ind w:firstLine="640" w:firstLineChars="200"/>
        <w:rPr>
          <w:rFonts w:ascii="仿宋" w:hAnsi="仿宋" w:eastAsia="仿宋"/>
          <w:sz w:val="32"/>
          <w:szCs w:val="32"/>
        </w:rPr>
      </w:pPr>
    </w:p>
    <w:p w14:paraId="6C6DFE67">
      <w:pPr>
        <w:spacing w:line="600" w:lineRule="exact"/>
        <w:ind w:firstLine="640" w:firstLineChars="200"/>
        <w:rPr>
          <w:rFonts w:ascii="仿宋" w:hAnsi="仿宋" w:eastAsia="仿宋"/>
          <w:sz w:val="32"/>
          <w:szCs w:val="32"/>
        </w:rPr>
      </w:pPr>
    </w:p>
    <w:p w14:paraId="7B44C085">
      <w:pPr>
        <w:spacing w:line="600" w:lineRule="exact"/>
        <w:ind w:firstLine="640" w:firstLineChars="200"/>
        <w:rPr>
          <w:rFonts w:ascii="仿宋" w:hAnsi="仿宋" w:eastAsia="仿宋"/>
          <w:sz w:val="32"/>
          <w:szCs w:val="32"/>
        </w:rPr>
      </w:pPr>
    </w:p>
    <w:p w14:paraId="1C24CCA1">
      <w:pPr>
        <w:spacing w:line="600" w:lineRule="exact"/>
        <w:ind w:firstLine="640" w:firstLineChars="200"/>
        <w:rPr>
          <w:rFonts w:ascii="仿宋" w:hAnsi="仿宋" w:eastAsia="仿宋"/>
          <w:sz w:val="32"/>
          <w:szCs w:val="32"/>
        </w:rPr>
      </w:pPr>
    </w:p>
    <w:p w14:paraId="3F63F3B5">
      <w:pPr>
        <w:spacing w:line="600" w:lineRule="exact"/>
        <w:ind w:firstLine="640" w:firstLineChars="200"/>
        <w:rPr>
          <w:rFonts w:ascii="仿宋" w:hAnsi="仿宋" w:eastAsia="仿宋"/>
          <w:sz w:val="32"/>
          <w:szCs w:val="32"/>
        </w:rPr>
      </w:pPr>
    </w:p>
    <w:p w14:paraId="7674B5B1">
      <w:pPr>
        <w:spacing w:line="600" w:lineRule="exact"/>
        <w:ind w:firstLine="643" w:firstLineChars="200"/>
        <w:outlineLvl w:val="2"/>
        <w:rPr>
          <w:rFonts w:hint="eastAsia" w:ascii="仿宋" w:hAnsi="仿宋" w:eastAsia="仿宋"/>
          <w:b/>
          <w:sz w:val="32"/>
          <w:szCs w:val="32"/>
        </w:rPr>
      </w:pPr>
      <w:bookmarkStart w:id="29" w:name="_Toc15377211"/>
    </w:p>
    <w:p w14:paraId="46C89F07">
      <w:pPr>
        <w:spacing w:line="600" w:lineRule="exact"/>
        <w:ind w:firstLine="643" w:firstLineChars="200"/>
        <w:outlineLvl w:val="2"/>
        <w:rPr>
          <w:rFonts w:hint="eastAsia" w:ascii="仿宋" w:hAnsi="仿宋" w:eastAsia="仿宋"/>
          <w:b/>
          <w:sz w:val="32"/>
          <w:szCs w:val="32"/>
        </w:rPr>
      </w:pPr>
    </w:p>
    <w:p w14:paraId="2AD82622">
      <w:pPr>
        <w:spacing w:line="600" w:lineRule="exact"/>
        <w:ind w:firstLine="643" w:firstLineChars="200"/>
        <w:outlineLvl w:val="2"/>
        <w:rPr>
          <w:rFonts w:ascii="仿宋" w:hAnsi="仿宋" w:eastAsia="仿宋"/>
          <w:b/>
          <w:sz w:val="32"/>
          <w:szCs w:val="32"/>
        </w:rPr>
      </w:pPr>
      <w:r>
        <w:rPr>
          <w:rFonts w:hint="eastAsia" w:ascii="仿宋" w:hAnsi="仿宋" w:eastAsia="仿宋"/>
          <w:b/>
          <w:sz w:val="32"/>
          <w:szCs w:val="32"/>
        </w:rPr>
        <w:t>（二）一般公共预算财政拨款支出决算结构情况</w:t>
      </w:r>
      <w:bookmarkEnd w:id="29"/>
    </w:p>
    <w:p w14:paraId="571BFDEF">
      <w:pPr>
        <w:pStyle w:val="14"/>
        <w:spacing w:line="560" w:lineRule="exact"/>
        <w:ind w:firstLine="640" w:firstLineChars="200"/>
        <w:rPr>
          <w:rFonts w:hint="eastAsia" w:ascii="仿宋_GB2312" w:hAnsi="仿宋_GB2312" w:eastAsia="仿宋_GB2312" w:cs="仿宋_GB2312"/>
          <w:sz w:val="32"/>
          <w:szCs w:val="32"/>
        </w:rPr>
      </w:pPr>
      <w:r>
        <w:rPr>
          <w:rFonts w:hint="eastAsia" w:ascii="仿宋" w:hAnsi="仿宋" w:eastAsia="仿宋"/>
          <w:sz w:val="32"/>
          <w:szCs w:val="32"/>
        </w:rPr>
        <w:t>2023年度一般公共预算财政拨款支出</w:t>
      </w:r>
      <w:r>
        <w:rPr>
          <w:rFonts w:ascii="仿宋" w:hAnsi="仿宋" w:eastAsia="仿宋"/>
          <w:b/>
          <w:sz w:val="32"/>
          <w:szCs w:val="32"/>
        </w:rPr>
        <w:t>1299.56</w:t>
      </w:r>
      <w:r>
        <w:rPr>
          <w:rFonts w:hint="eastAsia" w:ascii="仿宋" w:hAnsi="仿宋" w:eastAsia="仿宋"/>
          <w:sz w:val="32"/>
          <w:szCs w:val="32"/>
        </w:rPr>
        <w:t>万元，主要用于以下方面</w:t>
      </w:r>
      <w:r>
        <w:rPr>
          <w:rFonts w:ascii="仿宋" w:hAnsi="仿宋" w:eastAsia="仿宋"/>
          <w:sz w:val="32"/>
          <w:szCs w:val="32"/>
        </w:rPr>
        <w:t>:</w:t>
      </w:r>
      <w:r>
        <w:rPr>
          <w:rFonts w:hint="eastAsia" w:ascii="仿宋" w:hAnsi="仿宋" w:eastAsia="仿宋"/>
          <w:b/>
          <w:sz w:val="32"/>
          <w:szCs w:val="32"/>
        </w:rPr>
        <w:t>一般公共服务支出</w:t>
      </w:r>
      <w:r>
        <w:rPr>
          <w:rFonts w:hint="eastAsia" w:ascii="仿宋_GB2312" w:hAnsi="仿宋_GB2312" w:eastAsia="仿宋_GB2312" w:cs="仿宋_GB2312"/>
          <w:sz w:val="32"/>
          <w:szCs w:val="32"/>
        </w:rPr>
        <w:t>为</w:t>
      </w:r>
      <w:r>
        <w:rPr>
          <w:rFonts w:hint="eastAsia" w:ascii="仿宋_GB2312" w:hAnsi="仿宋_GB2312" w:eastAsia="仿宋_GB2312" w:cs="仿宋_GB2312"/>
          <w:sz w:val="32"/>
          <w:szCs w:val="32"/>
          <w:lang w:val="en-US" w:eastAsia="zh-CN"/>
        </w:rPr>
        <w:t>1096.54</w:t>
      </w:r>
      <w:r>
        <w:rPr>
          <w:rFonts w:hint="eastAsia" w:ascii="仿宋_GB2312" w:hAnsi="仿宋_GB2312" w:eastAsia="仿宋_GB2312" w:cs="仿宋_GB2312"/>
          <w:sz w:val="32"/>
          <w:szCs w:val="32"/>
        </w:rPr>
        <w:t>万元，占比</w:t>
      </w:r>
      <w:r>
        <w:rPr>
          <w:rFonts w:hint="eastAsia" w:ascii="仿宋_GB2312" w:hAnsi="仿宋_GB2312" w:eastAsia="仿宋_GB2312" w:cs="仿宋_GB2312"/>
          <w:sz w:val="32"/>
          <w:szCs w:val="32"/>
          <w:lang w:val="en-US" w:eastAsia="zh-CN"/>
        </w:rPr>
        <w:t>84.38</w:t>
      </w:r>
      <w:r>
        <w:rPr>
          <w:rFonts w:hint="eastAsia" w:ascii="仿宋_GB2312" w:hAnsi="仿宋_GB2312" w:eastAsia="仿宋_GB2312" w:cs="仿宋_GB2312"/>
          <w:sz w:val="32"/>
          <w:szCs w:val="32"/>
        </w:rPr>
        <w:t>%；</w:t>
      </w:r>
      <w:r>
        <w:rPr>
          <w:rFonts w:hint="eastAsia" w:ascii="仿宋" w:hAnsi="仿宋" w:eastAsia="仿宋"/>
          <w:b/>
          <w:sz w:val="32"/>
          <w:szCs w:val="32"/>
        </w:rPr>
        <w:t>社会保障和就业支出</w:t>
      </w:r>
      <w:r>
        <w:rPr>
          <w:rFonts w:hint="eastAsia" w:ascii="仿宋_GB2312" w:hAnsi="仿宋_GB2312" w:eastAsia="仿宋_GB2312" w:cs="仿宋_GB2312"/>
          <w:sz w:val="32"/>
          <w:szCs w:val="32"/>
        </w:rPr>
        <w:t>为</w:t>
      </w:r>
      <w:r>
        <w:rPr>
          <w:rFonts w:hint="eastAsia" w:ascii="仿宋_GB2312" w:hAnsi="仿宋_GB2312" w:eastAsia="仿宋_GB2312" w:cs="仿宋_GB2312"/>
          <w:sz w:val="32"/>
          <w:szCs w:val="32"/>
          <w:lang w:val="en-US" w:eastAsia="zh-CN"/>
        </w:rPr>
        <w:t>101.15</w:t>
      </w:r>
      <w:r>
        <w:rPr>
          <w:rFonts w:hint="eastAsia" w:ascii="仿宋_GB2312" w:hAnsi="仿宋_GB2312" w:eastAsia="仿宋_GB2312" w:cs="仿宋_GB2312"/>
          <w:sz w:val="32"/>
          <w:szCs w:val="32"/>
        </w:rPr>
        <w:t>万元，占比</w:t>
      </w:r>
      <w:r>
        <w:rPr>
          <w:rFonts w:hint="eastAsia" w:ascii="仿宋_GB2312" w:hAnsi="仿宋_GB2312" w:eastAsia="仿宋_GB2312" w:cs="仿宋_GB2312"/>
          <w:sz w:val="32"/>
          <w:szCs w:val="32"/>
          <w:lang w:val="en-US" w:eastAsia="zh-CN"/>
        </w:rPr>
        <w:t>7.78</w:t>
      </w:r>
      <w:r>
        <w:rPr>
          <w:rFonts w:hint="eastAsia" w:ascii="仿宋_GB2312" w:hAnsi="仿宋_GB2312" w:eastAsia="仿宋_GB2312" w:cs="仿宋_GB2312"/>
          <w:sz w:val="32"/>
          <w:szCs w:val="32"/>
        </w:rPr>
        <w:t>%；</w:t>
      </w:r>
      <w:r>
        <w:rPr>
          <w:rFonts w:hint="eastAsia" w:ascii="仿宋" w:hAnsi="仿宋" w:eastAsia="仿宋"/>
          <w:b/>
          <w:sz w:val="32"/>
          <w:szCs w:val="32"/>
        </w:rPr>
        <w:t>卫生健康支出</w:t>
      </w:r>
      <w:r>
        <w:rPr>
          <w:rFonts w:hint="eastAsia" w:ascii="仿宋_GB2312" w:hAnsi="仿宋_GB2312" w:eastAsia="仿宋_GB2312" w:cs="仿宋_GB2312"/>
          <w:sz w:val="32"/>
          <w:szCs w:val="32"/>
        </w:rPr>
        <w:t>为</w:t>
      </w:r>
      <w:r>
        <w:rPr>
          <w:rFonts w:hint="eastAsia" w:ascii="仿宋_GB2312" w:hAnsi="仿宋_GB2312" w:eastAsia="仿宋_GB2312" w:cs="仿宋_GB2312"/>
          <w:sz w:val="32"/>
          <w:szCs w:val="32"/>
          <w:lang w:val="en-US" w:eastAsia="zh-CN"/>
        </w:rPr>
        <w:t>44.48</w:t>
      </w:r>
      <w:r>
        <w:rPr>
          <w:rFonts w:hint="eastAsia" w:ascii="仿宋_GB2312" w:hAnsi="仿宋_GB2312" w:eastAsia="仿宋_GB2312" w:cs="仿宋_GB2312"/>
          <w:sz w:val="32"/>
          <w:szCs w:val="32"/>
        </w:rPr>
        <w:t>万元，占比</w:t>
      </w:r>
      <w:r>
        <w:rPr>
          <w:rFonts w:hint="eastAsia" w:ascii="仿宋_GB2312" w:hAnsi="仿宋_GB2312" w:eastAsia="仿宋_GB2312" w:cs="仿宋_GB2312"/>
          <w:sz w:val="32"/>
          <w:szCs w:val="32"/>
          <w:lang w:val="en-US" w:eastAsia="zh-CN"/>
        </w:rPr>
        <w:t>3.42</w:t>
      </w:r>
      <w:r>
        <w:rPr>
          <w:rFonts w:hint="eastAsia" w:ascii="仿宋_GB2312" w:hAnsi="仿宋_GB2312" w:eastAsia="仿宋_GB2312" w:cs="仿宋_GB2312"/>
          <w:sz w:val="32"/>
          <w:szCs w:val="32"/>
        </w:rPr>
        <w:t>%；</w:t>
      </w:r>
      <w:r>
        <w:rPr>
          <w:rFonts w:hint="eastAsia" w:ascii="仿宋" w:hAnsi="仿宋" w:eastAsia="仿宋"/>
          <w:b/>
          <w:sz w:val="32"/>
          <w:szCs w:val="32"/>
        </w:rPr>
        <w:t>住房保障支出</w:t>
      </w:r>
      <w:r>
        <w:rPr>
          <w:rFonts w:hint="eastAsia" w:ascii="仿宋_GB2312" w:hAnsi="仿宋_GB2312" w:eastAsia="仿宋_GB2312" w:cs="仿宋_GB2312"/>
          <w:sz w:val="32"/>
          <w:szCs w:val="32"/>
        </w:rPr>
        <w:t>为</w:t>
      </w:r>
      <w:r>
        <w:rPr>
          <w:rFonts w:hint="eastAsia" w:ascii="仿宋_GB2312" w:hAnsi="仿宋_GB2312" w:eastAsia="仿宋_GB2312" w:cs="仿宋_GB2312"/>
          <w:sz w:val="32"/>
          <w:szCs w:val="32"/>
          <w:lang w:val="en-US" w:eastAsia="zh-CN"/>
        </w:rPr>
        <w:t>57.39</w:t>
      </w:r>
      <w:r>
        <w:rPr>
          <w:rFonts w:hint="eastAsia" w:ascii="仿宋_GB2312" w:hAnsi="仿宋_GB2312" w:eastAsia="仿宋_GB2312" w:cs="仿宋_GB2312"/>
          <w:sz w:val="32"/>
          <w:szCs w:val="32"/>
        </w:rPr>
        <w:t>万元，占比</w:t>
      </w:r>
      <w:r>
        <w:rPr>
          <w:rFonts w:hint="eastAsia" w:ascii="仿宋_GB2312" w:hAnsi="仿宋_GB2312" w:eastAsia="仿宋_GB2312" w:cs="仿宋_GB2312"/>
          <w:sz w:val="32"/>
          <w:szCs w:val="32"/>
          <w:lang w:val="en-US" w:eastAsia="zh-CN"/>
        </w:rPr>
        <w:t>4.42</w:t>
      </w:r>
      <w:r>
        <w:rPr>
          <w:rFonts w:hint="eastAsia" w:ascii="仿宋_GB2312" w:hAnsi="仿宋_GB2312" w:eastAsia="仿宋_GB2312" w:cs="仿宋_GB2312"/>
          <w:sz w:val="32"/>
          <w:szCs w:val="32"/>
        </w:rPr>
        <w:t>%；</w:t>
      </w:r>
    </w:p>
    <w:p w14:paraId="0965EBB8">
      <w:pPr>
        <w:spacing w:line="600" w:lineRule="exact"/>
        <w:ind w:firstLine="640"/>
        <w:rPr>
          <w:rFonts w:ascii="仿宋" w:hAnsi="仿宋" w:eastAsia="仿宋"/>
          <w:b/>
          <w:sz w:val="32"/>
          <w:szCs w:val="32"/>
        </w:rPr>
      </w:pPr>
    </w:p>
    <w:p w14:paraId="1430741C">
      <w:pPr>
        <w:spacing w:line="600" w:lineRule="exact"/>
        <w:ind w:firstLine="640"/>
        <w:rPr>
          <w:rFonts w:ascii="仿宋" w:hAnsi="仿宋" w:eastAsia="仿宋"/>
          <w:b/>
          <w:sz w:val="32"/>
          <w:szCs w:val="32"/>
        </w:rPr>
      </w:pPr>
      <w:r>
        <w:rPr>
          <w:rFonts w:hint="eastAsia" w:ascii="仿宋" w:hAnsi="仿宋" w:eastAsia="仿宋"/>
          <w:b/>
          <w:sz w:val="32"/>
          <w:szCs w:val="32"/>
        </w:rPr>
        <w:t>（注：数据来源于财决01-1表，仅罗列本单位涉及的全部功能分类科目，至类级。）</w:t>
      </w:r>
    </w:p>
    <w:p w14:paraId="32BBDC46">
      <w:pPr>
        <w:spacing w:line="600" w:lineRule="exact"/>
        <w:ind w:firstLine="640" w:firstLineChars="200"/>
        <w:rPr>
          <w:rFonts w:ascii="仿宋" w:hAnsi="仿宋" w:eastAsia="仿宋"/>
          <w:sz w:val="32"/>
          <w:szCs w:val="32"/>
        </w:rPr>
      </w:pPr>
      <w:r>
        <w:rPr>
          <w:rFonts w:hint="eastAsia" w:ascii="仿宋" w:hAnsi="仿宋" w:eastAsia="仿宋"/>
          <w:sz w:val="32"/>
          <w:szCs w:val="32"/>
        </w:rPr>
        <w:t>（图6：一般公共预算财政拨款支出决算结构）（饼状图）</w:t>
      </w:r>
    </w:p>
    <w:p w14:paraId="41A750F8">
      <w:pPr>
        <w:spacing w:line="600" w:lineRule="exact"/>
        <w:ind w:firstLine="640" w:firstLineChars="200"/>
        <w:rPr>
          <w:rFonts w:hint="eastAsia" w:ascii="仿宋" w:hAnsi="仿宋" w:eastAsia="仿宋"/>
          <w:sz w:val="32"/>
          <w:szCs w:val="32"/>
          <w:lang w:eastAsia="zh-CN"/>
        </w:rPr>
      </w:pPr>
      <w:r>
        <w:rPr>
          <w:rFonts w:hint="eastAsia" w:ascii="仿宋" w:hAnsi="仿宋" w:eastAsia="仿宋"/>
          <w:sz w:val="32"/>
          <w:szCs w:val="32"/>
          <w:lang w:eastAsia="zh-CN"/>
        </w:rPr>
        <w:drawing>
          <wp:anchor distT="0" distB="0" distL="114300" distR="114300" simplePos="0" relativeHeight="251664384" behindDoc="0" locked="0" layoutInCell="1" allowOverlap="1">
            <wp:simplePos x="0" y="0"/>
            <wp:positionH relativeFrom="column">
              <wp:posOffset>116205</wp:posOffset>
            </wp:positionH>
            <wp:positionV relativeFrom="paragraph">
              <wp:posOffset>250190</wp:posOffset>
            </wp:positionV>
            <wp:extent cx="5256530" cy="2988310"/>
            <wp:effectExtent l="5080" t="4445" r="11430" b="9525"/>
            <wp:wrapNone/>
            <wp:docPr id="6" name="图表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anchor>
        </w:drawing>
      </w:r>
    </w:p>
    <w:p w14:paraId="5F0787FE">
      <w:pPr>
        <w:spacing w:line="600" w:lineRule="exact"/>
        <w:ind w:firstLine="640" w:firstLineChars="200"/>
        <w:rPr>
          <w:rFonts w:ascii="仿宋" w:hAnsi="仿宋" w:eastAsia="仿宋"/>
          <w:sz w:val="32"/>
          <w:szCs w:val="32"/>
        </w:rPr>
      </w:pPr>
    </w:p>
    <w:p w14:paraId="3BFAB8E9">
      <w:pPr>
        <w:spacing w:line="600" w:lineRule="exact"/>
        <w:ind w:firstLine="640" w:firstLineChars="200"/>
        <w:rPr>
          <w:rFonts w:ascii="仿宋" w:hAnsi="仿宋" w:eastAsia="仿宋"/>
          <w:sz w:val="32"/>
          <w:szCs w:val="32"/>
        </w:rPr>
      </w:pPr>
    </w:p>
    <w:p w14:paraId="20AC419E">
      <w:pPr>
        <w:spacing w:line="600" w:lineRule="exact"/>
        <w:ind w:firstLine="640" w:firstLineChars="200"/>
        <w:rPr>
          <w:rFonts w:ascii="仿宋" w:hAnsi="仿宋" w:eastAsia="仿宋"/>
          <w:sz w:val="32"/>
          <w:szCs w:val="32"/>
        </w:rPr>
      </w:pPr>
    </w:p>
    <w:p w14:paraId="7F712581">
      <w:pPr>
        <w:spacing w:line="600" w:lineRule="exact"/>
        <w:ind w:firstLine="640" w:firstLineChars="200"/>
        <w:rPr>
          <w:rFonts w:ascii="仿宋" w:hAnsi="仿宋" w:eastAsia="仿宋"/>
          <w:sz w:val="32"/>
          <w:szCs w:val="32"/>
        </w:rPr>
      </w:pPr>
    </w:p>
    <w:p w14:paraId="60E8F926">
      <w:pPr>
        <w:spacing w:line="600" w:lineRule="exact"/>
        <w:ind w:firstLine="643" w:firstLineChars="200"/>
        <w:outlineLvl w:val="2"/>
        <w:rPr>
          <w:rFonts w:hint="eastAsia" w:ascii="仿宋" w:hAnsi="仿宋" w:eastAsia="仿宋"/>
          <w:b/>
          <w:sz w:val="32"/>
          <w:szCs w:val="32"/>
        </w:rPr>
      </w:pPr>
      <w:bookmarkStart w:id="30" w:name="_Toc15377212"/>
    </w:p>
    <w:p w14:paraId="1AA6FC4B">
      <w:pPr>
        <w:spacing w:line="600" w:lineRule="exact"/>
        <w:ind w:firstLine="643" w:firstLineChars="200"/>
        <w:outlineLvl w:val="2"/>
        <w:rPr>
          <w:rFonts w:hint="eastAsia" w:ascii="仿宋" w:hAnsi="仿宋" w:eastAsia="仿宋"/>
          <w:b/>
          <w:sz w:val="32"/>
          <w:szCs w:val="32"/>
        </w:rPr>
      </w:pPr>
    </w:p>
    <w:p w14:paraId="7B3016A9">
      <w:pPr>
        <w:spacing w:line="600" w:lineRule="exact"/>
        <w:ind w:firstLine="643" w:firstLineChars="200"/>
        <w:outlineLvl w:val="2"/>
        <w:rPr>
          <w:rFonts w:hint="eastAsia" w:ascii="仿宋" w:hAnsi="仿宋" w:eastAsia="仿宋"/>
          <w:b/>
          <w:sz w:val="32"/>
          <w:szCs w:val="32"/>
        </w:rPr>
      </w:pPr>
    </w:p>
    <w:p w14:paraId="4EE44967">
      <w:pPr>
        <w:spacing w:line="600" w:lineRule="exact"/>
        <w:ind w:firstLine="643" w:firstLineChars="200"/>
        <w:outlineLvl w:val="2"/>
        <w:rPr>
          <w:rFonts w:hint="eastAsia" w:ascii="仿宋" w:hAnsi="仿宋" w:eastAsia="仿宋"/>
          <w:b/>
          <w:sz w:val="32"/>
          <w:szCs w:val="32"/>
        </w:rPr>
      </w:pPr>
    </w:p>
    <w:p w14:paraId="793C2531">
      <w:pPr>
        <w:spacing w:line="600" w:lineRule="exact"/>
        <w:ind w:firstLine="643" w:firstLineChars="200"/>
        <w:outlineLvl w:val="2"/>
        <w:rPr>
          <w:rFonts w:ascii="仿宋" w:hAnsi="仿宋" w:eastAsia="仿宋"/>
          <w:b/>
          <w:sz w:val="32"/>
          <w:szCs w:val="32"/>
        </w:rPr>
      </w:pPr>
      <w:r>
        <w:rPr>
          <w:rFonts w:hint="eastAsia" w:ascii="仿宋" w:hAnsi="仿宋" w:eastAsia="仿宋"/>
          <w:b/>
          <w:sz w:val="32"/>
          <w:szCs w:val="32"/>
        </w:rPr>
        <w:t>（三）一般公共预算财政拨款支出决算具体情况</w:t>
      </w:r>
      <w:bookmarkEnd w:id="30"/>
    </w:p>
    <w:p w14:paraId="6CE21BC9">
      <w:pPr>
        <w:spacing w:line="600" w:lineRule="exact"/>
        <w:ind w:firstLine="643" w:firstLineChars="200"/>
        <w:outlineLvl w:val="2"/>
        <w:rPr>
          <w:rFonts w:ascii="仿宋" w:hAnsi="仿宋" w:eastAsia="仿宋"/>
          <w:sz w:val="32"/>
          <w:szCs w:val="32"/>
        </w:rPr>
      </w:pPr>
      <w:bookmarkStart w:id="31" w:name="_Toc15377213"/>
      <w:bookmarkStart w:id="32" w:name="_Toc15377444"/>
      <w:bookmarkStart w:id="33" w:name="_Toc15378460"/>
      <w:r>
        <w:rPr>
          <w:rFonts w:hint="eastAsia" w:ascii="仿宋" w:hAnsi="仿宋" w:eastAsia="仿宋"/>
          <w:b/>
          <w:sz w:val="32"/>
          <w:szCs w:val="32"/>
        </w:rPr>
        <w:t>2023年度一般公共预算支出决算数为</w:t>
      </w:r>
      <w:r>
        <w:rPr>
          <w:rFonts w:ascii="仿宋" w:hAnsi="仿宋" w:eastAsia="仿宋"/>
          <w:b/>
          <w:sz w:val="32"/>
          <w:szCs w:val="32"/>
        </w:rPr>
        <w:t>1299.56</w:t>
      </w:r>
      <w:r>
        <w:rPr>
          <w:rFonts w:hint="eastAsia" w:ascii="仿宋" w:hAnsi="仿宋" w:eastAsia="仿宋"/>
          <w:sz w:val="32"/>
          <w:szCs w:val="32"/>
        </w:rPr>
        <w:t>，</w:t>
      </w:r>
      <w:r>
        <w:rPr>
          <w:rStyle w:val="18"/>
          <w:rFonts w:hint="eastAsia" w:ascii="仿宋" w:hAnsi="仿宋" w:eastAsia="仿宋"/>
          <w:bCs/>
          <w:sz w:val="32"/>
          <w:szCs w:val="32"/>
        </w:rPr>
        <w:t>完成预算</w:t>
      </w:r>
      <w:r>
        <w:rPr>
          <w:rStyle w:val="18"/>
          <w:rFonts w:hint="eastAsia" w:ascii="仿宋" w:hAnsi="仿宋" w:eastAsia="仿宋"/>
          <w:bCs/>
          <w:sz w:val="32"/>
          <w:szCs w:val="32"/>
          <w:lang w:val="en-US" w:eastAsia="zh-CN"/>
        </w:rPr>
        <w:t>100</w:t>
      </w:r>
      <w:r>
        <w:rPr>
          <w:rStyle w:val="18"/>
          <w:rFonts w:ascii="仿宋" w:hAnsi="仿宋" w:eastAsia="仿宋"/>
          <w:bCs/>
          <w:sz w:val="32"/>
          <w:szCs w:val="32"/>
        </w:rPr>
        <w:t>%</w:t>
      </w:r>
      <w:r>
        <w:rPr>
          <w:rStyle w:val="18"/>
          <w:rFonts w:hint="eastAsia" w:ascii="仿宋" w:hAnsi="仿宋" w:eastAsia="仿宋"/>
          <w:bCs/>
          <w:sz w:val="32"/>
          <w:szCs w:val="32"/>
        </w:rPr>
        <w:t>。其中：</w:t>
      </w:r>
      <w:bookmarkEnd w:id="31"/>
      <w:bookmarkEnd w:id="32"/>
      <w:bookmarkEnd w:id="33"/>
    </w:p>
    <w:p w14:paraId="0191F565">
      <w:pPr>
        <w:spacing w:line="600" w:lineRule="exact"/>
        <w:ind w:firstLine="643" w:firstLineChars="200"/>
        <w:rPr>
          <w:rFonts w:ascii="仿宋" w:hAnsi="仿宋" w:eastAsia="仿宋"/>
          <w:b/>
          <w:sz w:val="32"/>
          <w:szCs w:val="32"/>
        </w:rPr>
      </w:pPr>
      <w:r>
        <w:rPr>
          <w:rStyle w:val="18"/>
          <w:rFonts w:ascii="仿宋" w:hAnsi="仿宋" w:eastAsia="仿宋"/>
          <w:bCs/>
          <w:sz w:val="32"/>
          <w:szCs w:val="32"/>
        </w:rPr>
        <w:t>1.</w:t>
      </w:r>
      <w:r>
        <w:rPr>
          <w:rStyle w:val="18"/>
          <w:rFonts w:hint="eastAsia" w:ascii="仿宋" w:hAnsi="仿宋" w:eastAsia="仿宋"/>
          <w:bCs/>
          <w:sz w:val="32"/>
          <w:szCs w:val="32"/>
        </w:rPr>
        <w:t>一般公共服务</w:t>
      </w:r>
      <w:r>
        <w:rPr>
          <w:rStyle w:val="18"/>
          <w:rFonts w:hint="eastAsia" w:ascii="仿宋" w:hAnsi="仿宋" w:eastAsia="仿宋"/>
          <w:bCs/>
          <w:sz w:val="32"/>
          <w:szCs w:val="32"/>
          <w:lang w:val="en-US" w:eastAsia="zh-CN"/>
        </w:rPr>
        <w:t>201</w:t>
      </w:r>
      <w:r>
        <w:rPr>
          <w:rStyle w:val="18"/>
          <w:rFonts w:hint="eastAsia" w:ascii="仿宋" w:hAnsi="仿宋" w:eastAsia="仿宋"/>
          <w:bCs/>
          <w:sz w:val="32"/>
          <w:szCs w:val="32"/>
        </w:rPr>
        <w:t>（类）</w:t>
      </w:r>
      <w:r>
        <w:rPr>
          <w:rStyle w:val="18"/>
          <w:rFonts w:hint="eastAsia" w:ascii="仿宋" w:hAnsi="仿宋" w:eastAsia="仿宋"/>
          <w:bCs/>
          <w:sz w:val="32"/>
          <w:szCs w:val="32"/>
          <w:lang w:val="en-US" w:eastAsia="zh-CN"/>
        </w:rPr>
        <w:t>06</w:t>
      </w:r>
      <w:r>
        <w:rPr>
          <w:rStyle w:val="18"/>
          <w:rFonts w:hint="eastAsia" w:ascii="仿宋" w:hAnsi="仿宋" w:eastAsia="仿宋"/>
          <w:bCs/>
          <w:sz w:val="32"/>
          <w:szCs w:val="32"/>
        </w:rPr>
        <w:t>（款）</w:t>
      </w:r>
      <w:r>
        <w:rPr>
          <w:rStyle w:val="18"/>
          <w:rFonts w:hint="eastAsia" w:ascii="仿宋" w:hAnsi="仿宋" w:eastAsia="仿宋"/>
          <w:bCs/>
          <w:sz w:val="32"/>
          <w:szCs w:val="32"/>
          <w:lang w:val="en-US" w:eastAsia="zh-CN"/>
        </w:rPr>
        <w:t>04</w:t>
      </w:r>
      <w:r>
        <w:rPr>
          <w:rStyle w:val="18"/>
          <w:rFonts w:hint="eastAsia" w:ascii="仿宋" w:hAnsi="仿宋" w:eastAsia="仿宋"/>
          <w:bCs/>
          <w:sz w:val="32"/>
          <w:szCs w:val="32"/>
        </w:rPr>
        <w:t>（项）</w:t>
      </w:r>
      <w:r>
        <w:rPr>
          <w:rStyle w:val="18"/>
          <w:rFonts w:ascii="仿宋" w:hAnsi="仿宋" w:eastAsia="仿宋"/>
          <w:bCs/>
          <w:sz w:val="32"/>
          <w:szCs w:val="32"/>
        </w:rPr>
        <w:t>:</w:t>
      </w:r>
      <w:r>
        <w:rPr>
          <w:rStyle w:val="18"/>
          <w:rFonts w:ascii="仿宋" w:hAnsi="仿宋" w:eastAsia="仿宋"/>
          <w:b w:val="0"/>
          <w:bCs/>
          <w:sz w:val="32"/>
          <w:szCs w:val="32"/>
        </w:rPr>
        <w:t xml:space="preserve"> </w:t>
      </w:r>
      <w:r>
        <w:rPr>
          <w:rStyle w:val="18"/>
          <w:rFonts w:hint="eastAsia" w:ascii="仿宋" w:hAnsi="仿宋" w:eastAsia="仿宋"/>
          <w:b w:val="0"/>
          <w:bCs/>
          <w:sz w:val="32"/>
          <w:szCs w:val="32"/>
        </w:rPr>
        <w:t>支出决算为</w:t>
      </w:r>
      <w:r>
        <w:rPr>
          <w:rStyle w:val="18"/>
          <w:rFonts w:hint="eastAsia" w:ascii="仿宋" w:hAnsi="仿宋" w:eastAsia="仿宋"/>
          <w:b w:val="0"/>
          <w:bCs/>
          <w:sz w:val="32"/>
          <w:szCs w:val="32"/>
          <w:lang w:val="en-US" w:eastAsia="zh-CN"/>
        </w:rPr>
        <w:t>23.18</w:t>
      </w:r>
      <w:r>
        <w:rPr>
          <w:rStyle w:val="18"/>
          <w:rFonts w:hint="eastAsia" w:ascii="仿宋" w:hAnsi="仿宋" w:eastAsia="仿宋"/>
          <w:b w:val="0"/>
          <w:bCs/>
          <w:sz w:val="32"/>
          <w:szCs w:val="32"/>
        </w:rPr>
        <w:t>万元，完成预算</w:t>
      </w:r>
      <w:r>
        <w:rPr>
          <w:rStyle w:val="18"/>
          <w:rFonts w:hint="eastAsia" w:ascii="仿宋" w:hAnsi="仿宋" w:eastAsia="仿宋"/>
          <w:b w:val="0"/>
          <w:bCs/>
          <w:sz w:val="32"/>
          <w:szCs w:val="32"/>
          <w:lang w:val="en-US" w:eastAsia="zh-CN"/>
        </w:rPr>
        <w:t>100</w:t>
      </w:r>
      <w:r>
        <w:rPr>
          <w:rStyle w:val="18"/>
          <w:rFonts w:ascii="仿宋" w:hAnsi="仿宋" w:eastAsia="仿宋"/>
          <w:b w:val="0"/>
          <w:bCs/>
          <w:sz w:val="32"/>
          <w:szCs w:val="32"/>
        </w:rPr>
        <w:t>%</w:t>
      </w:r>
      <w:r>
        <w:rPr>
          <w:rStyle w:val="18"/>
          <w:rFonts w:hint="eastAsia" w:ascii="仿宋" w:hAnsi="仿宋" w:eastAsia="仿宋"/>
          <w:b w:val="0"/>
          <w:bCs/>
          <w:sz w:val="32"/>
          <w:szCs w:val="32"/>
        </w:rPr>
        <w:t>，决算数</w:t>
      </w:r>
      <w:r>
        <w:rPr>
          <w:rStyle w:val="18"/>
          <w:rFonts w:hint="eastAsia" w:ascii="仿宋" w:hAnsi="仿宋" w:eastAsia="仿宋"/>
          <w:b w:val="0"/>
          <w:bCs/>
          <w:sz w:val="32"/>
          <w:szCs w:val="32"/>
          <w:lang w:eastAsia="zh-CN"/>
        </w:rPr>
        <w:t>与</w:t>
      </w:r>
      <w:r>
        <w:rPr>
          <w:rStyle w:val="18"/>
          <w:rFonts w:hint="eastAsia" w:ascii="仿宋" w:hAnsi="仿宋" w:eastAsia="仿宋"/>
          <w:b w:val="0"/>
          <w:bCs/>
          <w:sz w:val="32"/>
          <w:szCs w:val="32"/>
        </w:rPr>
        <w:t>预算数</w:t>
      </w:r>
      <w:r>
        <w:rPr>
          <w:rStyle w:val="18"/>
          <w:rFonts w:hint="eastAsia" w:ascii="仿宋" w:hAnsi="仿宋" w:eastAsia="仿宋"/>
          <w:b w:val="0"/>
          <w:bCs/>
          <w:sz w:val="32"/>
          <w:szCs w:val="32"/>
          <w:lang w:eastAsia="zh-CN"/>
        </w:rPr>
        <w:t>持平</w:t>
      </w:r>
      <w:r>
        <w:rPr>
          <w:rStyle w:val="18"/>
          <w:rFonts w:hint="eastAsia" w:ascii="仿宋" w:hAnsi="仿宋" w:eastAsia="仿宋"/>
          <w:b w:val="0"/>
          <w:bCs/>
          <w:sz w:val="32"/>
          <w:szCs w:val="32"/>
        </w:rPr>
        <w:t>。</w:t>
      </w:r>
    </w:p>
    <w:p w14:paraId="011F86F7">
      <w:pPr>
        <w:spacing w:line="600" w:lineRule="exact"/>
        <w:ind w:firstLine="643" w:firstLineChars="200"/>
        <w:rPr>
          <w:rStyle w:val="18"/>
          <w:rFonts w:hint="eastAsia" w:ascii="仿宋" w:hAnsi="仿宋" w:eastAsia="仿宋"/>
          <w:b w:val="0"/>
          <w:bCs/>
          <w:sz w:val="32"/>
          <w:szCs w:val="32"/>
        </w:rPr>
      </w:pPr>
      <w:r>
        <w:rPr>
          <w:rStyle w:val="18"/>
          <w:rFonts w:hint="eastAsia" w:ascii="仿宋" w:hAnsi="仿宋" w:eastAsia="仿宋"/>
          <w:bCs/>
          <w:sz w:val="32"/>
          <w:szCs w:val="32"/>
          <w:lang w:val="en-US" w:eastAsia="zh-CN"/>
        </w:rPr>
        <w:t>2.</w:t>
      </w:r>
      <w:r>
        <w:rPr>
          <w:rStyle w:val="18"/>
          <w:rFonts w:hint="eastAsia" w:ascii="仿宋" w:hAnsi="仿宋" w:eastAsia="仿宋"/>
          <w:bCs/>
          <w:sz w:val="32"/>
          <w:szCs w:val="32"/>
        </w:rPr>
        <w:t>一般公共服务</w:t>
      </w:r>
      <w:r>
        <w:rPr>
          <w:rStyle w:val="18"/>
          <w:rFonts w:hint="eastAsia" w:ascii="仿宋" w:hAnsi="仿宋" w:eastAsia="仿宋"/>
          <w:bCs/>
          <w:sz w:val="32"/>
          <w:szCs w:val="32"/>
          <w:lang w:val="en-US" w:eastAsia="zh-CN"/>
        </w:rPr>
        <w:t>201</w:t>
      </w:r>
      <w:r>
        <w:rPr>
          <w:rStyle w:val="18"/>
          <w:rFonts w:hint="eastAsia" w:ascii="仿宋" w:hAnsi="仿宋" w:eastAsia="仿宋"/>
          <w:bCs/>
          <w:sz w:val="32"/>
          <w:szCs w:val="32"/>
        </w:rPr>
        <w:t>（类）</w:t>
      </w:r>
      <w:r>
        <w:rPr>
          <w:rStyle w:val="18"/>
          <w:rFonts w:hint="eastAsia" w:ascii="仿宋" w:hAnsi="仿宋" w:eastAsia="仿宋"/>
          <w:bCs/>
          <w:sz w:val="32"/>
          <w:szCs w:val="32"/>
          <w:lang w:val="en-US" w:eastAsia="zh-CN"/>
        </w:rPr>
        <w:t>06</w:t>
      </w:r>
      <w:r>
        <w:rPr>
          <w:rStyle w:val="18"/>
          <w:rFonts w:hint="eastAsia" w:ascii="仿宋" w:hAnsi="仿宋" w:eastAsia="仿宋"/>
          <w:bCs/>
          <w:sz w:val="32"/>
          <w:szCs w:val="32"/>
        </w:rPr>
        <w:t>（款）</w:t>
      </w:r>
      <w:r>
        <w:rPr>
          <w:rStyle w:val="18"/>
          <w:rFonts w:hint="eastAsia" w:ascii="仿宋" w:hAnsi="仿宋" w:eastAsia="仿宋"/>
          <w:bCs/>
          <w:sz w:val="32"/>
          <w:szCs w:val="32"/>
          <w:lang w:val="en-US" w:eastAsia="zh-CN"/>
        </w:rPr>
        <w:t>06</w:t>
      </w:r>
      <w:r>
        <w:rPr>
          <w:rStyle w:val="18"/>
          <w:rFonts w:hint="eastAsia" w:ascii="仿宋" w:hAnsi="仿宋" w:eastAsia="仿宋"/>
          <w:bCs/>
          <w:sz w:val="32"/>
          <w:szCs w:val="32"/>
        </w:rPr>
        <w:t>（项）</w:t>
      </w:r>
      <w:r>
        <w:rPr>
          <w:rStyle w:val="18"/>
          <w:rFonts w:ascii="仿宋" w:hAnsi="仿宋" w:eastAsia="仿宋"/>
          <w:bCs/>
          <w:sz w:val="32"/>
          <w:szCs w:val="32"/>
        </w:rPr>
        <w:t>:</w:t>
      </w:r>
      <w:r>
        <w:rPr>
          <w:rStyle w:val="18"/>
          <w:rFonts w:ascii="仿宋" w:hAnsi="仿宋" w:eastAsia="仿宋"/>
          <w:b w:val="0"/>
          <w:bCs/>
          <w:sz w:val="32"/>
          <w:szCs w:val="32"/>
        </w:rPr>
        <w:t xml:space="preserve"> </w:t>
      </w:r>
      <w:r>
        <w:rPr>
          <w:rStyle w:val="18"/>
          <w:rFonts w:hint="eastAsia" w:ascii="仿宋" w:hAnsi="仿宋" w:eastAsia="仿宋"/>
          <w:b w:val="0"/>
          <w:bCs/>
          <w:sz w:val="32"/>
          <w:szCs w:val="32"/>
        </w:rPr>
        <w:t>支出决算为</w:t>
      </w:r>
      <w:r>
        <w:rPr>
          <w:rStyle w:val="18"/>
          <w:rFonts w:hint="eastAsia" w:ascii="仿宋" w:hAnsi="仿宋" w:eastAsia="仿宋"/>
          <w:b w:val="0"/>
          <w:bCs/>
          <w:sz w:val="32"/>
          <w:szCs w:val="32"/>
          <w:lang w:val="en-US" w:eastAsia="zh-CN"/>
        </w:rPr>
        <w:t>19.26</w:t>
      </w:r>
      <w:r>
        <w:rPr>
          <w:rStyle w:val="18"/>
          <w:rFonts w:hint="eastAsia" w:ascii="仿宋" w:hAnsi="仿宋" w:eastAsia="仿宋"/>
          <w:b w:val="0"/>
          <w:bCs/>
          <w:sz w:val="32"/>
          <w:szCs w:val="32"/>
        </w:rPr>
        <w:t>万元，完成预算</w:t>
      </w:r>
      <w:r>
        <w:rPr>
          <w:rStyle w:val="18"/>
          <w:rFonts w:hint="eastAsia" w:ascii="仿宋" w:hAnsi="仿宋" w:eastAsia="仿宋"/>
          <w:b w:val="0"/>
          <w:bCs/>
          <w:sz w:val="32"/>
          <w:szCs w:val="32"/>
          <w:lang w:val="en-US" w:eastAsia="zh-CN"/>
        </w:rPr>
        <w:t>100</w:t>
      </w:r>
      <w:r>
        <w:rPr>
          <w:rStyle w:val="18"/>
          <w:rFonts w:ascii="仿宋" w:hAnsi="仿宋" w:eastAsia="仿宋"/>
          <w:b w:val="0"/>
          <w:bCs/>
          <w:sz w:val="32"/>
          <w:szCs w:val="32"/>
        </w:rPr>
        <w:t>%</w:t>
      </w:r>
      <w:r>
        <w:rPr>
          <w:rStyle w:val="18"/>
          <w:rFonts w:hint="eastAsia" w:ascii="仿宋" w:hAnsi="仿宋" w:eastAsia="仿宋"/>
          <w:b w:val="0"/>
          <w:bCs/>
          <w:sz w:val="32"/>
          <w:szCs w:val="32"/>
        </w:rPr>
        <w:t>，决算数</w:t>
      </w:r>
      <w:r>
        <w:rPr>
          <w:rStyle w:val="18"/>
          <w:rFonts w:hint="eastAsia" w:ascii="仿宋" w:hAnsi="仿宋" w:eastAsia="仿宋"/>
          <w:b w:val="0"/>
          <w:bCs/>
          <w:sz w:val="32"/>
          <w:szCs w:val="32"/>
          <w:lang w:eastAsia="zh-CN"/>
        </w:rPr>
        <w:t>与</w:t>
      </w:r>
      <w:r>
        <w:rPr>
          <w:rStyle w:val="18"/>
          <w:rFonts w:hint="eastAsia" w:ascii="仿宋" w:hAnsi="仿宋" w:eastAsia="仿宋"/>
          <w:b w:val="0"/>
          <w:bCs/>
          <w:sz w:val="32"/>
          <w:szCs w:val="32"/>
        </w:rPr>
        <w:t>预算数</w:t>
      </w:r>
      <w:r>
        <w:rPr>
          <w:rStyle w:val="18"/>
          <w:rFonts w:hint="eastAsia" w:ascii="仿宋" w:hAnsi="仿宋" w:eastAsia="仿宋"/>
          <w:b w:val="0"/>
          <w:bCs/>
          <w:sz w:val="32"/>
          <w:szCs w:val="32"/>
          <w:lang w:eastAsia="zh-CN"/>
        </w:rPr>
        <w:t>持平</w:t>
      </w:r>
      <w:r>
        <w:rPr>
          <w:rStyle w:val="18"/>
          <w:rFonts w:hint="eastAsia" w:ascii="仿宋" w:hAnsi="仿宋" w:eastAsia="仿宋"/>
          <w:b w:val="0"/>
          <w:bCs/>
          <w:sz w:val="32"/>
          <w:szCs w:val="32"/>
        </w:rPr>
        <w:t>。</w:t>
      </w:r>
    </w:p>
    <w:p w14:paraId="16F085AD">
      <w:pPr>
        <w:spacing w:line="600" w:lineRule="exact"/>
        <w:ind w:firstLine="643" w:firstLineChars="200"/>
        <w:rPr>
          <w:rStyle w:val="18"/>
          <w:rFonts w:hint="eastAsia" w:ascii="仿宋" w:hAnsi="仿宋" w:eastAsia="仿宋" w:cstheme="minorBidi"/>
          <w:b w:val="0"/>
          <w:bCs/>
          <w:sz w:val="32"/>
          <w:szCs w:val="32"/>
        </w:rPr>
      </w:pPr>
      <w:r>
        <w:rPr>
          <w:rStyle w:val="18"/>
          <w:rFonts w:hint="eastAsia" w:ascii="仿宋" w:hAnsi="仿宋" w:eastAsia="仿宋" w:cstheme="minorBidi"/>
          <w:bCs/>
          <w:sz w:val="32"/>
          <w:szCs w:val="32"/>
          <w:lang w:val="en-US" w:eastAsia="zh-CN"/>
        </w:rPr>
        <w:t>3</w:t>
      </w:r>
      <w:r>
        <w:rPr>
          <w:rStyle w:val="18"/>
          <w:rFonts w:hint="eastAsia" w:ascii="仿宋" w:hAnsi="仿宋" w:eastAsia="仿宋" w:cstheme="minorBidi"/>
          <w:bCs/>
          <w:sz w:val="32"/>
          <w:szCs w:val="32"/>
        </w:rPr>
        <w:t xml:space="preserve">. 一般公共服务201（类）06（款）07（项）: </w:t>
      </w:r>
      <w:r>
        <w:rPr>
          <w:rStyle w:val="18"/>
          <w:rFonts w:hint="eastAsia" w:ascii="仿宋" w:hAnsi="仿宋" w:eastAsia="仿宋" w:cstheme="minorBidi"/>
          <w:b w:val="0"/>
          <w:bCs/>
          <w:sz w:val="32"/>
          <w:szCs w:val="32"/>
        </w:rPr>
        <w:t>支出决算为</w:t>
      </w:r>
      <w:r>
        <w:rPr>
          <w:rStyle w:val="18"/>
          <w:rFonts w:hint="eastAsia" w:ascii="仿宋" w:hAnsi="仿宋" w:eastAsia="仿宋" w:cstheme="minorBidi"/>
          <w:b w:val="0"/>
          <w:bCs/>
          <w:sz w:val="32"/>
          <w:szCs w:val="32"/>
          <w:lang w:val="en-US" w:eastAsia="zh-CN"/>
        </w:rPr>
        <w:t>81.54</w:t>
      </w:r>
      <w:r>
        <w:rPr>
          <w:rStyle w:val="18"/>
          <w:rFonts w:hint="eastAsia" w:ascii="仿宋" w:hAnsi="仿宋" w:eastAsia="仿宋" w:cstheme="minorBidi"/>
          <w:b w:val="0"/>
          <w:bCs/>
          <w:sz w:val="32"/>
          <w:szCs w:val="32"/>
        </w:rPr>
        <w:t>万元，完成预算100%。</w:t>
      </w:r>
      <w:r>
        <w:rPr>
          <w:rStyle w:val="18"/>
          <w:rFonts w:hint="eastAsia" w:ascii="仿宋" w:hAnsi="仿宋" w:eastAsia="仿宋"/>
          <w:b w:val="0"/>
          <w:bCs/>
          <w:sz w:val="32"/>
          <w:szCs w:val="32"/>
        </w:rPr>
        <w:t>决算数</w:t>
      </w:r>
      <w:r>
        <w:rPr>
          <w:rStyle w:val="18"/>
          <w:rFonts w:hint="eastAsia" w:ascii="仿宋" w:hAnsi="仿宋" w:eastAsia="仿宋"/>
          <w:b w:val="0"/>
          <w:bCs/>
          <w:sz w:val="32"/>
          <w:szCs w:val="32"/>
          <w:lang w:eastAsia="zh-CN"/>
        </w:rPr>
        <w:t>与</w:t>
      </w:r>
      <w:r>
        <w:rPr>
          <w:rStyle w:val="18"/>
          <w:rFonts w:hint="eastAsia" w:ascii="仿宋" w:hAnsi="仿宋" w:eastAsia="仿宋"/>
          <w:b w:val="0"/>
          <w:bCs/>
          <w:sz w:val="32"/>
          <w:szCs w:val="32"/>
        </w:rPr>
        <w:t>预算数</w:t>
      </w:r>
      <w:r>
        <w:rPr>
          <w:rStyle w:val="18"/>
          <w:rFonts w:hint="eastAsia" w:ascii="仿宋" w:hAnsi="仿宋" w:eastAsia="仿宋"/>
          <w:b w:val="0"/>
          <w:bCs/>
          <w:sz w:val="32"/>
          <w:szCs w:val="32"/>
          <w:lang w:eastAsia="zh-CN"/>
        </w:rPr>
        <w:t>持平</w:t>
      </w:r>
      <w:r>
        <w:rPr>
          <w:rStyle w:val="18"/>
          <w:rFonts w:hint="eastAsia" w:ascii="仿宋" w:hAnsi="仿宋" w:eastAsia="仿宋"/>
          <w:b w:val="0"/>
          <w:bCs/>
          <w:sz w:val="32"/>
          <w:szCs w:val="32"/>
        </w:rPr>
        <w:t>。</w:t>
      </w:r>
    </w:p>
    <w:p w14:paraId="167881A4">
      <w:pPr>
        <w:pStyle w:val="14"/>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560" w:lineRule="exact"/>
        <w:ind w:firstLine="643" w:firstLineChars="200"/>
        <w:textAlignment w:val="auto"/>
        <w:rPr>
          <w:rStyle w:val="18"/>
          <w:rFonts w:hint="eastAsia" w:ascii="仿宋" w:hAnsi="仿宋" w:eastAsia="仿宋"/>
          <w:b w:val="0"/>
          <w:bCs/>
          <w:sz w:val="32"/>
          <w:szCs w:val="32"/>
        </w:rPr>
      </w:pPr>
      <w:r>
        <w:rPr>
          <w:rStyle w:val="18"/>
          <w:rFonts w:hint="eastAsia" w:ascii="仿宋" w:hAnsi="仿宋" w:eastAsia="仿宋"/>
          <w:bCs/>
          <w:sz w:val="32"/>
          <w:szCs w:val="32"/>
          <w:lang w:val="en-US" w:eastAsia="zh-CN"/>
        </w:rPr>
        <w:t>4.</w:t>
      </w:r>
      <w:r>
        <w:rPr>
          <w:rStyle w:val="18"/>
          <w:rFonts w:hint="eastAsia" w:ascii="仿宋" w:hAnsi="仿宋" w:eastAsia="仿宋"/>
          <w:bCs/>
          <w:sz w:val="32"/>
          <w:szCs w:val="32"/>
        </w:rPr>
        <w:t>一般公共服务</w:t>
      </w:r>
      <w:r>
        <w:rPr>
          <w:rStyle w:val="18"/>
          <w:rFonts w:hint="eastAsia" w:ascii="仿宋" w:hAnsi="仿宋" w:eastAsia="仿宋"/>
          <w:bCs/>
          <w:sz w:val="32"/>
          <w:szCs w:val="32"/>
          <w:lang w:val="en-US" w:eastAsia="zh-CN"/>
        </w:rPr>
        <w:t>201</w:t>
      </w:r>
      <w:r>
        <w:rPr>
          <w:rStyle w:val="18"/>
          <w:rFonts w:hint="eastAsia" w:ascii="仿宋" w:hAnsi="仿宋" w:eastAsia="仿宋"/>
          <w:bCs/>
          <w:sz w:val="32"/>
          <w:szCs w:val="32"/>
        </w:rPr>
        <w:t>（类）</w:t>
      </w:r>
      <w:r>
        <w:rPr>
          <w:rStyle w:val="18"/>
          <w:rFonts w:hint="eastAsia" w:ascii="仿宋" w:hAnsi="仿宋" w:eastAsia="仿宋"/>
          <w:bCs/>
          <w:sz w:val="32"/>
          <w:szCs w:val="32"/>
          <w:lang w:val="en-US" w:eastAsia="zh-CN"/>
        </w:rPr>
        <w:t>06</w:t>
      </w:r>
      <w:r>
        <w:rPr>
          <w:rStyle w:val="18"/>
          <w:rFonts w:hint="eastAsia" w:ascii="仿宋" w:hAnsi="仿宋" w:eastAsia="仿宋"/>
          <w:bCs/>
          <w:sz w:val="32"/>
          <w:szCs w:val="32"/>
        </w:rPr>
        <w:t>（款）</w:t>
      </w:r>
      <w:r>
        <w:rPr>
          <w:rStyle w:val="18"/>
          <w:rFonts w:hint="eastAsia" w:ascii="仿宋" w:hAnsi="仿宋" w:eastAsia="仿宋"/>
          <w:bCs/>
          <w:sz w:val="32"/>
          <w:szCs w:val="32"/>
          <w:lang w:val="en-US" w:eastAsia="zh-CN"/>
        </w:rPr>
        <w:t>08</w:t>
      </w:r>
      <w:r>
        <w:rPr>
          <w:rStyle w:val="18"/>
          <w:rFonts w:hint="eastAsia" w:ascii="仿宋" w:hAnsi="仿宋" w:eastAsia="仿宋"/>
          <w:bCs/>
          <w:sz w:val="32"/>
          <w:szCs w:val="32"/>
        </w:rPr>
        <w:t>（项）</w:t>
      </w:r>
      <w:r>
        <w:rPr>
          <w:rStyle w:val="18"/>
          <w:rFonts w:ascii="仿宋" w:hAnsi="仿宋" w:eastAsia="仿宋"/>
          <w:bCs/>
          <w:sz w:val="32"/>
          <w:szCs w:val="32"/>
        </w:rPr>
        <w:t>:</w:t>
      </w:r>
      <w:r>
        <w:rPr>
          <w:rStyle w:val="18"/>
          <w:rFonts w:ascii="仿宋" w:hAnsi="仿宋" w:eastAsia="仿宋"/>
          <w:b w:val="0"/>
          <w:bCs/>
          <w:sz w:val="32"/>
          <w:szCs w:val="32"/>
        </w:rPr>
        <w:t xml:space="preserve"> </w:t>
      </w:r>
      <w:r>
        <w:rPr>
          <w:rStyle w:val="18"/>
          <w:rFonts w:hint="eastAsia" w:ascii="仿宋" w:hAnsi="仿宋" w:eastAsia="仿宋"/>
          <w:b w:val="0"/>
          <w:bCs/>
          <w:sz w:val="32"/>
          <w:szCs w:val="32"/>
        </w:rPr>
        <w:t>支出决算为</w:t>
      </w:r>
      <w:r>
        <w:rPr>
          <w:rStyle w:val="18"/>
          <w:rFonts w:hint="eastAsia" w:ascii="仿宋" w:hAnsi="仿宋" w:eastAsia="仿宋"/>
          <w:b w:val="0"/>
          <w:bCs/>
          <w:sz w:val="32"/>
          <w:szCs w:val="32"/>
          <w:lang w:val="en-US" w:eastAsia="zh-CN"/>
        </w:rPr>
        <w:t>150.84</w:t>
      </w:r>
      <w:r>
        <w:rPr>
          <w:rStyle w:val="18"/>
          <w:rFonts w:hint="eastAsia" w:ascii="仿宋" w:hAnsi="仿宋" w:eastAsia="仿宋"/>
          <w:b w:val="0"/>
          <w:bCs/>
          <w:sz w:val="32"/>
          <w:szCs w:val="32"/>
        </w:rPr>
        <w:t>万元，完成预算</w:t>
      </w:r>
      <w:r>
        <w:rPr>
          <w:rStyle w:val="18"/>
          <w:rFonts w:hint="eastAsia" w:ascii="仿宋" w:hAnsi="仿宋" w:eastAsia="仿宋"/>
          <w:b w:val="0"/>
          <w:bCs/>
          <w:sz w:val="32"/>
          <w:szCs w:val="32"/>
          <w:lang w:val="en-US" w:eastAsia="zh-CN"/>
        </w:rPr>
        <w:t>100</w:t>
      </w:r>
      <w:r>
        <w:rPr>
          <w:rStyle w:val="18"/>
          <w:rFonts w:ascii="仿宋" w:hAnsi="仿宋" w:eastAsia="仿宋"/>
          <w:b w:val="0"/>
          <w:bCs/>
          <w:sz w:val="32"/>
          <w:szCs w:val="32"/>
        </w:rPr>
        <w:t>%</w:t>
      </w:r>
      <w:r>
        <w:rPr>
          <w:rStyle w:val="18"/>
          <w:rFonts w:hint="eastAsia" w:ascii="仿宋" w:hAnsi="仿宋" w:eastAsia="仿宋"/>
          <w:b w:val="0"/>
          <w:bCs/>
          <w:sz w:val="32"/>
          <w:szCs w:val="32"/>
        </w:rPr>
        <w:t>，决算数</w:t>
      </w:r>
      <w:r>
        <w:rPr>
          <w:rStyle w:val="18"/>
          <w:rFonts w:hint="eastAsia" w:ascii="仿宋" w:hAnsi="仿宋" w:eastAsia="仿宋"/>
          <w:b w:val="0"/>
          <w:bCs/>
          <w:sz w:val="32"/>
          <w:szCs w:val="32"/>
          <w:lang w:eastAsia="zh-CN"/>
        </w:rPr>
        <w:t>与</w:t>
      </w:r>
      <w:r>
        <w:rPr>
          <w:rStyle w:val="18"/>
          <w:rFonts w:hint="eastAsia" w:ascii="仿宋" w:hAnsi="仿宋" w:eastAsia="仿宋"/>
          <w:b w:val="0"/>
          <w:bCs/>
          <w:sz w:val="32"/>
          <w:szCs w:val="32"/>
        </w:rPr>
        <w:t>预算数</w:t>
      </w:r>
      <w:r>
        <w:rPr>
          <w:rStyle w:val="18"/>
          <w:rFonts w:hint="eastAsia" w:ascii="仿宋" w:hAnsi="仿宋" w:eastAsia="仿宋"/>
          <w:b w:val="0"/>
          <w:bCs/>
          <w:sz w:val="32"/>
          <w:szCs w:val="32"/>
          <w:lang w:eastAsia="zh-CN"/>
        </w:rPr>
        <w:t>持平</w:t>
      </w:r>
      <w:r>
        <w:rPr>
          <w:rStyle w:val="18"/>
          <w:rFonts w:hint="eastAsia" w:ascii="仿宋" w:hAnsi="仿宋" w:eastAsia="仿宋"/>
          <w:b w:val="0"/>
          <w:bCs/>
          <w:sz w:val="32"/>
          <w:szCs w:val="32"/>
        </w:rPr>
        <w:t>。</w:t>
      </w:r>
    </w:p>
    <w:p w14:paraId="2EB6E79B">
      <w:pPr>
        <w:pStyle w:val="14"/>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560" w:lineRule="exact"/>
        <w:ind w:firstLine="643" w:firstLineChars="200"/>
        <w:textAlignment w:val="auto"/>
        <w:rPr>
          <w:rStyle w:val="18"/>
          <w:rFonts w:hint="eastAsia" w:ascii="仿宋" w:hAnsi="仿宋" w:eastAsia="仿宋" w:cstheme="minorBidi"/>
          <w:b w:val="0"/>
          <w:bCs/>
          <w:kern w:val="2"/>
          <w:sz w:val="32"/>
          <w:szCs w:val="32"/>
          <w:lang w:val="en-US" w:eastAsia="zh-CN" w:bidi="ar-SA"/>
        </w:rPr>
      </w:pPr>
      <w:r>
        <w:rPr>
          <w:rStyle w:val="18"/>
          <w:rFonts w:hint="eastAsia" w:ascii="仿宋" w:hAnsi="仿宋" w:eastAsia="仿宋" w:cstheme="minorBidi"/>
          <w:bCs/>
          <w:kern w:val="2"/>
          <w:sz w:val="32"/>
          <w:szCs w:val="32"/>
          <w:lang w:val="en-US" w:eastAsia="zh-CN" w:bidi="ar-SA"/>
        </w:rPr>
        <w:t xml:space="preserve">5. 一般公共服务201（类）06（款）50（项）: </w:t>
      </w:r>
      <w:r>
        <w:rPr>
          <w:rStyle w:val="18"/>
          <w:rFonts w:hint="eastAsia" w:ascii="仿宋" w:hAnsi="仿宋" w:eastAsia="仿宋" w:cstheme="minorBidi"/>
          <w:b w:val="0"/>
          <w:bCs/>
          <w:kern w:val="2"/>
          <w:sz w:val="32"/>
          <w:szCs w:val="32"/>
          <w:lang w:val="en-US" w:eastAsia="zh-CN" w:bidi="ar-SA"/>
        </w:rPr>
        <w:t>支出决算为811.81万元，完成预算100%。</w:t>
      </w:r>
    </w:p>
    <w:p w14:paraId="6722551B">
      <w:pPr>
        <w:pStyle w:val="14"/>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560" w:lineRule="exact"/>
        <w:ind w:firstLine="643" w:firstLineChars="200"/>
        <w:textAlignment w:val="auto"/>
        <w:rPr>
          <w:rStyle w:val="18"/>
          <w:rFonts w:hint="eastAsia" w:ascii="仿宋" w:hAnsi="仿宋" w:eastAsia="仿宋"/>
          <w:b w:val="0"/>
          <w:bCs/>
          <w:sz w:val="32"/>
          <w:szCs w:val="32"/>
        </w:rPr>
      </w:pPr>
      <w:r>
        <w:rPr>
          <w:rStyle w:val="18"/>
          <w:rFonts w:hint="eastAsia" w:ascii="仿宋" w:hAnsi="仿宋" w:eastAsia="仿宋"/>
          <w:bCs/>
          <w:sz w:val="32"/>
          <w:szCs w:val="32"/>
          <w:lang w:val="en-US" w:eastAsia="zh-CN"/>
        </w:rPr>
        <w:t>6.</w:t>
      </w:r>
      <w:r>
        <w:rPr>
          <w:rStyle w:val="18"/>
          <w:rFonts w:hint="eastAsia" w:ascii="仿宋" w:hAnsi="仿宋" w:eastAsia="仿宋"/>
          <w:bCs/>
          <w:sz w:val="32"/>
          <w:szCs w:val="32"/>
        </w:rPr>
        <w:t>一般公共服务</w:t>
      </w:r>
      <w:r>
        <w:rPr>
          <w:rStyle w:val="18"/>
          <w:rFonts w:hint="eastAsia" w:ascii="仿宋" w:hAnsi="仿宋" w:eastAsia="仿宋"/>
          <w:bCs/>
          <w:sz w:val="32"/>
          <w:szCs w:val="32"/>
          <w:lang w:val="en-US" w:eastAsia="zh-CN"/>
        </w:rPr>
        <w:t>201</w:t>
      </w:r>
      <w:r>
        <w:rPr>
          <w:rStyle w:val="18"/>
          <w:rFonts w:hint="eastAsia" w:ascii="仿宋" w:hAnsi="仿宋" w:eastAsia="仿宋"/>
          <w:bCs/>
          <w:sz w:val="32"/>
          <w:szCs w:val="32"/>
        </w:rPr>
        <w:t>（类）</w:t>
      </w:r>
      <w:r>
        <w:rPr>
          <w:rStyle w:val="18"/>
          <w:rFonts w:hint="eastAsia" w:ascii="仿宋" w:hAnsi="仿宋" w:eastAsia="仿宋"/>
          <w:bCs/>
          <w:sz w:val="32"/>
          <w:szCs w:val="32"/>
          <w:lang w:val="en-US" w:eastAsia="zh-CN"/>
        </w:rPr>
        <w:t>06</w:t>
      </w:r>
      <w:r>
        <w:rPr>
          <w:rStyle w:val="18"/>
          <w:rFonts w:hint="eastAsia" w:ascii="仿宋" w:hAnsi="仿宋" w:eastAsia="仿宋"/>
          <w:bCs/>
          <w:sz w:val="32"/>
          <w:szCs w:val="32"/>
        </w:rPr>
        <w:t>（款）</w:t>
      </w:r>
      <w:r>
        <w:rPr>
          <w:rStyle w:val="18"/>
          <w:rFonts w:hint="eastAsia" w:ascii="仿宋" w:hAnsi="仿宋" w:eastAsia="仿宋"/>
          <w:bCs/>
          <w:sz w:val="32"/>
          <w:szCs w:val="32"/>
          <w:lang w:val="en-US" w:eastAsia="zh-CN"/>
        </w:rPr>
        <w:t>99</w:t>
      </w:r>
      <w:r>
        <w:rPr>
          <w:rStyle w:val="18"/>
          <w:rFonts w:hint="eastAsia" w:ascii="仿宋" w:hAnsi="仿宋" w:eastAsia="仿宋"/>
          <w:bCs/>
          <w:sz w:val="32"/>
          <w:szCs w:val="32"/>
        </w:rPr>
        <w:t>（项）</w:t>
      </w:r>
      <w:r>
        <w:rPr>
          <w:rStyle w:val="18"/>
          <w:rFonts w:ascii="仿宋" w:hAnsi="仿宋" w:eastAsia="仿宋"/>
          <w:bCs/>
          <w:sz w:val="32"/>
          <w:szCs w:val="32"/>
        </w:rPr>
        <w:t>:</w:t>
      </w:r>
      <w:r>
        <w:rPr>
          <w:rStyle w:val="18"/>
          <w:rFonts w:ascii="仿宋" w:hAnsi="仿宋" w:eastAsia="仿宋"/>
          <w:b w:val="0"/>
          <w:bCs/>
          <w:sz w:val="32"/>
          <w:szCs w:val="32"/>
        </w:rPr>
        <w:t xml:space="preserve"> </w:t>
      </w:r>
      <w:r>
        <w:rPr>
          <w:rStyle w:val="18"/>
          <w:rFonts w:hint="eastAsia" w:ascii="仿宋" w:hAnsi="仿宋" w:eastAsia="仿宋"/>
          <w:b w:val="0"/>
          <w:bCs/>
          <w:sz w:val="32"/>
          <w:szCs w:val="32"/>
        </w:rPr>
        <w:t>支出决算为</w:t>
      </w:r>
      <w:r>
        <w:rPr>
          <w:rStyle w:val="18"/>
          <w:rFonts w:hint="eastAsia" w:ascii="仿宋" w:hAnsi="仿宋" w:eastAsia="仿宋"/>
          <w:b w:val="0"/>
          <w:bCs/>
          <w:sz w:val="32"/>
          <w:szCs w:val="32"/>
          <w:lang w:val="en-US" w:eastAsia="zh-CN"/>
        </w:rPr>
        <w:t>9.92</w:t>
      </w:r>
      <w:r>
        <w:rPr>
          <w:rStyle w:val="18"/>
          <w:rFonts w:hint="eastAsia" w:ascii="仿宋" w:hAnsi="仿宋" w:eastAsia="仿宋"/>
          <w:b w:val="0"/>
          <w:bCs/>
          <w:sz w:val="32"/>
          <w:szCs w:val="32"/>
        </w:rPr>
        <w:t>万元，完成预算</w:t>
      </w:r>
      <w:r>
        <w:rPr>
          <w:rStyle w:val="18"/>
          <w:rFonts w:hint="eastAsia" w:ascii="仿宋" w:hAnsi="仿宋" w:eastAsia="仿宋"/>
          <w:b w:val="0"/>
          <w:bCs/>
          <w:sz w:val="32"/>
          <w:szCs w:val="32"/>
          <w:lang w:val="en-US" w:eastAsia="zh-CN"/>
        </w:rPr>
        <w:t>100</w:t>
      </w:r>
      <w:r>
        <w:rPr>
          <w:rStyle w:val="18"/>
          <w:rFonts w:ascii="仿宋" w:hAnsi="仿宋" w:eastAsia="仿宋"/>
          <w:b w:val="0"/>
          <w:bCs/>
          <w:sz w:val="32"/>
          <w:szCs w:val="32"/>
        </w:rPr>
        <w:t>%</w:t>
      </w:r>
      <w:r>
        <w:rPr>
          <w:rStyle w:val="18"/>
          <w:rFonts w:hint="eastAsia" w:ascii="仿宋" w:hAnsi="仿宋" w:eastAsia="仿宋"/>
          <w:b w:val="0"/>
          <w:bCs/>
          <w:sz w:val="32"/>
          <w:szCs w:val="32"/>
        </w:rPr>
        <w:t>，决算数</w:t>
      </w:r>
      <w:r>
        <w:rPr>
          <w:rStyle w:val="18"/>
          <w:rFonts w:hint="eastAsia" w:ascii="仿宋" w:hAnsi="仿宋" w:eastAsia="仿宋"/>
          <w:b w:val="0"/>
          <w:bCs/>
          <w:sz w:val="32"/>
          <w:szCs w:val="32"/>
          <w:lang w:eastAsia="zh-CN"/>
        </w:rPr>
        <w:t>与</w:t>
      </w:r>
      <w:r>
        <w:rPr>
          <w:rStyle w:val="18"/>
          <w:rFonts w:hint="eastAsia" w:ascii="仿宋" w:hAnsi="仿宋" w:eastAsia="仿宋"/>
          <w:b w:val="0"/>
          <w:bCs/>
          <w:sz w:val="32"/>
          <w:szCs w:val="32"/>
        </w:rPr>
        <w:t>预算数</w:t>
      </w:r>
      <w:r>
        <w:rPr>
          <w:rStyle w:val="18"/>
          <w:rFonts w:hint="eastAsia" w:ascii="仿宋" w:hAnsi="仿宋" w:eastAsia="仿宋"/>
          <w:b w:val="0"/>
          <w:bCs/>
          <w:sz w:val="32"/>
          <w:szCs w:val="32"/>
          <w:lang w:eastAsia="zh-CN"/>
        </w:rPr>
        <w:t>持平</w:t>
      </w:r>
      <w:r>
        <w:rPr>
          <w:rStyle w:val="18"/>
          <w:rFonts w:hint="eastAsia" w:ascii="仿宋" w:hAnsi="仿宋" w:eastAsia="仿宋"/>
          <w:b w:val="0"/>
          <w:bCs/>
          <w:sz w:val="32"/>
          <w:szCs w:val="32"/>
        </w:rPr>
        <w:t>。</w:t>
      </w:r>
    </w:p>
    <w:p w14:paraId="573BAB8B">
      <w:pPr>
        <w:pStyle w:val="14"/>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560" w:lineRule="exact"/>
        <w:ind w:firstLine="643" w:firstLineChars="200"/>
        <w:textAlignment w:val="auto"/>
        <w:rPr>
          <w:rStyle w:val="18"/>
          <w:rFonts w:hint="eastAsia" w:ascii="仿宋" w:hAnsi="仿宋" w:eastAsia="仿宋" w:cstheme="minorBidi"/>
          <w:b w:val="0"/>
          <w:bCs/>
          <w:kern w:val="2"/>
          <w:sz w:val="32"/>
          <w:szCs w:val="32"/>
          <w:lang w:val="en-US" w:eastAsia="zh-CN" w:bidi="ar-SA"/>
        </w:rPr>
      </w:pPr>
      <w:r>
        <w:rPr>
          <w:rStyle w:val="18"/>
          <w:rFonts w:hint="eastAsia" w:ascii="仿宋" w:hAnsi="仿宋" w:eastAsia="仿宋" w:cstheme="minorBidi"/>
          <w:bCs/>
          <w:kern w:val="2"/>
          <w:sz w:val="32"/>
          <w:szCs w:val="32"/>
          <w:lang w:val="en-US" w:eastAsia="zh-CN" w:bidi="ar-SA"/>
        </w:rPr>
        <w:t xml:space="preserve">7. 社会保障和就业208（类）05（款）05（项）: </w:t>
      </w:r>
      <w:r>
        <w:rPr>
          <w:rStyle w:val="18"/>
          <w:rFonts w:hint="eastAsia" w:ascii="仿宋" w:hAnsi="仿宋" w:eastAsia="仿宋" w:cstheme="minorBidi"/>
          <w:b w:val="0"/>
          <w:bCs/>
          <w:kern w:val="2"/>
          <w:sz w:val="32"/>
          <w:szCs w:val="32"/>
          <w:lang w:val="en-US" w:eastAsia="zh-CN" w:bidi="ar-SA"/>
        </w:rPr>
        <w:t>支出决算为60.17万元，完成预算100%。</w:t>
      </w:r>
      <w:r>
        <w:rPr>
          <w:rStyle w:val="18"/>
          <w:rFonts w:hint="eastAsia" w:ascii="仿宋" w:hAnsi="仿宋" w:eastAsia="仿宋"/>
          <w:b w:val="0"/>
          <w:bCs/>
          <w:sz w:val="32"/>
          <w:szCs w:val="32"/>
        </w:rPr>
        <w:t>决算数</w:t>
      </w:r>
      <w:r>
        <w:rPr>
          <w:rStyle w:val="18"/>
          <w:rFonts w:hint="eastAsia" w:ascii="仿宋" w:hAnsi="仿宋" w:eastAsia="仿宋"/>
          <w:b w:val="0"/>
          <w:bCs/>
          <w:sz w:val="32"/>
          <w:szCs w:val="32"/>
          <w:lang w:eastAsia="zh-CN"/>
        </w:rPr>
        <w:t>与</w:t>
      </w:r>
      <w:r>
        <w:rPr>
          <w:rStyle w:val="18"/>
          <w:rFonts w:hint="eastAsia" w:ascii="仿宋" w:hAnsi="仿宋" w:eastAsia="仿宋"/>
          <w:b w:val="0"/>
          <w:bCs/>
          <w:sz w:val="32"/>
          <w:szCs w:val="32"/>
        </w:rPr>
        <w:t>预算数</w:t>
      </w:r>
      <w:r>
        <w:rPr>
          <w:rStyle w:val="18"/>
          <w:rFonts w:hint="eastAsia" w:ascii="仿宋" w:hAnsi="仿宋" w:eastAsia="仿宋"/>
          <w:b w:val="0"/>
          <w:bCs/>
          <w:sz w:val="32"/>
          <w:szCs w:val="32"/>
          <w:lang w:eastAsia="zh-CN"/>
        </w:rPr>
        <w:t>持平</w:t>
      </w:r>
      <w:r>
        <w:rPr>
          <w:rStyle w:val="18"/>
          <w:rFonts w:hint="eastAsia" w:ascii="仿宋" w:hAnsi="仿宋" w:eastAsia="仿宋"/>
          <w:b w:val="0"/>
          <w:bCs/>
          <w:sz w:val="32"/>
          <w:szCs w:val="32"/>
        </w:rPr>
        <w:t>。</w:t>
      </w:r>
    </w:p>
    <w:p w14:paraId="31AB2C4F">
      <w:pPr>
        <w:pStyle w:val="14"/>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560" w:lineRule="exact"/>
        <w:ind w:firstLine="643" w:firstLineChars="200"/>
        <w:textAlignment w:val="auto"/>
        <w:rPr>
          <w:rStyle w:val="18"/>
          <w:rFonts w:hint="eastAsia" w:ascii="仿宋" w:hAnsi="仿宋" w:eastAsia="仿宋" w:cstheme="minorBidi"/>
          <w:b w:val="0"/>
          <w:bCs/>
          <w:kern w:val="2"/>
          <w:sz w:val="32"/>
          <w:szCs w:val="32"/>
          <w:lang w:val="en-US" w:eastAsia="zh-CN" w:bidi="ar-SA"/>
        </w:rPr>
      </w:pPr>
      <w:r>
        <w:rPr>
          <w:rStyle w:val="18"/>
          <w:rFonts w:hint="eastAsia" w:ascii="仿宋" w:hAnsi="仿宋" w:eastAsia="仿宋" w:cstheme="minorBidi"/>
          <w:bCs/>
          <w:kern w:val="2"/>
          <w:sz w:val="32"/>
          <w:szCs w:val="32"/>
          <w:lang w:val="en-US" w:eastAsia="zh-CN" w:bidi="ar-SA"/>
        </w:rPr>
        <w:t xml:space="preserve">8.社会保障和就业208（类）05（款）06（项）: </w:t>
      </w:r>
      <w:r>
        <w:rPr>
          <w:rStyle w:val="18"/>
          <w:rFonts w:hint="eastAsia" w:ascii="仿宋" w:hAnsi="仿宋" w:eastAsia="仿宋" w:cstheme="minorBidi"/>
          <w:b w:val="0"/>
          <w:bCs/>
          <w:kern w:val="2"/>
          <w:sz w:val="32"/>
          <w:szCs w:val="32"/>
          <w:lang w:val="en-US" w:eastAsia="zh-CN" w:bidi="ar-SA"/>
        </w:rPr>
        <w:t>支出决算为40.99万元，完成预算100%。</w:t>
      </w:r>
      <w:r>
        <w:rPr>
          <w:rStyle w:val="18"/>
          <w:rFonts w:hint="eastAsia" w:ascii="仿宋" w:hAnsi="仿宋" w:eastAsia="仿宋"/>
          <w:b w:val="0"/>
          <w:bCs/>
          <w:sz w:val="32"/>
          <w:szCs w:val="32"/>
        </w:rPr>
        <w:t>决算数</w:t>
      </w:r>
      <w:r>
        <w:rPr>
          <w:rStyle w:val="18"/>
          <w:rFonts w:hint="eastAsia" w:ascii="仿宋" w:hAnsi="仿宋" w:eastAsia="仿宋"/>
          <w:b w:val="0"/>
          <w:bCs/>
          <w:sz w:val="32"/>
          <w:szCs w:val="32"/>
          <w:lang w:eastAsia="zh-CN"/>
        </w:rPr>
        <w:t>与</w:t>
      </w:r>
      <w:r>
        <w:rPr>
          <w:rStyle w:val="18"/>
          <w:rFonts w:hint="eastAsia" w:ascii="仿宋" w:hAnsi="仿宋" w:eastAsia="仿宋"/>
          <w:b w:val="0"/>
          <w:bCs/>
          <w:sz w:val="32"/>
          <w:szCs w:val="32"/>
        </w:rPr>
        <w:t>预算数</w:t>
      </w:r>
      <w:r>
        <w:rPr>
          <w:rStyle w:val="18"/>
          <w:rFonts w:hint="eastAsia" w:ascii="仿宋" w:hAnsi="仿宋" w:eastAsia="仿宋"/>
          <w:b w:val="0"/>
          <w:bCs/>
          <w:sz w:val="32"/>
          <w:szCs w:val="32"/>
          <w:lang w:eastAsia="zh-CN"/>
        </w:rPr>
        <w:t>持平</w:t>
      </w:r>
      <w:r>
        <w:rPr>
          <w:rStyle w:val="18"/>
          <w:rFonts w:hint="eastAsia" w:ascii="仿宋" w:hAnsi="仿宋" w:eastAsia="仿宋"/>
          <w:b w:val="0"/>
          <w:bCs/>
          <w:sz w:val="32"/>
          <w:szCs w:val="32"/>
        </w:rPr>
        <w:t>。</w:t>
      </w:r>
    </w:p>
    <w:p w14:paraId="51212235">
      <w:pPr>
        <w:pStyle w:val="14"/>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560" w:lineRule="exact"/>
        <w:ind w:firstLine="643" w:firstLineChars="200"/>
        <w:textAlignment w:val="auto"/>
        <w:rPr>
          <w:rStyle w:val="18"/>
          <w:rFonts w:hint="eastAsia" w:ascii="仿宋" w:hAnsi="仿宋" w:eastAsia="仿宋" w:cstheme="minorBidi"/>
          <w:b w:val="0"/>
          <w:bCs/>
          <w:kern w:val="2"/>
          <w:sz w:val="32"/>
          <w:szCs w:val="32"/>
          <w:lang w:val="en-US" w:eastAsia="zh-CN" w:bidi="ar-SA"/>
        </w:rPr>
      </w:pPr>
      <w:r>
        <w:rPr>
          <w:rStyle w:val="18"/>
          <w:rFonts w:hint="eastAsia" w:ascii="仿宋" w:hAnsi="仿宋" w:eastAsia="仿宋" w:cstheme="minorBidi"/>
          <w:bCs/>
          <w:kern w:val="2"/>
          <w:sz w:val="32"/>
          <w:szCs w:val="32"/>
          <w:lang w:val="en-US" w:eastAsia="zh-CN" w:bidi="ar-SA"/>
        </w:rPr>
        <w:t>9.卫生健康210（类）11（款）02（项）:</w:t>
      </w:r>
      <w:r>
        <w:rPr>
          <w:rStyle w:val="18"/>
          <w:rFonts w:hint="eastAsia" w:ascii="仿宋" w:hAnsi="仿宋" w:eastAsia="仿宋" w:cstheme="minorBidi"/>
          <w:b w:val="0"/>
          <w:bCs/>
          <w:kern w:val="2"/>
          <w:sz w:val="32"/>
          <w:szCs w:val="32"/>
          <w:lang w:val="en-US" w:eastAsia="zh-CN" w:bidi="ar-SA"/>
        </w:rPr>
        <w:t>支出决算为11.16万元，完成预算100%。</w:t>
      </w:r>
      <w:r>
        <w:rPr>
          <w:rStyle w:val="18"/>
          <w:rFonts w:hint="eastAsia" w:ascii="仿宋" w:hAnsi="仿宋" w:eastAsia="仿宋"/>
          <w:b w:val="0"/>
          <w:bCs/>
          <w:sz w:val="32"/>
          <w:szCs w:val="32"/>
        </w:rPr>
        <w:t>决算数</w:t>
      </w:r>
      <w:r>
        <w:rPr>
          <w:rStyle w:val="18"/>
          <w:rFonts w:hint="eastAsia" w:ascii="仿宋" w:hAnsi="仿宋" w:eastAsia="仿宋"/>
          <w:b w:val="0"/>
          <w:bCs/>
          <w:sz w:val="32"/>
          <w:szCs w:val="32"/>
          <w:lang w:eastAsia="zh-CN"/>
        </w:rPr>
        <w:t>与</w:t>
      </w:r>
      <w:r>
        <w:rPr>
          <w:rStyle w:val="18"/>
          <w:rFonts w:hint="eastAsia" w:ascii="仿宋" w:hAnsi="仿宋" w:eastAsia="仿宋"/>
          <w:b w:val="0"/>
          <w:bCs/>
          <w:sz w:val="32"/>
          <w:szCs w:val="32"/>
        </w:rPr>
        <w:t>预算数</w:t>
      </w:r>
      <w:r>
        <w:rPr>
          <w:rStyle w:val="18"/>
          <w:rFonts w:hint="eastAsia" w:ascii="仿宋" w:hAnsi="仿宋" w:eastAsia="仿宋"/>
          <w:b w:val="0"/>
          <w:bCs/>
          <w:sz w:val="32"/>
          <w:szCs w:val="32"/>
          <w:lang w:eastAsia="zh-CN"/>
        </w:rPr>
        <w:t>持平</w:t>
      </w:r>
      <w:r>
        <w:rPr>
          <w:rStyle w:val="18"/>
          <w:rFonts w:hint="eastAsia" w:ascii="仿宋" w:hAnsi="仿宋" w:eastAsia="仿宋"/>
          <w:b w:val="0"/>
          <w:bCs/>
          <w:sz w:val="32"/>
          <w:szCs w:val="32"/>
        </w:rPr>
        <w:t>。</w:t>
      </w:r>
    </w:p>
    <w:p w14:paraId="428ED0EE">
      <w:pPr>
        <w:pStyle w:val="14"/>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560" w:lineRule="exact"/>
        <w:ind w:firstLine="643" w:firstLineChars="200"/>
        <w:textAlignment w:val="auto"/>
        <w:rPr>
          <w:rStyle w:val="18"/>
          <w:rFonts w:hint="eastAsia" w:ascii="仿宋" w:hAnsi="仿宋" w:eastAsia="仿宋" w:cstheme="minorBidi"/>
          <w:b w:val="0"/>
          <w:bCs/>
          <w:kern w:val="2"/>
          <w:sz w:val="32"/>
          <w:szCs w:val="32"/>
          <w:lang w:val="en-US" w:eastAsia="zh-CN" w:bidi="ar-SA"/>
        </w:rPr>
      </w:pPr>
      <w:r>
        <w:rPr>
          <w:rStyle w:val="18"/>
          <w:rFonts w:hint="eastAsia" w:ascii="仿宋" w:hAnsi="仿宋" w:eastAsia="仿宋" w:cstheme="minorBidi"/>
          <w:bCs/>
          <w:kern w:val="2"/>
          <w:sz w:val="32"/>
          <w:szCs w:val="32"/>
          <w:lang w:val="en-US" w:eastAsia="zh-CN" w:bidi="ar-SA"/>
        </w:rPr>
        <w:t>10.卫生健康210（类）11（款）99（项）:</w:t>
      </w:r>
      <w:r>
        <w:rPr>
          <w:rStyle w:val="18"/>
          <w:rFonts w:hint="eastAsia" w:ascii="仿宋" w:hAnsi="仿宋" w:eastAsia="仿宋" w:cstheme="minorBidi"/>
          <w:b w:val="0"/>
          <w:bCs/>
          <w:kern w:val="2"/>
          <w:sz w:val="32"/>
          <w:szCs w:val="32"/>
          <w:lang w:val="en-US" w:eastAsia="zh-CN" w:bidi="ar-SA"/>
        </w:rPr>
        <w:t>支出决算为33.32万元，完成预算100%。</w:t>
      </w:r>
      <w:r>
        <w:rPr>
          <w:rStyle w:val="18"/>
          <w:rFonts w:hint="eastAsia" w:ascii="仿宋" w:hAnsi="仿宋" w:eastAsia="仿宋"/>
          <w:b w:val="0"/>
          <w:bCs/>
          <w:sz w:val="32"/>
          <w:szCs w:val="32"/>
        </w:rPr>
        <w:t>决算数</w:t>
      </w:r>
      <w:r>
        <w:rPr>
          <w:rStyle w:val="18"/>
          <w:rFonts w:hint="eastAsia" w:ascii="仿宋" w:hAnsi="仿宋" w:eastAsia="仿宋"/>
          <w:b w:val="0"/>
          <w:bCs/>
          <w:sz w:val="32"/>
          <w:szCs w:val="32"/>
          <w:lang w:eastAsia="zh-CN"/>
        </w:rPr>
        <w:t>与</w:t>
      </w:r>
      <w:r>
        <w:rPr>
          <w:rStyle w:val="18"/>
          <w:rFonts w:hint="eastAsia" w:ascii="仿宋" w:hAnsi="仿宋" w:eastAsia="仿宋"/>
          <w:b w:val="0"/>
          <w:bCs/>
          <w:sz w:val="32"/>
          <w:szCs w:val="32"/>
        </w:rPr>
        <w:t>预算数</w:t>
      </w:r>
      <w:r>
        <w:rPr>
          <w:rStyle w:val="18"/>
          <w:rFonts w:hint="eastAsia" w:ascii="仿宋" w:hAnsi="仿宋" w:eastAsia="仿宋"/>
          <w:b w:val="0"/>
          <w:bCs/>
          <w:sz w:val="32"/>
          <w:szCs w:val="32"/>
          <w:lang w:eastAsia="zh-CN"/>
        </w:rPr>
        <w:t>持平</w:t>
      </w:r>
      <w:r>
        <w:rPr>
          <w:rStyle w:val="18"/>
          <w:rFonts w:hint="eastAsia" w:ascii="仿宋" w:hAnsi="仿宋" w:eastAsia="仿宋"/>
          <w:b w:val="0"/>
          <w:bCs/>
          <w:sz w:val="32"/>
          <w:szCs w:val="32"/>
        </w:rPr>
        <w:t>。</w:t>
      </w:r>
    </w:p>
    <w:p w14:paraId="6F4073A8">
      <w:pPr>
        <w:pStyle w:val="14"/>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560" w:lineRule="exact"/>
        <w:ind w:firstLine="643" w:firstLineChars="200"/>
        <w:textAlignment w:val="auto"/>
        <w:rPr>
          <w:rStyle w:val="18"/>
          <w:rFonts w:hint="eastAsia" w:ascii="仿宋" w:hAnsi="仿宋" w:eastAsia="仿宋" w:cstheme="minorBidi"/>
          <w:b w:val="0"/>
          <w:bCs/>
          <w:kern w:val="2"/>
          <w:sz w:val="32"/>
          <w:szCs w:val="32"/>
          <w:lang w:val="en-US" w:eastAsia="zh-CN" w:bidi="ar-SA"/>
        </w:rPr>
      </w:pPr>
      <w:r>
        <w:rPr>
          <w:rStyle w:val="18"/>
          <w:rFonts w:hint="eastAsia" w:ascii="仿宋" w:hAnsi="仿宋" w:eastAsia="仿宋" w:cstheme="minorBidi"/>
          <w:bCs/>
          <w:kern w:val="2"/>
          <w:sz w:val="32"/>
          <w:szCs w:val="32"/>
          <w:lang w:val="en-US" w:eastAsia="zh-CN" w:bidi="ar-SA"/>
        </w:rPr>
        <w:t>11.住房保障221（类）02（款）01（项）:</w:t>
      </w:r>
      <w:r>
        <w:rPr>
          <w:rStyle w:val="18"/>
          <w:rFonts w:hint="eastAsia" w:ascii="仿宋" w:hAnsi="仿宋" w:eastAsia="仿宋" w:cstheme="minorBidi"/>
          <w:b w:val="0"/>
          <w:bCs/>
          <w:kern w:val="2"/>
          <w:sz w:val="32"/>
          <w:szCs w:val="32"/>
          <w:lang w:val="en-US" w:eastAsia="zh-CN" w:bidi="ar-SA"/>
        </w:rPr>
        <w:t>支出决算为57.39万元，完成预算100%。</w:t>
      </w:r>
      <w:r>
        <w:rPr>
          <w:rStyle w:val="18"/>
          <w:rFonts w:hint="eastAsia" w:ascii="仿宋" w:hAnsi="仿宋" w:eastAsia="仿宋"/>
          <w:b w:val="0"/>
          <w:bCs/>
          <w:sz w:val="32"/>
          <w:szCs w:val="32"/>
        </w:rPr>
        <w:t>决算数</w:t>
      </w:r>
      <w:r>
        <w:rPr>
          <w:rStyle w:val="18"/>
          <w:rFonts w:hint="eastAsia" w:ascii="仿宋" w:hAnsi="仿宋" w:eastAsia="仿宋"/>
          <w:b w:val="0"/>
          <w:bCs/>
          <w:sz w:val="32"/>
          <w:szCs w:val="32"/>
          <w:lang w:eastAsia="zh-CN"/>
        </w:rPr>
        <w:t>与</w:t>
      </w:r>
      <w:r>
        <w:rPr>
          <w:rStyle w:val="18"/>
          <w:rFonts w:hint="eastAsia" w:ascii="仿宋" w:hAnsi="仿宋" w:eastAsia="仿宋"/>
          <w:b w:val="0"/>
          <w:bCs/>
          <w:sz w:val="32"/>
          <w:szCs w:val="32"/>
        </w:rPr>
        <w:t>预算数</w:t>
      </w:r>
      <w:r>
        <w:rPr>
          <w:rStyle w:val="18"/>
          <w:rFonts w:hint="eastAsia" w:ascii="仿宋" w:hAnsi="仿宋" w:eastAsia="仿宋"/>
          <w:b w:val="0"/>
          <w:bCs/>
          <w:sz w:val="32"/>
          <w:szCs w:val="32"/>
          <w:lang w:eastAsia="zh-CN"/>
        </w:rPr>
        <w:t>持平</w:t>
      </w:r>
      <w:r>
        <w:rPr>
          <w:rStyle w:val="18"/>
          <w:rFonts w:hint="eastAsia" w:ascii="仿宋" w:hAnsi="仿宋" w:eastAsia="仿宋"/>
          <w:b w:val="0"/>
          <w:bCs/>
          <w:sz w:val="32"/>
          <w:szCs w:val="32"/>
        </w:rPr>
        <w:t>。</w:t>
      </w:r>
    </w:p>
    <w:p w14:paraId="38A5EB84">
      <w:pPr>
        <w:spacing w:line="600" w:lineRule="exact"/>
        <w:ind w:firstLine="643" w:firstLineChars="200"/>
        <w:rPr>
          <w:rFonts w:ascii="仿宋" w:hAnsi="仿宋" w:eastAsia="仿宋"/>
          <w:b/>
          <w:sz w:val="32"/>
          <w:szCs w:val="32"/>
        </w:rPr>
      </w:pPr>
      <w:r>
        <w:rPr>
          <w:rFonts w:hint="eastAsia" w:ascii="仿宋" w:hAnsi="仿宋" w:eastAsia="仿宋"/>
          <w:b/>
          <w:sz w:val="32"/>
          <w:szCs w:val="32"/>
        </w:rPr>
        <w:t>（注：数据来源于财决</w:t>
      </w:r>
      <w:r>
        <w:rPr>
          <w:rFonts w:ascii="仿宋" w:hAnsi="仿宋" w:eastAsia="仿宋"/>
          <w:b/>
          <w:sz w:val="32"/>
          <w:szCs w:val="32"/>
        </w:rPr>
        <w:t>0</w:t>
      </w:r>
      <w:r>
        <w:rPr>
          <w:rFonts w:hint="eastAsia" w:ascii="仿宋" w:hAnsi="仿宋" w:eastAsia="仿宋"/>
          <w:b/>
          <w:sz w:val="32"/>
          <w:szCs w:val="32"/>
        </w:rPr>
        <w:t>1-1表和财决08表，仅罗列本单位涉及的全部功能分类科目，至项级。上述“预算”口径为全年预算数。增减变动原因为决算数</w:t>
      </w:r>
      <w:r>
        <w:rPr>
          <w:rFonts w:ascii="仿宋" w:hAnsi="仿宋" w:eastAsia="仿宋"/>
          <w:b/>
          <w:sz w:val="32"/>
          <w:szCs w:val="32"/>
        </w:rPr>
        <w:t>&lt;</w:t>
      </w:r>
      <w:r>
        <w:rPr>
          <w:rFonts w:hint="eastAsia" w:ascii="仿宋" w:hAnsi="仿宋" w:eastAsia="仿宋"/>
          <w:b/>
          <w:sz w:val="32"/>
          <w:szCs w:val="32"/>
        </w:rPr>
        <w:t>项级</w:t>
      </w:r>
      <w:r>
        <w:rPr>
          <w:rFonts w:ascii="仿宋" w:hAnsi="仿宋" w:eastAsia="仿宋"/>
          <w:b/>
          <w:sz w:val="32"/>
          <w:szCs w:val="32"/>
        </w:rPr>
        <w:t>&gt;</w:t>
      </w:r>
      <w:r>
        <w:rPr>
          <w:rFonts w:hint="eastAsia" w:ascii="仿宋" w:hAnsi="仿宋" w:eastAsia="仿宋"/>
          <w:b/>
          <w:sz w:val="32"/>
          <w:szCs w:val="32"/>
        </w:rPr>
        <w:t>和全年预算数</w:t>
      </w:r>
      <w:r>
        <w:rPr>
          <w:rFonts w:ascii="仿宋" w:hAnsi="仿宋" w:eastAsia="仿宋"/>
          <w:b/>
          <w:sz w:val="32"/>
          <w:szCs w:val="32"/>
        </w:rPr>
        <w:t>&lt;</w:t>
      </w:r>
      <w:r>
        <w:rPr>
          <w:rFonts w:hint="eastAsia" w:ascii="仿宋" w:hAnsi="仿宋" w:eastAsia="仿宋"/>
          <w:b/>
          <w:sz w:val="32"/>
          <w:szCs w:val="32"/>
        </w:rPr>
        <w:t>项级</w:t>
      </w:r>
      <w:r>
        <w:rPr>
          <w:rFonts w:ascii="仿宋" w:hAnsi="仿宋" w:eastAsia="仿宋"/>
          <w:b/>
          <w:sz w:val="32"/>
          <w:szCs w:val="32"/>
        </w:rPr>
        <w:t>&gt;</w:t>
      </w:r>
      <w:r>
        <w:rPr>
          <w:rFonts w:hint="eastAsia" w:ascii="仿宋" w:hAnsi="仿宋" w:eastAsia="仿宋"/>
          <w:b/>
          <w:sz w:val="32"/>
          <w:szCs w:val="32"/>
        </w:rPr>
        <w:t>比较，与预算数持平可以不写原因。）</w:t>
      </w:r>
    </w:p>
    <w:p w14:paraId="2158934F">
      <w:pPr>
        <w:spacing w:line="600" w:lineRule="exact"/>
        <w:ind w:firstLine="640"/>
        <w:rPr>
          <w:rFonts w:ascii="仿宋" w:hAnsi="仿宋" w:eastAsia="仿宋"/>
          <w:b/>
          <w:sz w:val="32"/>
          <w:szCs w:val="32"/>
        </w:rPr>
      </w:pPr>
    </w:p>
    <w:p w14:paraId="1223434E">
      <w:pPr>
        <w:tabs>
          <w:tab w:val="right" w:pos="8306"/>
        </w:tabs>
        <w:spacing w:line="600" w:lineRule="exact"/>
        <w:ind w:firstLine="640"/>
        <w:outlineLvl w:val="1"/>
        <w:rPr>
          <w:rStyle w:val="30"/>
        </w:rPr>
      </w:pPr>
      <w:bookmarkStart w:id="34" w:name="_Toc15396608"/>
      <w:bookmarkStart w:id="35" w:name="_Toc15377214"/>
      <w:r>
        <w:rPr>
          <w:rFonts w:hint="eastAsia" w:ascii="黑体" w:eastAsia="黑体"/>
          <w:sz w:val="32"/>
          <w:szCs w:val="32"/>
        </w:rPr>
        <w:t>六</w:t>
      </w:r>
      <w:r>
        <w:rPr>
          <w:rFonts w:hint="eastAsia" w:ascii="黑体" w:eastAsia="黑体"/>
          <w:b/>
          <w:sz w:val="32"/>
          <w:szCs w:val="32"/>
        </w:rPr>
        <w:t>、</w:t>
      </w:r>
      <w:r>
        <w:rPr>
          <w:rFonts w:hint="eastAsia" w:ascii="黑体" w:hAnsi="黑体" w:eastAsia="黑体"/>
          <w:b/>
          <w:sz w:val="32"/>
          <w:szCs w:val="32"/>
        </w:rPr>
        <w:t>一</w:t>
      </w:r>
      <w:r>
        <w:rPr>
          <w:rStyle w:val="30"/>
          <w:rFonts w:hint="eastAsia" w:ascii="黑体" w:hAnsi="黑体" w:eastAsia="黑体"/>
          <w:b w:val="0"/>
        </w:rPr>
        <w:t>般公共预算财政拨款基本支出决算情况说明</w:t>
      </w:r>
      <w:bookmarkEnd w:id="34"/>
      <w:bookmarkEnd w:id="35"/>
      <w:r>
        <w:rPr>
          <w:rStyle w:val="30"/>
          <w:rFonts w:ascii="黑体" w:hAnsi="黑体" w:eastAsia="黑体"/>
          <w:b w:val="0"/>
        </w:rPr>
        <w:tab/>
      </w:r>
    </w:p>
    <w:p w14:paraId="47C79816">
      <w:pPr>
        <w:spacing w:line="600" w:lineRule="exact"/>
        <w:ind w:firstLine="645"/>
        <w:rPr>
          <w:rFonts w:ascii="仿宋" w:hAnsi="仿宋" w:eastAsia="仿宋"/>
          <w:sz w:val="32"/>
          <w:szCs w:val="32"/>
        </w:rPr>
      </w:pPr>
      <w:r>
        <w:rPr>
          <w:rFonts w:hint="eastAsia" w:ascii="仿宋" w:hAnsi="仿宋" w:eastAsia="仿宋"/>
          <w:sz w:val="32"/>
          <w:szCs w:val="32"/>
        </w:rPr>
        <w:t>2023年度一般公共预算财政拨款基本支出</w:t>
      </w:r>
      <w:r>
        <w:rPr>
          <w:rFonts w:ascii="仿宋" w:hAnsi="仿宋" w:eastAsia="仿宋"/>
          <w:b/>
          <w:sz w:val="32"/>
          <w:szCs w:val="32"/>
        </w:rPr>
        <w:t>1014.83</w:t>
      </w:r>
      <w:r>
        <w:rPr>
          <w:rFonts w:hint="eastAsia" w:ascii="仿宋" w:hAnsi="仿宋" w:eastAsia="仿宋"/>
          <w:sz w:val="32"/>
          <w:szCs w:val="32"/>
        </w:rPr>
        <w:t>万元，其中：</w:t>
      </w:r>
    </w:p>
    <w:p w14:paraId="3E7D1744">
      <w:pPr>
        <w:spacing w:line="600" w:lineRule="exact"/>
        <w:ind w:firstLine="645"/>
        <w:rPr>
          <w:rFonts w:hint="default" w:ascii="仿宋" w:hAnsi="仿宋" w:eastAsia="仿宋"/>
          <w:sz w:val="32"/>
          <w:szCs w:val="32"/>
          <w:lang w:val="en-US" w:eastAsia="zh-CN"/>
        </w:rPr>
      </w:pPr>
      <w:r>
        <w:rPr>
          <w:rFonts w:hint="eastAsia" w:ascii="仿宋" w:hAnsi="仿宋" w:eastAsia="仿宋"/>
          <w:sz w:val="32"/>
          <w:szCs w:val="32"/>
        </w:rPr>
        <w:t>人员经费</w:t>
      </w:r>
      <w:r>
        <w:rPr>
          <w:rFonts w:ascii="仿宋" w:hAnsi="仿宋" w:eastAsia="仿宋"/>
          <w:b/>
          <w:sz w:val="32"/>
          <w:szCs w:val="32"/>
        </w:rPr>
        <w:t>8</w:t>
      </w:r>
      <w:r>
        <w:rPr>
          <w:rFonts w:hint="eastAsia" w:ascii="仿宋" w:hAnsi="仿宋" w:eastAsia="仿宋"/>
          <w:b/>
          <w:sz w:val="32"/>
          <w:szCs w:val="32"/>
          <w:lang w:val="en-US" w:eastAsia="zh-CN"/>
        </w:rPr>
        <w:t>74.67</w:t>
      </w:r>
      <w:r>
        <w:rPr>
          <w:rFonts w:hint="eastAsia" w:ascii="仿宋" w:hAnsi="仿宋" w:eastAsia="仿宋"/>
          <w:sz w:val="32"/>
          <w:szCs w:val="32"/>
        </w:rPr>
        <w:t>万元，主要包括：基本工资</w:t>
      </w:r>
      <w:r>
        <w:rPr>
          <w:rFonts w:hint="eastAsia" w:ascii="仿宋" w:hAnsi="仿宋" w:eastAsia="仿宋"/>
          <w:sz w:val="32"/>
          <w:szCs w:val="32"/>
          <w:lang w:val="en-US" w:eastAsia="zh-CN"/>
        </w:rPr>
        <w:t>158.52</w:t>
      </w:r>
      <w:r>
        <w:rPr>
          <w:rFonts w:hint="eastAsia" w:ascii="仿宋" w:hAnsi="仿宋" w:eastAsia="仿宋"/>
          <w:sz w:val="32"/>
          <w:szCs w:val="32"/>
        </w:rPr>
        <w:t>万元，津贴补贴</w:t>
      </w:r>
      <w:r>
        <w:rPr>
          <w:rFonts w:hint="eastAsia" w:ascii="仿宋" w:hAnsi="仿宋" w:eastAsia="仿宋"/>
          <w:sz w:val="32"/>
          <w:szCs w:val="32"/>
          <w:lang w:val="en-US" w:eastAsia="zh-CN"/>
        </w:rPr>
        <w:t>170.85</w:t>
      </w:r>
      <w:r>
        <w:rPr>
          <w:rFonts w:hint="eastAsia" w:ascii="仿宋" w:hAnsi="仿宋" w:eastAsia="仿宋"/>
          <w:sz w:val="32"/>
          <w:szCs w:val="32"/>
        </w:rPr>
        <w:t>万元，</w:t>
      </w:r>
      <w:r>
        <w:rPr>
          <w:rFonts w:hint="eastAsia" w:ascii="仿宋" w:hAnsi="仿宋" w:eastAsia="仿宋"/>
          <w:sz w:val="32"/>
          <w:szCs w:val="32"/>
          <w:lang w:eastAsia="zh-CN"/>
        </w:rPr>
        <w:t>奖金</w:t>
      </w:r>
      <w:r>
        <w:rPr>
          <w:rFonts w:hint="eastAsia" w:ascii="仿宋" w:hAnsi="仿宋" w:eastAsia="仿宋"/>
          <w:sz w:val="32"/>
          <w:szCs w:val="32"/>
          <w:lang w:val="en-US" w:eastAsia="zh-CN"/>
        </w:rPr>
        <w:t>142.74万元，</w:t>
      </w:r>
      <w:r>
        <w:rPr>
          <w:rFonts w:hint="eastAsia" w:ascii="仿宋" w:hAnsi="仿宋" w:eastAsia="仿宋"/>
          <w:sz w:val="32"/>
          <w:szCs w:val="32"/>
        </w:rPr>
        <w:t>伙食补助费</w:t>
      </w:r>
      <w:r>
        <w:rPr>
          <w:rFonts w:hint="eastAsia" w:ascii="仿宋" w:hAnsi="仿宋" w:eastAsia="仿宋"/>
          <w:sz w:val="32"/>
          <w:szCs w:val="32"/>
          <w:lang w:val="en-US" w:eastAsia="zh-CN"/>
        </w:rPr>
        <w:t>45.78</w:t>
      </w:r>
      <w:r>
        <w:rPr>
          <w:rFonts w:hint="eastAsia" w:ascii="仿宋" w:hAnsi="仿宋" w:eastAsia="仿宋"/>
          <w:sz w:val="32"/>
          <w:szCs w:val="32"/>
        </w:rPr>
        <w:t>万元，绩效工资</w:t>
      </w:r>
      <w:r>
        <w:rPr>
          <w:rFonts w:hint="eastAsia" w:ascii="仿宋" w:hAnsi="仿宋" w:eastAsia="仿宋"/>
          <w:sz w:val="32"/>
          <w:szCs w:val="32"/>
          <w:lang w:val="en-US" w:eastAsia="zh-CN"/>
        </w:rPr>
        <w:t>121.78</w:t>
      </w:r>
      <w:r>
        <w:rPr>
          <w:rFonts w:hint="eastAsia" w:ascii="仿宋" w:hAnsi="仿宋" w:eastAsia="仿宋"/>
          <w:sz w:val="32"/>
          <w:szCs w:val="32"/>
        </w:rPr>
        <w:t>万元，机关事业单位基本养老保险缴费</w:t>
      </w:r>
      <w:r>
        <w:rPr>
          <w:rFonts w:hint="eastAsia" w:ascii="仿宋" w:hAnsi="仿宋" w:eastAsia="仿宋"/>
          <w:sz w:val="32"/>
          <w:szCs w:val="32"/>
          <w:lang w:val="en-US" w:eastAsia="zh-CN"/>
        </w:rPr>
        <w:t>60.17</w:t>
      </w:r>
      <w:r>
        <w:rPr>
          <w:rFonts w:hint="eastAsia" w:ascii="仿宋" w:hAnsi="仿宋" w:eastAsia="仿宋"/>
          <w:sz w:val="32"/>
          <w:szCs w:val="32"/>
        </w:rPr>
        <w:t>万元，职业年金缴费</w:t>
      </w:r>
      <w:r>
        <w:rPr>
          <w:rFonts w:hint="eastAsia" w:ascii="仿宋" w:hAnsi="仿宋" w:eastAsia="仿宋"/>
          <w:sz w:val="32"/>
          <w:szCs w:val="32"/>
          <w:lang w:val="en-US" w:eastAsia="zh-CN"/>
        </w:rPr>
        <w:t>40.99</w:t>
      </w:r>
      <w:r>
        <w:rPr>
          <w:rFonts w:hint="eastAsia" w:ascii="仿宋" w:hAnsi="仿宋" w:eastAsia="仿宋"/>
          <w:sz w:val="32"/>
          <w:szCs w:val="32"/>
        </w:rPr>
        <w:t>万元，职工基本医疗保险缴费</w:t>
      </w:r>
      <w:r>
        <w:rPr>
          <w:rFonts w:hint="eastAsia" w:ascii="仿宋" w:hAnsi="仿宋" w:eastAsia="仿宋"/>
          <w:sz w:val="32"/>
          <w:szCs w:val="32"/>
          <w:lang w:val="en-US" w:eastAsia="zh-CN"/>
        </w:rPr>
        <w:t>11.16</w:t>
      </w:r>
      <w:r>
        <w:rPr>
          <w:rFonts w:hint="eastAsia" w:ascii="仿宋" w:hAnsi="仿宋" w:eastAsia="仿宋"/>
          <w:sz w:val="32"/>
          <w:szCs w:val="32"/>
        </w:rPr>
        <w:t>万元，其他社会保障缴费</w:t>
      </w:r>
      <w:r>
        <w:rPr>
          <w:rFonts w:hint="eastAsia" w:ascii="仿宋" w:hAnsi="仿宋" w:eastAsia="仿宋"/>
          <w:sz w:val="32"/>
          <w:szCs w:val="32"/>
          <w:lang w:val="en-US" w:eastAsia="zh-CN"/>
        </w:rPr>
        <w:t>33.32</w:t>
      </w:r>
      <w:r>
        <w:rPr>
          <w:rFonts w:hint="eastAsia" w:ascii="仿宋" w:hAnsi="仿宋" w:eastAsia="仿宋"/>
          <w:sz w:val="32"/>
          <w:szCs w:val="32"/>
        </w:rPr>
        <w:t>万元，住房公积金</w:t>
      </w:r>
      <w:r>
        <w:rPr>
          <w:rFonts w:hint="eastAsia" w:ascii="仿宋" w:hAnsi="仿宋" w:eastAsia="仿宋"/>
          <w:sz w:val="32"/>
          <w:szCs w:val="32"/>
          <w:lang w:val="en-US" w:eastAsia="zh-CN"/>
        </w:rPr>
        <w:t>57.39</w:t>
      </w:r>
      <w:r>
        <w:rPr>
          <w:rFonts w:hint="eastAsia" w:ascii="仿宋" w:hAnsi="仿宋" w:eastAsia="仿宋"/>
          <w:sz w:val="32"/>
          <w:szCs w:val="32"/>
        </w:rPr>
        <w:t>万元</w:t>
      </w:r>
      <w:r>
        <w:rPr>
          <w:rFonts w:hint="eastAsia" w:ascii="仿宋" w:hAnsi="仿宋" w:eastAsia="仿宋"/>
          <w:sz w:val="32"/>
          <w:szCs w:val="32"/>
          <w:lang w:eastAsia="zh-CN"/>
        </w:rPr>
        <w:t>，生活补助</w:t>
      </w:r>
      <w:r>
        <w:rPr>
          <w:rFonts w:hint="eastAsia" w:ascii="仿宋" w:hAnsi="仿宋" w:eastAsia="仿宋"/>
          <w:sz w:val="32"/>
          <w:szCs w:val="32"/>
          <w:lang w:val="en-US" w:eastAsia="zh-CN"/>
        </w:rPr>
        <w:t>31.98万元。</w:t>
      </w:r>
    </w:p>
    <w:p w14:paraId="7CFDD546">
      <w:pPr>
        <w:spacing w:line="600" w:lineRule="exact"/>
        <w:ind w:firstLine="645"/>
        <w:rPr>
          <w:rFonts w:ascii="仿宋" w:hAnsi="仿宋" w:eastAsia="仿宋"/>
          <w:sz w:val="32"/>
          <w:szCs w:val="32"/>
        </w:rPr>
      </w:pPr>
      <w:r>
        <w:rPr>
          <w:rFonts w:hint="eastAsia" w:ascii="仿宋" w:hAnsi="仿宋" w:eastAsia="仿宋"/>
          <w:sz w:val="32"/>
          <w:szCs w:val="32"/>
        </w:rPr>
        <w:t>公用经费</w:t>
      </w:r>
      <w:r>
        <w:rPr>
          <w:rFonts w:ascii="仿宋" w:hAnsi="仿宋" w:eastAsia="仿宋"/>
          <w:b/>
          <w:sz w:val="32"/>
          <w:szCs w:val="32"/>
        </w:rPr>
        <w:t>140.16</w:t>
      </w:r>
      <w:r>
        <w:rPr>
          <w:rFonts w:hint="eastAsia" w:ascii="仿宋" w:hAnsi="仿宋" w:eastAsia="仿宋"/>
          <w:sz w:val="32"/>
          <w:szCs w:val="32"/>
        </w:rPr>
        <w:t>万元，主要包括：办公费</w:t>
      </w:r>
      <w:r>
        <w:rPr>
          <w:rFonts w:hint="eastAsia" w:ascii="仿宋" w:hAnsi="仿宋" w:eastAsia="仿宋"/>
          <w:sz w:val="32"/>
          <w:szCs w:val="32"/>
          <w:lang w:val="en-US" w:eastAsia="zh-CN"/>
        </w:rPr>
        <w:t>4.62</w:t>
      </w:r>
      <w:r>
        <w:rPr>
          <w:rFonts w:hint="eastAsia" w:ascii="仿宋" w:hAnsi="仿宋" w:eastAsia="仿宋"/>
          <w:sz w:val="32"/>
          <w:szCs w:val="32"/>
        </w:rPr>
        <w:t>万元，电费</w:t>
      </w:r>
      <w:r>
        <w:rPr>
          <w:rFonts w:hint="eastAsia" w:ascii="仿宋" w:hAnsi="仿宋" w:eastAsia="仿宋"/>
          <w:sz w:val="32"/>
          <w:szCs w:val="32"/>
          <w:lang w:val="en-US" w:eastAsia="zh-CN"/>
        </w:rPr>
        <w:t>1.90</w:t>
      </w:r>
      <w:r>
        <w:rPr>
          <w:rFonts w:hint="eastAsia" w:ascii="仿宋" w:hAnsi="仿宋" w:eastAsia="仿宋"/>
          <w:sz w:val="32"/>
          <w:szCs w:val="32"/>
        </w:rPr>
        <w:t>万元，邮电费</w:t>
      </w:r>
      <w:r>
        <w:rPr>
          <w:rFonts w:hint="eastAsia" w:ascii="仿宋" w:hAnsi="仿宋" w:eastAsia="仿宋"/>
          <w:sz w:val="32"/>
          <w:szCs w:val="32"/>
          <w:lang w:val="en-US" w:eastAsia="zh-CN"/>
        </w:rPr>
        <w:t>1.17</w:t>
      </w:r>
      <w:r>
        <w:rPr>
          <w:rFonts w:hint="eastAsia" w:ascii="仿宋" w:hAnsi="仿宋" w:eastAsia="仿宋"/>
          <w:sz w:val="32"/>
          <w:szCs w:val="32"/>
        </w:rPr>
        <w:t>万元，差旅费</w:t>
      </w:r>
      <w:r>
        <w:rPr>
          <w:rFonts w:hint="eastAsia" w:ascii="仿宋" w:hAnsi="仿宋" w:eastAsia="仿宋"/>
          <w:sz w:val="32"/>
          <w:szCs w:val="32"/>
          <w:lang w:val="en-US" w:eastAsia="zh-CN"/>
        </w:rPr>
        <w:t>79.89</w:t>
      </w:r>
      <w:r>
        <w:rPr>
          <w:rFonts w:hint="eastAsia" w:ascii="仿宋" w:hAnsi="仿宋" w:eastAsia="仿宋"/>
          <w:sz w:val="32"/>
          <w:szCs w:val="32"/>
        </w:rPr>
        <w:t>万元，</w:t>
      </w:r>
      <w:r>
        <w:rPr>
          <w:rFonts w:hint="eastAsia" w:ascii="仿宋" w:hAnsi="仿宋" w:eastAsia="仿宋"/>
          <w:sz w:val="32"/>
          <w:szCs w:val="32"/>
          <w:lang w:eastAsia="zh-CN"/>
        </w:rPr>
        <w:t>维修（护）费</w:t>
      </w:r>
      <w:r>
        <w:rPr>
          <w:rFonts w:hint="eastAsia" w:ascii="仿宋" w:hAnsi="仿宋" w:eastAsia="仿宋"/>
          <w:sz w:val="32"/>
          <w:szCs w:val="32"/>
          <w:lang w:val="en-US" w:eastAsia="zh-CN"/>
        </w:rPr>
        <w:t>20万元，</w:t>
      </w:r>
      <w:r>
        <w:rPr>
          <w:rFonts w:hint="eastAsia" w:ascii="仿宋" w:hAnsi="仿宋" w:eastAsia="仿宋"/>
          <w:sz w:val="32"/>
          <w:szCs w:val="32"/>
        </w:rPr>
        <w:t>培训费3</w:t>
      </w:r>
      <w:r>
        <w:rPr>
          <w:rFonts w:hint="eastAsia" w:ascii="仿宋" w:hAnsi="仿宋" w:eastAsia="仿宋"/>
          <w:sz w:val="32"/>
          <w:szCs w:val="32"/>
          <w:lang w:val="en-US" w:eastAsia="zh-CN"/>
        </w:rPr>
        <w:t>.79</w:t>
      </w:r>
      <w:r>
        <w:rPr>
          <w:rFonts w:hint="eastAsia" w:ascii="仿宋" w:hAnsi="仿宋" w:eastAsia="仿宋"/>
          <w:sz w:val="32"/>
          <w:szCs w:val="32"/>
        </w:rPr>
        <w:t>万元，</w:t>
      </w:r>
      <w:r>
        <w:rPr>
          <w:rFonts w:hint="eastAsia" w:ascii="仿宋" w:hAnsi="仿宋" w:eastAsia="仿宋"/>
          <w:sz w:val="32"/>
          <w:szCs w:val="32"/>
          <w:lang w:eastAsia="zh-CN"/>
        </w:rPr>
        <w:t>公务接待费</w:t>
      </w:r>
      <w:r>
        <w:rPr>
          <w:rFonts w:hint="eastAsia" w:ascii="仿宋" w:hAnsi="仿宋" w:eastAsia="仿宋"/>
          <w:sz w:val="32"/>
          <w:szCs w:val="32"/>
          <w:lang w:val="en-US" w:eastAsia="zh-CN"/>
        </w:rPr>
        <w:t>0.31万元，福利费8.48万元，其他交通费19.99万元</w:t>
      </w:r>
      <w:r>
        <w:rPr>
          <w:rFonts w:hint="eastAsia" w:ascii="仿宋" w:hAnsi="仿宋" w:eastAsia="仿宋"/>
          <w:sz w:val="32"/>
          <w:szCs w:val="32"/>
        </w:rPr>
        <w:t>。</w:t>
      </w:r>
    </w:p>
    <w:p w14:paraId="7E66F4A4">
      <w:pPr>
        <w:spacing w:line="600" w:lineRule="exact"/>
        <w:ind w:firstLine="645"/>
        <w:rPr>
          <w:rFonts w:ascii="仿宋" w:hAnsi="仿宋" w:eastAsia="仿宋"/>
          <w:b/>
          <w:sz w:val="32"/>
          <w:szCs w:val="32"/>
        </w:rPr>
      </w:pPr>
      <w:r>
        <w:rPr>
          <w:rFonts w:hint="eastAsia" w:ascii="仿宋" w:hAnsi="仿宋" w:eastAsia="仿宋"/>
          <w:b/>
          <w:sz w:val="32"/>
          <w:szCs w:val="32"/>
        </w:rPr>
        <w:t>（注：数据来源于财决</w:t>
      </w:r>
      <w:r>
        <w:rPr>
          <w:rFonts w:ascii="仿宋" w:hAnsi="仿宋" w:eastAsia="仿宋"/>
          <w:b/>
          <w:sz w:val="32"/>
          <w:szCs w:val="32"/>
        </w:rPr>
        <w:t>0</w:t>
      </w:r>
      <w:r>
        <w:rPr>
          <w:rFonts w:hint="eastAsia" w:ascii="仿宋" w:hAnsi="仿宋" w:eastAsia="仿宋"/>
          <w:b/>
          <w:sz w:val="32"/>
          <w:szCs w:val="32"/>
        </w:rPr>
        <w:t>7表和财决08-1表，仅罗列本单位实际支出涉及的经济分类科目。）</w:t>
      </w:r>
    </w:p>
    <w:p w14:paraId="000C9366">
      <w:pPr>
        <w:spacing w:line="600" w:lineRule="exact"/>
        <w:ind w:firstLine="640"/>
        <w:rPr>
          <w:rFonts w:ascii="仿宋" w:hAnsi="仿宋" w:eastAsia="仿宋"/>
          <w:b/>
          <w:sz w:val="32"/>
          <w:szCs w:val="32"/>
        </w:rPr>
      </w:pPr>
    </w:p>
    <w:p w14:paraId="119CA819">
      <w:pPr>
        <w:spacing w:line="600" w:lineRule="exact"/>
        <w:ind w:firstLine="640"/>
        <w:outlineLvl w:val="1"/>
        <w:rPr>
          <w:rStyle w:val="30"/>
          <w:rFonts w:ascii="黑体" w:hAnsi="黑体" w:eastAsia="黑体"/>
          <w:b w:val="0"/>
        </w:rPr>
      </w:pPr>
      <w:bookmarkStart w:id="36" w:name="_Toc15396609"/>
      <w:bookmarkStart w:id="37" w:name="_Toc15377215"/>
      <w:r>
        <w:rPr>
          <w:rFonts w:hint="eastAsia" w:ascii="黑体" w:eastAsia="黑体"/>
          <w:sz w:val="32"/>
          <w:szCs w:val="32"/>
        </w:rPr>
        <w:t>七、</w:t>
      </w:r>
      <w:r>
        <w:rPr>
          <w:rStyle w:val="30"/>
          <w:rFonts w:hint="eastAsia" w:ascii="黑体" w:hAnsi="黑体" w:eastAsia="黑体"/>
          <w:b w:val="0"/>
        </w:rPr>
        <w:t>财政拨款</w:t>
      </w:r>
      <w:r>
        <w:rPr>
          <w:rStyle w:val="30"/>
          <w:rFonts w:hint="eastAsia" w:ascii="黑体" w:hAnsi="黑体" w:eastAsia="黑体"/>
        </w:rPr>
        <w:t>“</w:t>
      </w:r>
      <w:r>
        <w:rPr>
          <w:rStyle w:val="30"/>
          <w:rFonts w:hint="eastAsia" w:ascii="黑体" w:hAnsi="黑体" w:eastAsia="黑体"/>
          <w:b w:val="0"/>
        </w:rPr>
        <w:t>三公”经费支出决算情况说明</w:t>
      </w:r>
      <w:bookmarkEnd w:id="36"/>
      <w:bookmarkEnd w:id="37"/>
    </w:p>
    <w:p w14:paraId="6A9CFC71">
      <w:pPr>
        <w:spacing w:line="600" w:lineRule="exact"/>
        <w:ind w:firstLine="640"/>
        <w:outlineLvl w:val="2"/>
        <w:rPr>
          <w:rFonts w:ascii="仿宋" w:hAnsi="仿宋" w:eastAsia="仿宋"/>
          <w:b/>
          <w:sz w:val="32"/>
          <w:szCs w:val="32"/>
        </w:rPr>
      </w:pPr>
      <w:bookmarkStart w:id="38" w:name="_Toc15377216"/>
      <w:r>
        <w:rPr>
          <w:rFonts w:hint="eastAsia" w:ascii="仿宋" w:hAnsi="仿宋" w:eastAsia="仿宋"/>
          <w:b/>
          <w:sz w:val="32"/>
          <w:szCs w:val="32"/>
        </w:rPr>
        <w:t>（一）“三公”经费财政拨款支出决算总体情况说明</w:t>
      </w:r>
      <w:bookmarkEnd w:id="38"/>
    </w:p>
    <w:p w14:paraId="07D4BC3E">
      <w:pPr>
        <w:spacing w:line="600" w:lineRule="exact"/>
        <w:ind w:firstLine="640"/>
        <w:rPr>
          <w:rFonts w:ascii="仿宋" w:hAnsi="仿宋" w:eastAsia="仿宋"/>
          <w:sz w:val="32"/>
          <w:szCs w:val="32"/>
        </w:rPr>
      </w:pPr>
      <w:r>
        <w:rPr>
          <w:rFonts w:hint="eastAsia" w:ascii="仿宋" w:hAnsi="仿宋" w:eastAsia="仿宋"/>
          <w:sz w:val="32"/>
          <w:szCs w:val="32"/>
        </w:rPr>
        <w:t>2023年度“三公”经费财政拨款支出决算为</w:t>
      </w:r>
      <w:r>
        <w:rPr>
          <w:rFonts w:ascii="仿宋" w:hAnsi="仿宋" w:eastAsia="仿宋"/>
          <w:b/>
          <w:sz w:val="32"/>
          <w:szCs w:val="32"/>
        </w:rPr>
        <w:t>0.31</w:t>
      </w:r>
      <w:r>
        <w:rPr>
          <w:rFonts w:hint="eastAsia" w:ascii="仿宋" w:hAnsi="仿宋" w:eastAsia="仿宋"/>
          <w:sz w:val="32"/>
          <w:szCs w:val="32"/>
        </w:rPr>
        <w:t>万元，完成预算</w:t>
      </w:r>
      <w:r>
        <w:rPr>
          <w:rFonts w:ascii="仿宋" w:hAnsi="仿宋" w:eastAsia="仿宋"/>
          <w:b/>
          <w:sz w:val="32"/>
          <w:szCs w:val="32"/>
        </w:rPr>
        <w:t>100</w:t>
      </w:r>
      <w:r>
        <w:rPr>
          <w:rFonts w:ascii="仿宋" w:hAnsi="仿宋" w:eastAsia="仿宋"/>
          <w:sz w:val="32"/>
          <w:szCs w:val="32"/>
        </w:rPr>
        <w:t>%</w:t>
      </w:r>
      <w:r>
        <w:rPr>
          <w:rFonts w:hint="eastAsia" w:ascii="仿宋" w:hAnsi="仿宋" w:eastAsia="仿宋"/>
          <w:sz w:val="32"/>
          <w:szCs w:val="32"/>
        </w:rPr>
        <w:t>，较上年度增加</w:t>
      </w:r>
      <w:r>
        <w:rPr>
          <w:rFonts w:hint="eastAsia" w:ascii="仿宋" w:hAnsi="仿宋" w:eastAsia="仿宋"/>
          <w:sz w:val="32"/>
          <w:szCs w:val="32"/>
          <w:lang w:val="en-US" w:eastAsia="zh-CN"/>
        </w:rPr>
        <w:t>0.31</w:t>
      </w:r>
      <w:r>
        <w:rPr>
          <w:rFonts w:hint="eastAsia" w:ascii="仿宋" w:hAnsi="仿宋" w:eastAsia="仿宋"/>
          <w:sz w:val="32"/>
          <w:szCs w:val="32"/>
        </w:rPr>
        <w:t>万元，增长</w:t>
      </w:r>
      <w:r>
        <w:rPr>
          <w:rFonts w:hint="eastAsia" w:ascii="仿宋" w:hAnsi="仿宋" w:eastAsia="仿宋"/>
          <w:sz w:val="32"/>
          <w:szCs w:val="32"/>
          <w:lang w:val="en-US" w:eastAsia="zh-CN"/>
        </w:rPr>
        <w:t>100</w:t>
      </w:r>
      <w:r>
        <w:rPr>
          <w:rFonts w:hint="eastAsia" w:ascii="仿宋" w:hAnsi="仿宋" w:eastAsia="仿宋"/>
          <w:sz w:val="32"/>
          <w:szCs w:val="32"/>
        </w:rPr>
        <w:t>%。决算数与预算数持平。</w:t>
      </w:r>
    </w:p>
    <w:p w14:paraId="1BDE4533">
      <w:pPr>
        <w:spacing w:line="600" w:lineRule="exact"/>
        <w:ind w:firstLine="640"/>
        <w:rPr>
          <w:rFonts w:ascii="仿宋" w:hAnsi="仿宋" w:eastAsia="仿宋"/>
          <w:b/>
          <w:sz w:val="32"/>
          <w:szCs w:val="32"/>
        </w:rPr>
      </w:pPr>
      <w:r>
        <w:rPr>
          <w:rFonts w:hint="eastAsia" w:ascii="仿宋" w:hAnsi="仿宋" w:eastAsia="仿宋"/>
          <w:b/>
          <w:sz w:val="32"/>
          <w:szCs w:val="32"/>
        </w:rPr>
        <w:t>（注：上述“预算”口径为全年预算数，包括一般公共预算和政府性基金预算财政拨款支出决算情况。）</w:t>
      </w:r>
    </w:p>
    <w:p w14:paraId="044E6E3D">
      <w:pPr>
        <w:spacing w:line="600" w:lineRule="exact"/>
        <w:ind w:firstLine="640"/>
        <w:outlineLvl w:val="2"/>
        <w:rPr>
          <w:rFonts w:ascii="仿宋" w:hAnsi="仿宋" w:eastAsia="仿宋"/>
          <w:b/>
          <w:sz w:val="32"/>
          <w:szCs w:val="32"/>
        </w:rPr>
      </w:pPr>
      <w:bookmarkStart w:id="39" w:name="_Toc15377217"/>
      <w:r>
        <w:rPr>
          <w:rFonts w:hint="eastAsia" w:ascii="仿宋" w:hAnsi="仿宋" w:eastAsia="仿宋"/>
          <w:b/>
          <w:sz w:val="32"/>
          <w:szCs w:val="32"/>
        </w:rPr>
        <w:t>（二）“三公”经费财政拨款支出决算具体情况说明</w:t>
      </w:r>
      <w:bookmarkEnd w:id="39"/>
    </w:p>
    <w:p w14:paraId="06CF59AE">
      <w:pPr>
        <w:spacing w:line="600" w:lineRule="exact"/>
        <w:ind w:firstLine="640"/>
        <w:rPr>
          <w:rFonts w:ascii="仿宋" w:hAnsi="仿宋" w:eastAsia="仿宋"/>
          <w:sz w:val="32"/>
          <w:szCs w:val="32"/>
        </w:rPr>
      </w:pPr>
      <w:r>
        <w:rPr>
          <w:rFonts w:hint="eastAsia" w:ascii="仿宋" w:hAnsi="仿宋" w:eastAsia="仿宋"/>
          <w:sz w:val="32"/>
          <w:szCs w:val="32"/>
        </w:rPr>
        <w:t>2023年度“三公”经费财政拨款支出决算中，因公出国（境）费支出决算</w:t>
      </w:r>
      <w:r>
        <w:rPr>
          <w:rFonts w:ascii="仿宋" w:hAnsi="仿宋" w:eastAsia="仿宋"/>
          <w:b/>
          <w:sz w:val="32"/>
          <w:szCs w:val="32"/>
        </w:rPr>
        <w:t>0</w:t>
      </w:r>
      <w:r>
        <w:rPr>
          <w:rFonts w:hint="eastAsia" w:ascii="仿宋" w:hAnsi="仿宋" w:eastAsia="仿宋"/>
          <w:sz w:val="32"/>
          <w:szCs w:val="32"/>
        </w:rPr>
        <w:t>万元，占</w:t>
      </w:r>
      <w:r>
        <w:rPr>
          <w:rFonts w:ascii="仿宋" w:hAnsi="仿宋" w:eastAsia="仿宋"/>
          <w:b/>
          <w:sz w:val="32"/>
          <w:szCs w:val="32"/>
        </w:rPr>
        <w:t>0</w:t>
      </w:r>
      <w:r>
        <w:rPr>
          <w:rFonts w:ascii="仿宋" w:hAnsi="仿宋" w:eastAsia="仿宋"/>
          <w:sz w:val="32"/>
          <w:szCs w:val="32"/>
        </w:rPr>
        <w:t>%</w:t>
      </w:r>
      <w:r>
        <w:rPr>
          <w:rFonts w:hint="eastAsia" w:ascii="仿宋" w:hAnsi="仿宋" w:eastAsia="仿宋"/>
          <w:sz w:val="32"/>
          <w:szCs w:val="32"/>
        </w:rPr>
        <w:t>；公务用车购置及运行维护费支出决算</w:t>
      </w:r>
      <w:r>
        <w:rPr>
          <w:rFonts w:ascii="仿宋" w:hAnsi="仿宋" w:eastAsia="仿宋"/>
          <w:b/>
          <w:sz w:val="32"/>
          <w:szCs w:val="32"/>
        </w:rPr>
        <w:t>0</w:t>
      </w:r>
      <w:r>
        <w:rPr>
          <w:rFonts w:hint="eastAsia" w:ascii="仿宋" w:hAnsi="仿宋" w:eastAsia="仿宋"/>
          <w:sz w:val="32"/>
          <w:szCs w:val="32"/>
        </w:rPr>
        <w:t>万元，占</w:t>
      </w:r>
      <w:r>
        <w:rPr>
          <w:rFonts w:ascii="仿宋" w:hAnsi="仿宋" w:eastAsia="仿宋"/>
          <w:b/>
          <w:sz w:val="32"/>
          <w:szCs w:val="32"/>
        </w:rPr>
        <w:t>0</w:t>
      </w:r>
      <w:r>
        <w:rPr>
          <w:rFonts w:ascii="仿宋" w:hAnsi="仿宋" w:eastAsia="仿宋"/>
          <w:sz w:val="32"/>
          <w:szCs w:val="32"/>
        </w:rPr>
        <w:t>%</w:t>
      </w:r>
      <w:r>
        <w:rPr>
          <w:rFonts w:hint="eastAsia" w:ascii="仿宋" w:hAnsi="仿宋" w:eastAsia="仿宋"/>
          <w:sz w:val="32"/>
          <w:szCs w:val="32"/>
        </w:rPr>
        <w:t>；公务接待费支出决算</w:t>
      </w:r>
      <w:r>
        <w:rPr>
          <w:rFonts w:ascii="仿宋" w:hAnsi="仿宋" w:eastAsia="仿宋"/>
          <w:b/>
          <w:sz w:val="32"/>
          <w:szCs w:val="32"/>
        </w:rPr>
        <w:t>0.31</w:t>
      </w:r>
      <w:r>
        <w:rPr>
          <w:rFonts w:hint="eastAsia" w:ascii="仿宋" w:hAnsi="仿宋" w:eastAsia="仿宋"/>
          <w:sz w:val="32"/>
          <w:szCs w:val="32"/>
        </w:rPr>
        <w:t>万元，占</w:t>
      </w:r>
      <w:r>
        <w:rPr>
          <w:rFonts w:ascii="仿宋" w:hAnsi="仿宋" w:eastAsia="仿宋"/>
          <w:b/>
          <w:sz w:val="32"/>
          <w:szCs w:val="32"/>
        </w:rPr>
        <w:t>100</w:t>
      </w:r>
      <w:r>
        <w:rPr>
          <w:rFonts w:ascii="仿宋" w:hAnsi="仿宋" w:eastAsia="仿宋"/>
          <w:sz w:val="32"/>
          <w:szCs w:val="32"/>
        </w:rPr>
        <w:t>%</w:t>
      </w:r>
      <w:r>
        <w:rPr>
          <w:rFonts w:hint="eastAsia" w:ascii="仿宋" w:hAnsi="仿宋" w:eastAsia="仿宋"/>
          <w:sz w:val="32"/>
          <w:szCs w:val="32"/>
        </w:rPr>
        <w:t>。具体情况如下：</w:t>
      </w:r>
    </w:p>
    <w:p w14:paraId="256B803F">
      <w:pPr>
        <w:spacing w:line="600" w:lineRule="exact"/>
        <w:ind w:firstLine="640"/>
        <w:rPr>
          <w:rFonts w:hint="eastAsia" w:ascii="仿宋" w:hAnsi="仿宋" w:eastAsia="仿宋"/>
          <w:sz w:val="32"/>
          <w:szCs w:val="32"/>
        </w:rPr>
      </w:pPr>
      <w:r>
        <w:rPr>
          <w:rFonts w:hint="eastAsia" w:ascii="仿宋" w:hAnsi="仿宋" w:eastAsia="仿宋"/>
          <w:sz w:val="32"/>
          <w:szCs w:val="32"/>
        </w:rPr>
        <w:t>（图7：“三公”经费财政拨款支出结构）（饼状图）</w:t>
      </w:r>
    </w:p>
    <w:p w14:paraId="26B830BB">
      <w:pPr>
        <w:spacing w:line="600" w:lineRule="exact"/>
        <w:ind w:firstLine="640"/>
        <w:rPr>
          <w:rFonts w:hint="eastAsia" w:ascii="仿宋" w:hAnsi="仿宋" w:eastAsia="仿宋"/>
          <w:sz w:val="32"/>
          <w:szCs w:val="32"/>
          <w:lang w:eastAsia="zh-CN"/>
        </w:rPr>
      </w:pPr>
      <w:r>
        <w:rPr>
          <w:rFonts w:hint="eastAsia" w:ascii="仿宋" w:hAnsi="仿宋" w:eastAsia="仿宋"/>
          <w:sz w:val="32"/>
          <w:szCs w:val="32"/>
          <w:lang w:eastAsia="zh-CN"/>
        </w:rPr>
        <w:drawing>
          <wp:anchor distT="0" distB="0" distL="114300" distR="114300" simplePos="0" relativeHeight="251665408" behindDoc="0" locked="0" layoutInCell="1" allowOverlap="1">
            <wp:simplePos x="0" y="0"/>
            <wp:positionH relativeFrom="column">
              <wp:posOffset>11430</wp:posOffset>
            </wp:positionH>
            <wp:positionV relativeFrom="paragraph">
              <wp:posOffset>50165</wp:posOffset>
            </wp:positionV>
            <wp:extent cx="5256530" cy="2988310"/>
            <wp:effectExtent l="5080" t="4445" r="11430" b="9525"/>
            <wp:wrapNone/>
            <wp:docPr id="7" name="图表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anchor>
        </w:drawing>
      </w:r>
    </w:p>
    <w:p w14:paraId="5876918F">
      <w:pPr>
        <w:spacing w:line="600" w:lineRule="exact"/>
        <w:ind w:firstLine="640"/>
        <w:rPr>
          <w:rFonts w:ascii="仿宋_GB2312" w:eastAsia="仿宋_GB2312"/>
          <w:b/>
          <w:sz w:val="32"/>
          <w:szCs w:val="32"/>
        </w:rPr>
      </w:pPr>
      <w:bookmarkStart w:id="40" w:name="_Toc15377218"/>
      <w:bookmarkStart w:id="41" w:name="_Toc15396610"/>
    </w:p>
    <w:p w14:paraId="62D92128">
      <w:pPr>
        <w:spacing w:line="600" w:lineRule="exact"/>
        <w:ind w:firstLine="640"/>
        <w:rPr>
          <w:rFonts w:ascii="仿宋_GB2312" w:eastAsia="仿宋_GB2312"/>
          <w:b/>
          <w:sz w:val="32"/>
          <w:szCs w:val="32"/>
        </w:rPr>
      </w:pPr>
    </w:p>
    <w:p w14:paraId="690A38C0">
      <w:pPr>
        <w:spacing w:line="600" w:lineRule="exact"/>
        <w:ind w:firstLine="640"/>
        <w:rPr>
          <w:rFonts w:ascii="仿宋_GB2312" w:eastAsia="仿宋_GB2312"/>
          <w:b/>
          <w:sz w:val="32"/>
          <w:szCs w:val="32"/>
        </w:rPr>
      </w:pPr>
    </w:p>
    <w:p w14:paraId="7512FB63">
      <w:pPr>
        <w:spacing w:line="600" w:lineRule="exact"/>
        <w:ind w:firstLine="640"/>
        <w:rPr>
          <w:rFonts w:ascii="仿宋_GB2312" w:eastAsia="仿宋_GB2312"/>
          <w:b/>
          <w:sz w:val="32"/>
          <w:szCs w:val="32"/>
        </w:rPr>
      </w:pPr>
    </w:p>
    <w:p w14:paraId="5E19E7FF">
      <w:pPr>
        <w:spacing w:line="600" w:lineRule="exact"/>
        <w:ind w:firstLine="640"/>
        <w:rPr>
          <w:rFonts w:ascii="仿宋_GB2312" w:eastAsia="仿宋_GB2312"/>
          <w:b/>
          <w:sz w:val="32"/>
          <w:szCs w:val="32"/>
        </w:rPr>
      </w:pPr>
    </w:p>
    <w:p w14:paraId="5BA45149">
      <w:pPr>
        <w:spacing w:line="600" w:lineRule="exact"/>
        <w:ind w:firstLine="640"/>
        <w:rPr>
          <w:rFonts w:ascii="仿宋_GB2312" w:eastAsia="仿宋_GB2312"/>
          <w:b/>
          <w:sz w:val="32"/>
          <w:szCs w:val="32"/>
        </w:rPr>
      </w:pPr>
    </w:p>
    <w:p w14:paraId="5C97D4A0">
      <w:pPr>
        <w:spacing w:line="600" w:lineRule="exact"/>
        <w:ind w:firstLine="640"/>
        <w:rPr>
          <w:rFonts w:ascii="仿宋_GB2312" w:eastAsia="仿宋_GB2312"/>
          <w:b/>
          <w:sz w:val="32"/>
          <w:szCs w:val="32"/>
        </w:rPr>
      </w:pPr>
    </w:p>
    <w:p w14:paraId="51AC689E">
      <w:pPr>
        <w:spacing w:line="600" w:lineRule="exact"/>
        <w:ind w:firstLine="640"/>
        <w:rPr>
          <w:rFonts w:ascii="仿宋_GB2312" w:eastAsia="仿宋_GB2312"/>
          <w:b/>
          <w:sz w:val="32"/>
          <w:szCs w:val="32"/>
        </w:rPr>
      </w:pPr>
      <w:r>
        <w:rPr>
          <w:rFonts w:ascii="仿宋_GB2312" w:eastAsia="仿宋_GB2312"/>
          <w:b/>
          <w:sz w:val="32"/>
          <w:szCs w:val="32"/>
        </w:rPr>
        <w:t>1.</w:t>
      </w:r>
      <w:r>
        <w:rPr>
          <w:rFonts w:hint="eastAsia" w:ascii="仿宋_GB2312" w:eastAsia="仿宋_GB2312"/>
          <w:b/>
          <w:sz w:val="32"/>
          <w:szCs w:val="32"/>
        </w:rPr>
        <w:t>因公出国（境）经费支出</w:t>
      </w:r>
      <w:r>
        <w:rPr>
          <w:rFonts w:ascii="仿宋" w:hAnsi="仿宋" w:eastAsia="仿宋"/>
          <w:b/>
          <w:sz w:val="32"/>
          <w:szCs w:val="32"/>
        </w:rPr>
        <w:t>0</w:t>
      </w:r>
      <w:r>
        <w:rPr>
          <w:rFonts w:hint="eastAsia" w:ascii="仿宋_GB2312" w:eastAsia="仿宋_GB2312"/>
          <w:sz w:val="32"/>
          <w:szCs w:val="32"/>
        </w:rPr>
        <w:t>万元，</w:t>
      </w:r>
      <w:r>
        <w:rPr>
          <w:rStyle w:val="18"/>
          <w:rFonts w:hint="eastAsia" w:ascii="仿宋" w:hAnsi="仿宋" w:eastAsia="仿宋"/>
          <w:b w:val="0"/>
          <w:bCs/>
          <w:sz w:val="32"/>
          <w:szCs w:val="32"/>
        </w:rPr>
        <w:t>完成预算</w:t>
      </w:r>
      <w:r>
        <w:rPr>
          <w:rStyle w:val="18"/>
          <w:rFonts w:ascii="仿宋" w:hAnsi="仿宋" w:eastAsia="仿宋"/>
          <w:bCs/>
          <w:sz w:val="32"/>
          <w:szCs w:val="32"/>
        </w:rPr>
        <w:t>0</w:t>
      </w:r>
      <w:r>
        <w:rPr>
          <w:rStyle w:val="18"/>
          <w:rFonts w:ascii="仿宋" w:hAnsi="仿宋" w:eastAsia="仿宋"/>
          <w:b w:val="0"/>
          <w:bCs/>
          <w:sz w:val="32"/>
          <w:szCs w:val="32"/>
        </w:rPr>
        <w:t>%</w:t>
      </w:r>
      <w:r>
        <w:rPr>
          <w:rStyle w:val="18"/>
          <w:rFonts w:hint="eastAsia" w:ascii="仿宋" w:hAnsi="仿宋" w:eastAsia="仿宋"/>
          <w:b w:val="0"/>
          <w:bCs/>
          <w:sz w:val="32"/>
          <w:szCs w:val="32"/>
        </w:rPr>
        <w:t>。</w:t>
      </w:r>
      <w:r>
        <w:rPr>
          <w:rFonts w:hint="eastAsia" w:ascii="仿宋_GB2312" w:eastAsia="仿宋_GB2312"/>
          <w:sz w:val="32"/>
          <w:szCs w:val="32"/>
        </w:rPr>
        <w:t>全年安排因公出国（境）团组</w:t>
      </w:r>
      <w:r>
        <w:rPr>
          <w:rFonts w:ascii="仿宋_GB2312" w:eastAsia="仿宋_GB2312"/>
          <w:b/>
          <w:sz w:val="32"/>
          <w:szCs w:val="32"/>
        </w:rPr>
        <w:t>0</w:t>
      </w:r>
      <w:r>
        <w:rPr>
          <w:rFonts w:hint="eastAsia" w:ascii="仿宋_GB2312" w:eastAsia="仿宋_GB2312"/>
          <w:sz w:val="32"/>
          <w:szCs w:val="32"/>
        </w:rPr>
        <w:t>次，出国（境）</w:t>
      </w:r>
      <w:r>
        <w:rPr>
          <w:rFonts w:ascii="仿宋_GB2312" w:eastAsia="仿宋_GB2312"/>
          <w:b/>
          <w:sz w:val="32"/>
          <w:szCs w:val="32"/>
        </w:rPr>
        <w:t>0</w:t>
      </w:r>
      <w:r>
        <w:rPr>
          <w:rFonts w:hint="eastAsia" w:ascii="仿宋_GB2312" w:eastAsia="仿宋_GB2312"/>
          <w:sz w:val="32"/>
          <w:szCs w:val="32"/>
        </w:rPr>
        <w:t>人。因公出国（境）支出决算比2022年增加</w:t>
      </w:r>
      <w:r>
        <w:rPr>
          <w:rFonts w:ascii="仿宋_GB2312" w:eastAsia="仿宋_GB2312"/>
          <w:sz w:val="32"/>
          <w:szCs w:val="32"/>
        </w:rPr>
        <w:t>/</w:t>
      </w:r>
      <w:r>
        <w:rPr>
          <w:rFonts w:hint="eastAsia" w:ascii="仿宋_GB2312" w:eastAsia="仿宋_GB2312"/>
          <w:sz w:val="32"/>
          <w:szCs w:val="32"/>
        </w:rPr>
        <w:t>减少</w:t>
      </w:r>
      <w:r>
        <w:rPr>
          <w:rFonts w:ascii="仿宋_GB2312" w:eastAsia="仿宋_GB2312"/>
          <w:sz w:val="32"/>
          <w:szCs w:val="32"/>
        </w:rPr>
        <w:t>**</w:t>
      </w:r>
      <w:r>
        <w:rPr>
          <w:rFonts w:hint="eastAsia" w:ascii="仿宋_GB2312" w:eastAsia="仿宋_GB2312"/>
          <w:sz w:val="32"/>
          <w:szCs w:val="32"/>
        </w:rPr>
        <w:t>万元，增长</w:t>
      </w:r>
      <w:r>
        <w:rPr>
          <w:rFonts w:ascii="仿宋_GB2312" w:eastAsia="仿宋_GB2312"/>
          <w:sz w:val="32"/>
          <w:szCs w:val="32"/>
        </w:rPr>
        <w:t>/</w:t>
      </w:r>
      <w:r>
        <w:rPr>
          <w:rFonts w:hint="eastAsia" w:ascii="仿宋_GB2312" w:eastAsia="仿宋_GB2312"/>
          <w:sz w:val="32"/>
          <w:szCs w:val="32"/>
        </w:rPr>
        <w:t>下降</w:t>
      </w:r>
      <w:r>
        <w:rPr>
          <w:rFonts w:ascii="仿宋_GB2312" w:eastAsia="仿宋_GB2312"/>
          <w:sz w:val="32"/>
          <w:szCs w:val="32"/>
        </w:rPr>
        <w:t>**%</w:t>
      </w:r>
      <w:r>
        <w:rPr>
          <w:rFonts w:hint="eastAsia" w:ascii="仿宋_GB2312" w:eastAsia="仿宋_GB2312"/>
          <w:sz w:val="32"/>
          <w:szCs w:val="32"/>
        </w:rPr>
        <w:t>。主要原因是……。</w:t>
      </w:r>
    </w:p>
    <w:p w14:paraId="3D330127">
      <w:pPr>
        <w:spacing w:line="600" w:lineRule="exact"/>
        <w:ind w:firstLine="640"/>
        <w:rPr>
          <w:rFonts w:ascii="仿宋_GB2312" w:eastAsia="仿宋_GB2312"/>
          <w:sz w:val="32"/>
          <w:szCs w:val="32"/>
        </w:rPr>
      </w:pPr>
      <w:r>
        <w:rPr>
          <w:rFonts w:hint="eastAsia" w:ascii="仿宋_GB2312" w:eastAsia="仿宋_GB2312"/>
          <w:sz w:val="32"/>
          <w:szCs w:val="32"/>
        </w:rPr>
        <w:t>开支内容包括：…（团组名称、出访地点、取得成效）等。</w:t>
      </w:r>
    </w:p>
    <w:p w14:paraId="3E3919EF">
      <w:pPr>
        <w:spacing w:line="600" w:lineRule="exact"/>
        <w:ind w:firstLine="640"/>
        <w:rPr>
          <w:rFonts w:ascii="仿宋_GB2312" w:eastAsia="仿宋_GB2312"/>
          <w:b/>
          <w:sz w:val="32"/>
          <w:szCs w:val="32"/>
        </w:rPr>
      </w:pPr>
      <w:r>
        <w:rPr>
          <w:rFonts w:ascii="仿宋_GB2312" w:eastAsia="仿宋_GB2312"/>
          <w:b/>
          <w:sz w:val="32"/>
          <w:szCs w:val="32"/>
        </w:rPr>
        <w:t>2.</w:t>
      </w:r>
      <w:r>
        <w:rPr>
          <w:rFonts w:hint="eastAsia" w:ascii="仿宋_GB2312" w:eastAsia="仿宋_GB2312"/>
          <w:b/>
          <w:sz w:val="32"/>
          <w:szCs w:val="32"/>
        </w:rPr>
        <w:t>公务用车购置及运行维护费支出</w:t>
      </w:r>
      <w:r>
        <w:rPr>
          <w:rFonts w:ascii="仿宋" w:hAnsi="仿宋" w:eastAsia="仿宋"/>
          <w:b/>
          <w:sz w:val="32"/>
          <w:szCs w:val="32"/>
        </w:rPr>
        <w:t>0</w:t>
      </w:r>
      <w:r>
        <w:rPr>
          <w:rFonts w:hint="eastAsia" w:ascii="仿宋_GB2312" w:eastAsia="仿宋_GB2312"/>
          <w:sz w:val="32"/>
          <w:szCs w:val="32"/>
        </w:rPr>
        <w:t>万元,</w:t>
      </w:r>
      <w:r>
        <w:rPr>
          <w:rStyle w:val="18"/>
          <w:rFonts w:hint="eastAsia" w:ascii="仿宋" w:hAnsi="仿宋" w:eastAsia="仿宋"/>
          <w:b w:val="0"/>
          <w:bCs/>
          <w:sz w:val="32"/>
          <w:szCs w:val="32"/>
        </w:rPr>
        <w:t>完成预算</w:t>
      </w:r>
      <w:r>
        <w:rPr>
          <w:rStyle w:val="18"/>
          <w:rFonts w:ascii="仿宋" w:hAnsi="仿宋" w:eastAsia="仿宋"/>
          <w:bCs/>
          <w:sz w:val="32"/>
          <w:szCs w:val="32"/>
        </w:rPr>
        <w:t>0</w:t>
      </w:r>
      <w:r>
        <w:rPr>
          <w:rStyle w:val="18"/>
          <w:rFonts w:ascii="仿宋" w:hAnsi="仿宋" w:eastAsia="仿宋"/>
          <w:b w:val="0"/>
          <w:bCs/>
          <w:sz w:val="32"/>
          <w:szCs w:val="32"/>
        </w:rPr>
        <w:t>%</w:t>
      </w:r>
      <w:r>
        <w:rPr>
          <w:rStyle w:val="18"/>
          <w:rFonts w:hint="eastAsia" w:ascii="仿宋" w:hAnsi="仿宋" w:eastAsia="仿宋"/>
          <w:b w:val="0"/>
          <w:bCs/>
          <w:sz w:val="32"/>
          <w:szCs w:val="32"/>
        </w:rPr>
        <w:t>。</w:t>
      </w:r>
      <w:r>
        <w:rPr>
          <w:rFonts w:hint="eastAsia" w:ascii="仿宋_GB2312" w:eastAsia="仿宋_GB2312"/>
          <w:sz w:val="32"/>
          <w:szCs w:val="32"/>
        </w:rPr>
        <w:t>公务用车购置及运行维护费支出决算比2022年度增加</w:t>
      </w:r>
      <w:r>
        <w:rPr>
          <w:rFonts w:ascii="仿宋_GB2312" w:eastAsia="仿宋_GB2312"/>
          <w:sz w:val="32"/>
          <w:szCs w:val="32"/>
        </w:rPr>
        <w:t>/</w:t>
      </w:r>
      <w:r>
        <w:rPr>
          <w:rFonts w:hint="eastAsia" w:ascii="仿宋_GB2312" w:eastAsia="仿宋_GB2312"/>
          <w:sz w:val="32"/>
          <w:szCs w:val="32"/>
        </w:rPr>
        <w:t>减少</w:t>
      </w:r>
      <w:r>
        <w:rPr>
          <w:rFonts w:ascii="仿宋_GB2312" w:eastAsia="仿宋_GB2312"/>
          <w:sz w:val="32"/>
          <w:szCs w:val="32"/>
        </w:rPr>
        <w:t>**</w:t>
      </w:r>
      <w:r>
        <w:rPr>
          <w:rFonts w:hint="eastAsia" w:ascii="仿宋_GB2312" w:eastAsia="仿宋_GB2312"/>
          <w:sz w:val="32"/>
          <w:szCs w:val="32"/>
        </w:rPr>
        <w:t>万元，增长</w:t>
      </w:r>
      <w:r>
        <w:rPr>
          <w:rFonts w:ascii="仿宋_GB2312" w:eastAsia="仿宋_GB2312"/>
          <w:sz w:val="32"/>
          <w:szCs w:val="32"/>
        </w:rPr>
        <w:t>/</w:t>
      </w:r>
      <w:r>
        <w:rPr>
          <w:rFonts w:hint="eastAsia" w:ascii="仿宋_GB2312" w:eastAsia="仿宋_GB2312"/>
          <w:sz w:val="32"/>
          <w:szCs w:val="32"/>
        </w:rPr>
        <w:t>下降</w:t>
      </w:r>
      <w:r>
        <w:rPr>
          <w:rFonts w:ascii="仿宋_GB2312" w:eastAsia="仿宋_GB2312"/>
          <w:sz w:val="32"/>
          <w:szCs w:val="32"/>
        </w:rPr>
        <w:t>**%</w:t>
      </w:r>
      <w:r>
        <w:rPr>
          <w:rFonts w:hint="eastAsia" w:ascii="仿宋_GB2312" w:eastAsia="仿宋_GB2312"/>
          <w:sz w:val="32"/>
          <w:szCs w:val="32"/>
        </w:rPr>
        <w:t>。主要原因是……。</w:t>
      </w:r>
    </w:p>
    <w:p w14:paraId="1B2A8FF6">
      <w:pPr>
        <w:spacing w:line="600" w:lineRule="exact"/>
        <w:ind w:firstLine="640" w:firstLineChars="200"/>
        <w:rPr>
          <w:rFonts w:ascii="仿宋_GB2312" w:eastAsia="仿宋_GB2312"/>
          <w:b/>
          <w:sz w:val="32"/>
          <w:szCs w:val="32"/>
        </w:rPr>
      </w:pPr>
      <w:r>
        <w:rPr>
          <w:rFonts w:hint="eastAsia" w:ascii="仿宋_GB2312" w:eastAsia="仿宋_GB2312"/>
          <w:sz w:val="32"/>
          <w:szCs w:val="32"/>
        </w:rPr>
        <w:t>其中：</w:t>
      </w:r>
      <w:r>
        <w:rPr>
          <w:rFonts w:hint="eastAsia" w:ascii="仿宋_GB2312" w:eastAsia="仿宋_GB2312"/>
          <w:b/>
          <w:sz w:val="32"/>
          <w:szCs w:val="32"/>
        </w:rPr>
        <w:t>公务用车购置支出</w:t>
      </w:r>
      <w:r>
        <w:rPr>
          <w:rFonts w:ascii="仿宋" w:hAnsi="仿宋" w:eastAsia="仿宋"/>
          <w:b/>
          <w:sz w:val="32"/>
          <w:szCs w:val="32"/>
        </w:rPr>
        <w:t>0</w:t>
      </w:r>
      <w:r>
        <w:rPr>
          <w:rFonts w:hint="eastAsia" w:ascii="仿宋_GB2312" w:eastAsia="仿宋_GB2312"/>
          <w:sz w:val="32"/>
          <w:szCs w:val="32"/>
        </w:rPr>
        <w:t>万元。全年按规定更新购置公务用车</w:t>
      </w:r>
      <w:r>
        <w:rPr>
          <w:rFonts w:ascii="仿宋_GB2312" w:eastAsia="仿宋_GB2312"/>
          <w:sz w:val="32"/>
          <w:szCs w:val="32"/>
        </w:rPr>
        <w:t>**</w:t>
      </w:r>
      <w:r>
        <w:rPr>
          <w:rFonts w:hint="eastAsia" w:ascii="仿宋_GB2312" w:eastAsia="仿宋_GB2312"/>
          <w:sz w:val="32"/>
          <w:szCs w:val="32"/>
        </w:rPr>
        <w:t>辆，其中：轿车</w:t>
      </w:r>
      <w:r>
        <w:rPr>
          <w:rFonts w:ascii="仿宋_GB2312" w:eastAsia="仿宋_GB2312"/>
          <w:sz w:val="32"/>
          <w:szCs w:val="32"/>
        </w:rPr>
        <w:t>**</w:t>
      </w:r>
      <w:r>
        <w:rPr>
          <w:rFonts w:hint="eastAsia" w:ascii="仿宋_GB2312" w:eastAsia="仿宋_GB2312"/>
          <w:sz w:val="32"/>
          <w:szCs w:val="32"/>
        </w:rPr>
        <w:t>辆、金额</w:t>
      </w:r>
      <w:r>
        <w:rPr>
          <w:rFonts w:ascii="仿宋_GB2312" w:eastAsia="仿宋_GB2312"/>
          <w:sz w:val="32"/>
          <w:szCs w:val="32"/>
        </w:rPr>
        <w:t>**</w:t>
      </w:r>
      <w:r>
        <w:rPr>
          <w:rFonts w:hint="eastAsia" w:ascii="仿宋_GB2312" w:eastAsia="仿宋_GB2312"/>
          <w:sz w:val="32"/>
          <w:szCs w:val="32"/>
        </w:rPr>
        <w:t>万元，越野车</w:t>
      </w:r>
      <w:r>
        <w:rPr>
          <w:rFonts w:ascii="仿宋_GB2312" w:eastAsia="仿宋_GB2312"/>
          <w:sz w:val="32"/>
          <w:szCs w:val="32"/>
        </w:rPr>
        <w:t>**</w:t>
      </w:r>
      <w:r>
        <w:rPr>
          <w:rFonts w:hint="eastAsia" w:ascii="仿宋_GB2312" w:eastAsia="仿宋_GB2312"/>
          <w:sz w:val="32"/>
          <w:szCs w:val="32"/>
        </w:rPr>
        <w:t>辆、金额</w:t>
      </w:r>
      <w:r>
        <w:rPr>
          <w:rFonts w:ascii="仿宋_GB2312" w:eastAsia="仿宋_GB2312"/>
          <w:sz w:val="32"/>
          <w:szCs w:val="32"/>
        </w:rPr>
        <w:t>**</w:t>
      </w:r>
      <w:r>
        <w:rPr>
          <w:rFonts w:hint="eastAsia" w:ascii="仿宋_GB2312" w:eastAsia="仿宋_GB2312"/>
          <w:sz w:val="32"/>
          <w:szCs w:val="32"/>
        </w:rPr>
        <w:t>万元，载客汽车</w:t>
      </w:r>
      <w:r>
        <w:rPr>
          <w:rFonts w:ascii="仿宋_GB2312" w:eastAsia="仿宋_GB2312"/>
          <w:sz w:val="32"/>
          <w:szCs w:val="32"/>
        </w:rPr>
        <w:t>**</w:t>
      </w:r>
      <w:r>
        <w:rPr>
          <w:rFonts w:hint="eastAsia" w:ascii="仿宋_GB2312" w:eastAsia="仿宋_GB2312"/>
          <w:sz w:val="32"/>
          <w:szCs w:val="32"/>
        </w:rPr>
        <w:t>辆、金额</w:t>
      </w:r>
      <w:r>
        <w:rPr>
          <w:rFonts w:ascii="仿宋_GB2312" w:eastAsia="仿宋_GB2312"/>
          <w:sz w:val="32"/>
          <w:szCs w:val="32"/>
        </w:rPr>
        <w:t>**</w:t>
      </w:r>
      <w:r>
        <w:rPr>
          <w:rFonts w:hint="eastAsia" w:ascii="仿宋_GB2312" w:eastAsia="仿宋_GB2312"/>
          <w:sz w:val="32"/>
          <w:szCs w:val="32"/>
        </w:rPr>
        <w:t>万元，主要用于…。截至2023年</w:t>
      </w:r>
      <w:r>
        <w:rPr>
          <w:rFonts w:ascii="仿宋_GB2312" w:eastAsia="仿宋_GB2312"/>
          <w:sz w:val="32"/>
          <w:szCs w:val="32"/>
        </w:rPr>
        <w:t>12</w:t>
      </w:r>
      <w:r>
        <w:rPr>
          <w:rFonts w:hint="eastAsia" w:ascii="仿宋_GB2312" w:eastAsia="仿宋_GB2312"/>
          <w:sz w:val="32"/>
          <w:szCs w:val="32"/>
        </w:rPr>
        <w:t>月31日，单位共有公务用车</w:t>
      </w:r>
      <w:r>
        <w:rPr>
          <w:rFonts w:ascii="仿宋_GB2312" w:eastAsia="仿宋_GB2312"/>
          <w:sz w:val="32"/>
          <w:szCs w:val="32"/>
        </w:rPr>
        <w:t>**</w:t>
      </w:r>
      <w:r>
        <w:rPr>
          <w:rFonts w:hint="eastAsia" w:ascii="仿宋_GB2312" w:eastAsia="仿宋_GB2312"/>
          <w:sz w:val="32"/>
          <w:szCs w:val="32"/>
        </w:rPr>
        <w:t>辆，其中：轿车</w:t>
      </w:r>
      <w:r>
        <w:rPr>
          <w:rFonts w:ascii="仿宋_GB2312" w:eastAsia="仿宋_GB2312"/>
          <w:sz w:val="32"/>
          <w:szCs w:val="32"/>
        </w:rPr>
        <w:t>**</w:t>
      </w:r>
      <w:r>
        <w:rPr>
          <w:rFonts w:hint="eastAsia" w:ascii="仿宋_GB2312" w:eastAsia="仿宋_GB2312"/>
          <w:sz w:val="32"/>
          <w:szCs w:val="32"/>
        </w:rPr>
        <w:t>辆、越野车</w:t>
      </w:r>
      <w:r>
        <w:rPr>
          <w:rFonts w:ascii="仿宋_GB2312" w:eastAsia="仿宋_GB2312"/>
          <w:sz w:val="32"/>
          <w:szCs w:val="32"/>
        </w:rPr>
        <w:t>**</w:t>
      </w:r>
      <w:r>
        <w:rPr>
          <w:rFonts w:hint="eastAsia" w:ascii="仿宋_GB2312" w:eastAsia="仿宋_GB2312"/>
          <w:sz w:val="32"/>
          <w:szCs w:val="32"/>
        </w:rPr>
        <w:t>辆、载客汽车</w:t>
      </w:r>
      <w:r>
        <w:rPr>
          <w:rFonts w:ascii="仿宋_GB2312" w:eastAsia="仿宋_GB2312"/>
          <w:sz w:val="32"/>
          <w:szCs w:val="32"/>
        </w:rPr>
        <w:t>**</w:t>
      </w:r>
      <w:r>
        <w:rPr>
          <w:rFonts w:hint="eastAsia" w:ascii="仿宋_GB2312" w:eastAsia="仿宋_GB2312"/>
          <w:sz w:val="32"/>
          <w:szCs w:val="32"/>
        </w:rPr>
        <w:t>辆。</w:t>
      </w:r>
    </w:p>
    <w:p w14:paraId="263E14CA">
      <w:pPr>
        <w:spacing w:line="600" w:lineRule="exact"/>
        <w:ind w:firstLine="640"/>
        <w:rPr>
          <w:rFonts w:ascii="仿宋_GB2312" w:eastAsia="仿宋_GB2312"/>
          <w:sz w:val="32"/>
          <w:szCs w:val="32"/>
        </w:rPr>
      </w:pPr>
      <w:r>
        <w:rPr>
          <w:rFonts w:hint="eastAsia" w:ascii="仿宋_GB2312" w:eastAsia="仿宋_GB2312"/>
          <w:b/>
          <w:sz w:val="32"/>
          <w:szCs w:val="32"/>
        </w:rPr>
        <w:t>公务用车运行维护费支出</w:t>
      </w:r>
      <w:r>
        <w:rPr>
          <w:rFonts w:ascii="仿宋" w:hAnsi="仿宋" w:eastAsia="仿宋"/>
          <w:b/>
          <w:sz w:val="32"/>
          <w:szCs w:val="32"/>
        </w:rPr>
        <w:t>0</w:t>
      </w:r>
      <w:r>
        <w:rPr>
          <w:rFonts w:hint="eastAsia" w:ascii="仿宋_GB2312" w:eastAsia="仿宋_GB2312"/>
          <w:sz w:val="32"/>
          <w:szCs w:val="32"/>
        </w:rPr>
        <w:t>万元。主要用于</w:t>
      </w:r>
      <w:r>
        <w:rPr>
          <w:rFonts w:ascii="仿宋_GB2312" w:eastAsia="仿宋_GB2312"/>
          <w:sz w:val="32"/>
          <w:szCs w:val="32"/>
        </w:rPr>
        <w:t>…</w:t>
      </w:r>
      <w:r>
        <w:rPr>
          <w:rFonts w:hint="eastAsia" w:ascii="仿宋_GB2312" w:eastAsia="仿宋_GB2312"/>
          <w:sz w:val="32"/>
          <w:szCs w:val="32"/>
        </w:rPr>
        <w:t>（具体工作）等所需的公务用车燃料费、维修费、过路过桥费、保险费等支出。</w:t>
      </w:r>
    </w:p>
    <w:p w14:paraId="61CFFA8C">
      <w:pPr>
        <w:spacing w:line="600" w:lineRule="exact"/>
        <w:ind w:firstLine="640"/>
        <w:rPr>
          <w:rFonts w:ascii="仿宋_GB2312" w:eastAsia="仿宋_GB2312"/>
          <w:sz w:val="32"/>
          <w:szCs w:val="32"/>
        </w:rPr>
      </w:pPr>
      <w:r>
        <w:rPr>
          <w:rFonts w:ascii="仿宋_GB2312" w:eastAsia="仿宋_GB2312"/>
          <w:b/>
          <w:sz w:val="32"/>
          <w:szCs w:val="32"/>
        </w:rPr>
        <w:t>3.</w:t>
      </w:r>
      <w:r>
        <w:rPr>
          <w:rFonts w:hint="eastAsia" w:ascii="仿宋_GB2312" w:eastAsia="仿宋_GB2312"/>
          <w:b/>
          <w:sz w:val="32"/>
          <w:szCs w:val="32"/>
        </w:rPr>
        <w:t>公务接待费支出</w:t>
      </w:r>
      <w:r>
        <w:rPr>
          <w:rFonts w:ascii="仿宋" w:hAnsi="仿宋" w:eastAsia="仿宋"/>
          <w:b/>
          <w:sz w:val="32"/>
          <w:szCs w:val="32"/>
        </w:rPr>
        <w:t>0.31</w:t>
      </w:r>
      <w:r>
        <w:rPr>
          <w:rFonts w:hint="eastAsia" w:ascii="仿宋_GB2312" w:eastAsia="仿宋_GB2312"/>
          <w:sz w:val="32"/>
          <w:szCs w:val="32"/>
        </w:rPr>
        <w:t>万元，</w:t>
      </w:r>
      <w:r>
        <w:rPr>
          <w:rStyle w:val="18"/>
          <w:rFonts w:hint="eastAsia" w:ascii="仿宋" w:hAnsi="仿宋" w:eastAsia="仿宋"/>
          <w:b w:val="0"/>
          <w:bCs/>
          <w:sz w:val="32"/>
          <w:szCs w:val="32"/>
        </w:rPr>
        <w:t>完成预算</w:t>
      </w:r>
      <w:r>
        <w:rPr>
          <w:rStyle w:val="18"/>
          <w:rFonts w:ascii="仿宋" w:hAnsi="仿宋" w:eastAsia="仿宋"/>
          <w:b w:val="0"/>
          <w:bCs/>
          <w:sz w:val="32"/>
          <w:szCs w:val="32"/>
        </w:rPr>
        <w:t>100%</w:t>
      </w:r>
      <w:r>
        <w:rPr>
          <w:rStyle w:val="18"/>
          <w:rFonts w:hint="eastAsia" w:ascii="仿宋" w:hAnsi="仿宋" w:eastAsia="仿宋"/>
          <w:b w:val="0"/>
          <w:bCs/>
          <w:sz w:val="32"/>
          <w:szCs w:val="32"/>
        </w:rPr>
        <w:t>。</w:t>
      </w:r>
      <w:r>
        <w:rPr>
          <w:rFonts w:hint="eastAsia" w:ascii="仿宋_GB2312" w:eastAsia="仿宋_GB2312"/>
          <w:sz w:val="32"/>
          <w:szCs w:val="32"/>
        </w:rPr>
        <w:t>公务接待费支出决算比2022年度增加</w:t>
      </w:r>
      <w:r>
        <w:rPr>
          <w:rFonts w:hint="eastAsia" w:ascii="仿宋_GB2312" w:eastAsia="仿宋_GB2312"/>
          <w:sz w:val="32"/>
          <w:szCs w:val="32"/>
          <w:lang w:val="en-US" w:eastAsia="zh-CN"/>
        </w:rPr>
        <w:t>0.31</w:t>
      </w:r>
      <w:r>
        <w:rPr>
          <w:rFonts w:hint="eastAsia" w:ascii="仿宋_GB2312" w:eastAsia="仿宋_GB2312"/>
          <w:sz w:val="32"/>
          <w:szCs w:val="32"/>
        </w:rPr>
        <w:t>万元，增长</w:t>
      </w:r>
      <w:r>
        <w:rPr>
          <w:rFonts w:hint="eastAsia" w:ascii="仿宋_GB2312" w:eastAsia="仿宋_GB2312"/>
          <w:sz w:val="32"/>
          <w:szCs w:val="32"/>
          <w:lang w:val="en-US" w:eastAsia="zh-CN"/>
        </w:rPr>
        <w:t>100</w:t>
      </w:r>
      <w:r>
        <w:rPr>
          <w:rFonts w:ascii="仿宋_GB2312" w:eastAsia="仿宋_GB2312"/>
          <w:sz w:val="32"/>
          <w:szCs w:val="32"/>
        </w:rPr>
        <w:t>%</w:t>
      </w:r>
      <w:r>
        <w:rPr>
          <w:rFonts w:hint="eastAsia" w:ascii="仿宋_GB2312" w:eastAsia="仿宋_GB2312"/>
          <w:sz w:val="32"/>
          <w:szCs w:val="32"/>
        </w:rPr>
        <w:t>。主要原因是</w:t>
      </w:r>
      <w:r>
        <w:rPr>
          <w:rFonts w:hint="eastAsia" w:ascii="仿宋_GB2312" w:eastAsia="仿宋_GB2312"/>
          <w:sz w:val="32"/>
          <w:szCs w:val="32"/>
          <w:lang w:eastAsia="zh-CN"/>
        </w:rPr>
        <w:t>公务接待费用</w:t>
      </w:r>
      <w:r>
        <w:rPr>
          <w:rFonts w:hint="eastAsia" w:ascii="仿宋_GB2312" w:eastAsia="仿宋_GB2312"/>
          <w:sz w:val="32"/>
          <w:szCs w:val="32"/>
          <w:lang w:val="en-US" w:eastAsia="zh-CN"/>
        </w:rPr>
        <w:t>2022年在阿坝州财政局中支出，2023年在投资评审中心支出</w:t>
      </w:r>
      <w:r>
        <w:rPr>
          <w:rFonts w:hint="eastAsia" w:ascii="仿宋_GB2312" w:eastAsia="仿宋_GB2312"/>
          <w:sz w:val="32"/>
          <w:szCs w:val="32"/>
        </w:rPr>
        <w:t>。</w:t>
      </w:r>
    </w:p>
    <w:p w14:paraId="6E4EE2A4">
      <w:pPr>
        <w:spacing w:line="600" w:lineRule="exact"/>
        <w:ind w:firstLine="640"/>
        <w:rPr>
          <w:rFonts w:ascii="仿宋_GB2312" w:eastAsia="仿宋_GB2312"/>
          <w:sz w:val="32"/>
          <w:szCs w:val="32"/>
        </w:rPr>
      </w:pPr>
      <w:r>
        <w:rPr>
          <w:rFonts w:hint="eastAsia" w:ascii="仿宋" w:hAnsi="仿宋" w:eastAsia="仿宋"/>
          <w:b/>
          <w:sz w:val="32"/>
          <w:szCs w:val="32"/>
        </w:rPr>
        <w:t>国内公务接待支出</w:t>
      </w:r>
      <w:r>
        <w:rPr>
          <w:rFonts w:ascii="仿宋" w:hAnsi="仿宋" w:eastAsia="仿宋"/>
          <w:b/>
          <w:sz w:val="32"/>
          <w:szCs w:val="32"/>
        </w:rPr>
        <w:t>0.31</w:t>
      </w:r>
      <w:r>
        <w:rPr>
          <w:rFonts w:hint="eastAsia" w:ascii="仿宋_GB2312" w:eastAsia="仿宋_GB2312"/>
          <w:sz w:val="32"/>
          <w:szCs w:val="32"/>
        </w:rPr>
        <w:t>万元，主要用于开展业务活动开支的用餐费等。国内公务接待</w:t>
      </w:r>
      <w:r>
        <w:rPr>
          <w:rFonts w:hint="eastAsia" w:ascii="仿宋_GB2312" w:eastAsia="仿宋_GB2312"/>
          <w:sz w:val="32"/>
          <w:szCs w:val="32"/>
          <w:lang w:val="en-US" w:eastAsia="zh-CN"/>
        </w:rPr>
        <w:t>3</w:t>
      </w:r>
      <w:r>
        <w:rPr>
          <w:rFonts w:hint="eastAsia" w:ascii="仿宋_GB2312" w:eastAsia="仿宋_GB2312"/>
          <w:sz w:val="32"/>
          <w:szCs w:val="32"/>
        </w:rPr>
        <w:t>批次，</w:t>
      </w:r>
      <w:r>
        <w:rPr>
          <w:rFonts w:hint="eastAsia" w:ascii="仿宋_GB2312" w:eastAsia="仿宋_GB2312"/>
          <w:sz w:val="32"/>
          <w:szCs w:val="32"/>
          <w:lang w:val="en-US" w:eastAsia="zh-CN"/>
        </w:rPr>
        <w:t>26</w:t>
      </w:r>
      <w:r>
        <w:rPr>
          <w:rFonts w:hint="eastAsia" w:ascii="仿宋_GB2312" w:eastAsia="仿宋_GB2312"/>
          <w:sz w:val="32"/>
          <w:szCs w:val="32"/>
        </w:rPr>
        <w:t>人次（不包括陪同人员），共计支出</w:t>
      </w:r>
      <w:r>
        <w:rPr>
          <w:rFonts w:hint="eastAsia" w:ascii="仿宋_GB2312" w:eastAsia="仿宋_GB2312"/>
          <w:sz w:val="32"/>
          <w:szCs w:val="32"/>
          <w:lang w:val="en-US" w:eastAsia="zh-CN"/>
        </w:rPr>
        <w:t>0.31</w:t>
      </w:r>
      <w:r>
        <w:rPr>
          <w:rFonts w:hint="eastAsia" w:ascii="仿宋_GB2312" w:eastAsia="仿宋_GB2312"/>
          <w:sz w:val="32"/>
          <w:szCs w:val="32"/>
        </w:rPr>
        <w:t>万元，具体内容包括：</w:t>
      </w:r>
      <w:r>
        <w:rPr>
          <w:rFonts w:hint="eastAsia" w:ascii="仿宋_GB2312" w:eastAsia="仿宋_GB2312"/>
          <w:sz w:val="32"/>
          <w:szCs w:val="32"/>
          <w:lang w:eastAsia="zh-CN"/>
        </w:rPr>
        <w:t>用餐费</w:t>
      </w:r>
      <w:r>
        <w:rPr>
          <w:rFonts w:hint="eastAsia" w:ascii="仿宋_GB2312" w:eastAsia="仿宋_GB2312"/>
          <w:sz w:val="32"/>
          <w:szCs w:val="32"/>
        </w:rPr>
        <w:t>。</w:t>
      </w:r>
    </w:p>
    <w:p w14:paraId="7D73446E">
      <w:pPr>
        <w:spacing w:line="600" w:lineRule="exact"/>
        <w:ind w:firstLine="643" w:firstLineChars="200"/>
        <w:rPr>
          <w:rFonts w:ascii="仿宋_GB2312" w:eastAsia="仿宋_GB2312"/>
          <w:sz w:val="32"/>
          <w:szCs w:val="32"/>
        </w:rPr>
      </w:pPr>
      <w:r>
        <w:rPr>
          <w:rFonts w:hint="eastAsia" w:ascii="仿宋" w:hAnsi="仿宋" w:eastAsia="仿宋"/>
          <w:b/>
          <w:sz w:val="32"/>
          <w:szCs w:val="32"/>
        </w:rPr>
        <w:t>外事接待支出</w:t>
      </w:r>
      <w:r>
        <w:rPr>
          <w:rFonts w:ascii="仿宋" w:hAnsi="仿宋" w:eastAsia="仿宋"/>
          <w:b/>
          <w:sz w:val="32"/>
          <w:szCs w:val="32"/>
        </w:rPr>
        <w:t>0</w:t>
      </w:r>
      <w:r>
        <w:rPr>
          <w:rFonts w:hint="eastAsia" w:ascii="仿宋_GB2312" w:eastAsia="仿宋_GB2312"/>
          <w:sz w:val="32"/>
          <w:szCs w:val="32"/>
        </w:rPr>
        <w:t>万元，主要用于接待</w:t>
      </w:r>
      <w:r>
        <w:rPr>
          <w:rFonts w:ascii="仿宋_GB2312" w:eastAsia="仿宋_GB2312"/>
          <w:sz w:val="32"/>
          <w:szCs w:val="32"/>
        </w:rPr>
        <w:t>…</w:t>
      </w:r>
      <w:r>
        <w:rPr>
          <w:rFonts w:hint="eastAsia" w:ascii="仿宋_GB2312" w:eastAsia="仿宋_GB2312"/>
          <w:sz w:val="32"/>
          <w:szCs w:val="32"/>
        </w:rPr>
        <w:t>（具体项目）。外事接待</w:t>
      </w:r>
      <w:r>
        <w:rPr>
          <w:rFonts w:ascii="仿宋_GB2312" w:eastAsia="仿宋_GB2312"/>
          <w:sz w:val="32"/>
          <w:szCs w:val="32"/>
        </w:rPr>
        <w:t>**</w:t>
      </w:r>
      <w:r>
        <w:rPr>
          <w:rFonts w:hint="eastAsia" w:ascii="仿宋_GB2312" w:eastAsia="仿宋_GB2312"/>
          <w:sz w:val="32"/>
          <w:szCs w:val="32"/>
        </w:rPr>
        <w:t>批次，</w:t>
      </w:r>
      <w:r>
        <w:rPr>
          <w:rFonts w:ascii="仿宋_GB2312" w:eastAsia="仿宋_GB2312"/>
          <w:sz w:val="32"/>
          <w:szCs w:val="32"/>
        </w:rPr>
        <w:t>**</w:t>
      </w:r>
      <w:r>
        <w:rPr>
          <w:rFonts w:hint="eastAsia" w:ascii="仿宋_GB2312" w:eastAsia="仿宋_GB2312"/>
          <w:sz w:val="32"/>
          <w:szCs w:val="32"/>
        </w:rPr>
        <w:t>人次（不包括陪同人员），共计支出</w:t>
      </w:r>
      <w:r>
        <w:rPr>
          <w:rFonts w:ascii="仿宋_GB2312" w:eastAsia="仿宋_GB2312"/>
          <w:sz w:val="32"/>
          <w:szCs w:val="32"/>
        </w:rPr>
        <w:t>**</w:t>
      </w:r>
      <w:r>
        <w:rPr>
          <w:rFonts w:hint="eastAsia" w:ascii="仿宋_GB2312" w:eastAsia="仿宋_GB2312"/>
          <w:sz w:val="32"/>
          <w:szCs w:val="32"/>
        </w:rPr>
        <w:t>万元。</w:t>
      </w:r>
    </w:p>
    <w:p w14:paraId="7A4B270A">
      <w:pPr>
        <w:spacing w:line="600" w:lineRule="exact"/>
        <w:ind w:firstLine="640"/>
        <w:outlineLvl w:val="1"/>
        <w:rPr>
          <w:rFonts w:ascii="黑体" w:eastAsia="黑体"/>
          <w:sz w:val="32"/>
          <w:szCs w:val="32"/>
        </w:rPr>
      </w:pPr>
    </w:p>
    <w:p w14:paraId="1A4CA430">
      <w:pPr>
        <w:spacing w:line="600" w:lineRule="exact"/>
        <w:ind w:firstLine="640"/>
        <w:outlineLvl w:val="1"/>
        <w:rPr>
          <w:rStyle w:val="30"/>
          <w:rFonts w:ascii="黑体" w:hAnsi="黑体" w:eastAsia="黑体"/>
        </w:rPr>
      </w:pPr>
      <w:r>
        <w:rPr>
          <w:rFonts w:hint="eastAsia" w:ascii="黑体" w:eastAsia="黑体"/>
          <w:sz w:val="32"/>
          <w:szCs w:val="32"/>
        </w:rPr>
        <w:t>八、</w:t>
      </w:r>
      <w:r>
        <w:rPr>
          <w:rStyle w:val="30"/>
          <w:rFonts w:hint="eastAsia" w:ascii="黑体" w:hAnsi="黑体" w:eastAsia="黑体"/>
          <w:b w:val="0"/>
        </w:rPr>
        <w:t>政府性基金预算支出决算情况说明</w:t>
      </w:r>
      <w:bookmarkEnd w:id="40"/>
      <w:bookmarkEnd w:id="41"/>
    </w:p>
    <w:p w14:paraId="4DB3FE49">
      <w:pPr>
        <w:spacing w:line="600" w:lineRule="exact"/>
        <w:ind w:firstLine="640"/>
        <w:rPr>
          <w:rFonts w:ascii="仿宋_GB2312" w:eastAsia="仿宋_GB2312"/>
          <w:sz w:val="32"/>
          <w:szCs w:val="32"/>
        </w:rPr>
      </w:pPr>
      <w:r>
        <w:rPr>
          <w:rFonts w:hint="eastAsia" w:ascii="仿宋_GB2312" w:eastAsia="仿宋_GB2312"/>
          <w:sz w:val="32"/>
          <w:szCs w:val="32"/>
        </w:rPr>
        <w:t>2023年度政府性基金预算财政拨款支出</w:t>
      </w:r>
      <w:r>
        <w:rPr>
          <w:rFonts w:ascii="仿宋" w:hAnsi="仿宋" w:eastAsia="仿宋"/>
          <w:b/>
          <w:sz w:val="32"/>
          <w:szCs w:val="32"/>
        </w:rPr>
        <w:t>0</w:t>
      </w:r>
      <w:r>
        <w:rPr>
          <w:rFonts w:hint="eastAsia" w:ascii="仿宋_GB2312" w:eastAsia="仿宋_GB2312"/>
          <w:sz w:val="32"/>
          <w:szCs w:val="32"/>
        </w:rPr>
        <w:t>万元。</w:t>
      </w:r>
    </w:p>
    <w:p w14:paraId="2B90B150">
      <w:pPr>
        <w:spacing w:line="600" w:lineRule="exact"/>
        <w:ind w:firstLine="640"/>
        <w:rPr>
          <w:rFonts w:ascii="仿宋_GB2312" w:eastAsia="仿宋_GB2312"/>
          <w:sz w:val="32"/>
          <w:szCs w:val="32"/>
        </w:rPr>
      </w:pPr>
    </w:p>
    <w:p w14:paraId="6140DDF7">
      <w:pPr>
        <w:numPr>
          <w:ilvl w:val="0"/>
          <w:numId w:val="2"/>
        </w:numPr>
        <w:spacing w:line="600" w:lineRule="exact"/>
        <w:ind w:firstLine="640"/>
        <w:outlineLvl w:val="1"/>
        <w:rPr>
          <w:rStyle w:val="30"/>
          <w:rFonts w:ascii="黑体" w:hAnsi="黑体" w:eastAsia="黑体"/>
          <w:b w:val="0"/>
        </w:rPr>
      </w:pPr>
      <w:bookmarkStart w:id="42" w:name="_Toc15396611"/>
      <w:bookmarkStart w:id="43" w:name="_Toc15377219"/>
      <w:r>
        <w:rPr>
          <w:rStyle w:val="30"/>
          <w:rFonts w:hint="eastAsia" w:ascii="黑体" w:hAnsi="黑体" w:eastAsia="黑体"/>
          <w:b w:val="0"/>
        </w:rPr>
        <w:t>国有资本经营预算支出决算情况说明</w:t>
      </w:r>
      <w:bookmarkEnd w:id="42"/>
      <w:bookmarkEnd w:id="43"/>
    </w:p>
    <w:p w14:paraId="5D6DB3AF">
      <w:pPr>
        <w:spacing w:line="600" w:lineRule="exact"/>
        <w:ind w:firstLine="640"/>
        <w:rPr>
          <w:rFonts w:ascii="仿宋_GB2312" w:eastAsia="仿宋_GB2312"/>
          <w:sz w:val="32"/>
          <w:szCs w:val="32"/>
        </w:rPr>
      </w:pPr>
      <w:r>
        <w:rPr>
          <w:rFonts w:hint="eastAsia" w:ascii="仿宋_GB2312" w:eastAsia="仿宋_GB2312"/>
          <w:sz w:val="32"/>
          <w:szCs w:val="32"/>
        </w:rPr>
        <w:t>2023年度国有资本经营预算财政拨款支出</w:t>
      </w:r>
      <w:r>
        <w:rPr>
          <w:rFonts w:ascii="仿宋" w:hAnsi="仿宋" w:eastAsia="仿宋"/>
          <w:b/>
          <w:sz w:val="32"/>
          <w:szCs w:val="32"/>
        </w:rPr>
        <w:t>0</w:t>
      </w:r>
      <w:r>
        <w:rPr>
          <w:rFonts w:hint="eastAsia" w:ascii="仿宋_GB2312" w:eastAsia="仿宋_GB2312"/>
          <w:sz w:val="32"/>
          <w:szCs w:val="32"/>
        </w:rPr>
        <w:t>万元。</w:t>
      </w:r>
    </w:p>
    <w:p w14:paraId="6EA798D2">
      <w:pPr>
        <w:spacing w:line="580" w:lineRule="exact"/>
        <w:jc w:val="center"/>
        <w:rPr>
          <w:rFonts w:ascii="方正小标宋简体" w:hAnsi="方正小标宋简体" w:eastAsia="方正小标宋简体" w:cs="方正小标宋简体"/>
          <w:sz w:val="44"/>
          <w:szCs w:val="44"/>
        </w:rPr>
      </w:pPr>
    </w:p>
    <w:p w14:paraId="0ED52D21">
      <w:pPr>
        <w:numPr>
          <w:ilvl w:val="0"/>
          <w:numId w:val="2"/>
        </w:numPr>
        <w:spacing w:line="600" w:lineRule="exact"/>
        <w:ind w:firstLine="640"/>
        <w:outlineLvl w:val="1"/>
        <w:rPr>
          <w:rStyle w:val="30"/>
          <w:rFonts w:ascii="黑体" w:hAnsi="黑体" w:eastAsia="黑体"/>
          <w:b w:val="0"/>
        </w:rPr>
      </w:pPr>
      <w:bookmarkStart w:id="44" w:name="_Toc15377221"/>
      <w:bookmarkStart w:id="45" w:name="_Toc15396612"/>
      <w:r>
        <w:rPr>
          <w:rStyle w:val="30"/>
          <w:rFonts w:hint="eastAsia" w:ascii="黑体" w:hAnsi="黑体" w:eastAsia="黑体"/>
          <w:b w:val="0"/>
        </w:rPr>
        <w:t>其他重要事项的情况说明</w:t>
      </w:r>
      <w:bookmarkEnd w:id="44"/>
      <w:bookmarkEnd w:id="45"/>
    </w:p>
    <w:p w14:paraId="55A828D6">
      <w:pPr>
        <w:spacing w:line="600" w:lineRule="exact"/>
        <w:ind w:firstLine="643" w:firstLineChars="200"/>
        <w:outlineLvl w:val="2"/>
        <w:rPr>
          <w:rFonts w:ascii="仿宋" w:hAnsi="仿宋" w:eastAsia="仿宋"/>
          <w:sz w:val="32"/>
          <w:szCs w:val="32"/>
        </w:rPr>
      </w:pPr>
      <w:bookmarkStart w:id="46" w:name="_Toc15377222"/>
      <w:r>
        <w:rPr>
          <w:rFonts w:hint="eastAsia" w:ascii="仿宋" w:hAnsi="仿宋" w:eastAsia="仿宋"/>
          <w:b/>
          <w:sz w:val="32"/>
          <w:szCs w:val="32"/>
        </w:rPr>
        <w:t>（一）机关运行经费支出情况</w:t>
      </w:r>
      <w:bookmarkEnd w:id="46"/>
    </w:p>
    <w:p w14:paraId="394241AB">
      <w:pPr>
        <w:spacing w:line="600" w:lineRule="exact"/>
        <w:ind w:firstLine="640" w:firstLineChars="200"/>
        <w:rPr>
          <w:rFonts w:ascii="仿宋_GB2312" w:eastAsia="仿宋_GB2312"/>
          <w:sz w:val="32"/>
          <w:szCs w:val="32"/>
        </w:rPr>
      </w:pPr>
      <w:r>
        <w:rPr>
          <w:rFonts w:hint="eastAsia" w:ascii="仿宋_GB2312" w:eastAsia="仿宋_GB2312"/>
          <w:sz w:val="32"/>
          <w:szCs w:val="32"/>
        </w:rPr>
        <w:t>2023年度，</w:t>
      </w:r>
      <w:r>
        <w:rPr>
          <w:rFonts w:ascii="仿宋_GB2312" w:eastAsia="仿宋_GB2312"/>
          <w:b/>
          <w:sz w:val="32"/>
          <w:szCs w:val="32"/>
        </w:rPr>
        <w:t>四川省阿坝州财政局投资评审中心</w:t>
      </w:r>
      <w:r>
        <w:rPr>
          <w:rFonts w:hint="eastAsia" w:ascii="仿宋_GB2312" w:eastAsia="仿宋_GB2312"/>
          <w:sz w:val="32"/>
          <w:szCs w:val="32"/>
        </w:rPr>
        <w:t>机关运行经费支出</w:t>
      </w:r>
      <w:r>
        <w:rPr>
          <w:rFonts w:ascii="仿宋" w:hAnsi="仿宋" w:eastAsia="仿宋"/>
          <w:b/>
          <w:sz w:val="32"/>
          <w:szCs w:val="32"/>
        </w:rPr>
        <w:t>0</w:t>
      </w:r>
      <w:r>
        <w:rPr>
          <w:rFonts w:hint="eastAsia" w:ascii="仿宋_GB2312" w:eastAsia="仿宋_GB2312"/>
          <w:sz w:val="32"/>
          <w:szCs w:val="32"/>
        </w:rPr>
        <w:t>万元，比2022年度增加</w:t>
      </w:r>
      <w:r>
        <w:rPr>
          <w:rFonts w:ascii="仿宋_GB2312" w:eastAsia="仿宋_GB2312"/>
          <w:sz w:val="32"/>
          <w:szCs w:val="32"/>
        </w:rPr>
        <w:t>/</w:t>
      </w:r>
      <w:r>
        <w:rPr>
          <w:rFonts w:hint="eastAsia" w:ascii="仿宋_GB2312" w:eastAsia="仿宋_GB2312"/>
          <w:sz w:val="32"/>
          <w:szCs w:val="32"/>
        </w:rPr>
        <w:t>减少</w:t>
      </w:r>
      <w:r>
        <w:rPr>
          <w:rFonts w:ascii="仿宋_GB2312" w:eastAsia="仿宋_GB2312"/>
          <w:sz w:val="32"/>
          <w:szCs w:val="32"/>
        </w:rPr>
        <w:t>**</w:t>
      </w:r>
      <w:r>
        <w:rPr>
          <w:rFonts w:hint="eastAsia" w:ascii="仿宋_GB2312" w:eastAsia="仿宋_GB2312"/>
          <w:sz w:val="32"/>
          <w:szCs w:val="32"/>
        </w:rPr>
        <w:t>万元，增长</w:t>
      </w:r>
      <w:r>
        <w:rPr>
          <w:rFonts w:ascii="仿宋_GB2312" w:eastAsia="仿宋_GB2312"/>
          <w:sz w:val="32"/>
          <w:szCs w:val="32"/>
        </w:rPr>
        <w:t>/</w:t>
      </w:r>
      <w:r>
        <w:rPr>
          <w:rFonts w:hint="eastAsia" w:ascii="仿宋_GB2312" w:eastAsia="仿宋_GB2312"/>
          <w:sz w:val="32"/>
          <w:szCs w:val="32"/>
        </w:rPr>
        <w:t>下降</w:t>
      </w:r>
      <w:r>
        <w:rPr>
          <w:rFonts w:ascii="仿宋_GB2312" w:eastAsia="仿宋_GB2312"/>
          <w:sz w:val="32"/>
          <w:szCs w:val="32"/>
        </w:rPr>
        <w:t>**%</w:t>
      </w:r>
      <w:r>
        <w:rPr>
          <w:rFonts w:hint="eastAsia" w:ascii="仿宋_GB2312" w:eastAsia="仿宋_GB2312"/>
          <w:sz w:val="32"/>
          <w:szCs w:val="32"/>
        </w:rPr>
        <w:t>（或与2022年度决算数持平）。主要原因是……。</w:t>
      </w:r>
    </w:p>
    <w:p w14:paraId="10DA6AD8">
      <w:pPr>
        <w:spacing w:line="600" w:lineRule="exact"/>
        <w:ind w:firstLine="643" w:firstLineChars="200"/>
        <w:rPr>
          <w:rFonts w:ascii="仿宋" w:hAnsi="仿宋" w:eastAsia="仿宋"/>
          <w:b/>
          <w:sz w:val="32"/>
          <w:szCs w:val="32"/>
        </w:rPr>
      </w:pPr>
      <w:r>
        <w:rPr>
          <w:rFonts w:hint="eastAsia" w:ascii="仿宋" w:hAnsi="仿宋" w:eastAsia="仿宋"/>
          <w:b/>
          <w:sz w:val="32"/>
          <w:szCs w:val="32"/>
        </w:rPr>
        <w:t>（注：数据来源于财决附</w:t>
      </w:r>
      <w:r>
        <w:rPr>
          <w:rFonts w:ascii="仿宋" w:hAnsi="仿宋" w:eastAsia="仿宋"/>
          <w:b/>
          <w:sz w:val="32"/>
          <w:szCs w:val="32"/>
        </w:rPr>
        <w:t>03</w:t>
      </w:r>
      <w:r>
        <w:rPr>
          <w:rFonts w:hint="eastAsia" w:ascii="仿宋" w:hAnsi="仿宋" w:eastAsia="仿宋"/>
          <w:b/>
          <w:sz w:val="32"/>
          <w:szCs w:val="32"/>
        </w:rPr>
        <w:t>表）</w:t>
      </w:r>
    </w:p>
    <w:p w14:paraId="7EF0A2CF">
      <w:pPr>
        <w:autoSpaceDE w:val="0"/>
        <w:autoSpaceDN w:val="0"/>
        <w:adjustRightInd w:val="0"/>
        <w:spacing w:line="600" w:lineRule="exact"/>
        <w:ind w:firstLine="643" w:firstLineChars="200"/>
        <w:jc w:val="left"/>
        <w:outlineLvl w:val="2"/>
        <w:rPr>
          <w:rFonts w:ascii="仿宋" w:hAnsi="仿宋" w:eastAsia="仿宋"/>
          <w:b/>
          <w:sz w:val="32"/>
          <w:szCs w:val="32"/>
        </w:rPr>
      </w:pPr>
      <w:bookmarkStart w:id="47" w:name="_Toc15377223"/>
      <w:r>
        <w:rPr>
          <w:rFonts w:hint="eastAsia" w:ascii="仿宋" w:hAnsi="仿宋" w:eastAsia="仿宋"/>
          <w:b/>
          <w:sz w:val="32"/>
          <w:szCs w:val="32"/>
        </w:rPr>
        <w:t>（二）政府采购支出情况</w:t>
      </w:r>
      <w:bookmarkEnd w:id="47"/>
    </w:p>
    <w:p w14:paraId="60FDB846">
      <w:pPr>
        <w:spacing w:line="600" w:lineRule="exact"/>
        <w:ind w:firstLine="640" w:firstLineChars="200"/>
        <w:rPr>
          <w:rFonts w:ascii="仿宋_GB2312" w:eastAsia="仿宋_GB2312"/>
          <w:sz w:val="32"/>
          <w:szCs w:val="32"/>
        </w:rPr>
      </w:pPr>
      <w:r>
        <w:rPr>
          <w:rFonts w:hint="eastAsia" w:ascii="仿宋_GB2312" w:eastAsia="仿宋_GB2312"/>
          <w:sz w:val="32"/>
          <w:szCs w:val="32"/>
        </w:rPr>
        <w:t>2023年度，</w:t>
      </w:r>
      <w:r>
        <w:rPr>
          <w:rFonts w:ascii="仿宋_GB2312" w:eastAsia="仿宋_GB2312"/>
          <w:b/>
          <w:sz w:val="32"/>
          <w:szCs w:val="32"/>
        </w:rPr>
        <w:t>四川省阿坝州财政局投资评审中心</w:t>
      </w:r>
      <w:r>
        <w:rPr>
          <w:rFonts w:hint="eastAsia" w:ascii="仿宋_GB2312" w:eastAsia="仿宋_GB2312"/>
          <w:sz w:val="32"/>
          <w:szCs w:val="32"/>
        </w:rPr>
        <w:t>政府采购支出总额</w:t>
      </w:r>
      <w:r>
        <w:rPr>
          <w:rFonts w:ascii="仿宋" w:hAnsi="仿宋" w:eastAsia="仿宋"/>
          <w:b/>
          <w:sz w:val="32"/>
          <w:szCs w:val="32"/>
        </w:rPr>
        <w:t>0</w:t>
      </w:r>
      <w:r>
        <w:rPr>
          <w:rFonts w:hint="eastAsia" w:ascii="仿宋_GB2312" w:eastAsia="仿宋_GB2312"/>
          <w:sz w:val="32"/>
          <w:szCs w:val="32"/>
        </w:rPr>
        <w:t>万元，其中：政府采购货物支出</w:t>
      </w:r>
      <w:r>
        <w:rPr>
          <w:rFonts w:ascii="仿宋" w:hAnsi="仿宋" w:eastAsia="仿宋"/>
          <w:b/>
          <w:sz w:val="32"/>
          <w:szCs w:val="32"/>
        </w:rPr>
        <w:t>0</w:t>
      </w:r>
      <w:r>
        <w:rPr>
          <w:rFonts w:hint="eastAsia" w:ascii="仿宋_GB2312" w:eastAsia="仿宋_GB2312"/>
          <w:sz w:val="32"/>
          <w:szCs w:val="32"/>
        </w:rPr>
        <w:t>万元、政府采购工程支出</w:t>
      </w:r>
      <w:r>
        <w:rPr>
          <w:rFonts w:ascii="仿宋" w:hAnsi="仿宋" w:eastAsia="仿宋"/>
          <w:b/>
          <w:sz w:val="32"/>
          <w:szCs w:val="32"/>
        </w:rPr>
        <w:t>0</w:t>
      </w:r>
      <w:r>
        <w:rPr>
          <w:rFonts w:hint="eastAsia" w:ascii="仿宋_GB2312" w:eastAsia="仿宋_GB2312"/>
          <w:sz w:val="32"/>
          <w:szCs w:val="32"/>
        </w:rPr>
        <w:t>万元、政府采购服务支出</w:t>
      </w:r>
      <w:r>
        <w:rPr>
          <w:rFonts w:ascii="仿宋" w:hAnsi="仿宋" w:eastAsia="仿宋"/>
          <w:b/>
          <w:sz w:val="32"/>
          <w:szCs w:val="32"/>
        </w:rPr>
        <w:t>0</w:t>
      </w:r>
      <w:r>
        <w:rPr>
          <w:rFonts w:hint="eastAsia" w:ascii="仿宋_GB2312" w:eastAsia="仿宋_GB2312"/>
          <w:sz w:val="32"/>
          <w:szCs w:val="32"/>
        </w:rPr>
        <w:t>万元。主要用于</w:t>
      </w:r>
      <w:r>
        <w:rPr>
          <w:rFonts w:ascii="仿宋_GB2312" w:eastAsia="仿宋_GB2312"/>
          <w:sz w:val="32"/>
          <w:szCs w:val="32"/>
        </w:rPr>
        <w:t>…</w:t>
      </w:r>
      <w:r>
        <w:rPr>
          <w:rFonts w:hint="eastAsia" w:ascii="仿宋_GB2312" w:eastAsia="仿宋_GB2312"/>
          <w:sz w:val="32"/>
          <w:szCs w:val="32"/>
        </w:rPr>
        <w:t>（具体工作）。授予中小企业合同金额</w:t>
      </w:r>
      <w:r>
        <w:rPr>
          <w:rFonts w:ascii="仿宋" w:hAnsi="仿宋" w:eastAsia="仿宋"/>
          <w:b/>
          <w:sz w:val="32"/>
          <w:szCs w:val="32"/>
        </w:rPr>
        <w:t>0</w:t>
      </w:r>
      <w:r>
        <w:rPr>
          <w:rFonts w:hint="eastAsia" w:ascii="仿宋_GB2312" w:eastAsia="仿宋_GB2312"/>
          <w:sz w:val="32"/>
          <w:szCs w:val="32"/>
        </w:rPr>
        <w:t>万元，占政府采购支出总额的</w:t>
      </w:r>
      <w:r>
        <w:rPr>
          <w:rFonts w:ascii="仿宋_GB2312" w:eastAsia="仿宋_GB2312"/>
          <w:sz w:val="32"/>
          <w:szCs w:val="32"/>
        </w:rPr>
        <w:t>0%</w:t>
      </w:r>
      <w:r>
        <w:rPr>
          <w:rFonts w:hint="eastAsia" w:ascii="仿宋_GB2312" w:eastAsia="仿宋_GB2312"/>
          <w:sz w:val="32"/>
          <w:szCs w:val="32"/>
        </w:rPr>
        <w:t>，其中：授予小微企业合同金额</w:t>
      </w:r>
      <w:r>
        <w:rPr>
          <w:rFonts w:ascii="仿宋" w:hAnsi="仿宋" w:eastAsia="仿宋"/>
          <w:b/>
          <w:sz w:val="32"/>
          <w:szCs w:val="32"/>
        </w:rPr>
        <w:t>0</w:t>
      </w:r>
      <w:r>
        <w:rPr>
          <w:rFonts w:hint="eastAsia" w:ascii="仿宋_GB2312" w:eastAsia="仿宋_GB2312"/>
          <w:sz w:val="32"/>
          <w:szCs w:val="32"/>
        </w:rPr>
        <w:t>万元，占政府采购支出总额的</w:t>
      </w:r>
      <w:r>
        <w:rPr>
          <w:rFonts w:ascii="仿宋_GB2312" w:eastAsia="仿宋_GB2312"/>
          <w:b/>
          <w:sz w:val="32"/>
          <w:szCs w:val="32"/>
        </w:rPr>
        <w:t>0</w:t>
      </w:r>
      <w:r>
        <w:rPr>
          <w:rFonts w:ascii="仿宋_GB2312" w:eastAsia="仿宋_GB2312"/>
          <w:sz w:val="32"/>
          <w:szCs w:val="32"/>
        </w:rPr>
        <w:t>%</w:t>
      </w:r>
      <w:r>
        <w:rPr>
          <w:rFonts w:hint="eastAsia" w:ascii="仿宋_GB2312" w:eastAsia="仿宋_GB2312"/>
          <w:sz w:val="32"/>
          <w:szCs w:val="32"/>
        </w:rPr>
        <w:t>。</w:t>
      </w:r>
    </w:p>
    <w:p w14:paraId="1C533BDD">
      <w:pPr>
        <w:spacing w:line="600" w:lineRule="exact"/>
        <w:ind w:firstLine="643" w:firstLineChars="200"/>
        <w:rPr>
          <w:rFonts w:ascii="仿宋" w:hAnsi="仿宋" w:eastAsia="仿宋"/>
          <w:b/>
          <w:sz w:val="32"/>
          <w:szCs w:val="32"/>
        </w:rPr>
      </w:pPr>
      <w:r>
        <w:rPr>
          <w:rFonts w:hint="eastAsia" w:ascii="仿宋" w:hAnsi="仿宋" w:eastAsia="仿宋"/>
          <w:b/>
          <w:sz w:val="32"/>
          <w:szCs w:val="32"/>
        </w:rPr>
        <w:t>（注：数据来源于财决附</w:t>
      </w:r>
      <w:r>
        <w:rPr>
          <w:rFonts w:ascii="仿宋" w:hAnsi="仿宋" w:eastAsia="仿宋"/>
          <w:b/>
          <w:sz w:val="32"/>
          <w:szCs w:val="32"/>
        </w:rPr>
        <w:t>03</w:t>
      </w:r>
      <w:r>
        <w:rPr>
          <w:rFonts w:hint="eastAsia" w:ascii="仿宋" w:hAnsi="仿宋" w:eastAsia="仿宋"/>
          <w:b/>
          <w:sz w:val="32"/>
          <w:szCs w:val="32"/>
        </w:rPr>
        <w:t>表）</w:t>
      </w:r>
    </w:p>
    <w:p w14:paraId="2A429699">
      <w:pPr>
        <w:autoSpaceDE w:val="0"/>
        <w:autoSpaceDN w:val="0"/>
        <w:adjustRightInd w:val="0"/>
        <w:spacing w:line="600" w:lineRule="exact"/>
        <w:ind w:firstLine="643" w:firstLineChars="200"/>
        <w:jc w:val="left"/>
        <w:outlineLvl w:val="2"/>
        <w:rPr>
          <w:rFonts w:ascii="仿宋" w:hAnsi="仿宋" w:eastAsia="仿宋"/>
          <w:b/>
          <w:sz w:val="32"/>
          <w:szCs w:val="32"/>
        </w:rPr>
      </w:pPr>
      <w:bookmarkStart w:id="48" w:name="_Toc15377224"/>
      <w:r>
        <w:rPr>
          <w:rFonts w:hint="eastAsia" w:ascii="仿宋" w:hAnsi="仿宋" w:eastAsia="仿宋"/>
          <w:b/>
          <w:sz w:val="32"/>
          <w:szCs w:val="32"/>
        </w:rPr>
        <w:t>（三）国有资产占有使用情况</w:t>
      </w:r>
      <w:bookmarkEnd w:id="48"/>
    </w:p>
    <w:p w14:paraId="552F65D1">
      <w:pPr>
        <w:autoSpaceDE w:val="0"/>
        <w:autoSpaceDN w:val="0"/>
        <w:adjustRightInd w:val="0"/>
        <w:spacing w:line="600" w:lineRule="exact"/>
        <w:ind w:firstLine="640" w:firstLineChars="200"/>
        <w:jc w:val="left"/>
        <w:rPr>
          <w:rFonts w:ascii="仿宋_GB2312" w:eastAsia="仿宋_GB2312"/>
          <w:sz w:val="32"/>
          <w:szCs w:val="32"/>
        </w:rPr>
      </w:pPr>
      <w:r>
        <w:rPr>
          <w:rFonts w:hint="eastAsia" w:ascii="仿宋_GB2312" w:eastAsia="仿宋_GB2312"/>
          <w:sz w:val="32"/>
          <w:szCs w:val="32"/>
        </w:rPr>
        <w:t>截至2023年</w:t>
      </w:r>
      <w:r>
        <w:rPr>
          <w:rFonts w:ascii="仿宋_GB2312" w:eastAsia="仿宋_GB2312"/>
          <w:sz w:val="32"/>
          <w:szCs w:val="32"/>
        </w:rPr>
        <w:t>12</w:t>
      </w:r>
      <w:r>
        <w:rPr>
          <w:rFonts w:hint="eastAsia" w:ascii="仿宋_GB2312" w:eastAsia="仿宋_GB2312"/>
          <w:sz w:val="32"/>
          <w:szCs w:val="32"/>
        </w:rPr>
        <w:t>月</w:t>
      </w:r>
      <w:r>
        <w:rPr>
          <w:rFonts w:ascii="仿宋_GB2312" w:eastAsia="仿宋_GB2312"/>
          <w:sz w:val="32"/>
          <w:szCs w:val="32"/>
        </w:rPr>
        <w:t>31</w:t>
      </w:r>
      <w:r>
        <w:rPr>
          <w:rFonts w:hint="eastAsia" w:ascii="仿宋_GB2312" w:eastAsia="仿宋_GB2312"/>
          <w:sz w:val="32"/>
          <w:szCs w:val="32"/>
        </w:rPr>
        <w:t>日，</w:t>
      </w:r>
      <w:r>
        <w:rPr>
          <w:rFonts w:ascii="仿宋_GB2312" w:eastAsia="仿宋_GB2312"/>
          <w:b/>
          <w:sz w:val="32"/>
          <w:szCs w:val="32"/>
        </w:rPr>
        <w:t>四川省阿坝州财政局投资评审中心</w:t>
      </w:r>
      <w:r>
        <w:rPr>
          <w:rFonts w:hint="eastAsia" w:ascii="仿宋_GB2312" w:eastAsia="仿宋_GB2312"/>
          <w:sz w:val="32"/>
          <w:szCs w:val="32"/>
        </w:rPr>
        <w:t>共有车辆</w:t>
      </w:r>
      <w:r>
        <w:rPr>
          <w:rFonts w:hint="eastAsia" w:ascii="仿宋_GB2312" w:eastAsia="仿宋_GB2312"/>
          <w:b/>
          <w:sz w:val="32"/>
          <w:szCs w:val="32"/>
        </w:rPr>
        <w:t>0</w:t>
      </w:r>
      <w:r>
        <w:rPr>
          <w:rFonts w:hint="eastAsia" w:ascii="仿宋_GB2312" w:eastAsia="仿宋_GB2312"/>
          <w:sz w:val="32"/>
          <w:szCs w:val="32"/>
        </w:rPr>
        <w:t>辆，其中：主要领导干部用车</w:t>
      </w:r>
      <w:r>
        <w:rPr>
          <w:rFonts w:ascii="仿宋_GB2312" w:eastAsia="仿宋_GB2312"/>
          <w:sz w:val="32"/>
          <w:szCs w:val="32"/>
        </w:rPr>
        <w:t>**</w:t>
      </w:r>
      <w:r>
        <w:rPr>
          <w:rFonts w:hint="eastAsia" w:ascii="仿宋_GB2312" w:eastAsia="仿宋_GB2312"/>
          <w:sz w:val="32"/>
          <w:szCs w:val="32"/>
        </w:rPr>
        <w:t>辆、机要通信用车</w:t>
      </w:r>
      <w:r>
        <w:rPr>
          <w:rFonts w:ascii="仿宋_GB2312" w:eastAsia="仿宋_GB2312"/>
          <w:sz w:val="32"/>
          <w:szCs w:val="32"/>
        </w:rPr>
        <w:t>**</w:t>
      </w:r>
      <w:r>
        <w:rPr>
          <w:rFonts w:hint="eastAsia" w:ascii="仿宋_GB2312" w:eastAsia="仿宋_GB2312"/>
          <w:sz w:val="32"/>
          <w:szCs w:val="32"/>
        </w:rPr>
        <w:t>辆、应急保障用车</w:t>
      </w:r>
      <w:r>
        <w:rPr>
          <w:rFonts w:ascii="仿宋_GB2312" w:eastAsia="仿宋_GB2312"/>
          <w:sz w:val="32"/>
          <w:szCs w:val="32"/>
        </w:rPr>
        <w:t>**</w:t>
      </w:r>
      <w:r>
        <w:rPr>
          <w:rFonts w:hint="eastAsia" w:ascii="仿宋_GB2312" w:eastAsia="仿宋_GB2312"/>
          <w:sz w:val="32"/>
          <w:szCs w:val="32"/>
        </w:rPr>
        <w:t>辆、其他用车</w:t>
      </w:r>
      <w:r>
        <w:rPr>
          <w:rFonts w:ascii="仿宋_GB2312" w:eastAsia="仿宋_GB2312"/>
          <w:sz w:val="32"/>
          <w:szCs w:val="32"/>
        </w:rPr>
        <w:t>**</w:t>
      </w:r>
      <w:r>
        <w:rPr>
          <w:rFonts w:hint="eastAsia" w:ascii="仿宋_GB2312" w:eastAsia="仿宋_GB2312"/>
          <w:sz w:val="32"/>
          <w:szCs w:val="32"/>
        </w:rPr>
        <w:t>辆，其他用车主要是用于……。单价</w:t>
      </w:r>
      <w:r>
        <w:rPr>
          <w:rFonts w:ascii="仿宋_GB2312" w:eastAsia="仿宋_GB2312"/>
          <w:sz w:val="32"/>
          <w:szCs w:val="32"/>
        </w:rPr>
        <w:t>100</w:t>
      </w:r>
      <w:r>
        <w:rPr>
          <w:rFonts w:hint="eastAsia" w:ascii="仿宋_GB2312" w:eastAsia="仿宋_GB2312"/>
          <w:sz w:val="32"/>
          <w:szCs w:val="32"/>
        </w:rPr>
        <w:t>万元以上设备（不含车辆）</w:t>
      </w:r>
      <w:r>
        <w:rPr>
          <w:rFonts w:ascii="仿宋_GB2312" w:eastAsia="仿宋_GB2312"/>
          <w:b/>
          <w:sz w:val="32"/>
          <w:szCs w:val="32"/>
        </w:rPr>
        <w:t>0</w:t>
      </w:r>
      <w:r>
        <w:rPr>
          <w:rFonts w:hint="eastAsia" w:ascii="仿宋_GB2312" w:eastAsia="仿宋_GB2312"/>
          <w:sz w:val="32"/>
          <w:szCs w:val="32"/>
        </w:rPr>
        <w:t>台（套）。</w:t>
      </w:r>
    </w:p>
    <w:p w14:paraId="451409A8">
      <w:pPr>
        <w:autoSpaceDE w:val="0"/>
        <w:autoSpaceDN w:val="0"/>
        <w:adjustRightInd w:val="0"/>
        <w:spacing w:line="600" w:lineRule="exact"/>
        <w:ind w:firstLine="643" w:firstLineChars="200"/>
        <w:jc w:val="left"/>
        <w:rPr>
          <w:rFonts w:ascii="仿宋" w:hAnsi="仿宋" w:eastAsia="仿宋"/>
          <w:b/>
          <w:sz w:val="32"/>
          <w:szCs w:val="32"/>
        </w:rPr>
      </w:pPr>
      <w:r>
        <w:rPr>
          <w:rFonts w:hint="eastAsia" w:ascii="仿宋" w:hAnsi="仿宋" w:eastAsia="仿宋"/>
          <w:b/>
          <w:sz w:val="32"/>
          <w:szCs w:val="32"/>
        </w:rPr>
        <w:t>（注：数据来源于财决附</w:t>
      </w:r>
      <w:r>
        <w:rPr>
          <w:rFonts w:ascii="仿宋" w:hAnsi="仿宋" w:eastAsia="仿宋"/>
          <w:b/>
          <w:sz w:val="32"/>
          <w:szCs w:val="32"/>
        </w:rPr>
        <w:t>03</w:t>
      </w:r>
      <w:r>
        <w:rPr>
          <w:rFonts w:hint="eastAsia" w:ascii="仿宋" w:hAnsi="仿宋" w:eastAsia="仿宋"/>
          <w:b/>
          <w:sz w:val="32"/>
          <w:szCs w:val="32"/>
        </w:rPr>
        <w:t>表，按单位决算报表填报数据罗列车辆情况。）</w:t>
      </w:r>
    </w:p>
    <w:p w14:paraId="3B93948E">
      <w:pPr>
        <w:autoSpaceDE w:val="0"/>
        <w:autoSpaceDN w:val="0"/>
        <w:adjustRightInd w:val="0"/>
        <w:spacing w:line="600" w:lineRule="exact"/>
        <w:ind w:firstLine="643" w:firstLineChars="200"/>
        <w:jc w:val="left"/>
        <w:outlineLvl w:val="2"/>
        <w:rPr>
          <w:rFonts w:ascii="仿宋" w:hAnsi="仿宋" w:eastAsia="仿宋"/>
          <w:b/>
          <w:sz w:val="32"/>
          <w:szCs w:val="32"/>
        </w:rPr>
      </w:pPr>
      <w:r>
        <w:rPr>
          <w:rFonts w:hint="eastAsia" w:ascii="仿宋" w:hAnsi="仿宋" w:eastAsia="仿宋"/>
          <w:b/>
          <w:sz w:val="32"/>
          <w:szCs w:val="32"/>
        </w:rPr>
        <w:t>（四）预算绩效管理情况</w:t>
      </w:r>
    </w:p>
    <w:p w14:paraId="21A5C422">
      <w:pPr>
        <w:spacing w:line="600" w:lineRule="exact"/>
        <w:ind w:firstLine="640" w:firstLineChars="200"/>
        <w:rPr>
          <w:rFonts w:ascii="仿宋_GB2312" w:eastAsia="仿宋_GB2312"/>
          <w:sz w:val="32"/>
          <w:szCs w:val="32"/>
        </w:rPr>
      </w:pPr>
      <w:r>
        <w:rPr>
          <w:rFonts w:hint="eastAsia" w:ascii="仿宋_GB2312" w:eastAsia="仿宋_GB2312"/>
          <w:sz w:val="32"/>
          <w:szCs w:val="32"/>
        </w:rPr>
        <w:t>根据预算绩效管理要求，本单位在2023年度预算编制阶段，组织对</w:t>
      </w:r>
      <w:r>
        <w:rPr>
          <w:rFonts w:hint="eastAsia" w:ascii="仿宋_GB2312" w:eastAsia="仿宋_GB2312"/>
          <w:sz w:val="32"/>
          <w:szCs w:val="32"/>
          <w:lang w:val="en-US" w:eastAsia="zh-CN"/>
        </w:rPr>
        <w:t>11</w:t>
      </w:r>
      <w:r>
        <w:rPr>
          <w:rFonts w:hint="eastAsia" w:ascii="仿宋_GB2312" w:eastAsia="仿宋_GB2312"/>
          <w:sz w:val="32"/>
          <w:szCs w:val="32"/>
        </w:rPr>
        <w:t>项目（项目名称）等</w:t>
      </w:r>
      <w:r>
        <w:rPr>
          <w:rFonts w:hint="eastAsia" w:ascii="仿宋_GB2312" w:eastAsia="仿宋_GB2312"/>
          <w:sz w:val="32"/>
          <w:szCs w:val="32"/>
          <w:lang w:val="en-US" w:eastAsia="zh-CN"/>
        </w:rPr>
        <w:t>11</w:t>
      </w:r>
      <w:r>
        <w:rPr>
          <w:rFonts w:hint="eastAsia" w:ascii="仿宋_GB2312" w:eastAsia="仿宋_GB2312"/>
          <w:sz w:val="32"/>
          <w:szCs w:val="32"/>
        </w:rPr>
        <w:t>个项目开展了预算事前绩效评估，对</w:t>
      </w:r>
      <w:r>
        <w:rPr>
          <w:rFonts w:hint="eastAsia" w:ascii="仿宋_GB2312" w:eastAsia="仿宋_GB2312"/>
          <w:sz w:val="32"/>
          <w:szCs w:val="32"/>
          <w:lang w:val="en-US" w:eastAsia="zh-CN"/>
        </w:rPr>
        <w:t>11</w:t>
      </w:r>
      <w:r>
        <w:rPr>
          <w:rFonts w:hint="eastAsia" w:ascii="仿宋_GB2312" w:eastAsia="仿宋_GB2312"/>
          <w:sz w:val="32"/>
          <w:szCs w:val="32"/>
        </w:rPr>
        <w:t>个项目编制了绩效目标，预算执行过程中，选取</w:t>
      </w:r>
      <w:r>
        <w:rPr>
          <w:rFonts w:hint="eastAsia" w:ascii="仿宋_GB2312" w:eastAsia="仿宋_GB2312"/>
          <w:sz w:val="32"/>
          <w:szCs w:val="32"/>
          <w:lang w:val="en-US" w:eastAsia="zh-CN"/>
        </w:rPr>
        <w:t>11</w:t>
      </w:r>
      <w:r>
        <w:rPr>
          <w:rFonts w:hint="eastAsia" w:ascii="仿宋_GB2312" w:eastAsia="仿宋_GB2312"/>
          <w:sz w:val="32"/>
          <w:szCs w:val="32"/>
        </w:rPr>
        <w:t>个项目开展绩效监控，组织对</w:t>
      </w:r>
      <w:r>
        <w:rPr>
          <w:rFonts w:hint="eastAsia" w:ascii="仿宋_GB2312" w:eastAsia="仿宋_GB2312"/>
          <w:sz w:val="32"/>
          <w:szCs w:val="32"/>
          <w:lang w:val="en-US" w:eastAsia="zh-CN"/>
        </w:rPr>
        <w:t>11</w:t>
      </w:r>
      <w:r>
        <w:rPr>
          <w:rFonts w:hint="eastAsia" w:ascii="仿宋_GB2312" w:eastAsia="仿宋_GB2312"/>
          <w:sz w:val="32"/>
          <w:szCs w:val="32"/>
        </w:rPr>
        <w:t>个项目开展绩效自评，绩效自评表详见第四部分附件。</w:t>
      </w:r>
    </w:p>
    <w:p w14:paraId="673FA826">
      <w:pPr>
        <w:spacing w:line="600" w:lineRule="exact"/>
        <w:ind w:firstLine="640" w:firstLineChars="200"/>
        <w:rPr>
          <w:rFonts w:ascii="仿宋_GB2312" w:eastAsia="仿宋_GB2312"/>
          <w:sz w:val="32"/>
          <w:szCs w:val="32"/>
        </w:rPr>
      </w:pPr>
      <w:r>
        <w:rPr>
          <w:rFonts w:hint="eastAsia" w:ascii="仿宋_GB2312" w:eastAsia="仿宋_GB2312"/>
          <w:sz w:val="32"/>
          <w:szCs w:val="32"/>
        </w:rPr>
        <w:br w:type="page"/>
      </w:r>
    </w:p>
    <w:p w14:paraId="5ED8DCD9">
      <w:pPr>
        <w:numPr>
          <w:ilvl w:val="0"/>
          <w:numId w:val="3"/>
        </w:numPr>
        <w:spacing w:line="600" w:lineRule="exact"/>
        <w:ind w:firstLine="660" w:firstLineChars="150"/>
        <w:jc w:val="center"/>
        <w:outlineLvl w:val="0"/>
        <w:rPr>
          <w:rStyle w:val="29"/>
          <w:rFonts w:ascii="黑体" w:hAnsi="黑体" w:eastAsia="黑体"/>
          <w:b w:val="0"/>
        </w:rPr>
      </w:pPr>
      <w:bookmarkStart w:id="49" w:name="_Toc15377225"/>
      <w:bookmarkStart w:id="50" w:name="_Toc15396613"/>
      <w:r>
        <w:rPr>
          <w:rFonts w:hint="eastAsia" w:ascii="黑体" w:hAnsi="黑体" w:eastAsia="黑体"/>
          <w:sz w:val="44"/>
          <w:szCs w:val="44"/>
        </w:rPr>
        <w:t>名</w:t>
      </w:r>
      <w:r>
        <w:rPr>
          <w:rStyle w:val="29"/>
          <w:rFonts w:hint="eastAsia" w:ascii="黑体" w:hAnsi="黑体" w:eastAsia="黑体"/>
          <w:b w:val="0"/>
        </w:rPr>
        <w:t>词解释</w:t>
      </w:r>
      <w:bookmarkEnd w:id="49"/>
      <w:bookmarkEnd w:id="50"/>
    </w:p>
    <w:p w14:paraId="3BE6FDC6">
      <w:pPr>
        <w:spacing w:line="600" w:lineRule="exact"/>
        <w:jc w:val="left"/>
        <w:rPr>
          <w:rFonts w:ascii="宋体"/>
          <w:b/>
          <w:sz w:val="44"/>
          <w:szCs w:val="44"/>
        </w:rPr>
      </w:pPr>
    </w:p>
    <w:p w14:paraId="48664F05">
      <w:pPr>
        <w:pStyle w:val="27"/>
        <w:spacing w:line="560" w:lineRule="exact"/>
        <w:ind w:firstLine="640" w:firstLineChars="200"/>
        <w:rPr>
          <w:rFonts w:ascii="仿宋_GB2312" w:eastAsia="仿宋_GB2312"/>
          <w:color w:val="auto"/>
          <w:sz w:val="32"/>
          <w:szCs w:val="32"/>
        </w:rPr>
      </w:pPr>
      <w:r>
        <w:rPr>
          <w:rFonts w:ascii="仿宋_GB2312" w:eastAsia="仿宋_GB2312"/>
          <w:color w:val="auto"/>
          <w:sz w:val="32"/>
          <w:szCs w:val="32"/>
        </w:rPr>
        <w:t>1.</w:t>
      </w:r>
      <w:r>
        <w:rPr>
          <w:rFonts w:hint="eastAsia" w:ascii="仿宋_GB2312" w:eastAsia="仿宋_GB2312"/>
          <w:color w:val="auto"/>
          <w:sz w:val="32"/>
          <w:szCs w:val="32"/>
        </w:rPr>
        <w:t>财政拨款收入：指单位从同级财政部门取得的财政预算资金。</w:t>
      </w:r>
    </w:p>
    <w:p w14:paraId="6377A303">
      <w:pPr>
        <w:pStyle w:val="27"/>
        <w:spacing w:line="560" w:lineRule="exact"/>
        <w:ind w:firstLine="640" w:firstLineChars="200"/>
        <w:rPr>
          <w:rFonts w:ascii="仿宋_GB2312" w:eastAsia="仿宋_GB2312"/>
          <w:color w:val="auto"/>
          <w:sz w:val="32"/>
          <w:szCs w:val="32"/>
        </w:rPr>
      </w:pPr>
      <w:r>
        <w:rPr>
          <w:rFonts w:ascii="仿宋_GB2312" w:eastAsia="仿宋_GB2312"/>
          <w:color w:val="auto"/>
          <w:sz w:val="32"/>
          <w:szCs w:val="32"/>
        </w:rPr>
        <w:t>2.</w:t>
      </w:r>
      <w:r>
        <w:rPr>
          <w:rFonts w:hint="eastAsia" w:ascii="仿宋_GB2312" w:eastAsia="仿宋_GB2312"/>
          <w:color w:val="auto"/>
          <w:sz w:val="32"/>
          <w:szCs w:val="32"/>
        </w:rPr>
        <w:t>事业收入：指事业单位开展专业业务活动及辅助活动取得的收入。如…（二级预算单位事业收入情况）等。</w:t>
      </w:r>
    </w:p>
    <w:p w14:paraId="01FE0D23">
      <w:pPr>
        <w:pStyle w:val="27"/>
        <w:spacing w:line="560" w:lineRule="exact"/>
        <w:ind w:firstLine="640" w:firstLineChars="200"/>
        <w:rPr>
          <w:rFonts w:ascii="仿宋_GB2312" w:eastAsia="仿宋_GB2312"/>
          <w:color w:val="auto"/>
          <w:sz w:val="32"/>
          <w:szCs w:val="32"/>
        </w:rPr>
      </w:pPr>
      <w:r>
        <w:rPr>
          <w:rFonts w:ascii="仿宋_GB2312" w:eastAsia="仿宋_GB2312"/>
          <w:color w:val="auto"/>
          <w:sz w:val="32"/>
          <w:szCs w:val="32"/>
        </w:rPr>
        <w:t>3.</w:t>
      </w:r>
      <w:r>
        <w:rPr>
          <w:rFonts w:hint="eastAsia" w:ascii="仿宋_GB2312" w:eastAsia="仿宋_GB2312"/>
          <w:color w:val="auto"/>
          <w:sz w:val="32"/>
          <w:szCs w:val="32"/>
        </w:rPr>
        <w:t>经营收入：指事业单位在专业业务活动及其辅助活动之外开展非独立核算经营活动取得的收入。如…（二级预算单位经营收入情况）等。</w:t>
      </w:r>
    </w:p>
    <w:p w14:paraId="5020FAF6">
      <w:pPr>
        <w:pStyle w:val="27"/>
        <w:spacing w:line="560" w:lineRule="exact"/>
        <w:ind w:firstLine="640" w:firstLineChars="200"/>
        <w:rPr>
          <w:rFonts w:ascii="仿宋_GB2312" w:eastAsia="仿宋_GB2312"/>
          <w:color w:val="auto"/>
          <w:sz w:val="32"/>
          <w:szCs w:val="32"/>
        </w:rPr>
      </w:pPr>
      <w:r>
        <w:rPr>
          <w:rFonts w:ascii="仿宋_GB2312" w:eastAsia="仿宋_GB2312"/>
          <w:color w:val="auto"/>
          <w:sz w:val="32"/>
          <w:szCs w:val="32"/>
        </w:rPr>
        <w:t>4.</w:t>
      </w:r>
      <w:r>
        <w:rPr>
          <w:rFonts w:hint="eastAsia" w:ascii="仿宋_GB2312" w:eastAsia="仿宋_GB2312"/>
          <w:color w:val="auto"/>
          <w:sz w:val="32"/>
          <w:szCs w:val="32"/>
        </w:rPr>
        <w:t>其他收入：指单位取得的除上述收入以外的各项收入。主要是…（收入类型）等。</w:t>
      </w:r>
      <w:r>
        <w:rPr>
          <w:rFonts w:ascii="仿宋_GB2312" w:eastAsia="仿宋_GB2312"/>
          <w:color w:val="auto"/>
          <w:sz w:val="32"/>
          <w:szCs w:val="32"/>
        </w:rPr>
        <w:t xml:space="preserve"> </w:t>
      </w:r>
    </w:p>
    <w:p w14:paraId="3EFEFF52">
      <w:pPr>
        <w:pStyle w:val="27"/>
        <w:spacing w:line="560" w:lineRule="exact"/>
        <w:ind w:firstLine="640" w:firstLineChars="200"/>
        <w:rPr>
          <w:rFonts w:ascii="仿宋_GB2312" w:eastAsia="仿宋_GB2312"/>
          <w:color w:val="auto"/>
          <w:sz w:val="32"/>
          <w:szCs w:val="32"/>
        </w:rPr>
      </w:pPr>
      <w:r>
        <w:rPr>
          <w:rFonts w:ascii="仿宋_GB2312" w:eastAsia="仿宋_GB2312"/>
          <w:color w:val="auto"/>
          <w:sz w:val="32"/>
          <w:szCs w:val="32"/>
        </w:rPr>
        <w:t>5.</w:t>
      </w:r>
      <w:r>
        <w:rPr>
          <w:rFonts w:hint="eastAsia" w:ascii="仿宋_GB2312" w:hAnsi="华文中宋" w:eastAsia="仿宋_GB2312"/>
          <w:sz w:val="32"/>
          <w:szCs w:val="32"/>
        </w:rPr>
        <w:t>使用非财政拨款结余（含专用结余）</w:t>
      </w:r>
      <w:r>
        <w:rPr>
          <w:rFonts w:hint="eastAsia" w:ascii="仿宋_GB2312" w:eastAsia="仿宋_GB2312"/>
          <w:color w:val="auto"/>
          <w:sz w:val="32"/>
          <w:szCs w:val="32"/>
        </w:rPr>
        <w:t>：指事业单位使用以前年度积累的非财政拨款结余弥补当年收支差额的金额。</w:t>
      </w:r>
      <w:r>
        <w:rPr>
          <w:rFonts w:ascii="仿宋_GB2312" w:eastAsia="仿宋_GB2312"/>
          <w:color w:val="auto"/>
          <w:sz w:val="32"/>
          <w:szCs w:val="32"/>
        </w:rPr>
        <w:t xml:space="preserve"> </w:t>
      </w:r>
    </w:p>
    <w:p w14:paraId="23B3C5C8">
      <w:pPr>
        <w:pStyle w:val="27"/>
        <w:spacing w:line="560" w:lineRule="exact"/>
        <w:ind w:firstLine="640" w:firstLineChars="200"/>
        <w:rPr>
          <w:rFonts w:ascii="仿宋_GB2312" w:eastAsia="仿宋_GB2312"/>
          <w:color w:val="auto"/>
          <w:sz w:val="32"/>
          <w:szCs w:val="32"/>
        </w:rPr>
      </w:pPr>
      <w:r>
        <w:rPr>
          <w:rFonts w:ascii="仿宋_GB2312" w:eastAsia="仿宋_GB2312"/>
          <w:color w:val="auto"/>
          <w:sz w:val="32"/>
          <w:szCs w:val="32"/>
        </w:rPr>
        <w:t>6.</w:t>
      </w:r>
      <w:r>
        <w:rPr>
          <w:rFonts w:hint="eastAsia" w:ascii="仿宋_GB2312" w:eastAsia="仿宋_GB2312"/>
          <w:color w:val="auto"/>
          <w:sz w:val="32"/>
          <w:szCs w:val="32"/>
        </w:rPr>
        <w:t>年初结转和结余：指以前年度尚未完成、结转到本年按有关规定继续使用的资金。</w:t>
      </w:r>
      <w:r>
        <w:rPr>
          <w:rFonts w:ascii="仿宋_GB2312" w:eastAsia="仿宋_GB2312"/>
          <w:color w:val="auto"/>
          <w:sz w:val="32"/>
          <w:szCs w:val="32"/>
        </w:rPr>
        <w:t xml:space="preserve"> </w:t>
      </w:r>
    </w:p>
    <w:p w14:paraId="2DFD5773">
      <w:pPr>
        <w:pStyle w:val="27"/>
        <w:spacing w:line="560" w:lineRule="exact"/>
        <w:ind w:firstLine="640" w:firstLineChars="200"/>
        <w:rPr>
          <w:rFonts w:ascii="仿宋_GB2312" w:eastAsia="仿宋_GB2312"/>
          <w:color w:val="auto"/>
          <w:sz w:val="32"/>
          <w:szCs w:val="32"/>
        </w:rPr>
      </w:pPr>
      <w:r>
        <w:rPr>
          <w:rFonts w:ascii="仿宋_GB2312" w:eastAsia="仿宋_GB2312"/>
          <w:color w:val="auto"/>
          <w:sz w:val="32"/>
          <w:szCs w:val="32"/>
        </w:rPr>
        <w:t>7.</w:t>
      </w:r>
      <w:r>
        <w:rPr>
          <w:rFonts w:hint="eastAsia" w:ascii="仿宋_GB2312" w:eastAsia="仿宋_GB2312"/>
          <w:color w:val="auto"/>
          <w:sz w:val="32"/>
          <w:szCs w:val="32"/>
        </w:rPr>
        <w:t>结余分配：指事业单位按照会计制度规定缴纳的所得税、提取的专用结余以及转入非财政拨款结余的金额等。</w:t>
      </w:r>
    </w:p>
    <w:p w14:paraId="513C3491">
      <w:pPr>
        <w:pStyle w:val="27"/>
        <w:spacing w:line="560" w:lineRule="exact"/>
        <w:ind w:firstLine="640" w:firstLineChars="200"/>
        <w:rPr>
          <w:rFonts w:ascii="仿宋_GB2312" w:eastAsia="仿宋_GB2312"/>
          <w:color w:val="auto"/>
          <w:sz w:val="32"/>
          <w:szCs w:val="32"/>
        </w:rPr>
      </w:pPr>
      <w:r>
        <w:rPr>
          <w:rFonts w:ascii="仿宋_GB2312" w:eastAsia="仿宋_GB2312"/>
          <w:color w:val="auto"/>
          <w:sz w:val="32"/>
          <w:szCs w:val="32"/>
        </w:rPr>
        <w:t>8</w:t>
      </w:r>
      <w:r>
        <w:rPr>
          <w:rFonts w:hint="eastAsia" w:ascii="仿宋_GB2312" w:eastAsia="仿宋_GB2312"/>
          <w:color w:val="auto"/>
          <w:sz w:val="32"/>
          <w:szCs w:val="32"/>
        </w:rPr>
        <w:t>.年末结转和结余：指单位按有关规定结转到下年或以后年度继续使用的资金。</w:t>
      </w:r>
    </w:p>
    <w:p w14:paraId="387BB227">
      <w:pPr>
        <w:pStyle w:val="14"/>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textAlignment w:val="auto"/>
        <w:rPr>
          <w:rFonts w:hint="eastAsia" w:ascii="仿宋_GB2312" w:hAnsi="Calibri" w:eastAsia="仿宋_GB2312" w:cs="仿宋"/>
          <w:color w:val="auto"/>
          <w:sz w:val="32"/>
          <w:szCs w:val="32"/>
          <w:lang w:val="en-US" w:eastAsia="zh-CN" w:bidi="ar-SA"/>
        </w:rPr>
      </w:pPr>
      <w:r>
        <w:rPr>
          <w:rFonts w:hint="eastAsia" w:ascii="仿宋_GB2312" w:hAnsi="Calibri" w:eastAsia="仿宋_GB2312" w:cs="仿宋"/>
          <w:color w:val="auto"/>
          <w:sz w:val="32"/>
          <w:szCs w:val="32"/>
          <w:lang w:val="en-US" w:eastAsia="zh-CN" w:bidi="ar-SA"/>
        </w:rPr>
        <w:t>9.一般公共服务201（类）06（款）02（项）: 指反映行政单位（包括实行公务员管理的事业单位）未单独设置项级科目的其他项目支出。</w:t>
      </w:r>
    </w:p>
    <w:p w14:paraId="1A501929">
      <w:pPr>
        <w:pStyle w:val="14"/>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textAlignment w:val="auto"/>
        <w:rPr>
          <w:rFonts w:hint="eastAsia" w:ascii="仿宋_GB2312" w:hAnsi="Calibri" w:eastAsia="仿宋_GB2312" w:cs="仿宋"/>
          <w:color w:val="auto"/>
          <w:sz w:val="32"/>
          <w:szCs w:val="32"/>
          <w:lang w:val="en-US" w:eastAsia="zh-CN" w:bidi="ar-SA"/>
        </w:rPr>
      </w:pPr>
      <w:r>
        <w:rPr>
          <w:rFonts w:hint="eastAsia" w:ascii="仿宋_GB2312" w:hAnsi="Calibri" w:eastAsia="仿宋_GB2312" w:cs="仿宋"/>
          <w:color w:val="auto"/>
          <w:sz w:val="32"/>
          <w:szCs w:val="32"/>
          <w:lang w:val="en-US" w:eastAsia="zh-CN" w:bidi="ar-SA"/>
        </w:rPr>
        <w:t>10. 一般公共服务201（类）06（款）07（项）: 反映财政部门用于信息化建设方面的支出。</w:t>
      </w:r>
    </w:p>
    <w:p w14:paraId="7006AD4E">
      <w:pPr>
        <w:pStyle w:val="14"/>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textAlignment w:val="auto"/>
        <w:rPr>
          <w:rFonts w:hint="eastAsia" w:ascii="仿宋_GB2312" w:hAnsi="Calibri" w:eastAsia="仿宋_GB2312" w:cs="仿宋"/>
          <w:color w:val="auto"/>
          <w:sz w:val="32"/>
          <w:szCs w:val="32"/>
          <w:lang w:val="en-US" w:eastAsia="zh-CN" w:bidi="ar-SA"/>
        </w:rPr>
      </w:pPr>
      <w:r>
        <w:rPr>
          <w:rFonts w:hint="eastAsia" w:ascii="仿宋_GB2312" w:hAnsi="Calibri" w:eastAsia="仿宋_GB2312" w:cs="仿宋"/>
          <w:color w:val="auto"/>
          <w:sz w:val="32"/>
          <w:szCs w:val="32"/>
          <w:lang w:val="en-US" w:eastAsia="zh-CN" w:bidi="ar-SA"/>
        </w:rPr>
        <w:t>11. 一般公共服务201（类）06（款）50（项）: 反映事业单位的基本支出，不包括行政行政单位（包括实行公务员管理的事业单位），后勤服务中心、医务室等附属事业单位。</w:t>
      </w:r>
    </w:p>
    <w:p w14:paraId="434FAC54">
      <w:pPr>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firstLine="640" w:firstLineChars="200"/>
        <w:textAlignment w:val="auto"/>
        <w:rPr>
          <w:rFonts w:hint="eastAsia" w:ascii="仿宋_GB2312" w:hAnsi="Calibri" w:eastAsia="仿宋_GB2312" w:cs="仿宋"/>
          <w:color w:val="auto"/>
          <w:sz w:val="32"/>
          <w:szCs w:val="32"/>
          <w:lang w:val="en-US" w:eastAsia="zh-CN" w:bidi="ar-SA"/>
        </w:rPr>
      </w:pPr>
      <w:r>
        <w:rPr>
          <w:rFonts w:hint="eastAsia" w:ascii="仿宋_GB2312" w:hAnsi="Calibri" w:eastAsia="仿宋_GB2312" w:cs="仿宋"/>
          <w:color w:val="auto"/>
          <w:sz w:val="32"/>
          <w:szCs w:val="32"/>
          <w:lang w:val="en-US" w:eastAsia="zh-CN" w:bidi="ar-SA"/>
        </w:rPr>
        <w:t>12. 社会保障和就业208（类）05（款）05（项）: 指反映机关事业单位实施养老保险制度由单位缴纳的职业年金支出。</w:t>
      </w:r>
    </w:p>
    <w:p w14:paraId="4A47A679">
      <w:pPr>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firstLine="640" w:firstLineChars="200"/>
        <w:textAlignment w:val="auto"/>
        <w:rPr>
          <w:rFonts w:hint="eastAsia" w:ascii="仿宋_GB2312" w:hAnsi="Calibri" w:eastAsia="仿宋_GB2312" w:cs="仿宋"/>
          <w:color w:val="auto"/>
          <w:sz w:val="32"/>
          <w:szCs w:val="32"/>
          <w:lang w:val="en-US" w:eastAsia="zh-CN" w:bidi="ar-SA"/>
        </w:rPr>
      </w:pPr>
      <w:r>
        <w:rPr>
          <w:rFonts w:hint="eastAsia" w:ascii="仿宋_GB2312" w:hAnsi="Calibri" w:eastAsia="仿宋_GB2312" w:cs="仿宋"/>
          <w:color w:val="auto"/>
          <w:sz w:val="32"/>
          <w:szCs w:val="32"/>
          <w:lang w:val="en-US" w:eastAsia="zh-CN" w:bidi="ar-SA"/>
        </w:rPr>
        <w:t>13.社会保障和就业208（类）05（款）06（项）: 指反映机关事业单位实施养老保险制度由单位实际缴纳的基本养老保险费支出。</w:t>
      </w:r>
    </w:p>
    <w:p w14:paraId="1CFABB4D">
      <w:pPr>
        <w:pStyle w:val="14"/>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textAlignment w:val="auto"/>
        <w:rPr>
          <w:rFonts w:hint="eastAsia" w:ascii="仿宋_GB2312" w:hAnsi="Calibri" w:eastAsia="仿宋_GB2312" w:cs="仿宋"/>
          <w:color w:val="auto"/>
          <w:sz w:val="32"/>
          <w:szCs w:val="32"/>
          <w:lang w:val="en-US" w:eastAsia="zh-CN" w:bidi="ar-SA"/>
        </w:rPr>
      </w:pPr>
      <w:r>
        <w:rPr>
          <w:rFonts w:hint="eastAsia" w:ascii="仿宋_GB2312" w:hAnsi="Calibri" w:eastAsia="仿宋_GB2312" w:cs="仿宋"/>
          <w:color w:val="auto"/>
          <w:sz w:val="32"/>
          <w:szCs w:val="32"/>
          <w:lang w:val="en-US" w:eastAsia="zh-CN" w:bidi="ar-SA"/>
        </w:rPr>
        <w:t>14.卫生健康210（类）11（款）02（项）:反映财政部门安排的事业单位基本医疗保险缴费经费，未参加医疗保险的事业单位的公费医疗经费，按国家规定享受离休人员待遇的医疗经费。</w:t>
      </w:r>
    </w:p>
    <w:p w14:paraId="0BC9056F">
      <w:pPr>
        <w:pStyle w:val="14"/>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textAlignment w:val="auto"/>
        <w:rPr>
          <w:rFonts w:hint="eastAsia" w:ascii="仿宋_GB2312" w:hAnsi="Calibri" w:eastAsia="仿宋_GB2312" w:cs="仿宋"/>
          <w:color w:val="auto"/>
          <w:sz w:val="32"/>
          <w:szCs w:val="32"/>
          <w:lang w:val="en-US" w:eastAsia="zh-CN" w:bidi="ar-SA"/>
        </w:rPr>
      </w:pPr>
      <w:r>
        <w:rPr>
          <w:rFonts w:hint="eastAsia" w:ascii="仿宋_GB2312" w:hAnsi="Calibri" w:eastAsia="仿宋_GB2312" w:cs="仿宋"/>
          <w:color w:val="auto"/>
          <w:sz w:val="32"/>
          <w:szCs w:val="32"/>
          <w:lang w:val="en-US" w:eastAsia="zh-CN" w:bidi="ar-SA"/>
        </w:rPr>
        <w:t>15.卫生健康210（类）11（款）99（项）:反映除上述项目以外的其他用于行政事业单位医疗方面的支出。</w:t>
      </w:r>
    </w:p>
    <w:p w14:paraId="564F0455">
      <w:pPr>
        <w:pStyle w:val="14"/>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textAlignment w:val="auto"/>
        <w:rPr>
          <w:rFonts w:hint="eastAsia" w:ascii="仿宋_GB2312" w:hAnsi="Calibri" w:eastAsia="仿宋_GB2312" w:cs="仿宋"/>
          <w:color w:val="auto"/>
          <w:sz w:val="32"/>
          <w:szCs w:val="32"/>
          <w:lang w:val="en-US" w:eastAsia="zh-CN" w:bidi="ar-SA"/>
        </w:rPr>
      </w:pPr>
      <w:r>
        <w:rPr>
          <w:rFonts w:hint="eastAsia" w:ascii="仿宋_GB2312" w:hAnsi="Calibri" w:eastAsia="仿宋_GB2312" w:cs="仿宋"/>
          <w:color w:val="auto"/>
          <w:sz w:val="32"/>
          <w:szCs w:val="32"/>
          <w:lang w:val="en-US" w:eastAsia="zh-CN" w:bidi="ar-SA"/>
        </w:rPr>
        <w:t>16.住房保障221（类）02（款）01（项）：反映行政事业单位按人力资源和社会保障部、财政部规定的基本工资和津贴补贴以及规定为职工缴纳的住房公积金。</w:t>
      </w:r>
    </w:p>
    <w:p w14:paraId="219A6C42">
      <w:pPr>
        <w:spacing w:line="600" w:lineRule="exact"/>
        <w:ind w:firstLine="640"/>
        <w:rPr>
          <w:rFonts w:ascii="仿宋" w:hAnsi="仿宋" w:eastAsia="仿宋"/>
          <w:b/>
          <w:sz w:val="32"/>
          <w:szCs w:val="32"/>
        </w:rPr>
      </w:pPr>
      <w:r>
        <w:rPr>
          <w:rFonts w:hint="eastAsia" w:ascii="仿宋" w:hAnsi="仿宋" w:eastAsia="仿宋"/>
          <w:b/>
          <w:sz w:val="32"/>
          <w:szCs w:val="32"/>
        </w:rPr>
        <w:t>（解释本单位决算报表中涉及的全部功能分类科目至项级，不涉及的科目请自行删除。请参照《2023年政府收支分类科目》增减内容。）</w:t>
      </w:r>
    </w:p>
    <w:p w14:paraId="1CBD68BC">
      <w:pPr>
        <w:ind w:firstLine="640" w:firstLineChars="200"/>
        <w:rPr>
          <w:rFonts w:ascii="仿宋_GB2312" w:eastAsia="仿宋_GB2312"/>
          <w:sz w:val="32"/>
          <w:szCs w:val="32"/>
        </w:rPr>
      </w:pPr>
      <w:r>
        <w:rPr>
          <w:rFonts w:ascii="仿宋_GB2312" w:eastAsia="仿宋_GB2312"/>
          <w:sz w:val="32"/>
          <w:szCs w:val="32"/>
        </w:rPr>
        <w:t>27.</w:t>
      </w:r>
      <w:r>
        <w:rPr>
          <w:rFonts w:hint="eastAsia" w:ascii="仿宋_GB2312" w:eastAsia="仿宋_GB2312"/>
          <w:sz w:val="32"/>
          <w:szCs w:val="32"/>
        </w:rPr>
        <w:t>基本支出：指为保障机构正常运转、完成日常工作任务而发生的人员支出和公用支出。</w:t>
      </w:r>
    </w:p>
    <w:p w14:paraId="6FDD6572">
      <w:pPr>
        <w:ind w:firstLine="640" w:firstLineChars="200"/>
        <w:rPr>
          <w:rFonts w:ascii="仿宋_GB2312" w:eastAsia="仿宋_GB2312"/>
          <w:sz w:val="32"/>
          <w:szCs w:val="32"/>
        </w:rPr>
      </w:pPr>
      <w:r>
        <w:rPr>
          <w:rFonts w:ascii="仿宋_GB2312" w:eastAsia="仿宋_GB2312"/>
          <w:sz w:val="32"/>
          <w:szCs w:val="32"/>
        </w:rPr>
        <w:t>28.</w:t>
      </w:r>
      <w:r>
        <w:rPr>
          <w:rFonts w:hint="eastAsia" w:ascii="仿宋_GB2312" w:eastAsia="仿宋_GB2312"/>
          <w:sz w:val="32"/>
          <w:szCs w:val="32"/>
        </w:rPr>
        <w:t>项目支出：指在基本支出之外为完成特定行政任务和事业发展目标所发生的支出。</w:t>
      </w:r>
      <w:r>
        <w:rPr>
          <w:rFonts w:ascii="仿宋_GB2312" w:eastAsia="仿宋_GB2312"/>
          <w:sz w:val="32"/>
          <w:szCs w:val="32"/>
        </w:rPr>
        <w:t xml:space="preserve"> </w:t>
      </w:r>
    </w:p>
    <w:p w14:paraId="03B166AF">
      <w:pPr>
        <w:ind w:firstLine="640" w:firstLineChars="200"/>
        <w:rPr>
          <w:rFonts w:ascii="仿宋_GB2312" w:eastAsia="仿宋_GB2312"/>
          <w:sz w:val="32"/>
          <w:szCs w:val="32"/>
        </w:rPr>
      </w:pPr>
      <w:r>
        <w:rPr>
          <w:rFonts w:ascii="仿宋_GB2312" w:eastAsia="仿宋_GB2312"/>
          <w:sz w:val="32"/>
          <w:szCs w:val="32"/>
        </w:rPr>
        <w:t>29.</w:t>
      </w:r>
      <w:r>
        <w:rPr>
          <w:rFonts w:hint="eastAsia" w:ascii="仿宋_GB2312" w:eastAsia="仿宋_GB2312"/>
          <w:sz w:val="32"/>
          <w:szCs w:val="32"/>
        </w:rPr>
        <w:t>经营支出：指事业单位在专业业务活动及其辅助活动之外开展非独立核算经营活动发生的支出。</w:t>
      </w:r>
    </w:p>
    <w:p w14:paraId="58FB73CB">
      <w:pPr>
        <w:pStyle w:val="27"/>
        <w:spacing w:line="560" w:lineRule="exact"/>
        <w:ind w:firstLine="640" w:firstLineChars="200"/>
        <w:rPr>
          <w:rFonts w:ascii="仿宋_GB2312" w:eastAsia="仿宋_GB2312"/>
          <w:color w:val="auto"/>
          <w:sz w:val="32"/>
          <w:szCs w:val="32"/>
        </w:rPr>
      </w:pPr>
      <w:r>
        <w:rPr>
          <w:rFonts w:ascii="仿宋_GB2312" w:eastAsia="仿宋_GB2312"/>
          <w:color w:val="auto"/>
          <w:sz w:val="32"/>
          <w:szCs w:val="32"/>
        </w:rPr>
        <w:t>30.</w:t>
      </w:r>
      <w:r>
        <w:rPr>
          <w:rFonts w:hint="eastAsia" w:ascii="仿宋_GB2312" w:eastAsia="仿宋_GB2312"/>
          <w:color w:val="auto"/>
          <w:sz w:val="32"/>
          <w:szCs w:val="32"/>
        </w:rPr>
        <w:t>“三公”经费：指单位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14:paraId="78110705">
      <w:pPr>
        <w:pStyle w:val="27"/>
        <w:spacing w:line="560" w:lineRule="exact"/>
        <w:ind w:firstLine="640" w:firstLineChars="200"/>
        <w:rPr>
          <w:rFonts w:ascii="仿宋_GB2312" w:eastAsia="仿宋_GB2312"/>
          <w:color w:val="auto"/>
          <w:sz w:val="32"/>
          <w:szCs w:val="32"/>
        </w:rPr>
      </w:pPr>
      <w:r>
        <w:rPr>
          <w:rFonts w:ascii="仿宋_GB2312" w:eastAsia="仿宋_GB2312"/>
          <w:color w:val="auto"/>
          <w:sz w:val="32"/>
          <w:szCs w:val="32"/>
        </w:rPr>
        <w:t>31.</w:t>
      </w:r>
      <w:r>
        <w:rPr>
          <w:rFonts w:hint="eastAsia" w:ascii="仿宋_GB2312" w:eastAsia="仿宋_GB2312"/>
          <w:color w:val="auto"/>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2FAC9304">
      <w:pPr>
        <w:pStyle w:val="27"/>
        <w:spacing w:line="560" w:lineRule="exact"/>
        <w:ind w:firstLine="640" w:firstLineChars="200"/>
        <w:rPr>
          <w:rFonts w:ascii="仿宋_GB2312" w:eastAsia="仿宋_GB2312"/>
          <w:color w:val="auto"/>
          <w:sz w:val="32"/>
          <w:szCs w:val="32"/>
        </w:rPr>
      </w:pPr>
      <w:r>
        <w:rPr>
          <w:rFonts w:ascii="仿宋_GB2312" w:eastAsia="仿宋_GB2312"/>
          <w:color w:val="auto"/>
          <w:sz w:val="32"/>
          <w:szCs w:val="32"/>
        </w:rPr>
        <w:t>32.</w:t>
      </w:r>
      <w:r>
        <w:rPr>
          <w:rFonts w:hint="eastAsia" w:ascii="仿宋_GB2312" w:eastAsia="仿宋_GB2312"/>
          <w:color w:val="auto"/>
          <w:sz w:val="32"/>
          <w:szCs w:val="32"/>
        </w:rPr>
        <w:t>……。</w:t>
      </w:r>
    </w:p>
    <w:p w14:paraId="74B5C17C">
      <w:pPr>
        <w:pStyle w:val="27"/>
        <w:spacing w:line="560" w:lineRule="exact"/>
        <w:ind w:firstLine="640" w:firstLineChars="200"/>
        <w:rPr>
          <w:rFonts w:ascii="仿宋_GB2312" w:eastAsia="仿宋_GB2312" w:cs="黑体"/>
          <w:color w:val="auto"/>
          <w:sz w:val="32"/>
          <w:szCs w:val="32"/>
        </w:rPr>
      </w:pPr>
    </w:p>
    <w:p w14:paraId="2E93457C">
      <w:pPr>
        <w:ind w:firstLine="643" w:firstLineChars="200"/>
        <w:rPr>
          <w:rFonts w:ascii="仿宋" w:hAnsi="仿宋" w:eastAsia="仿宋"/>
          <w:b/>
          <w:sz w:val="32"/>
          <w:szCs w:val="32"/>
        </w:rPr>
      </w:pPr>
      <w:r>
        <w:rPr>
          <w:rFonts w:hint="eastAsia" w:ascii="仿宋" w:hAnsi="仿宋" w:eastAsia="仿宋"/>
          <w:b/>
          <w:sz w:val="32"/>
          <w:szCs w:val="32"/>
        </w:rPr>
        <w:t>（名词解释部分请根据各单位实际列支情况罗列，并根据本单位职责职能增减名词解释内容。）</w:t>
      </w:r>
    </w:p>
    <w:p w14:paraId="495C7FC2">
      <w:pPr>
        <w:spacing w:line="600" w:lineRule="exact"/>
        <w:jc w:val="center"/>
        <w:outlineLvl w:val="0"/>
        <w:rPr>
          <w:rStyle w:val="29"/>
          <w:rFonts w:ascii="黑体" w:hAnsi="黑体" w:eastAsia="黑体"/>
          <w:b w:val="0"/>
        </w:rPr>
      </w:pPr>
      <w:bookmarkStart w:id="51" w:name="_Toc15377226"/>
      <w:r>
        <w:rPr>
          <w:rFonts w:ascii="宋体"/>
          <w:b/>
          <w:sz w:val="44"/>
          <w:szCs w:val="44"/>
        </w:rPr>
        <w:br w:type="page"/>
      </w:r>
      <w:bookmarkStart w:id="52" w:name="_Toc15396614"/>
      <w:r>
        <w:rPr>
          <w:rFonts w:hint="eastAsia" w:ascii="黑体" w:hAnsi="黑体" w:eastAsia="黑体"/>
          <w:sz w:val="44"/>
          <w:szCs w:val="44"/>
        </w:rPr>
        <w:t>第</w:t>
      </w:r>
      <w:r>
        <w:rPr>
          <w:rStyle w:val="29"/>
          <w:rFonts w:hint="eastAsia" w:ascii="黑体" w:hAnsi="黑体" w:eastAsia="黑体"/>
          <w:b w:val="0"/>
        </w:rPr>
        <w:t>四部分 附件</w:t>
      </w:r>
      <w:bookmarkEnd w:id="52"/>
    </w:p>
    <w:p w14:paraId="3B2F8298">
      <w:pPr>
        <w:spacing w:line="572" w:lineRule="exact"/>
        <w:jc w:val="left"/>
        <w:outlineLvl w:val="0"/>
        <w:rPr>
          <w:rFonts w:ascii="仿宋_GB2312" w:hAnsi="仿宋_GB2312" w:eastAsia="仿宋_GB2312" w:cs="仿宋_GB2312"/>
          <w:sz w:val="32"/>
          <w:szCs w:val="32"/>
        </w:rPr>
      </w:pPr>
    </w:p>
    <w:p w14:paraId="4C2E0F89">
      <w:pPr>
        <w:spacing w:line="600" w:lineRule="exact"/>
        <w:jc w:val="center"/>
        <w:outlineLvl w:val="0"/>
        <w:rPr>
          <w:rFonts w:ascii="黑体" w:hAnsi="黑体" w:eastAsia="黑体"/>
          <w:color w:val="FF0000"/>
          <w:sz w:val="44"/>
          <w:szCs w:val="44"/>
        </w:rPr>
      </w:pPr>
      <w:bookmarkStart w:id="53" w:name="_Toc15396618"/>
      <w:r>
        <w:rPr>
          <w:rFonts w:hint="eastAsia"/>
          <w:sz w:val="32"/>
          <w:szCs w:val="32"/>
        </w:rPr>
        <w:t>部门预算项目支出绩效自评表（2023年度）</w:t>
      </w:r>
    </w:p>
    <w:p w14:paraId="4D50DF93">
      <w:pPr>
        <w:pStyle w:val="15"/>
        <w:spacing w:line="560" w:lineRule="exact"/>
        <w:ind w:left="0" w:leftChars="0" w:firstLine="640"/>
        <w:rPr>
          <w:sz w:val="32"/>
        </w:rPr>
      </w:pPr>
    </w:p>
    <w:p w14:paraId="56FB15D3">
      <w:pPr>
        <w:pStyle w:val="15"/>
        <w:spacing w:line="560" w:lineRule="exact"/>
        <w:ind w:left="0" w:leftChars="0" w:firstLine="640"/>
        <w:rPr>
          <w:rFonts w:hAnsi="Calibri" w:eastAsia="仿宋_GB2312" w:cs="仿宋"/>
          <w:sz w:val="32"/>
          <w:lang w:val="zh-CN"/>
        </w:rPr>
      </w:pPr>
      <w:r>
        <w:rPr>
          <w:rFonts w:hint="eastAsia" w:hAnsi="Calibri" w:eastAsia="仿宋_GB2312" w:cs="仿宋"/>
          <w:sz w:val="32"/>
        </w:rPr>
        <w:t>（备注：按照绩效自评工作安排，各单位可在预算管理一体化系统—综合报表查询—预算绩效报表模块中下载本单位“部门预算项目支出绩效自评表（2023年度）”，该表格应作为附件予以公开。）</w:t>
      </w:r>
    </w:p>
    <w:p w14:paraId="2C88EAC7">
      <w:pPr>
        <w:pStyle w:val="5"/>
        <w:spacing w:before="93"/>
        <w:rPr>
          <w:rFonts w:hAnsi="Calibri" w:cs="仿宋"/>
          <w:sz w:val="32"/>
          <w:szCs w:val="32"/>
        </w:rPr>
      </w:pPr>
    </w:p>
    <w:p w14:paraId="0E0CE171">
      <w:pPr>
        <w:pStyle w:val="5"/>
        <w:spacing w:before="93"/>
        <w:rPr>
          <w:rFonts w:hAnsi="Calibri" w:cs="仿宋"/>
          <w:sz w:val="32"/>
          <w:szCs w:val="32"/>
        </w:rPr>
      </w:pPr>
    </w:p>
    <w:p w14:paraId="6415C574">
      <w:pPr>
        <w:pStyle w:val="5"/>
        <w:spacing w:before="93"/>
        <w:rPr>
          <w:rFonts w:hAnsi="Calibri" w:cs="仿宋"/>
          <w:sz w:val="32"/>
          <w:szCs w:val="32"/>
        </w:rPr>
      </w:pPr>
    </w:p>
    <w:p w14:paraId="53930A22">
      <w:pPr>
        <w:pStyle w:val="5"/>
        <w:spacing w:before="93"/>
        <w:rPr>
          <w:rFonts w:hAnsi="Calibri" w:cs="仿宋"/>
          <w:sz w:val="32"/>
          <w:szCs w:val="32"/>
        </w:rPr>
      </w:pPr>
    </w:p>
    <w:p w14:paraId="41BA0E0A">
      <w:pPr>
        <w:pStyle w:val="5"/>
        <w:spacing w:before="93"/>
        <w:rPr>
          <w:rFonts w:hAnsi="Calibri" w:cs="仿宋"/>
          <w:sz w:val="32"/>
          <w:szCs w:val="32"/>
        </w:rPr>
      </w:pPr>
    </w:p>
    <w:p w14:paraId="30BB10E7">
      <w:pPr>
        <w:pStyle w:val="5"/>
        <w:spacing w:before="93"/>
        <w:rPr>
          <w:rFonts w:hAnsi="Calibri" w:cs="仿宋"/>
          <w:sz w:val="32"/>
          <w:szCs w:val="32"/>
        </w:rPr>
      </w:pPr>
    </w:p>
    <w:p w14:paraId="620340A3">
      <w:pPr>
        <w:pStyle w:val="5"/>
        <w:spacing w:before="93"/>
        <w:rPr>
          <w:rFonts w:hAnsi="Calibri" w:cs="仿宋"/>
          <w:sz w:val="32"/>
          <w:szCs w:val="32"/>
        </w:rPr>
      </w:pPr>
    </w:p>
    <w:p w14:paraId="5CB6D7E8">
      <w:pPr>
        <w:pStyle w:val="5"/>
        <w:spacing w:before="93"/>
        <w:rPr>
          <w:rFonts w:hAnsi="Calibri" w:cs="仿宋"/>
          <w:sz w:val="32"/>
          <w:szCs w:val="32"/>
        </w:rPr>
      </w:pPr>
    </w:p>
    <w:p w14:paraId="42ED4ABA">
      <w:pPr>
        <w:pStyle w:val="5"/>
        <w:spacing w:before="93"/>
        <w:rPr>
          <w:rFonts w:hAnsi="Calibri" w:cs="仿宋"/>
          <w:sz w:val="32"/>
          <w:szCs w:val="32"/>
        </w:rPr>
      </w:pPr>
    </w:p>
    <w:p w14:paraId="5432913E">
      <w:pPr>
        <w:pStyle w:val="5"/>
        <w:spacing w:before="93"/>
        <w:rPr>
          <w:rFonts w:hAnsi="Calibri" w:cs="仿宋"/>
          <w:sz w:val="32"/>
          <w:szCs w:val="32"/>
        </w:rPr>
      </w:pPr>
    </w:p>
    <w:p w14:paraId="16FC84C0">
      <w:pPr>
        <w:pStyle w:val="5"/>
        <w:spacing w:before="93"/>
        <w:rPr>
          <w:rFonts w:hAnsi="Calibri" w:cs="仿宋"/>
          <w:sz w:val="32"/>
          <w:szCs w:val="32"/>
        </w:rPr>
      </w:pPr>
    </w:p>
    <w:p w14:paraId="138B48FF">
      <w:pPr>
        <w:pStyle w:val="5"/>
        <w:spacing w:before="93"/>
        <w:rPr>
          <w:rFonts w:hAnsi="Calibri" w:cs="仿宋"/>
          <w:sz w:val="32"/>
          <w:szCs w:val="32"/>
        </w:rPr>
      </w:pPr>
    </w:p>
    <w:p w14:paraId="3EB747C1">
      <w:pPr>
        <w:spacing w:line="600" w:lineRule="exact"/>
        <w:jc w:val="center"/>
        <w:outlineLvl w:val="0"/>
        <w:rPr>
          <w:rFonts w:hint="eastAsia" w:ascii="黑体" w:hAnsi="黑体" w:eastAsia="黑体"/>
          <w:sz w:val="44"/>
          <w:szCs w:val="44"/>
        </w:rPr>
      </w:pPr>
    </w:p>
    <w:p w14:paraId="296451FE">
      <w:pPr>
        <w:spacing w:line="600" w:lineRule="exact"/>
        <w:jc w:val="center"/>
        <w:outlineLvl w:val="0"/>
        <w:rPr>
          <w:rFonts w:ascii="仿宋" w:hAnsi="仿宋" w:eastAsia="仿宋"/>
        </w:rPr>
      </w:pPr>
      <w:r>
        <w:rPr>
          <w:rFonts w:hint="eastAsia" w:ascii="黑体" w:hAnsi="黑体" w:eastAsia="黑体"/>
          <w:sz w:val="44"/>
          <w:szCs w:val="44"/>
        </w:rPr>
        <w:t>第</w:t>
      </w:r>
      <w:r>
        <w:rPr>
          <w:rStyle w:val="29"/>
          <w:rFonts w:hint="eastAsia" w:ascii="黑体" w:hAnsi="黑体" w:eastAsia="黑体"/>
          <w:b w:val="0"/>
        </w:rPr>
        <w:t>五部分 附表</w:t>
      </w:r>
      <w:bookmarkEnd w:id="51"/>
      <w:bookmarkEnd w:id="53"/>
      <w:bookmarkStart w:id="54" w:name="_Toc15396619"/>
    </w:p>
    <w:p w14:paraId="39285801">
      <w:pPr>
        <w:pStyle w:val="3"/>
        <w:rPr>
          <w:rFonts w:ascii="仿宋" w:hAnsi="仿宋" w:eastAsia="仿宋"/>
        </w:rPr>
      </w:pPr>
      <w:r>
        <w:rPr>
          <w:rFonts w:hint="eastAsia" w:ascii="仿宋" w:hAnsi="仿宋" w:eastAsia="仿宋"/>
          <w:b w:val="0"/>
        </w:rPr>
        <w:t>一、收</w:t>
      </w:r>
      <w:r>
        <w:rPr>
          <w:rStyle w:val="30"/>
          <w:rFonts w:hint="eastAsia" w:ascii="仿宋" w:hAnsi="仿宋" w:eastAsia="仿宋"/>
          <w:b w:val="0"/>
          <w:bCs w:val="0"/>
        </w:rPr>
        <w:t>入支出决算总表</w:t>
      </w:r>
      <w:bookmarkEnd w:id="54"/>
    </w:p>
    <w:p w14:paraId="204663AA">
      <w:pPr>
        <w:pStyle w:val="3"/>
        <w:rPr>
          <w:rFonts w:ascii="仿宋" w:hAnsi="仿宋" w:eastAsia="仿宋"/>
        </w:rPr>
      </w:pPr>
      <w:bookmarkStart w:id="55" w:name="_Toc15396620"/>
      <w:r>
        <w:rPr>
          <w:rFonts w:hint="eastAsia" w:ascii="仿宋" w:hAnsi="仿宋" w:eastAsia="仿宋"/>
          <w:b w:val="0"/>
        </w:rPr>
        <w:t>二、收</w:t>
      </w:r>
      <w:r>
        <w:rPr>
          <w:rStyle w:val="30"/>
          <w:rFonts w:hint="eastAsia" w:ascii="仿宋" w:hAnsi="仿宋" w:eastAsia="仿宋"/>
          <w:b w:val="0"/>
          <w:bCs w:val="0"/>
        </w:rPr>
        <w:t>入决算表</w:t>
      </w:r>
      <w:bookmarkEnd w:id="55"/>
    </w:p>
    <w:p w14:paraId="0B3A2A92">
      <w:pPr>
        <w:pStyle w:val="3"/>
        <w:rPr>
          <w:rFonts w:ascii="仿宋" w:hAnsi="仿宋" w:eastAsia="仿宋"/>
        </w:rPr>
      </w:pPr>
      <w:bookmarkStart w:id="56" w:name="_Toc15396621"/>
      <w:r>
        <w:rPr>
          <w:rStyle w:val="30"/>
          <w:rFonts w:hint="eastAsia" w:ascii="仿宋" w:hAnsi="仿宋" w:eastAsia="仿宋"/>
          <w:b w:val="0"/>
          <w:bCs w:val="0"/>
        </w:rPr>
        <w:t>三、</w:t>
      </w:r>
      <w:r>
        <w:rPr>
          <w:rFonts w:hint="eastAsia" w:ascii="仿宋" w:hAnsi="仿宋" w:eastAsia="仿宋"/>
          <w:b w:val="0"/>
        </w:rPr>
        <w:t>支</w:t>
      </w:r>
      <w:r>
        <w:rPr>
          <w:rStyle w:val="30"/>
          <w:rFonts w:hint="eastAsia" w:ascii="仿宋" w:hAnsi="仿宋" w:eastAsia="仿宋"/>
          <w:b w:val="0"/>
          <w:bCs w:val="0"/>
        </w:rPr>
        <w:t>出决算表</w:t>
      </w:r>
      <w:bookmarkEnd w:id="56"/>
    </w:p>
    <w:p w14:paraId="51DB7747">
      <w:pPr>
        <w:pStyle w:val="3"/>
        <w:rPr>
          <w:rFonts w:ascii="仿宋" w:hAnsi="仿宋" w:eastAsia="仿宋"/>
          <w:b w:val="0"/>
        </w:rPr>
      </w:pPr>
      <w:bookmarkStart w:id="57" w:name="_Toc15396622"/>
      <w:r>
        <w:rPr>
          <w:rStyle w:val="30"/>
          <w:rFonts w:hint="eastAsia" w:ascii="仿宋" w:hAnsi="仿宋" w:eastAsia="仿宋"/>
          <w:b w:val="0"/>
          <w:bCs w:val="0"/>
        </w:rPr>
        <w:t>四、</w:t>
      </w:r>
      <w:r>
        <w:rPr>
          <w:rFonts w:hint="eastAsia" w:ascii="仿宋" w:hAnsi="仿宋" w:eastAsia="仿宋"/>
          <w:b w:val="0"/>
        </w:rPr>
        <w:t>财</w:t>
      </w:r>
      <w:r>
        <w:rPr>
          <w:rStyle w:val="30"/>
          <w:rFonts w:hint="eastAsia" w:ascii="仿宋" w:hAnsi="仿宋" w:eastAsia="仿宋"/>
          <w:b w:val="0"/>
          <w:bCs w:val="0"/>
        </w:rPr>
        <w:t>政拨款收入支出决算总表</w:t>
      </w:r>
      <w:bookmarkEnd w:id="57"/>
    </w:p>
    <w:p w14:paraId="0FC64E15">
      <w:pPr>
        <w:pStyle w:val="3"/>
        <w:rPr>
          <w:rStyle w:val="30"/>
          <w:rFonts w:ascii="仿宋" w:hAnsi="仿宋" w:eastAsia="仿宋"/>
          <w:b w:val="0"/>
          <w:bCs w:val="0"/>
        </w:rPr>
      </w:pPr>
      <w:bookmarkStart w:id="58" w:name="_Toc15396623"/>
      <w:r>
        <w:rPr>
          <w:rStyle w:val="30"/>
          <w:rFonts w:hint="eastAsia" w:ascii="仿宋" w:hAnsi="仿宋" w:eastAsia="仿宋"/>
          <w:b w:val="0"/>
          <w:bCs w:val="0"/>
        </w:rPr>
        <w:t>五、</w:t>
      </w:r>
      <w:r>
        <w:rPr>
          <w:rFonts w:hint="eastAsia" w:ascii="仿宋" w:hAnsi="仿宋" w:eastAsia="仿宋"/>
          <w:b w:val="0"/>
        </w:rPr>
        <w:t>财</w:t>
      </w:r>
      <w:r>
        <w:rPr>
          <w:rStyle w:val="30"/>
          <w:rFonts w:hint="eastAsia" w:ascii="仿宋" w:hAnsi="仿宋" w:eastAsia="仿宋"/>
          <w:b w:val="0"/>
          <w:bCs w:val="0"/>
        </w:rPr>
        <w:t>政拨款支出决算明细表</w:t>
      </w:r>
      <w:bookmarkEnd w:id="58"/>
      <w:bookmarkStart w:id="59" w:name="_Toc15396624"/>
    </w:p>
    <w:p w14:paraId="47311CCB">
      <w:pPr>
        <w:pStyle w:val="3"/>
        <w:rPr>
          <w:rFonts w:ascii="仿宋" w:hAnsi="仿宋" w:eastAsia="仿宋"/>
        </w:rPr>
      </w:pPr>
      <w:r>
        <w:rPr>
          <w:rStyle w:val="30"/>
          <w:rFonts w:hint="eastAsia" w:ascii="仿宋" w:hAnsi="仿宋" w:eastAsia="仿宋"/>
          <w:b w:val="0"/>
          <w:bCs w:val="0"/>
        </w:rPr>
        <w:t>六、</w:t>
      </w:r>
      <w:r>
        <w:rPr>
          <w:rFonts w:hint="eastAsia" w:ascii="仿宋" w:hAnsi="仿宋" w:eastAsia="仿宋"/>
          <w:b w:val="0"/>
        </w:rPr>
        <w:t>一</w:t>
      </w:r>
      <w:r>
        <w:rPr>
          <w:rStyle w:val="30"/>
          <w:rFonts w:hint="eastAsia" w:ascii="仿宋" w:hAnsi="仿宋" w:eastAsia="仿宋"/>
          <w:b w:val="0"/>
          <w:bCs w:val="0"/>
        </w:rPr>
        <w:t>般公共预算财政拨款支出决算表</w:t>
      </w:r>
      <w:bookmarkEnd w:id="59"/>
    </w:p>
    <w:p w14:paraId="2AADE0A1">
      <w:pPr>
        <w:pStyle w:val="3"/>
        <w:rPr>
          <w:rFonts w:ascii="仿宋" w:hAnsi="仿宋" w:eastAsia="仿宋"/>
        </w:rPr>
      </w:pPr>
      <w:bookmarkStart w:id="60" w:name="_Toc15396625"/>
      <w:r>
        <w:rPr>
          <w:rStyle w:val="30"/>
          <w:rFonts w:hint="eastAsia" w:ascii="仿宋" w:hAnsi="仿宋" w:eastAsia="仿宋"/>
          <w:b w:val="0"/>
          <w:bCs w:val="0"/>
        </w:rPr>
        <w:t>七、</w:t>
      </w:r>
      <w:r>
        <w:rPr>
          <w:rFonts w:hint="eastAsia" w:ascii="仿宋" w:hAnsi="仿宋" w:eastAsia="仿宋"/>
          <w:b w:val="0"/>
        </w:rPr>
        <w:t>一</w:t>
      </w:r>
      <w:r>
        <w:rPr>
          <w:rStyle w:val="30"/>
          <w:rFonts w:hint="eastAsia" w:ascii="仿宋" w:hAnsi="仿宋" w:eastAsia="仿宋"/>
          <w:b w:val="0"/>
          <w:bCs w:val="0"/>
        </w:rPr>
        <w:t>般公共预算财政拨款支出决算明细表</w:t>
      </w:r>
      <w:bookmarkEnd w:id="60"/>
    </w:p>
    <w:p w14:paraId="0FE83932">
      <w:pPr>
        <w:pStyle w:val="3"/>
        <w:rPr>
          <w:rFonts w:ascii="仿宋" w:hAnsi="仿宋" w:eastAsia="仿宋"/>
        </w:rPr>
      </w:pPr>
      <w:bookmarkStart w:id="61" w:name="_Toc15396626"/>
      <w:r>
        <w:rPr>
          <w:rStyle w:val="30"/>
          <w:rFonts w:hint="eastAsia" w:ascii="仿宋" w:hAnsi="仿宋" w:eastAsia="仿宋"/>
          <w:b w:val="0"/>
          <w:bCs w:val="0"/>
        </w:rPr>
        <w:t>八、</w:t>
      </w:r>
      <w:r>
        <w:rPr>
          <w:rFonts w:hint="eastAsia" w:ascii="仿宋" w:hAnsi="仿宋" w:eastAsia="仿宋"/>
          <w:b w:val="0"/>
        </w:rPr>
        <w:t>一</w:t>
      </w:r>
      <w:r>
        <w:rPr>
          <w:rStyle w:val="30"/>
          <w:rFonts w:hint="eastAsia" w:ascii="仿宋" w:hAnsi="仿宋" w:eastAsia="仿宋"/>
          <w:b w:val="0"/>
          <w:bCs w:val="0"/>
        </w:rPr>
        <w:t>般公共预算财政拨款基本支出决算表</w:t>
      </w:r>
      <w:bookmarkEnd w:id="61"/>
    </w:p>
    <w:p w14:paraId="4202CB3D">
      <w:pPr>
        <w:pStyle w:val="3"/>
        <w:rPr>
          <w:rFonts w:ascii="仿宋" w:hAnsi="仿宋" w:eastAsia="仿宋"/>
        </w:rPr>
      </w:pPr>
      <w:bookmarkStart w:id="62" w:name="_Toc15396627"/>
      <w:r>
        <w:rPr>
          <w:rStyle w:val="30"/>
          <w:rFonts w:hint="eastAsia" w:ascii="仿宋" w:hAnsi="仿宋" w:eastAsia="仿宋"/>
          <w:b w:val="0"/>
          <w:bCs w:val="0"/>
        </w:rPr>
        <w:t>九、</w:t>
      </w:r>
      <w:r>
        <w:rPr>
          <w:rFonts w:hint="eastAsia" w:ascii="仿宋" w:hAnsi="仿宋" w:eastAsia="仿宋"/>
          <w:b w:val="0"/>
        </w:rPr>
        <w:t>一</w:t>
      </w:r>
      <w:r>
        <w:rPr>
          <w:rStyle w:val="30"/>
          <w:rFonts w:hint="eastAsia" w:ascii="仿宋" w:hAnsi="仿宋" w:eastAsia="仿宋"/>
          <w:b w:val="0"/>
          <w:bCs w:val="0"/>
        </w:rPr>
        <w:t>般公共预算财政拨款项目支出决算表</w:t>
      </w:r>
      <w:bookmarkEnd w:id="62"/>
    </w:p>
    <w:p w14:paraId="15BE8661">
      <w:pPr>
        <w:pStyle w:val="3"/>
        <w:rPr>
          <w:rFonts w:ascii="仿宋" w:hAnsi="仿宋" w:eastAsia="仿宋"/>
        </w:rPr>
      </w:pPr>
      <w:bookmarkStart w:id="63" w:name="_Toc15396628"/>
      <w:r>
        <w:rPr>
          <w:rStyle w:val="30"/>
          <w:rFonts w:hint="eastAsia" w:ascii="仿宋" w:hAnsi="仿宋" w:eastAsia="仿宋"/>
          <w:b w:val="0"/>
          <w:bCs w:val="0"/>
        </w:rPr>
        <w:t>十、</w:t>
      </w:r>
      <w:bookmarkEnd w:id="63"/>
      <w:r>
        <w:rPr>
          <w:rFonts w:hint="eastAsia" w:ascii="仿宋" w:hAnsi="仿宋" w:eastAsia="仿宋"/>
          <w:b w:val="0"/>
        </w:rPr>
        <w:t>政</w:t>
      </w:r>
      <w:r>
        <w:rPr>
          <w:rStyle w:val="30"/>
          <w:rFonts w:hint="eastAsia" w:ascii="仿宋" w:hAnsi="仿宋" w:eastAsia="仿宋"/>
          <w:b w:val="0"/>
          <w:bCs w:val="0"/>
        </w:rPr>
        <w:t>府性基金预算财政拨款收入支出决算表</w:t>
      </w:r>
    </w:p>
    <w:p w14:paraId="403AABBC">
      <w:pPr>
        <w:pStyle w:val="3"/>
        <w:rPr>
          <w:rFonts w:ascii="仿宋" w:hAnsi="仿宋" w:eastAsia="仿宋"/>
        </w:rPr>
      </w:pPr>
      <w:bookmarkStart w:id="64" w:name="_Toc15396629"/>
      <w:r>
        <w:rPr>
          <w:rStyle w:val="30"/>
          <w:rFonts w:hint="eastAsia" w:ascii="仿宋" w:hAnsi="仿宋" w:eastAsia="仿宋"/>
          <w:b w:val="0"/>
          <w:bCs w:val="0"/>
        </w:rPr>
        <w:t>十一、</w:t>
      </w:r>
      <w:bookmarkEnd w:id="64"/>
      <w:r>
        <w:rPr>
          <w:rFonts w:hint="eastAsia" w:ascii="仿宋" w:hAnsi="仿宋" w:eastAsia="仿宋"/>
          <w:b w:val="0"/>
        </w:rPr>
        <w:t>国</w:t>
      </w:r>
      <w:r>
        <w:rPr>
          <w:rStyle w:val="30"/>
          <w:rFonts w:hint="eastAsia" w:ascii="仿宋" w:hAnsi="仿宋" w:eastAsia="仿宋"/>
          <w:b w:val="0"/>
          <w:bCs w:val="0"/>
        </w:rPr>
        <w:t>有资本经营预算财政拨款收入支出决算表</w:t>
      </w:r>
    </w:p>
    <w:p w14:paraId="05189D7A">
      <w:pPr>
        <w:pStyle w:val="3"/>
        <w:rPr>
          <w:rFonts w:ascii="仿宋" w:hAnsi="仿宋" w:eastAsia="仿宋"/>
        </w:rPr>
      </w:pPr>
      <w:bookmarkStart w:id="65" w:name="_Toc15396630"/>
      <w:r>
        <w:rPr>
          <w:rStyle w:val="30"/>
          <w:rFonts w:hint="eastAsia" w:ascii="仿宋" w:hAnsi="仿宋" w:eastAsia="仿宋"/>
          <w:b w:val="0"/>
          <w:bCs w:val="0"/>
        </w:rPr>
        <w:t>十二、</w:t>
      </w:r>
      <w:bookmarkEnd w:id="65"/>
      <w:r>
        <w:rPr>
          <w:rStyle w:val="30"/>
          <w:rFonts w:hint="eastAsia" w:ascii="仿宋" w:hAnsi="仿宋" w:eastAsia="仿宋"/>
          <w:b w:val="0"/>
          <w:bCs w:val="0"/>
        </w:rPr>
        <w:t>国有资本经营预算财政拨款支出决算表</w:t>
      </w:r>
    </w:p>
    <w:p w14:paraId="47E2BDC2">
      <w:pPr>
        <w:pStyle w:val="3"/>
        <w:rPr>
          <w:rFonts w:eastAsia="仿宋"/>
        </w:rPr>
      </w:pPr>
      <w:bookmarkStart w:id="66" w:name="_Toc15396631"/>
      <w:r>
        <w:rPr>
          <w:rStyle w:val="30"/>
          <w:rFonts w:hint="eastAsia" w:ascii="仿宋" w:hAnsi="仿宋" w:eastAsia="仿宋"/>
          <w:b w:val="0"/>
          <w:bCs w:val="0"/>
        </w:rPr>
        <w:t>十三、</w:t>
      </w:r>
      <w:bookmarkEnd w:id="66"/>
      <w:r>
        <w:rPr>
          <w:rStyle w:val="30"/>
          <w:rFonts w:hint="eastAsia" w:ascii="仿宋" w:hAnsi="仿宋" w:eastAsia="仿宋"/>
          <w:b w:val="0"/>
          <w:bCs w:val="0"/>
        </w:rPr>
        <w:t>财政拨款“三公”经费支出决算表</w:t>
      </w:r>
    </w:p>
    <w:sectPr>
      <w:headerReference r:id="rId3" w:type="default"/>
      <w:footerReference r:id="rId4" w:type="default"/>
      <w:pgSz w:w="11906" w:h="16838"/>
      <w:pgMar w:top="1440" w:right="1800" w:bottom="1440" w:left="1800" w:header="851" w:footer="992" w:gutter="0"/>
      <w:pgNumType w:start="1"/>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小标宋简体">
    <w:panose1 w:val="03000509000000000000"/>
    <w:charset w:val="86"/>
    <w:family w:val="script"/>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94781956"/>
    </w:sdtPr>
    <w:sdtContent>
      <w:p w14:paraId="3D792058">
        <w:pPr>
          <w:pStyle w:val="9"/>
          <w:jc w:val="center"/>
        </w:pPr>
        <w:r>
          <w:fldChar w:fldCharType="begin"/>
        </w:r>
        <w:r>
          <w:instrText xml:space="preserve">PAGE   \* MERGEFORMAT</w:instrText>
        </w:r>
        <w:r>
          <w:fldChar w:fldCharType="separate"/>
        </w:r>
        <w:r>
          <w:rPr>
            <w:lang w:val="zh-CN"/>
          </w:rPr>
          <w:t>15</w:t>
        </w:r>
        <w:r>
          <w:fldChar w:fldCharType="end"/>
        </w:r>
      </w:p>
    </w:sdtContent>
  </w:sdt>
  <w:p w14:paraId="40E4D063">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15DE6A">
    <w:pPr>
      <w:pStyle w:val="10"/>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652CEC"/>
    <w:multiLevelType w:val="singleLevel"/>
    <w:tmpl w:val="CF652CEC"/>
    <w:lvl w:ilvl="0" w:tentative="0">
      <w:start w:val="9"/>
      <w:numFmt w:val="chineseCounting"/>
      <w:suff w:val="nothing"/>
      <w:lvlText w:val="%1、"/>
      <w:lvlJc w:val="left"/>
      <w:rPr>
        <w:rFonts w:hint="eastAsia"/>
      </w:rPr>
    </w:lvl>
  </w:abstractNum>
  <w:abstractNum w:abstractNumId="1">
    <w:nsid w:val="E2FA047D"/>
    <w:multiLevelType w:val="singleLevel"/>
    <w:tmpl w:val="E2FA047D"/>
    <w:lvl w:ilvl="0" w:tentative="0">
      <w:start w:val="3"/>
      <w:numFmt w:val="chineseCounting"/>
      <w:suff w:val="space"/>
      <w:lvlText w:val="第%1部分"/>
      <w:lvlJc w:val="left"/>
      <w:rPr>
        <w:rFonts w:hint="eastAsia" w:ascii="黑体" w:hAnsi="黑体" w:eastAsia="黑体" w:cs="黑体"/>
        <w:sz w:val="44"/>
        <w:szCs w:val="44"/>
      </w:rPr>
    </w:lvl>
  </w:abstractNum>
  <w:abstractNum w:abstractNumId="2">
    <w:nsid w:val="3818A09A"/>
    <w:multiLevelType w:val="singleLevel"/>
    <w:tmpl w:val="3818A09A"/>
    <w:lvl w:ilvl="0" w:tentative="0">
      <w:start w:val="1"/>
      <w:numFmt w:val="chineseCounting"/>
      <w:suff w:val="nothing"/>
      <w:lvlText w:val="%1、"/>
      <w:lvlJc w:val="left"/>
      <w:rPr>
        <w:rFonts w:hint="eastAsia"/>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NkYzc1NzFiOWI5NmUwNjJhMzNjZDM5YzdhY2E3ZWQifQ=="/>
  </w:docVars>
  <w:rsids>
    <w:rsidRoot w:val="00F1361C"/>
    <w:rsid w:val="000222C6"/>
    <w:rsid w:val="0002549F"/>
    <w:rsid w:val="000468DB"/>
    <w:rsid w:val="0006487A"/>
    <w:rsid w:val="00065F8F"/>
    <w:rsid w:val="00070A43"/>
    <w:rsid w:val="000768F2"/>
    <w:rsid w:val="0009184B"/>
    <w:rsid w:val="00094236"/>
    <w:rsid w:val="0009593C"/>
    <w:rsid w:val="00097322"/>
    <w:rsid w:val="000A6A92"/>
    <w:rsid w:val="000B047F"/>
    <w:rsid w:val="000B5923"/>
    <w:rsid w:val="000B5A48"/>
    <w:rsid w:val="000B6FF3"/>
    <w:rsid w:val="000C3467"/>
    <w:rsid w:val="000C3CA6"/>
    <w:rsid w:val="000D1267"/>
    <w:rsid w:val="000D1D50"/>
    <w:rsid w:val="000D5782"/>
    <w:rsid w:val="000E6613"/>
    <w:rsid w:val="000E7119"/>
    <w:rsid w:val="00114E9B"/>
    <w:rsid w:val="00142216"/>
    <w:rsid w:val="00144D6A"/>
    <w:rsid w:val="0014729F"/>
    <w:rsid w:val="00157BAB"/>
    <w:rsid w:val="001654D1"/>
    <w:rsid w:val="00174518"/>
    <w:rsid w:val="0018106D"/>
    <w:rsid w:val="001877A7"/>
    <w:rsid w:val="00191536"/>
    <w:rsid w:val="00196687"/>
    <w:rsid w:val="001A1DAD"/>
    <w:rsid w:val="001C0962"/>
    <w:rsid w:val="001D7531"/>
    <w:rsid w:val="001E737D"/>
    <w:rsid w:val="001F0592"/>
    <w:rsid w:val="001F7506"/>
    <w:rsid w:val="002006CD"/>
    <w:rsid w:val="00202B36"/>
    <w:rsid w:val="00204B7A"/>
    <w:rsid w:val="00204CDE"/>
    <w:rsid w:val="00206907"/>
    <w:rsid w:val="0021101A"/>
    <w:rsid w:val="00212B4A"/>
    <w:rsid w:val="00220536"/>
    <w:rsid w:val="00235629"/>
    <w:rsid w:val="00260C38"/>
    <w:rsid w:val="002616C0"/>
    <w:rsid w:val="00265372"/>
    <w:rsid w:val="002662AA"/>
    <w:rsid w:val="00280496"/>
    <w:rsid w:val="00294DC9"/>
    <w:rsid w:val="00295495"/>
    <w:rsid w:val="002A31DE"/>
    <w:rsid w:val="002B2613"/>
    <w:rsid w:val="002C5004"/>
    <w:rsid w:val="002D6D05"/>
    <w:rsid w:val="002F1818"/>
    <w:rsid w:val="002F567B"/>
    <w:rsid w:val="003216A9"/>
    <w:rsid w:val="00335A74"/>
    <w:rsid w:val="0036561B"/>
    <w:rsid w:val="0037013F"/>
    <w:rsid w:val="00380C92"/>
    <w:rsid w:val="003A484F"/>
    <w:rsid w:val="003A4883"/>
    <w:rsid w:val="003B0BE0"/>
    <w:rsid w:val="003B0C1B"/>
    <w:rsid w:val="003B688C"/>
    <w:rsid w:val="003C0291"/>
    <w:rsid w:val="003C39AE"/>
    <w:rsid w:val="003C7B60"/>
    <w:rsid w:val="003D0C0F"/>
    <w:rsid w:val="003D1FB2"/>
    <w:rsid w:val="003D66DA"/>
    <w:rsid w:val="003E1310"/>
    <w:rsid w:val="003E6F55"/>
    <w:rsid w:val="00406254"/>
    <w:rsid w:val="004223DE"/>
    <w:rsid w:val="00425C50"/>
    <w:rsid w:val="0043177C"/>
    <w:rsid w:val="00434489"/>
    <w:rsid w:val="00437085"/>
    <w:rsid w:val="00443880"/>
    <w:rsid w:val="004464F4"/>
    <w:rsid w:val="0046049C"/>
    <w:rsid w:val="00471401"/>
    <w:rsid w:val="00473F31"/>
    <w:rsid w:val="0048263A"/>
    <w:rsid w:val="00487E5D"/>
    <w:rsid w:val="004A711F"/>
    <w:rsid w:val="004B199D"/>
    <w:rsid w:val="004B4690"/>
    <w:rsid w:val="004E0A2D"/>
    <w:rsid w:val="004E206B"/>
    <w:rsid w:val="004E6DF7"/>
    <w:rsid w:val="004F0FBD"/>
    <w:rsid w:val="00505A47"/>
    <w:rsid w:val="00512FDA"/>
    <w:rsid w:val="00520DA0"/>
    <w:rsid w:val="005533CF"/>
    <w:rsid w:val="005664BB"/>
    <w:rsid w:val="00566FFA"/>
    <w:rsid w:val="0057481D"/>
    <w:rsid w:val="0058486E"/>
    <w:rsid w:val="00585B33"/>
    <w:rsid w:val="0059014D"/>
    <w:rsid w:val="005B5C64"/>
    <w:rsid w:val="005B6E8A"/>
    <w:rsid w:val="005C5337"/>
    <w:rsid w:val="005C6BD0"/>
    <w:rsid w:val="005D1C8B"/>
    <w:rsid w:val="005D468D"/>
    <w:rsid w:val="005D5CED"/>
    <w:rsid w:val="005F10BC"/>
    <w:rsid w:val="005F1A4C"/>
    <w:rsid w:val="00605688"/>
    <w:rsid w:val="006070AF"/>
    <w:rsid w:val="00607E6C"/>
    <w:rsid w:val="006101B1"/>
    <w:rsid w:val="00614E44"/>
    <w:rsid w:val="0062270A"/>
    <w:rsid w:val="00622830"/>
    <w:rsid w:val="00623DA0"/>
    <w:rsid w:val="00630AEF"/>
    <w:rsid w:val="006325F8"/>
    <w:rsid w:val="00633463"/>
    <w:rsid w:val="00634C9A"/>
    <w:rsid w:val="006440E4"/>
    <w:rsid w:val="00655FC5"/>
    <w:rsid w:val="0066343B"/>
    <w:rsid w:val="00664777"/>
    <w:rsid w:val="006748A4"/>
    <w:rsid w:val="00681A31"/>
    <w:rsid w:val="00683E73"/>
    <w:rsid w:val="006A3141"/>
    <w:rsid w:val="006A5E34"/>
    <w:rsid w:val="006B2422"/>
    <w:rsid w:val="006B2B9A"/>
    <w:rsid w:val="006C1937"/>
    <w:rsid w:val="006F020C"/>
    <w:rsid w:val="0071021A"/>
    <w:rsid w:val="007127B7"/>
    <w:rsid w:val="0071798E"/>
    <w:rsid w:val="007416B6"/>
    <w:rsid w:val="00746F48"/>
    <w:rsid w:val="0075404D"/>
    <w:rsid w:val="0076182A"/>
    <w:rsid w:val="00767B7E"/>
    <w:rsid w:val="007770C3"/>
    <w:rsid w:val="00784D24"/>
    <w:rsid w:val="00785FBA"/>
    <w:rsid w:val="00786E4A"/>
    <w:rsid w:val="007875EB"/>
    <w:rsid w:val="0079426B"/>
    <w:rsid w:val="007D1682"/>
    <w:rsid w:val="007D312A"/>
    <w:rsid w:val="007D3F19"/>
    <w:rsid w:val="007E23B0"/>
    <w:rsid w:val="007E23E5"/>
    <w:rsid w:val="007F1991"/>
    <w:rsid w:val="007F2C2F"/>
    <w:rsid w:val="007F55FC"/>
    <w:rsid w:val="007F5665"/>
    <w:rsid w:val="00800112"/>
    <w:rsid w:val="00813102"/>
    <w:rsid w:val="00813348"/>
    <w:rsid w:val="008253BB"/>
    <w:rsid w:val="0083706E"/>
    <w:rsid w:val="008408F6"/>
    <w:rsid w:val="008423A5"/>
    <w:rsid w:val="00850625"/>
    <w:rsid w:val="00853718"/>
    <w:rsid w:val="00855221"/>
    <w:rsid w:val="00860645"/>
    <w:rsid w:val="00871F71"/>
    <w:rsid w:val="00872FD8"/>
    <w:rsid w:val="00885AF4"/>
    <w:rsid w:val="008939CD"/>
    <w:rsid w:val="008B768C"/>
    <w:rsid w:val="008C4DB1"/>
    <w:rsid w:val="008C4EAF"/>
    <w:rsid w:val="008C5176"/>
    <w:rsid w:val="008C7FD0"/>
    <w:rsid w:val="008C7FD8"/>
    <w:rsid w:val="008E1DE7"/>
    <w:rsid w:val="008E707C"/>
    <w:rsid w:val="00900B08"/>
    <w:rsid w:val="00902155"/>
    <w:rsid w:val="00902FA3"/>
    <w:rsid w:val="00923564"/>
    <w:rsid w:val="0092392E"/>
    <w:rsid w:val="009315F9"/>
    <w:rsid w:val="00933499"/>
    <w:rsid w:val="00935C98"/>
    <w:rsid w:val="00946945"/>
    <w:rsid w:val="00951248"/>
    <w:rsid w:val="0095152F"/>
    <w:rsid w:val="00954C49"/>
    <w:rsid w:val="00955E37"/>
    <w:rsid w:val="0097099F"/>
    <w:rsid w:val="00971997"/>
    <w:rsid w:val="00971FFC"/>
    <w:rsid w:val="0098660A"/>
    <w:rsid w:val="009931C3"/>
    <w:rsid w:val="009B2C43"/>
    <w:rsid w:val="009B4EAE"/>
    <w:rsid w:val="009B7573"/>
    <w:rsid w:val="009C22F4"/>
    <w:rsid w:val="009C2A4B"/>
    <w:rsid w:val="009C2E98"/>
    <w:rsid w:val="009D3447"/>
    <w:rsid w:val="009D4711"/>
    <w:rsid w:val="009F1185"/>
    <w:rsid w:val="009F18CD"/>
    <w:rsid w:val="009F2A13"/>
    <w:rsid w:val="009F7527"/>
    <w:rsid w:val="00A04EB0"/>
    <w:rsid w:val="00A13CC1"/>
    <w:rsid w:val="00A16847"/>
    <w:rsid w:val="00A237D8"/>
    <w:rsid w:val="00A268C4"/>
    <w:rsid w:val="00A307CD"/>
    <w:rsid w:val="00A331C8"/>
    <w:rsid w:val="00A40A00"/>
    <w:rsid w:val="00A4142F"/>
    <w:rsid w:val="00A422EB"/>
    <w:rsid w:val="00A45BB7"/>
    <w:rsid w:val="00A56DF2"/>
    <w:rsid w:val="00A56E6E"/>
    <w:rsid w:val="00A67AB5"/>
    <w:rsid w:val="00A733B2"/>
    <w:rsid w:val="00A741C2"/>
    <w:rsid w:val="00A91760"/>
    <w:rsid w:val="00A93B00"/>
    <w:rsid w:val="00A93C21"/>
    <w:rsid w:val="00AB64C9"/>
    <w:rsid w:val="00AC3C6A"/>
    <w:rsid w:val="00AD5620"/>
    <w:rsid w:val="00AD656B"/>
    <w:rsid w:val="00AD7C1B"/>
    <w:rsid w:val="00AE16BA"/>
    <w:rsid w:val="00AE1EBE"/>
    <w:rsid w:val="00B03C9D"/>
    <w:rsid w:val="00B060AE"/>
    <w:rsid w:val="00B10517"/>
    <w:rsid w:val="00B14E76"/>
    <w:rsid w:val="00B161B8"/>
    <w:rsid w:val="00B2048C"/>
    <w:rsid w:val="00B310B9"/>
    <w:rsid w:val="00B35F3F"/>
    <w:rsid w:val="00B36CBB"/>
    <w:rsid w:val="00B425E0"/>
    <w:rsid w:val="00B440AA"/>
    <w:rsid w:val="00B44B70"/>
    <w:rsid w:val="00B53C56"/>
    <w:rsid w:val="00B57DAF"/>
    <w:rsid w:val="00B77EA6"/>
    <w:rsid w:val="00B81598"/>
    <w:rsid w:val="00B841F1"/>
    <w:rsid w:val="00B944D6"/>
    <w:rsid w:val="00BB4DF0"/>
    <w:rsid w:val="00BC289F"/>
    <w:rsid w:val="00BC2D50"/>
    <w:rsid w:val="00BC5361"/>
    <w:rsid w:val="00BC5460"/>
    <w:rsid w:val="00BC6B50"/>
    <w:rsid w:val="00BD0E25"/>
    <w:rsid w:val="00BF5BD6"/>
    <w:rsid w:val="00C03E31"/>
    <w:rsid w:val="00C33E72"/>
    <w:rsid w:val="00C354B2"/>
    <w:rsid w:val="00C35554"/>
    <w:rsid w:val="00C42709"/>
    <w:rsid w:val="00C533CC"/>
    <w:rsid w:val="00C5751C"/>
    <w:rsid w:val="00C61BFC"/>
    <w:rsid w:val="00C62B85"/>
    <w:rsid w:val="00C65438"/>
    <w:rsid w:val="00C87FD8"/>
    <w:rsid w:val="00C91381"/>
    <w:rsid w:val="00C91CBB"/>
    <w:rsid w:val="00CB4E70"/>
    <w:rsid w:val="00CC09B6"/>
    <w:rsid w:val="00CC666F"/>
    <w:rsid w:val="00CD1E3F"/>
    <w:rsid w:val="00CE44F6"/>
    <w:rsid w:val="00CE49DA"/>
    <w:rsid w:val="00CE7B61"/>
    <w:rsid w:val="00D00095"/>
    <w:rsid w:val="00D114F0"/>
    <w:rsid w:val="00D20620"/>
    <w:rsid w:val="00D254F7"/>
    <w:rsid w:val="00D26091"/>
    <w:rsid w:val="00D2685C"/>
    <w:rsid w:val="00D31E6F"/>
    <w:rsid w:val="00D34E7C"/>
    <w:rsid w:val="00D35489"/>
    <w:rsid w:val="00D36AFE"/>
    <w:rsid w:val="00D51276"/>
    <w:rsid w:val="00D7035F"/>
    <w:rsid w:val="00DA634F"/>
    <w:rsid w:val="00DA65AC"/>
    <w:rsid w:val="00DB1913"/>
    <w:rsid w:val="00DC410D"/>
    <w:rsid w:val="00DC5A81"/>
    <w:rsid w:val="00DC68CA"/>
    <w:rsid w:val="00DC7CBA"/>
    <w:rsid w:val="00DD73B7"/>
    <w:rsid w:val="00DF28BC"/>
    <w:rsid w:val="00DF34B9"/>
    <w:rsid w:val="00E01053"/>
    <w:rsid w:val="00E07ACF"/>
    <w:rsid w:val="00E331A1"/>
    <w:rsid w:val="00E33202"/>
    <w:rsid w:val="00E336A9"/>
    <w:rsid w:val="00E472B1"/>
    <w:rsid w:val="00E50624"/>
    <w:rsid w:val="00E568DF"/>
    <w:rsid w:val="00E64269"/>
    <w:rsid w:val="00E82267"/>
    <w:rsid w:val="00E853CE"/>
    <w:rsid w:val="00E867B6"/>
    <w:rsid w:val="00EA010F"/>
    <w:rsid w:val="00ED1B63"/>
    <w:rsid w:val="00ED3C1F"/>
    <w:rsid w:val="00ED4085"/>
    <w:rsid w:val="00ED420E"/>
    <w:rsid w:val="00ED6FBE"/>
    <w:rsid w:val="00EE2F57"/>
    <w:rsid w:val="00EF4C34"/>
    <w:rsid w:val="00EF77C6"/>
    <w:rsid w:val="00F05438"/>
    <w:rsid w:val="00F1361C"/>
    <w:rsid w:val="00F156F0"/>
    <w:rsid w:val="00F160C7"/>
    <w:rsid w:val="00F2408F"/>
    <w:rsid w:val="00F240E9"/>
    <w:rsid w:val="00F36D8F"/>
    <w:rsid w:val="00F417B1"/>
    <w:rsid w:val="00F45853"/>
    <w:rsid w:val="00F602DF"/>
    <w:rsid w:val="00F754A1"/>
    <w:rsid w:val="00F81FD9"/>
    <w:rsid w:val="00F841AA"/>
    <w:rsid w:val="00F84A94"/>
    <w:rsid w:val="00F87E96"/>
    <w:rsid w:val="00FA23E8"/>
    <w:rsid w:val="00FD3CC1"/>
    <w:rsid w:val="00FF1E02"/>
    <w:rsid w:val="00FF30B4"/>
    <w:rsid w:val="03DC2831"/>
    <w:rsid w:val="081B5E94"/>
    <w:rsid w:val="0A2032A3"/>
    <w:rsid w:val="0B8A37D8"/>
    <w:rsid w:val="0F5FFB2F"/>
    <w:rsid w:val="0FFFCF60"/>
    <w:rsid w:val="10C055FF"/>
    <w:rsid w:val="118107EC"/>
    <w:rsid w:val="11DD6519"/>
    <w:rsid w:val="14185F29"/>
    <w:rsid w:val="16BB723D"/>
    <w:rsid w:val="18015F3F"/>
    <w:rsid w:val="1BE8440E"/>
    <w:rsid w:val="1CFF2845"/>
    <w:rsid w:val="1D155CEE"/>
    <w:rsid w:val="1FDBBF84"/>
    <w:rsid w:val="20F57F95"/>
    <w:rsid w:val="240371BF"/>
    <w:rsid w:val="24DE77D1"/>
    <w:rsid w:val="25711CC6"/>
    <w:rsid w:val="25C741E6"/>
    <w:rsid w:val="276F80C0"/>
    <w:rsid w:val="27842671"/>
    <w:rsid w:val="29FD04D3"/>
    <w:rsid w:val="2ABE7A3E"/>
    <w:rsid w:val="2AFF09B6"/>
    <w:rsid w:val="2CA234A8"/>
    <w:rsid w:val="2EFA178C"/>
    <w:rsid w:val="2EFDF86C"/>
    <w:rsid w:val="2F9D17E1"/>
    <w:rsid w:val="30B46D73"/>
    <w:rsid w:val="319F7F4E"/>
    <w:rsid w:val="320A7EA7"/>
    <w:rsid w:val="356A28F1"/>
    <w:rsid w:val="357C035A"/>
    <w:rsid w:val="368E000D"/>
    <w:rsid w:val="383D272C"/>
    <w:rsid w:val="39AE70AB"/>
    <w:rsid w:val="3A4DCE41"/>
    <w:rsid w:val="3BCB56FA"/>
    <w:rsid w:val="3C0C0783"/>
    <w:rsid w:val="3EE7C2F4"/>
    <w:rsid w:val="3F371B56"/>
    <w:rsid w:val="3F792ED8"/>
    <w:rsid w:val="3F9F3A96"/>
    <w:rsid w:val="3FECA4B2"/>
    <w:rsid w:val="3FF58C48"/>
    <w:rsid w:val="42FF6694"/>
    <w:rsid w:val="48BF60AB"/>
    <w:rsid w:val="493C27E9"/>
    <w:rsid w:val="496F39ED"/>
    <w:rsid w:val="49FF41D3"/>
    <w:rsid w:val="4BE068DB"/>
    <w:rsid w:val="4BF6002B"/>
    <w:rsid w:val="4BFFC6BE"/>
    <w:rsid w:val="4ECE2238"/>
    <w:rsid w:val="51DB4B86"/>
    <w:rsid w:val="51F64DB0"/>
    <w:rsid w:val="55333C3E"/>
    <w:rsid w:val="5F67802D"/>
    <w:rsid w:val="5F7DC4F2"/>
    <w:rsid w:val="5FB36814"/>
    <w:rsid w:val="5FBB8E56"/>
    <w:rsid w:val="5FFB5535"/>
    <w:rsid w:val="64CA39A1"/>
    <w:rsid w:val="69630ADE"/>
    <w:rsid w:val="69BD5F13"/>
    <w:rsid w:val="69FB0B4B"/>
    <w:rsid w:val="6BFFE1FB"/>
    <w:rsid w:val="6C4A05C8"/>
    <w:rsid w:val="6D3B1A89"/>
    <w:rsid w:val="6DB7D8A3"/>
    <w:rsid w:val="6EC78701"/>
    <w:rsid w:val="6F7A5481"/>
    <w:rsid w:val="6FFE07A9"/>
    <w:rsid w:val="71BF4EC2"/>
    <w:rsid w:val="72734D90"/>
    <w:rsid w:val="73E75B71"/>
    <w:rsid w:val="7412278C"/>
    <w:rsid w:val="75DDCDA9"/>
    <w:rsid w:val="75FF44B1"/>
    <w:rsid w:val="77670518"/>
    <w:rsid w:val="777FA627"/>
    <w:rsid w:val="77DF1B5F"/>
    <w:rsid w:val="77EF2D9D"/>
    <w:rsid w:val="79E7B28D"/>
    <w:rsid w:val="7ACFF0C2"/>
    <w:rsid w:val="7AFB9108"/>
    <w:rsid w:val="7B26064D"/>
    <w:rsid w:val="7BD5340C"/>
    <w:rsid w:val="7BFB19D2"/>
    <w:rsid w:val="7BFD1750"/>
    <w:rsid w:val="7BFDAA1B"/>
    <w:rsid w:val="7CDF9A82"/>
    <w:rsid w:val="7CFFA1BD"/>
    <w:rsid w:val="7D2E3F7A"/>
    <w:rsid w:val="7DED9490"/>
    <w:rsid w:val="7DFF4872"/>
    <w:rsid w:val="7E7487E6"/>
    <w:rsid w:val="7E7C2A54"/>
    <w:rsid w:val="7EEEFD72"/>
    <w:rsid w:val="7F1D517C"/>
    <w:rsid w:val="7F5DA057"/>
    <w:rsid w:val="7F6C2237"/>
    <w:rsid w:val="7F7F319B"/>
    <w:rsid w:val="7F9F20EE"/>
    <w:rsid w:val="7FA66754"/>
    <w:rsid w:val="7FBBE890"/>
    <w:rsid w:val="7FBC2ABD"/>
    <w:rsid w:val="7FBF5D48"/>
    <w:rsid w:val="7FCCFC01"/>
    <w:rsid w:val="7FDD1748"/>
    <w:rsid w:val="7FE769C6"/>
    <w:rsid w:val="7FFD083E"/>
    <w:rsid w:val="7FFF9372"/>
    <w:rsid w:val="84BF1F3B"/>
    <w:rsid w:val="8F55B106"/>
    <w:rsid w:val="95DF317D"/>
    <w:rsid w:val="97E77C70"/>
    <w:rsid w:val="9E3A10E2"/>
    <w:rsid w:val="9FB91FBD"/>
    <w:rsid w:val="9FD54998"/>
    <w:rsid w:val="A671883B"/>
    <w:rsid w:val="A7EFD17F"/>
    <w:rsid w:val="A7FFE43F"/>
    <w:rsid w:val="BDFEA317"/>
    <w:rsid w:val="CD9BBABB"/>
    <w:rsid w:val="CF99F292"/>
    <w:rsid w:val="D5DA60B3"/>
    <w:rsid w:val="D7C6F579"/>
    <w:rsid w:val="D8FECA92"/>
    <w:rsid w:val="DAFFBE66"/>
    <w:rsid w:val="DD2C0BFE"/>
    <w:rsid w:val="DE3F332B"/>
    <w:rsid w:val="DE6F4A3D"/>
    <w:rsid w:val="DF69F8B0"/>
    <w:rsid w:val="DFC71555"/>
    <w:rsid w:val="DFFC559C"/>
    <w:rsid w:val="DFFEDFAE"/>
    <w:rsid w:val="DFFFB5EB"/>
    <w:rsid w:val="E4B33E57"/>
    <w:rsid w:val="E5BF946A"/>
    <w:rsid w:val="EB39BD45"/>
    <w:rsid w:val="EBCF1FC2"/>
    <w:rsid w:val="EBD18F66"/>
    <w:rsid w:val="ED17392C"/>
    <w:rsid w:val="ED9FFD9A"/>
    <w:rsid w:val="EDB7968B"/>
    <w:rsid w:val="EEF73F60"/>
    <w:rsid w:val="EFED9E42"/>
    <w:rsid w:val="EFFFB194"/>
    <w:rsid w:val="F2E1F9D4"/>
    <w:rsid w:val="F5FF7449"/>
    <w:rsid w:val="F7880819"/>
    <w:rsid w:val="F7AF180D"/>
    <w:rsid w:val="F7BDBFA7"/>
    <w:rsid w:val="F7FAD68F"/>
    <w:rsid w:val="F7FB14CF"/>
    <w:rsid w:val="FB3FC69C"/>
    <w:rsid w:val="FBDFF225"/>
    <w:rsid w:val="FBF7AB63"/>
    <w:rsid w:val="FC2F3373"/>
    <w:rsid w:val="FCF51535"/>
    <w:rsid w:val="FD77F6B8"/>
    <w:rsid w:val="FDD69328"/>
    <w:rsid w:val="FDDFEC0E"/>
    <w:rsid w:val="FDE58BDD"/>
    <w:rsid w:val="FDEC7001"/>
    <w:rsid w:val="FEDFE87F"/>
    <w:rsid w:val="FEF1D25B"/>
    <w:rsid w:val="FF3EF90F"/>
    <w:rsid w:val="FFAF6081"/>
    <w:rsid w:val="FFECCD8C"/>
    <w:rsid w:val="FFED60BD"/>
    <w:rsid w:val="FFEE08F0"/>
    <w:rsid w:val="FFEE7F9F"/>
    <w:rsid w:val="FFFF3197"/>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9"/>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30"/>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33"/>
    <w:unhideWhenUsed/>
    <w:qFormat/>
    <w:uiPriority w:val="9"/>
    <w:pPr>
      <w:keepNext/>
      <w:keepLines/>
      <w:spacing w:before="260" w:after="260" w:line="416" w:lineRule="auto"/>
      <w:outlineLvl w:val="2"/>
    </w:pPr>
    <w:rPr>
      <w:b/>
      <w:bCs/>
      <w:sz w:val="32"/>
      <w:szCs w:val="3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5">
    <w:name w:val="Body Text"/>
    <w:basedOn w:val="1"/>
    <w:link w:val="26"/>
    <w:qFormat/>
    <w:uiPriority w:val="99"/>
    <w:pPr>
      <w:spacing w:beforeLines="30"/>
    </w:pPr>
    <w:rPr>
      <w:rFonts w:ascii="仿宋_GB2312" w:eastAsia="仿宋_GB2312"/>
      <w:kern w:val="0"/>
      <w:sz w:val="30"/>
    </w:rPr>
  </w:style>
  <w:style w:type="paragraph" w:styleId="6">
    <w:name w:val="Body Text Indent"/>
    <w:basedOn w:val="1"/>
    <w:qFormat/>
    <w:uiPriority w:val="0"/>
    <w:pPr>
      <w:spacing w:after="120"/>
      <w:ind w:left="200" w:leftChars="200"/>
    </w:pPr>
    <w:rPr>
      <w:rFonts w:ascii="仿宋_GB2312"/>
      <w:szCs w:val="32"/>
    </w:rPr>
  </w:style>
  <w:style w:type="paragraph" w:styleId="7">
    <w:name w:val="toc 3"/>
    <w:basedOn w:val="1"/>
    <w:next w:val="1"/>
    <w:unhideWhenUsed/>
    <w:qFormat/>
    <w:uiPriority w:val="39"/>
    <w:pPr>
      <w:tabs>
        <w:tab w:val="right" w:leader="dot" w:pos="8296"/>
      </w:tabs>
      <w:ind w:left="840" w:leftChars="400"/>
    </w:pPr>
  </w:style>
  <w:style w:type="paragraph" w:styleId="8">
    <w:name w:val="Balloon Text"/>
    <w:basedOn w:val="1"/>
    <w:link w:val="32"/>
    <w:semiHidden/>
    <w:unhideWhenUsed/>
    <w:qFormat/>
    <w:uiPriority w:val="99"/>
    <w:rPr>
      <w:sz w:val="18"/>
      <w:szCs w:val="18"/>
    </w:rPr>
  </w:style>
  <w:style w:type="paragraph" w:styleId="9">
    <w:name w:val="footer"/>
    <w:basedOn w:val="1"/>
    <w:link w:val="24"/>
    <w:qFormat/>
    <w:uiPriority w:val="99"/>
    <w:pPr>
      <w:tabs>
        <w:tab w:val="center" w:pos="4153"/>
        <w:tab w:val="right" w:pos="8306"/>
      </w:tabs>
      <w:snapToGrid w:val="0"/>
      <w:jc w:val="left"/>
    </w:pPr>
    <w:rPr>
      <w:rFonts w:ascii="Calibri" w:hAnsi="Calibri"/>
      <w:kern w:val="0"/>
      <w:sz w:val="18"/>
      <w:szCs w:val="18"/>
    </w:rPr>
  </w:style>
  <w:style w:type="paragraph" w:styleId="10">
    <w:name w:val="header"/>
    <w:basedOn w:val="1"/>
    <w:link w:val="22"/>
    <w:semiHidden/>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11">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paragraph" w:styleId="12">
    <w:name w:val="toc 2"/>
    <w:basedOn w:val="1"/>
    <w:next w:val="1"/>
    <w:unhideWhenUsed/>
    <w:qFormat/>
    <w:uiPriority w:val="39"/>
    <w:pPr>
      <w:tabs>
        <w:tab w:val="right" w:leader="dot" w:pos="8296"/>
      </w:tabs>
      <w:ind w:left="420" w:leftChars="200"/>
    </w:pPr>
  </w:style>
  <w:style w:type="paragraph" w:styleId="13">
    <w:name w:val="HTML Preformatted"/>
    <w:basedOn w:val="1"/>
    <w:qFormat/>
    <w:uiPriority w:val="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hint="eastAsia" w:cs="Times New Roman"/>
    </w:rPr>
  </w:style>
  <w:style w:type="paragraph" w:styleId="14">
    <w:name w:val="Normal (Web)"/>
    <w:basedOn w:val="1"/>
    <w:unhideWhenUsed/>
    <w:qFormat/>
    <w:uiPriority w:val="99"/>
  </w:style>
  <w:style w:type="paragraph" w:styleId="15">
    <w:name w:val="Body Text First Indent 2"/>
    <w:basedOn w:val="6"/>
    <w:unhideWhenUsed/>
    <w:qFormat/>
    <w:uiPriority w:val="99"/>
    <w:pPr>
      <w:ind w:firstLine="420" w:firstLineChars="200"/>
    </w:pPr>
  </w:style>
  <w:style w:type="character" w:styleId="18">
    <w:name w:val="Strong"/>
    <w:basedOn w:val="17"/>
    <w:qFormat/>
    <w:uiPriority w:val="99"/>
    <w:rPr>
      <w:b/>
    </w:rPr>
  </w:style>
  <w:style w:type="character" w:styleId="19">
    <w:name w:val="Hyperlink"/>
    <w:basedOn w:val="17"/>
    <w:unhideWhenUsed/>
    <w:qFormat/>
    <w:uiPriority w:val="99"/>
    <w:rPr>
      <w:color w:val="0000FF" w:themeColor="hyperlink"/>
      <w:u w:val="single"/>
      <w14:textFill>
        <w14:solidFill>
          <w14:schemeClr w14:val="hlink"/>
        </w14:solidFill>
      </w14:textFill>
    </w:rPr>
  </w:style>
  <w:style w:type="paragraph" w:customStyle="1" w:styleId="20">
    <w:name w:val="标题 5（有编号）（绿盟科技）"/>
    <w:next w:val="1"/>
    <w:qFormat/>
    <w:uiPriority w:val="99"/>
    <w:pPr>
      <w:keepNext/>
      <w:keepLines/>
      <w:widowControl w:val="0"/>
      <w:spacing w:before="280" w:after="156" w:line="377" w:lineRule="auto"/>
      <w:outlineLvl w:val="4"/>
    </w:pPr>
    <w:rPr>
      <w:rFonts w:ascii="Arial" w:hAnsi="Arial" w:eastAsia="黑体" w:cs="Times New Roman"/>
      <w:b/>
      <w:kern w:val="2"/>
      <w:sz w:val="24"/>
      <w:szCs w:val="28"/>
      <w:lang w:val="en-US" w:eastAsia="zh-CN" w:bidi="ar-SA"/>
    </w:rPr>
  </w:style>
  <w:style w:type="character" w:customStyle="1" w:styleId="21">
    <w:name w:val="Header Char"/>
    <w:basedOn w:val="17"/>
    <w:semiHidden/>
    <w:qFormat/>
    <w:uiPriority w:val="99"/>
    <w:rPr>
      <w:rFonts w:ascii="Times New Roman" w:hAnsi="Times New Roman"/>
      <w:sz w:val="18"/>
      <w:szCs w:val="18"/>
    </w:rPr>
  </w:style>
  <w:style w:type="character" w:customStyle="1" w:styleId="22">
    <w:name w:val="页眉 字符"/>
    <w:link w:val="10"/>
    <w:semiHidden/>
    <w:qFormat/>
    <w:locked/>
    <w:uiPriority w:val="99"/>
    <w:rPr>
      <w:sz w:val="18"/>
    </w:rPr>
  </w:style>
  <w:style w:type="character" w:customStyle="1" w:styleId="23">
    <w:name w:val="Footer Char"/>
    <w:basedOn w:val="17"/>
    <w:semiHidden/>
    <w:qFormat/>
    <w:uiPriority w:val="99"/>
    <w:rPr>
      <w:rFonts w:ascii="Times New Roman" w:hAnsi="Times New Roman"/>
      <w:sz w:val="18"/>
      <w:szCs w:val="18"/>
    </w:rPr>
  </w:style>
  <w:style w:type="character" w:customStyle="1" w:styleId="24">
    <w:name w:val="页脚 字符"/>
    <w:link w:val="9"/>
    <w:qFormat/>
    <w:locked/>
    <w:uiPriority w:val="99"/>
    <w:rPr>
      <w:sz w:val="18"/>
    </w:rPr>
  </w:style>
  <w:style w:type="character" w:customStyle="1" w:styleId="25">
    <w:name w:val="Body Text Char"/>
    <w:basedOn w:val="17"/>
    <w:semiHidden/>
    <w:qFormat/>
    <w:uiPriority w:val="99"/>
    <w:rPr>
      <w:rFonts w:ascii="Times New Roman" w:hAnsi="Times New Roman"/>
      <w:szCs w:val="24"/>
    </w:rPr>
  </w:style>
  <w:style w:type="character" w:customStyle="1" w:styleId="26">
    <w:name w:val="正文文本 字符"/>
    <w:link w:val="5"/>
    <w:qFormat/>
    <w:locked/>
    <w:uiPriority w:val="99"/>
    <w:rPr>
      <w:rFonts w:ascii="仿宋_GB2312" w:hAnsi="Times New Roman" w:eastAsia="仿宋_GB2312"/>
      <w:sz w:val="24"/>
    </w:rPr>
  </w:style>
  <w:style w:type="paragraph" w:customStyle="1" w:styleId="27">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paragraph" w:styleId="28">
    <w:name w:val="List Paragraph"/>
    <w:basedOn w:val="1"/>
    <w:qFormat/>
    <w:uiPriority w:val="34"/>
    <w:pPr>
      <w:ind w:firstLine="420" w:firstLineChars="200"/>
    </w:pPr>
  </w:style>
  <w:style w:type="character" w:customStyle="1" w:styleId="29">
    <w:name w:val="标题 1 字符"/>
    <w:basedOn w:val="17"/>
    <w:link w:val="2"/>
    <w:qFormat/>
    <w:uiPriority w:val="9"/>
    <w:rPr>
      <w:rFonts w:ascii="Times New Roman" w:hAnsi="Times New Roman"/>
      <w:b/>
      <w:bCs/>
      <w:kern w:val="44"/>
      <w:sz w:val="44"/>
      <w:szCs w:val="44"/>
    </w:rPr>
  </w:style>
  <w:style w:type="character" w:customStyle="1" w:styleId="30">
    <w:name w:val="标题 2 字符"/>
    <w:basedOn w:val="17"/>
    <w:link w:val="3"/>
    <w:qFormat/>
    <w:uiPriority w:val="9"/>
    <w:rPr>
      <w:rFonts w:asciiTheme="majorHAnsi" w:hAnsiTheme="majorHAnsi" w:eastAsiaTheme="majorEastAsia" w:cstheme="majorBidi"/>
      <w:b/>
      <w:bCs/>
      <w:kern w:val="2"/>
      <w:sz w:val="32"/>
      <w:szCs w:val="32"/>
    </w:rPr>
  </w:style>
  <w:style w:type="paragraph" w:customStyle="1" w:styleId="31">
    <w:name w:val="TOC 标题1"/>
    <w:basedOn w:val="2"/>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32">
    <w:name w:val="批注框文本 字符"/>
    <w:basedOn w:val="17"/>
    <w:link w:val="8"/>
    <w:semiHidden/>
    <w:qFormat/>
    <w:uiPriority w:val="99"/>
    <w:rPr>
      <w:rFonts w:ascii="Times New Roman" w:hAnsi="Times New Roman"/>
      <w:kern w:val="2"/>
      <w:sz w:val="18"/>
      <w:szCs w:val="18"/>
    </w:rPr>
  </w:style>
  <w:style w:type="character" w:customStyle="1" w:styleId="33">
    <w:name w:val="标题 3 字符"/>
    <w:basedOn w:val="17"/>
    <w:link w:val="4"/>
    <w:qFormat/>
    <w:uiPriority w:val="9"/>
    <w:rPr>
      <w:rFonts w:ascii="Times New Roman" w:hAnsi="Times New Roman"/>
      <w:b/>
      <w:bCs/>
      <w:kern w:val="2"/>
      <w:sz w:val="32"/>
      <w:szCs w:val="32"/>
    </w:rPr>
  </w:style>
  <w:style w:type="paragraph" w:customStyle="1" w:styleId="34">
    <w:name w:val="TOC 标题2"/>
    <w:basedOn w:val="2"/>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s>
</file>

<file path=word/_rels/document.xml.rels><?xml version="1.0" encoding="UTF-8" standalone="yes"?>
<Relationships xmlns="http://schemas.openxmlformats.org/package/2006/relationships"><Relationship Id="rId9" Type="http://schemas.openxmlformats.org/officeDocument/2006/relationships/chart" Target="charts/chart4.xml"/><Relationship Id="rId8" Type="http://schemas.openxmlformats.org/officeDocument/2006/relationships/chart" Target="charts/chart3.xml"/><Relationship Id="rId7" Type="http://schemas.openxmlformats.org/officeDocument/2006/relationships/chart" Target="charts/chart2.xml"/><Relationship Id="rId6" Type="http://schemas.openxmlformats.org/officeDocument/2006/relationships/chart" Target="charts/chart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hart" Target="charts/chart7.xml"/><Relationship Id="rId11" Type="http://schemas.openxmlformats.org/officeDocument/2006/relationships/chart" Target="charts/chart6.xml"/><Relationship Id="rId10" Type="http://schemas.openxmlformats.org/officeDocument/2006/relationships/chart" Target="charts/chart5.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6.xml"/><Relationship Id="rId2" Type="http://schemas.microsoft.com/office/2011/relationships/chartStyle" Target="style6.xml"/><Relationship Id="rId1" Type="http://schemas.openxmlformats.org/officeDocument/2006/relationships/package" Target="../embeddings/Workbook6.xlsx"/></Relationships>
</file>

<file path=word/charts/_rels/chart2.xml.rels><?xml version="1.0" encoding="UTF-8" standalone="yes"?>
<Relationships xmlns="http://schemas.openxmlformats.org/package/2006/relationships"><Relationship Id="rId3" Type="http://schemas.microsoft.com/office/2011/relationships/chartColorStyle" Target="colors7.xml"/><Relationship Id="rId2" Type="http://schemas.microsoft.com/office/2011/relationships/chartStyle" Target="style7.xml"/><Relationship Id="rId1" Type="http://schemas.openxmlformats.org/officeDocument/2006/relationships/package" Target="../embeddings/Workbook7.xlsx"/></Relationships>
</file>

<file path=word/charts/_rels/chart3.xml.rels><?xml version="1.0" encoding="UTF-8" standalone="yes"?>
<Relationships xmlns="http://schemas.openxmlformats.org/package/2006/relationships"><Relationship Id="rId3" Type="http://schemas.microsoft.com/office/2011/relationships/chartColorStyle" Target="colors5.xml"/><Relationship Id="rId2" Type="http://schemas.microsoft.com/office/2011/relationships/chartStyle" Target="style5.xml"/><Relationship Id="rId1" Type="http://schemas.openxmlformats.org/officeDocument/2006/relationships/package" Target="../embeddings/Workbook5.xlsx"/></Relationships>
</file>

<file path=word/charts/_rels/chart4.xml.rels><?xml version="1.0" encoding="UTF-8" standalone="yes"?>
<Relationships xmlns="http://schemas.openxmlformats.org/package/2006/relationships"><Relationship Id="rId3" Type="http://schemas.microsoft.com/office/2011/relationships/chartColorStyle" Target="colors4.xml"/><Relationship Id="rId2" Type="http://schemas.microsoft.com/office/2011/relationships/chartStyle" Target="style4.xml"/><Relationship Id="rId1" Type="http://schemas.openxmlformats.org/officeDocument/2006/relationships/package" Target="../embeddings/Workbook4.xlsx"/></Relationships>
</file>

<file path=word/charts/_rels/chart5.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package" Target="../embeddings/Workbook2.xlsx"/></Relationships>
</file>

<file path=word/charts/_rels/chart6.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package" Target="../embeddings/Workbook1.xlsx"/></Relationships>
</file>

<file path=word/charts/_rels/chart7.xml.rels><?xml version="1.0" encoding="UTF-8" standalone="yes"?>
<Relationships xmlns="http://schemas.openxmlformats.org/package/2006/relationships"><Relationship Id="rId3" Type="http://schemas.microsoft.com/office/2011/relationships/chartColorStyle" Target="colors3.xml"/><Relationship Id="rId2" Type="http://schemas.microsoft.com/office/2011/relationships/chartStyle" Target="style3.xml"/><Relationship Id="rId1" Type="http://schemas.openxmlformats.org/officeDocument/2006/relationships/package" Target="../embeddings/Workbook3.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spPr>
        <a:noFill/>
        <a:ln>
          <a:noFill/>
        </a:ln>
        <a:effectLst/>
      </c:spPr>
      <c:txPr>
        <a:bodyPr rot="0" spcFirstLastPara="0" vertOverflow="ellipsis" vert="horz" wrap="square" anchor="ctr" anchorCtr="1"/>
        <a:lstStyle/>
        <a:p>
          <a:pPr>
            <a:defRPr lang="zh-CN" sz="1400" b="1" i="0" u="none" strike="noStrike" kern="1200" baseline="0">
              <a:solidFill>
                <a:schemeClr val="tx1">
                  <a:lumMod val="75000"/>
                  <a:lumOff val="25000"/>
                </a:schemeClr>
              </a:solidFill>
              <a:latin typeface="+mn-lt"/>
              <a:ea typeface="+mn-ea"/>
              <a:cs typeface="+mn-cs"/>
            </a:defRPr>
          </a:pPr>
        </a:p>
      </c:txPr>
    </c:title>
    <c:autoTitleDeleted val="0"/>
    <c:plotArea>
      <c:layout>
        <c:manualLayout>
          <c:layoutTarget val="inner"/>
          <c:xMode val="edge"/>
          <c:yMode val="edge"/>
          <c:x val="0.0479101232181686"/>
          <c:y val="0.148746281342966"/>
          <c:w val="0.930345494080696"/>
          <c:h val="0.638631534211645"/>
        </c:manualLayout>
      </c:layout>
      <c:barChart>
        <c:barDir val="col"/>
        <c:grouping val="clustered"/>
        <c:varyColors val="0"/>
        <c:ser>
          <c:idx val="0"/>
          <c:order val="0"/>
          <c:tx>
            <c:strRef>
              <c:f>Sheet1!$B$1</c:f>
              <c:strCache>
                <c:ptCount val="1"/>
                <c:pt idx="0">
                  <c:v>收支决算变动</c:v>
                </c:pt>
              </c:strCache>
            </c:strRef>
          </c:tx>
          <c:spPr>
            <a:solidFill>
              <a:schemeClr val="accent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2022年</c:v>
                </c:pt>
                <c:pt idx="1">
                  <c:v>2023年</c:v>
                </c:pt>
              </c:strCache>
            </c:strRef>
          </c:cat>
          <c:val>
            <c:numRef>
              <c:f>Sheet1!$B$2:$B$3</c:f>
              <c:numCache>
                <c:formatCode>General</c:formatCode>
                <c:ptCount val="2"/>
                <c:pt idx="0">
                  <c:v>1308.45</c:v>
                </c:pt>
                <c:pt idx="1">
                  <c:v>1299.56</c:v>
                </c:pt>
              </c:numCache>
            </c:numRef>
          </c:val>
        </c:ser>
        <c:dLbls>
          <c:showLegendKey val="0"/>
          <c:showVal val="1"/>
          <c:showCatName val="0"/>
          <c:showSerName val="0"/>
          <c:showPercent val="0"/>
          <c:showBubbleSize val="0"/>
        </c:dLbls>
        <c:gapWidth val="246"/>
        <c:overlap val="-28"/>
        <c:axId val="471891022"/>
        <c:axId val="451076873"/>
      </c:barChart>
      <c:catAx>
        <c:axId val="471891022"/>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451076873"/>
        <c:crosses val="autoZero"/>
        <c:auto val="1"/>
        <c:lblAlgn val="ctr"/>
        <c:lblOffset val="100"/>
        <c:noMultiLvlLbl val="0"/>
      </c:catAx>
      <c:valAx>
        <c:axId val="451076873"/>
        <c:scaling>
          <c:orientation val="minMax"/>
        </c:scaling>
        <c:delete val="0"/>
        <c:axPos val="l"/>
        <c:majorGridlines>
          <c:spPr>
            <a:ln w="9525" cap="flat" cmpd="sng" algn="ctr">
              <a:solidFill>
                <a:schemeClr val="lt1">
                  <a:lumMod val="902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471891022"/>
        <c:crosses val="autoZero"/>
        <c:crossBetween val="between"/>
      </c:valAx>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extLst>
      <c:ext uri="{0b15fc19-7d7d-44ad-8c2d-2c3a37ce22c3}">
        <chartProps xmlns="https://web.wps.cn/et/2018/main" chartId="{5b266bb5-38ed-496f-be0c-cdcf0a6c4920}"/>
      </c:ext>
    </c:extLst>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spPr>
        <a:noFill/>
        <a:ln>
          <a:noFill/>
        </a:ln>
        <a:effectLst/>
      </c:spPr>
      <c:txPr>
        <a:bodyPr rot="0" spcFirstLastPara="0" vertOverflow="ellipsis" vert="horz" wrap="square" anchor="ctr" anchorCtr="1"/>
        <a:lstStyle/>
        <a:p>
          <a:pPr>
            <a:defRPr lang="zh-CN" sz="1400" b="1" i="0" u="none" strike="noStrike" kern="1200" baseline="0">
              <a:solidFill>
                <a:schemeClr val="tx1">
                  <a:lumMod val="75000"/>
                  <a:lumOff val="25000"/>
                </a:schemeClr>
              </a:solidFill>
              <a:latin typeface="+mn-lt"/>
              <a:ea typeface="+mn-ea"/>
              <a:cs typeface="+mn-cs"/>
            </a:defRPr>
          </a:pPr>
        </a:p>
      </c:txPr>
    </c:title>
    <c:autoTitleDeleted val="0"/>
    <c:plotArea>
      <c:layout/>
      <c:pieChart>
        <c:varyColors val="1"/>
        <c:ser>
          <c:idx val="0"/>
          <c:order val="0"/>
          <c:tx>
            <c:strRef>
              <c:f>Sheet1!$B$1</c:f>
              <c:strCache>
                <c:ptCount val="1"/>
                <c:pt idx="0">
                  <c:v>收入决算情况表</c:v>
                </c:pt>
              </c:strCache>
            </c:strRef>
          </c:tx>
          <c:spPr/>
          <c:explosion val="0"/>
          <c:dPt>
            <c:idx val="0"/>
            <c:bubble3D val="0"/>
            <c:spPr>
              <a:solidFill>
                <a:schemeClr val="accent1"/>
              </a:solidFill>
              <a:ln>
                <a:solidFill>
                  <a:schemeClr val="bg1"/>
                </a:solidFill>
              </a:ln>
              <a:effectLst/>
            </c:spPr>
          </c:dPt>
          <c:dLbls>
            <c:delete val="1"/>
          </c:dLbls>
          <c:cat>
            <c:strRef>
              <c:f>Sheet1!$A$2</c:f>
              <c:strCache>
                <c:ptCount val="1"/>
                <c:pt idx="0">
                  <c:v>一般公共预算财政拨款收入</c:v>
                </c:pt>
              </c:strCache>
            </c:strRef>
          </c:cat>
          <c:val>
            <c:numRef>
              <c:f>Sheet1!$B$2</c:f>
              <c:numCache>
                <c:formatCode>General</c:formatCode>
                <c:ptCount val="1"/>
                <c:pt idx="0">
                  <c:v>1299.56</c:v>
                </c:pt>
              </c:numCache>
            </c:numRef>
          </c:val>
        </c:ser>
        <c:dLbls>
          <c:showLegendKey val="0"/>
          <c:showVal val="0"/>
          <c:showCatName val="0"/>
          <c:showSerName val="0"/>
          <c:showPercent val="0"/>
          <c:showBubbleSize val="0"/>
          <c:showLeaderLines val="1"/>
        </c:dLbls>
        <c:firstSliceAng val="0"/>
      </c:pieChart>
      <c:spPr>
        <a:noFill/>
        <a:ln>
          <a:noFill/>
        </a:ln>
        <a:effectLst/>
      </c:spPr>
    </c:plotArea>
    <c:legend>
      <c:legendPos val="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extLst>
      <c:ext uri="{0b15fc19-7d7d-44ad-8c2d-2c3a37ce22c3}">
        <chartProps xmlns="https://web.wps.cn/et/2018/main" chartId="{9d39793a-f143-42a0-88ea-d750aba82d68}"/>
      </c:ext>
    </c:extLst>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spPr>
        <a:noFill/>
        <a:ln>
          <a:noFill/>
        </a:ln>
        <a:effectLst/>
      </c:spPr>
      <c:txPr>
        <a:bodyPr rot="0" spcFirstLastPara="0" vertOverflow="ellipsis" vert="horz" wrap="square" anchor="ctr" anchorCtr="1"/>
        <a:lstStyle/>
        <a:p>
          <a:pPr>
            <a:defRPr lang="zh-CN" sz="1400" b="1" i="0" u="none" strike="noStrike" kern="1200" baseline="0">
              <a:solidFill>
                <a:schemeClr val="tx1">
                  <a:lumMod val="75000"/>
                  <a:lumOff val="25000"/>
                </a:schemeClr>
              </a:solidFill>
              <a:latin typeface="+mn-lt"/>
              <a:ea typeface="+mn-ea"/>
              <a:cs typeface="+mn-cs"/>
            </a:defRPr>
          </a:pPr>
        </a:p>
      </c:txPr>
    </c:title>
    <c:autoTitleDeleted val="0"/>
    <c:plotArea>
      <c:layout>
        <c:manualLayout>
          <c:layoutTarget val="inner"/>
          <c:xMode val="edge"/>
          <c:yMode val="edge"/>
          <c:x val="0.27947571877265"/>
          <c:y val="0.298555036124097"/>
          <c:w val="0.39514375453008"/>
          <c:h val="0.695070123246919"/>
        </c:manualLayout>
      </c:layout>
      <c:pieChart>
        <c:varyColors val="1"/>
        <c:ser>
          <c:idx val="0"/>
          <c:order val="0"/>
          <c:tx>
            <c:strRef>
              <c:f>Sheet1!$B$1</c:f>
              <c:strCache>
                <c:ptCount val="1"/>
                <c:pt idx="0">
                  <c:v>支出决算情况表</c:v>
                </c:pt>
              </c:strCache>
            </c:strRef>
          </c:tx>
          <c:spPr/>
          <c:explosion val="0"/>
          <c:dPt>
            <c:idx val="0"/>
            <c:bubble3D val="0"/>
            <c:spPr>
              <a:solidFill>
                <a:schemeClr val="accent1"/>
              </a:solidFill>
              <a:ln>
                <a:solidFill>
                  <a:schemeClr val="bg1"/>
                </a:solidFill>
              </a:ln>
              <a:effectLst/>
            </c:spPr>
          </c:dPt>
          <c:dPt>
            <c:idx val="1"/>
            <c:bubble3D val="0"/>
            <c:spPr>
              <a:solidFill>
                <a:schemeClr val="accent2"/>
              </a:solidFill>
              <a:ln>
                <a:solidFill>
                  <a:schemeClr val="bg1"/>
                </a:solidFill>
              </a:ln>
              <a:effectLst/>
            </c:spPr>
          </c:dPt>
          <c:dLbls>
            <c:dLbl>
              <c:idx val="0"/>
              <c:layout/>
              <c:dLblPos val="bestFit"/>
              <c:showLegendKey val="0"/>
              <c:showVal val="1"/>
              <c:showCatName val="0"/>
              <c:showSerName val="0"/>
              <c:showPercent val="0"/>
              <c:showBubbleSize val="0"/>
              <c:extLst>
                <c:ext xmlns:c15="http://schemas.microsoft.com/office/drawing/2012/chart" uri="{CE6537A1-D6FC-4f65-9D91-7224C49458BB}"/>
              </c:extLst>
            </c:dLbl>
            <c:dLbl>
              <c:idx val="1"/>
              <c:layout/>
              <c:dLblPos val="bestFit"/>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bestFit"/>
            <c:showLegendKey val="0"/>
            <c:showVal val="0"/>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基本支出</c:v>
                </c:pt>
                <c:pt idx="1">
                  <c:v>项目支出</c:v>
                </c:pt>
              </c:strCache>
            </c:strRef>
          </c:cat>
          <c:val>
            <c:numRef>
              <c:f>Sheet1!$B$2:$B$3</c:f>
              <c:numCache>
                <c:formatCode>General</c:formatCode>
                <c:ptCount val="2"/>
                <c:pt idx="0">
                  <c:v>1014.83</c:v>
                </c:pt>
                <c:pt idx="1">
                  <c:v>284.37</c:v>
                </c:pt>
              </c:numCache>
            </c:numRef>
          </c:val>
        </c:ser>
        <c:dLbls>
          <c:showLegendKey val="0"/>
          <c:showVal val="0"/>
          <c:showCatName val="0"/>
          <c:showSerName val="0"/>
          <c:showPercent val="0"/>
          <c:showBubbleSize val="0"/>
          <c:showLeaderLines val="1"/>
        </c:dLbls>
        <c:firstSliceAng val="0"/>
      </c:pieChart>
      <c:spPr>
        <a:noFill/>
        <a:ln>
          <a:noFill/>
        </a:ln>
        <a:effectLst/>
      </c:spPr>
    </c:plotArea>
    <c:legend>
      <c:legendPos val="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extLst>
      <c:ext uri="{0b15fc19-7d7d-44ad-8c2d-2c3a37ce22c3}">
        <chartProps xmlns="https://web.wps.cn/et/2018/main" chartId="{b93f3fbb-ca69-4288-9e7c-430e011dbfd5}"/>
      </c:ext>
    </c:extLst>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baseline="0">
                <a:solidFill>
                  <a:schemeClr val="tx1">
                    <a:lumMod val="75000"/>
                    <a:lumOff val="25000"/>
                  </a:schemeClr>
                </a:solidFill>
                <a:latin typeface="+mn-lt"/>
                <a:ea typeface="+mn-ea"/>
                <a:cs typeface="+mn-cs"/>
              </a:defRPr>
            </a:pPr>
            <a:r>
              <a:t>财政拨款收支决算表</a:t>
            </a:r>
          </a:p>
        </c:rich>
      </c:tx>
      <c:layout/>
      <c:overlay val="0"/>
      <c:spPr>
        <a:noFill/>
        <a:ln>
          <a:noFill/>
        </a:ln>
        <a:effectLst/>
      </c:spPr>
    </c:title>
    <c:autoTitleDeleted val="0"/>
    <c:plotArea>
      <c:layout>
        <c:manualLayout>
          <c:layoutTarget val="inner"/>
          <c:xMode val="edge"/>
          <c:yMode val="edge"/>
          <c:x val="0.0479101232181686"/>
          <c:y val="0.148746281342966"/>
          <c:w val="0.930345494080696"/>
          <c:h val="0.638631534211645"/>
        </c:manualLayout>
      </c:layout>
      <c:barChart>
        <c:barDir val="col"/>
        <c:grouping val="clustered"/>
        <c:varyColors val="0"/>
        <c:ser>
          <c:idx val="0"/>
          <c:order val="0"/>
          <c:tx>
            <c:strRef>
              <c:f>Sheet1!$B$1</c:f>
              <c:strCache>
                <c:ptCount val="1"/>
                <c:pt idx="0">
                  <c:v>收支决算变动</c:v>
                </c:pt>
              </c:strCache>
            </c:strRef>
          </c:tx>
          <c:spPr>
            <a:solidFill>
              <a:schemeClr val="accent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2022年</c:v>
                </c:pt>
                <c:pt idx="1">
                  <c:v>2023年</c:v>
                </c:pt>
              </c:strCache>
            </c:strRef>
          </c:cat>
          <c:val>
            <c:numRef>
              <c:f>Sheet1!$B$2:$B$3</c:f>
              <c:numCache>
                <c:formatCode>General</c:formatCode>
                <c:ptCount val="2"/>
                <c:pt idx="0">
                  <c:v>1308.45</c:v>
                </c:pt>
                <c:pt idx="1">
                  <c:v>1299.56</c:v>
                </c:pt>
              </c:numCache>
            </c:numRef>
          </c:val>
        </c:ser>
        <c:dLbls>
          <c:showLegendKey val="0"/>
          <c:showVal val="1"/>
          <c:showCatName val="0"/>
          <c:showSerName val="0"/>
          <c:showPercent val="0"/>
          <c:showBubbleSize val="0"/>
        </c:dLbls>
        <c:gapWidth val="246"/>
        <c:overlap val="-28"/>
        <c:axId val="471891022"/>
        <c:axId val="451076873"/>
      </c:barChart>
      <c:catAx>
        <c:axId val="471891022"/>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451076873"/>
        <c:crosses val="autoZero"/>
        <c:auto val="1"/>
        <c:lblAlgn val="ctr"/>
        <c:lblOffset val="100"/>
        <c:noMultiLvlLbl val="0"/>
      </c:catAx>
      <c:valAx>
        <c:axId val="451076873"/>
        <c:scaling>
          <c:orientation val="minMax"/>
        </c:scaling>
        <c:delete val="0"/>
        <c:axPos val="l"/>
        <c:majorGridlines>
          <c:spPr>
            <a:ln w="9525" cap="flat" cmpd="sng" algn="ctr">
              <a:solidFill>
                <a:schemeClr val="lt1">
                  <a:lumMod val="902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471891022"/>
        <c:crosses val="autoZero"/>
        <c:crossBetween val="between"/>
      </c:valAx>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extLst>
      <c:ext uri="{0b15fc19-7d7d-44ad-8c2d-2c3a37ce22c3}">
        <chartProps xmlns="https://web.wps.cn/et/2018/main" chartId="{0d7cf6a0-b772-47e6-a9ec-4e224598bb79}"/>
      </c:ext>
    </c:extLst>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baseline="0">
                <a:solidFill>
                  <a:schemeClr val="tx1">
                    <a:lumMod val="75000"/>
                    <a:lumOff val="25000"/>
                  </a:schemeClr>
                </a:solidFill>
                <a:latin typeface="+mn-lt"/>
                <a:ea typeface="+mn-ea"/>
                <a:cs typeface="+mn-cs"/>
              </a:defRPr>
            </a:pPr>
            <a:r>
              <a:t>财政拨款支出决算表</a:t>
            </a:r>
          </a:p>
        </c:rich>
      </c:tx>
      <c:layout/>
      <c:overlay val="0"/>
      <c:spPr>
        <a:noFill/>
        <a:ln>
          <a:noFill/>
        </a:ln>
        <a:effectLst/>
      </c:spPr>
    </c:title>
    <c:autoTitleDeleted val="0"/>
    <c:plotArea>
      <c:layout>
        <c:manualLayout>
          <c:layoutTarget val="inner"/>
          <c:xMode val="edge"/>
          <c:yMode val="edge"/>
          <c:x val="0.0479101232181686"/>
          <c:y val="0.148746281342966"/>
          <c:w val="0.930345494080696"/>
          <c:h val="0.638631534211645"/>
        </c:manualLayout>
      </c:layout>
      <c:barChart>
        <c:barDir val="col"/>
        <c:grouping val="clustered"/>
        <c:varyColors val="0"/>
        <c:ser>
          <c:idx val="0"/>
          <c:order val="0"/>
          <c:tx>
            <c:strRef>
              <c:f>Sheet1!$B$1</c:f>
              <c:strCache>
                <c:ptCount val="1"/>
                <c:pt idx="0">
                  <c:v>收支决算变动</c:v>
                </c:pt>
              </c:strCache>
            </c:strRef>
          </c:tx>
          <c:spPr>
            <a:solidFill>
              <a:schemeClr val="accent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2022年</c:v>
                </c:pt>
                <c:pt idx="1">
                  <c:v>2023年</c:v>
                </c:pt>
              </c:strCache>
            </c:strRef>
          </c:cat>
          <c:val>
            <c:numRef>
              <c:f>Sheet1!$B$2:$B$3</c:f>
              <c:numCache>
                <c:formatCode>General</c:formatCode>
                <c:ptCount val="2"/>
                <c:pt idx="0">
                  <c:v>1308.45</c:v>
                </c:pt>
                <c:pt idx="1">
                  <c:v>1299.56</c:v>
                </c:pt>
              </c:numCache>
            </c:numRef>
          </c:val>
        </c:ser>
        <c:dLbls>
          <c:showLegendKey val="0"/>
          <c:showVal val="1"/>
          <c:showCatName val="0"/>
          <c:showSerName val="0"/>
          <c:showPercent val="0"/>
          <c:showBubbleSize val="0"/>
        </c:dLbls>
        <c:gapWidth val="246"/>
        <c:overlap val="-28"/>
        <c:axId val="471891022"/>
        <c:axId val="451076873"/>
      </c:barChart>
      <c:catAx>
        <c:axId val="471891022"/>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451076873"/>
        <c:crosses val="autoZero"/>
        <c:auto val="1"/>
        <c:lblAlgn val="ctr"/>
        <c:lblOffset val="100"/>
        <c:noMultiLvlLbl val="0"/>
      </c:catAx>
      <c:valAx>
        <c:axId val="451076873"/>
        <c:scaling>
          <c:orientation val="minMax"/>
        </c:scaling>
        <c:delete val="0"/>
        <c:axPos val="l"/>
        <c:majorGridlines>
          <c:spPr>
            <a:ln w="9525" cap="flat" cmpd="sng" algn="ctr">
              <a:solidFill>
                <a:schemeClr val="lt1">
                  <a:lumMod val="902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471891022"/>
        <c:crosses val="autoZero"/>
        <c:crossBetween val="between"/>
      </c:valAx>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extLst>
      <c:ext uri="{0b15fc19-7d7d-44ad-8c2d-2c3a37ce22c3}">
        <chartProps xmlns="https://web.wps.cn/et/2018/main" chartId="{a7535316-9360-4eaa-91dd-c71e032d4e81}"/>
      </c:ext>
    </c:extLst>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spPr>
        <a:noFill/>
        <a:ln>
          <a:noFill/>
        </a:ln>
        <a:effectLst/>
      </c:spPr>
      <c:txPr>
        <a:bodyPr rot="0" spcFirstLastPara="0" vertOverflow="ellipsis" vert="horz" wrap="square" anchor="ctr" anchorCtr="1"/>
        <a:lstStyle/>
        <a:p>
          <a:pPr>
            <a:defRPr lang="zh-CN" sz="1400" b="1" i="0" u="none" strike="noStrike" kern="1200" baseline="0">
              <a:solidFill>
                <a:schemeClr val="tx1">
                  <a:lumMod val="75000"/>
                  <a:lumOff val="25000"/>
                </a:schemeClr>
              </a:solidFill>
              <a:latin typeface="+mn-lt"/>
              <a:ea typeface="+mn-ea"/>
              <a:cs typeface="+mn-cs"/>
            </a:defRPr>
          </a:pPr>
        </a:p>
      </c:txPr>
    </c:title>
    <c:autoTitleDeleted val="0"/>
    <c:plotArea>
      <c:layout/>
      <c:pieChart>
        <c:varyColors val="1"/>
        <c:ser>
          <c:idx val="0"/>
          <c:order val="0"/>
          <c:tx>
            <c:strRef>
              <c:f>Sheet1!$B$1</c:f>
              <c:strCache>
                <c:ptCount val="1"/>
                <c:pt idx="0">
                  <c:v>一般公共预算财政拨款支出</c:v>
                </c:pt>
              </c:strCache>
            </c:strRef>
          </c:tx>
          <c:spPr/>
          <c:explosion val="0"/>
          <c:dPt>
            <c:idx val="0"/>
            <c:bubble3D val="0"/>
            <c:spPr>
              <a:solidFill>
                <a:schemeClr val="accent1"/>
              </a:solidFill>
              <a:ln>
                <a:solidFill>
                  <a:schemeClr val="bg1"/>
                </a:solidFill>
              </a:ln>
              <a:effectLst/>
            </c:spPr>
          </c:dPt>
          <c:dPt>
            <c:idx val="1"/>
            <c:bubble3D val="0"/>
            <c:spPr>
              <a:solidFill>
                <a:schemeClr val="accent2"/>
              </a:solidFill>
              <a:ln>
                <a:solidFill>
                  <a:schemeClr val="bg1"/>
                </a:solidFill>
              </a:ln>
              <a:effectLst/>
            </c:spPr>
          </c:dPt>
          <c:dPt>
            <c:idx val="2"/>
            <c:bubble3D val="0"/>
            <c:spPr>
              <a:solidFill>
                <a:schemeClr val="accent3"/>
              </a:solidFill>
              <a:ln>
                <a:solidFill>
                  <a:schemeClr val="bg1"/>
                </a:solidFill>
              </a:ln>
              <a:effectLst/>
            </c:spPr>
          </c:dPt>
          <c:dPt>
            <c:idx val="3"/>
            <c:bubble3D val="0"/>
            <c:spPr>
              <a:solidFill>
                <a:schemeClr val="accent4"/>
              </a:solidFill>
              <a:ln>
                <a:solidFill>
                  <a:schemeClr val="bg1"/>
                </a:solidFill>
              </a:ln>
              <a:effectLst/>
            </c:spPr>
          </c:dPt>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Sheet1!$A$2:$A$5</c:f>
              <c:strCache>
                <c:ptCount val="4"/>
                <c:pt idx="0">
                  <c:v>一般公共服务支出</c:v>
                </c:pt>
                <c:pt idx="1">
                  <c:v>社会保障和就业支出</c:v>
                </c:pt>
                <c:pt idx="2">
                  <c:v>卫生健康支出</c:v>
                </c:pt>
                <c:pt idx="3">
                  <c:v>住房保障支出</c:v>
                </c:pt>
              </c:strCache>
            </c:strRef>
          </c:cat>
          <c:val>
            <c:numRef>
              <c:f>Sheet1!$B$2:$B$5</c:f>
              <c:numCache>
                <c:formatCode>General</c:formatCode>
                <c:ptCount val="4"/>
                <c:pt idx="0">
                  <c:v>1096.54</c:v>
                </c:pt>
                <c:pt idx="1">
                  <c:v>101.15</c:v>
                </c:pt>
                <c:pt idx="2">
                  <c:v>44.48</c:v>
                </c:pt>
                <c:pt idx="3">
                  <c:v>57.39</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extLst>
      <c:ext uri="{0b15fc19-7d7d-44ad-8c2d-2c3a37ce22c3}">
        <chartProps xmlns="https://web.wps.cn/et/2018/main" chartId="{c7dfe197-b307-452e-b9ea-82bad9bc4b0b}"/>
      </c:ext>
    </c:extLst>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spPr>
        <a:noFill/>
        <a:ln>
          <a:noFill/>
        </a:ln>
        <a:effectLst/>
      </c:spPr>
      <c:txPr>
        <a:bodyPr rot="0" spcFirstLastPara="0" vertOverflow="ellipsis" vert="horz" wrap="square" anchor="ctr" anchorCtr="1"/>
        <a:lstStyle/>
        <a:p>
          <a:pPr>
            <a:defRPr lang="zh-CN" sz="1400" b="1" i="0" u="none" strike="noStrike" kern="1200" baseline="0">
              <a:solidFill>
                <a:schemeClr val="tx1">
                  <a:lumMod val="75000"/>
                  <a:lumOff val="25000"/>
                </a:schemeClr>
              </a:solidFill>
              <a:latin typeface="+mn-lt"/>
              <a:ea typeface="+mn-ea"/>
              <a:cs typeface="+mn-cs"/>
            </a:defRPr>
          </a:pPr>
        </a:p>
      </c:txPr>
    </c:title>
    <c:autoTitleDeleted val="0"/>
    <c:plotArea>
      <c:layout/>
      <c:pieChart>
        <c:varyColors val="1"/>
        <c:ser>
          <c:idx val="0"/>
          <c:order val="0"/>
          <c:tx>
            <c:strRef>
              <c:f>Sheet1!$B$1</c:f>
              <c:strCache>
                <c:ptCount val="1"/>
                <c:pt idx="0">
                  <c:v>“三公”经费财政拨款支出</c:v>
                </c:pt>
              </c:strCache>
            </c:strRef>
          </c:tx>
          <c:spPr/>
          <c:explosion val="0"/>
          <c:dPt>
            <c:idx val="0"/>
            <c:bubble3D val="0"/>
            <c:spPr>
              <a:solidFill>
                <a:schemeClr val="accent1"/>
              </a:solidFill>
              <a:ln>
                <a:solidFill>
                  <a:schemeClr val="bg1"/>
                </a:solidFill>
              </a:ln>
              <a:effectLst/>
            </c:spPr>
          </c:dPt>
          <c:dLbls>
            <c:delete val="1"/>
          </c:dLbls>
          <c:cat>
            <c:strRef>
              <c:f>Sheet1!$A$2</c:f>
              <c:strCache>
                <c:ptCount val="1"/>
                <c:pt idx="0">
                  <c:v>公务接待支出</c:v>
                </c:pt>
              </c:strCache>
            </c:strRef>
          </c:cat>
          <c:val>
            <c:numRef>
              <c:f>Sheet1!$B$2</c:f>
              <c:numCache>
                <c:formatCode>General</c:formatCode>
                <c:ptCount val="1"/>
                <c:pt idx="0">
                  <c:v>0.31</c:v>
                </c:pt>
              </c:numCache>
            </c:numRef>
          </c:val>
        </c:ser>
        <c:dLbls>
          <c:showLegendKey val="0"/>
          <c:showVal val="0"/>
          <c:showCatName val="0"/>
          <c:showSerName val="0"/>
          <c:showPercent val="0"/>
          <c:showBubbleSize val="0"/>
          <c:showLeaderLines val="1"/>
        </c:dLbls>
        <c:firstSliceAng val="0"/>
      </c:pieChart>
      <c:spPr>
        <a:noFill/>
        <a:ln>
          <a:noFill/>
        </a:ln>
        <a:effectLst/>
      </c:spPr>
    </c:plotArea>
    <c:legend>
      <c:legendPos val="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extLst>
      <c:ext uri="{0b15fc19-7d7d-44ad-8c2d-2c3a37ce22c3}">
        <chartProps xmlns="https://web.wps.cn/et/2018/main" chartId="{424fe762-5c74-455c-ae93-7a1a6af9e690}"/>
      </c:ext>
    </c:extLst>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1008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100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noFill/>
      </a:ln>
      <a:effectLst/>
    </cs:spPr>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1008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100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noFill/>
      </a:ln>
      <a:effectLst/>
    </cs:spPr>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1008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100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noFill/>
      </a:ln>
      <a:effectLst/>
    </cs:spPr>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1008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四川省财政厅</Company>
  <Pages>25</Pages>
  <Words>32</Words>
  <Characters>35</Characters>
  <Lines>54</Lines>
  <Paragraphs>15</Paragraphs>
  <TotalTime>10</TotalTime>
  <ScaleCrop>false</ScaleCrop>
  <LinksUpToDate>false</LinksUpToDate>
  <CharactersWithSpaces>35</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2020-08-08T01:49:00Z</dcterms:created>
  <dc:creator>曹颖</dc:creator>
  <cp:lastModifiedBy>vtgege</cp:lastModifiedBy>
  <cp:lastPrinted>2023-08-03T02:35:00Z</cp:lastPrinted>
  <dcterms:modified xsi:type="dcterms:W3CDTF">2025-01-06T07:44:36Z</dcterms:modified>
  <dc:title>四川省***</dc:title>
  <cp:revision>39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52FF5C283A7B4310BD38BE91EB9C0FC6_12</vt:lpwstr>
  </property>
  <property fmtid="{D5CDD505-2E9C-101B-9397-08002B2CF9AE}" pid="4" name="KSOTemplateDocerSaveRecord">
    <vt:lpwstr>eyJoZGlkIjoiZDZkNGU0NWZjZTBhODE5MTYwNTJhYzhiZWZiMjBjMmEiLCJ1c2VySWQiOiI2MTg0NTIyNTAifQ==</vt:lpwstr>
  </property>
</Properties>
</file>